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6205" w14:textId="77777777" w:rsidR="00EA22A2" w:rsidRDefault="00EA22A2" w:rsidP="00EA22A2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 w:rsidRPr="00EA22A2">
        <w:rPr>
          <w:b/>
          <w:bCs/>
          <w:color w:val="C00000"/>
          <w:sz w:val="40"/>
          <w:szCs w:val="40"/>
        </w:rPr>
        <w:t>Part A Chapters of the EMEP/EEA Guidebook: Some questions for discussion</w:t>
      </w:r>
    </w:p>
    <w:p w14:paraId="6AC5210D" w14:textId="77777777" w:rsidR="001B7F7B" w:rsidRPr="00EA22A2" w:rsidRDefault="001B7F7B" w:rsidP="00EA22A2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</w:p>
    <w:p w14:paraId="0A867536" w14:textId="355079E0" w:rsidR="00D314A1" w:rsidRPr="00547F58" w:rsidRDefault="001B7F7B" w:rsidP="00EA22A2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547F58">
        <w:rPr>
          <w:b/>
          <w:bCs/>
          <w:color w:val="C00000"/>
          <w:sz w:val="32"/>
          <w:szCs w:val="32"/>
        </w:rPr>
        <w:t xml:space="preserve">A </w:t>
      </w:r>
      <w:r w:rsidR="00876728" w:rsidRPr="00547F58">
        <w:rPr>
          <w:b/>
          <w:bCs/>
          <w:color w:val="C00000"/>
          <w:sz w:val="32"/>
          <w:szCs w:val="32"/>
        </w:rPr>
        <w:t>TFEIP 202</w:t>
      </w:r>
      <w:r w:rsidR="00EA22A2" w:rsidRPr="00547F58">
        <w:rPr>
          <w:b/>
          <w:bCs/>
          <w:color w:val="C00000"/>
          <w:sz w:val="32"/>
          <w:szCs w:val="32"/>
        </w:rPr>
        <w:t>6</w:t>
      </w:r>
      <w:r w:rsidR="00876728" w:rsidRPr="00547F58">
        <w:rPr>
          <w:b/>
          <w:bCs/>
          <w:color w:val="C00000"/>
          <w:sz w:val="32"/>
          <w:szCs w:val="32"/>
        </w:rPr>
        <w:t xml:space="preserve"> Meeting</w:t>
      </w:r>
      <w:r w:rsidR="00EA22A2" w:rsidRPr="00547F58">
        <w:rPr>
          <w:b/>
          <w:bCs/>
          <w:color w:val="C00000"/>
          <w:sz w:val="32"/>
          <w:szCs w:val="32"/>
        </w:rPr>
        <w:t xml:space="preserve"> Paper</w:t>
      </w:r>
    </w:p>
    <w:p w14:paraId="5862072A" w14:textId="7A66ADE6" w:rsidR="001B7F7B" w:rsidRPr="00547F58" w:rsidRDefault="001B7F7B" w:rsidP="001B7F7B">
      <w:pPr>
        <w:spacing w:after="0" w:line="240" w:lineRule="auto"/>
        <w:rPr>
          <w:color w:val="3A3A3A" w:themeColor="background2" w:themeShade="40"/>
        </w:rPr>
      </w:pPr>
      <w:r w:rsidRPr="00547F58">
        <w:rPr>
          <w:color w:val="3A3A3A" w:themeColor="background2" w:themeShade="40"/>
        </w:rPr>
        <w:t xml:space="preserve">Drafted by </w:t>
      </w:r>
      <w:r w:rsidR="00547F58" w:rsidRPr="00547F58">
        <w:rPr>
          <w:color w:val="3A3A3A" w:themeColor="background2" w:themeShade="40"/>
        </w:rPr>
        <w:t>Chris Dore.</w:t>
      </w:r>
    </w:p>
    <w:p w14:paraId="47630CB5" w14:textId="77777777" w:rsidR="001B7F7B" w:rsidRDefault="001B7F7B" w:rsidP="001B7F7B">
      <w:pPr>
        <w:spacing w:after="0" w:line="240" w:lineRule="auto"/>
        <w:rPr>
          <w:b/>
          <w:bCs/>
          <w:color w:val="C00000"/>
        </w:rPr>
      </w:pPr>
    </w:p>
    <w:p w14:paraId="764DF20C" w14:textId="77777777" w:rsidR="00547F58" w:rsidRPr="00D314A1" w:rsidRDefault="00547F58" w:rsidP="001B7F7B">
      <w:pPr>
        <w:spacing w:after="0" w:line="240" w:lineRule="auto"/>
        <w:rPr>
          <w:b/>
          <w:bCs/>
          <w:color w:val="C00000"/>
        </w:rPr>
      </w:pPr>
    </w:p>
    <w:p w14:paraId="634B44D3" w14:textId="5BA37345" w:rsidR="00D314A1" w:rsidRPr="00547F58" w:rsidRDefault="001B7F7B" w:rsidP="001B7F7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547F58">
        <w:rPr>
          <w:b/>
          <w:bCs/>
          <w:color w:val="C00000"/>
          <w:sz w:val="28"/>
          <w:szCs w:val="28"/>
        </w:rPr>
        <w:t>Introduction</w:t>
      </w:r>
      <w:r w:rsidR="001A131E">
        <w:rPr>
          <w:b/>
          <w:bCs/>
          <w:color w:val="C00000"/>
          <w:sz w:val="28"/>
          <w:szCs w:val="28"/>
        </w:rPr>
        <w:t xml:space="preserve"> and context</w:t>
      </w:r>
    </w:p>
    <w:p w14:paraId="422D4F78" w14:textId="77777777" w:rsidR="00661D0F" w:rsidRDefault="00F72C11" w:rsidP="00EA22A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The </w:t>
      </w:r>
      <w:r w:rsidR="00AE0C71">
        <w:rPr>
          <w:color w:val="3A3A3A" w:themeColor="background2" w:themeShade="40"/>
        </w:rPr>
        <w:t>Guidebook is in the process of being updated. Whilst most of the attention</w:t>
      </w:r>
      <w:r w:rsidR="009567E3">
        <w:rPr>
          <w:color w:val="3A3A3A" w:themeColor="background2" w:themeShade="40"/>
        </w:rPr>
        <w:t xml:space="preserve">, quite rightly, is on the revisions to the Part B “sector” chapters, consideration must also be given to the Part A chapters. </w:t>
      </w:r>
      <w:r>
        <w:rPr>
          <w:color w:val="3A3A3A" w:themeColor="background2" w:themeShade="40"/>
        </w:rPr>
        <w:br/>
      </w:r>
    </w:p>
    <w:p w14:paraId="39D13E31" w14:textId="067E3217" w:rsidR="00416772" w:rsidRDefault="00661D0F" w:rsidP="00EA22A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The sections below provide some observations about the most important updates that might be made to the Part A chapters, </w:t>
      </w:r>
      <w:r w:rsidR="00416772">
        <w:rPr>
          <w:color w:val="3A3A3A" w:themeColor="background2" w:themeShade="40"/>
        </w:rPr>
        <w:t>based</w:t>
      </w:r>
      <w:r>
        <w:rPr>
          <w:color w:val="3A3A3A" w:themeColor="background2" w:themeShade="40"/>
        </w:rPr>
        <w:t xml:space="preserve"> on information g</w:t>
      </w:r>
      <w:r w:rsidR="00416772">
        <w:rPr>
          <w:color w:val="3A3A3A" w:themeColor="background2" w:themeShade="40"/>
        </w:rPr>
        <w:t>a</w:t>
      </w:r>
      <w:r>
        <w:rPr>
          <w:color w:val="3A3A3A" w:themeColor="background2" w:themeShade="40"/>
        </w:rPr>
        <w:t xml:space="preserve">thered </w:t>
      </w:r>
      <w:r w:rsidR="00416772">
        <w:rPr>
          <w:color w:val="3A3A3A" w:themeColor="background2" w:themeShade="40"/>
        </w:rPr>
        <w:t>since the 2023 Guidebook was published.</w:t>
      </w:r>
      <w:r w:rsidR="00E41582">
        <w:rPr>
          <w:color w:val="3A3A3A" w:themeColor="background2" w:themeShade="40"/>
        </w:rPr>
        <w:t xml:space="preserve"> It is important to note that some of the proposals below consider broader questions, </w:t>
      </w:r>
      <w:r w:rsidR="00575D93">
        <w:rPr>
          <w:color w:val="3A3A3A" w:themeColor="background2" w:themeShade="40"/>
        </w:rPr>
        <w:t xml:space="preserve">including </w:t>
      </w:r>
      <w:r w:rsidR="00E41582">
        <w:rPr>
          <w:color w:val="3A3A3A" w:themeColor="background2" w:themeShade="40"/>
        </w:rPr>
        <w:t>revisions to the Reporting Guidelines</w:t>
      </w:r>
      <w:r w:rsidR="00575D93">
        <w:rPr>
          <w:color w:val="3A3A3A" w:themeColor="background2" w:themeShade="40"/>
        </w:rPr>
        <w:t>,</w:t>
      </w:r>
      <w:r w:rsidR="00E41582">
        <w:rPr>
          <w:color w:val="3A3A3A" w:themeColor="background2" w:themeShade="40"/>
        </w:rPr>
        <w:t xml:space="preserve"> as well as updating the contents of the Guidebook.</w:t>
      </w:r>
    </w:p>
    <w:p w14:paraId="00DF5B39" w14:textId="77777777" w:rsidR="00F56DFD" w:rsidRDefault="00F56DFD" w:rsidP="00EA22A2">
      <w:pPr>
        <w:spacing w:after="0" w:line="240" w:lineRule="auto"/>
        <w:rPr>
          <w:color w:val="3A3A3A" w:themeColor="background2" w:themeShade="40"/>
        </w:rPr>
      </w:pPr>
    </w:p>
    <w:p w14:paraId="54B83A3F" w14:textId="77777777" w:rsidR="001A131E" w:rsidRDefault="001A131E" w:rsidP="00EA22A2">
      <w:pPr>
        <w:spacing w:after="0" w:line="240" w:lineRule="auto"/>
        <w:rPr>
          <w:color w:val="3A3A3A" w:themeColor="background2" w:themeShade="40"/>
        </w:rPr>
      </w:pPr>
    </w:p>
    <w:p w14:paraId="0A16C12E" w14:textId="458A3F3D" w:rsidR="00472D06" w:rsidRPr="001A131E" w:rsidRDefault="001A131E" w:rsidP="001A131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1A131E">
        <w:rPr>
          <w:b/>
          <w:bCs/>
          <w:color w:val="C00000"/>
          <w:sz w:val="28"/>
          <w:szCs w:val="28"/>
        </w:rPr>
        <w:t xml:space="preserve">Part </w:t>
      </w:r>
      <w:r w:rsidR="00472D06" w:rsidRPr="001A131E">
        <w:rPr>
          <w:b/>
          <w:bCs/>
          <w:color w:val="C00000"/>
          <w:sz w:val="28"/>
          <w:szCs w:val="28"/>
        </w:rPr>
        <w:t>A1 Introduction</w:t>
      </w:r>
    </w:p>
    <w:p w14:paraId="3184050C" w14:textId="77777777" w:rsidR="001A131E" w:rsidRDefault="001A131E" w:rsidP="00472D06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This chapter includes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22650E" w14:paraId="3C7D0676" w14:textId="77777777" w:rsidTr="00D73C59">
        <w:tc>
          <w:tcPr>
            <w:tcW w:w="3686" w:type="dxa"/>
          </w:tcPr>
          <w:p w14:paraId="320FA2BB" w14:textId="62D79518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 xml:space="preserve">1.1 Introduction </w:t>
            </w:r>
          </w:p>
        </w:tc>
        <w:tc>
          <w:tcPr>
            <w:tcW w:w="4508" w:type="dxa"/>
          </w:tcPr>
          <w:p w14:paraId="1CE29BBB" w14:textId="135BBA62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1.5 When to use the Guidebook</w:t>
            </w:r>
          </w:p>
        </w:tc>
      </w:tr>
      <w:tr w:rsidR="0022650E" w14:paraId="37FB4861" w14:textId="77777777" w:rsidTr="00D73C59">
        <w:tc>
          <w:tcPr>
            <w:tcW w:w="3686" w:type="dxa"/>
          </w:tcPr>
          <w:p w14:paraId="236DB92E" w14:textId="39AD625E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1.2 Scope</w:t>
            </w:r>
          </w:p>
        </w:tc>
        <w:tc>
          <w:tcPr>
            <w:tcW w:w="4508" w:type="dxa"/>
          </w:tcPr>
          <w:p w14:paraId="4365EB28" w14:textId="1881C8BD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1.6 Guidebook management</w:t>
            </w:r>
          </w:p>
        </w:tc>
      </w:tr>
      <w:tr w:rsidR="0022650E" w14:paraId="354FA67C" w14:textId="77777777" w:rsidTr="00D73C59">
        <w:tc>
          <w:tcPr>
            <w:tcW w:w="3686" w:type="dxa"/>
          </w:tcPr>
          <w:p w14:paraId="3E148BD4" w14:textId="5F1D26A6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1.3 Concepts</w:t>
            </w:r>
          </w:p>
        </w:tc>
        <w:tc>
          <w:tcPr>
            <w:tcW w:w="4508" w:type="dxa"/>
          </w:tcPr>
          <w:p w14:paraId="35450EA5" w14:textId="3DC53CD9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1.7 Additional information</w:t>
            </w:r>
          </w:p>
        </w:tc>
      </w:tr>
      <w:tr w:rsidR="0022650E" w14:paraId="5C1A0395" w14:textId="77777777" w:rsidTr="00D73C59">
        <w:tc>
          <w:tcPr>
            <w:tcW w:w="3686" w:type="dxa"/>
          </w:tcPr>
          <w:p w14:paraId="4BB2B505" w14:textId="248D25F0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1.4 How to use the Guidebook</w:t>
            </w:r>
          </w:p>
        </w:tc>
        <w:tc>
          <w:tcPr>
            <w:tcW w:w="4508" w:type="dxa"/>
          </w:tcPr>
          <w:p w14:paraId="21D74FB8" w14:textId="17AF2C00" w:rsidR="0022650E" w:rsidRDefault="0022650E" w:rsidP="00472D06">
            <w:pPr>
              <w:rPr>
                <w:color w:val="3A3A3A" w:themeColor="background2" w:themeShade="40"/>
              </w:rPr>
            </w:pPr>
            <w:r w:rsidRPr="00472D06">
              <w:rPr>
                <w:color w:val="3A3A3A" w:themeColor="background2" w:themeShade="40"/>
              </w:rPr>
              <w:t>1.8 Point of enquiry</w:t>
            </w:r>
          </w:p>
        </w:tc>
      </w:tr>
    </w:tbl>
    <w:p w14:paraId="3AFFCF39" w14:textId="4B6B3125" w:rsidR="00D314A1" w:rsidRDefault="00D314A1" w:rsidP="003935D2">
      <w:pPr>
        <w:spacing w:after="0" w:line="240" w:lineRule="auto"/>
        <w:rPr>
          <w:color w:val="3A3A3A" w:themeColor="background2" w:themeShade="40"/>
        </w:rPr>
      </w:pPr>
    </w:p>
    <w:p w14:paraId="62C35428" w14:textId="2FCCDD9F" w:rsidR="003935D2" w:rsidRDefault="003935D2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A simple update of text where necessary is envisaged</w:t>
      </w:r>
      <w:r w:rsidR="004A4C3A">
        <w:rPr>
          <w:color w:val="3A3A3A" w:themeColor="background2" w:themeShade="40"/>
        </w:rPr>
        <w:t>,</w:t>
      </w:r>
      <w:r>
        <w:rPr>
          <w:color w:val="3A3A3A" w:themeColor="background2" w:themeShade="40"/>
        </w:rPr>
        <w:t xml:space="preserve"> with no </w:t>
      </w:r>
      <w:r w:rsidR="004A4C3A">
        <w:rPr>
          <w:color w:val="3A3A3A" w:themeColor="background2" w:themeShade="40"/>
        </w:rPr>
        <w:t>major changes to concepts/approaches etc.</w:t>
      </w:r>
    </w:p>
    <w:p w14:paraId="12C09B64" w14:textId="77777777" w:rsidR="007D1E5C" w:rsidRDefault="007D1E5C" w:rsidP="003935D2">
      <w:pPr>
        <w:spacing w:after="0" w:line="240" w:lineRule="auto"/>
        <w:rPr>
          <w:color w:val="3A3A3A" w:themeColor="background2" w:themeShade="40"/>
        </w:rPr>
      </w:pPr>
    </w:p>
    <w:p w14:paraId="3126D906" w14:textId="77777777" w:rsidR="007D1E5C" w:rsidRDefault="007D1E5C" w:rsidP="003935D2">
      <w:pPr>
        <w:spacing w:after="0" w:line="240" w:lineRule="auto"/>
        <w:rPr>
          <w:color w:val="3A3A3A" w:themeColor="background2" w:themeShade="40"/>
        </w:rPr>
      </w:pPr>
    </w:p>
    <w:p w14:paraId="578C2E92" w14:textId="775D98C1" w:rsidR="007D1E5C" w:rsidRPr="001A131E" w:rsidRDefault="007D1E5C" w:rsidP="007D1E5C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1A131E">
        <w:rPr>
          <w:b/>
          <w:bCs/>
          <w:color w:val="C00000"/>
          <w:sz w:val="28"/>
          <w:szCs w:val="28"/>
        </w:rPr>
        <w:t>Part A</w:t>
      </w:r>
      <w:r>
        <w:rPr>
          <w:b/>
          <w:bCs/>
          <w:color w:val="C00000"/>
          <w:sz w:val="28"/>
          <w:szCs w:val="28"/>
        </w:rPr>
        <w:t>2 Methodological Choice and Key Category Analysis</w:t>
      </w:r>
      <w:r w:rsidR="00E93664">
        <w:rPr>
          <w:b/>
          <w:bCs/>
          <w:color w:val="C00000"/>
          <w:sz w:val="28"/>
          <w:szCs w:val="28"/>
        </w:rPr>
        <w:t xml:space="preserve"> (KCA)</w:t>
      </w:r>
    </w:p>
    <w:p w14:paraId="46147258" w14:textId="6018CCAD" w:rsidR="00DF50AE" w:rsidRPr="00820406" w:rsidRDefault="00C102CF" w:rsidP="003935D2">
      <w:pPr>
        <w:spacing w:after="0" w:line="240" w:lineRule="auto"/>
        <w:rPr>
          <w:b/>
          <w:bCs/>
          <w:color w:val="3A3A3A" w:themeColor="background2" w:themeShade="40"/>
        </w:rPr>
      </w:pPr>
      <w:r>
        <w:rPr>
          <w:b/>
          <w:bCs/>
          <w:color w:val="3A3A3A" w:themeColor="background2" w:themeShade="40"/>
        </w:rPr>
        <w:t>Methodolo</w:t>
      </w:r>
      <w:r w:rsidR="004D1418">
        <w:rPr>
          <w:b/>
          <w:bCs/>
          <w:color w:val="3A3A3A" w:themeColor="background2" w:themeShade="40"/>
        </w:rPr>
        <w:t>gical choice/t</w:t>
      </w:r>
      <w:r w:rsidR="00820406" w:rsidRPr="00820406">
        <w:rPr>
          <w:b/>
          <w:bCs/>
          <w:color w:val="3A3A3A" w:themeColor="background2" w:themeShade="40"/>
        </w:rPr>
        <w:t>iers</w:t>
      </w:r>
    </w:p>
    <w:p w14:paraId="22ACDFE6" w14:textId="4E865E38" w:rsidR="004D3DFA" w:rsidRPr="004D3DFA" w:rsidRDefault="00BC3F9D" w:rsidP="004D3DFA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In the past, we have discussed whether </w:t>
      </w:r>
      <w:r w:rsidR="00DE3552">
        <w:rPr>
          <w:color w:val="3A3A3A" w:themeColor="background2" w:themeShade="40"/>
        </w:rPr>
        <w:t xml:space="preserve">it is possible to </w:t>
      </w:r>
      <w:r w:rsidR="005A076D">
        <w:rPr>
          <w:color w:val="3A3A3A" w:themeColor="background2" w:themeShade="40"/>
        </w:rPr>
        <w:t xml:space="preserve">make a </w:t>
      </w:r>
      <w:r w:rsidR="0097248B">
        <w:rPr>
          <w:color w:val="3A3A3A" w:themeColor="background2" w:themeShade="40"/>
        </w:rPr>
        <w:t xml:space="preserve">clearer </w:t>
      </w:r>
      <w:r w:rsidR="005A076D">
        <w:rPr>
          <w:color w:val="3A3A3A" w:themeColor="background2" w:themeShade="40"/>
        </w:rPr>
        <w:t xml:space="preserve">distinction between </w:t>
      </w:r>
      <w:r w:rsidR="00D543E0">
        <w:rPr>
          <w:color w:val="3A3A3A" w:themeColor="background2" w:themeShade="40"/>
        </w:rPr>
        <w:t>a T</w:t>
      </w:r>
      <w:r w:rsidR="004D3DFA">
        <w:rPr>
          <w:color w:val="3A3A3A" w:themeColor="background2" w:themeShade="40"/>
        </w:rPr>
        <w:t xml:space="preserve">ier </w:t>
      </w:r>
      <w:r w:rsidR="00D543E0">
        <w:rPr>
          <w:color w:val="3A3A3A" w:themeColor="background2" w:themeShade="40"/>
        </w:rPr>
        <w:t xml:space="preserve">2 </w:t>
      </w:r>
      <w:r w:rsidR="00F670B1">
        <w:rPr>
          <w:color w:val="3A3A3A" w:themeColor="background2" w:themeShade="40"/>
        </w:rPr>
        <w:t xml:space="preserve">emission calculation </w:t>
      </w:r>
      <w:r w:rsidR="00D543E0">
        <w:rPr>
          <w:color w:val="3A3A3A" w:themeColor="background2" w:themeShade="40"/>
        </w:rPr>
        <w:t>that uses default</w:t>
      </w:r>
      <w:r w:rsidR="004D3DFA">
        <w:rPr>
          <w:color w:val="3A3A3A" w:themeColor="background2" w:themeShade="40"/>
        </w:rPr>
        <w:t xml:space="preserve"> emission factors (</w:t>
      </w:r>
      <w:r w:rsidR="00D543E0">
        <w:rPr>
          <w:color w:val="3A3A3A" w:themeColor="background2" w:themeShade="40"/>
        </w:rPr>
        <w:t>EFs</w:t>
      </w:r>
      <w:r w:rsidR="004D3DFA">
        <w:rPr>
          <w:color w:val="3A3A3A" w:themeColor="background2" w:themeShade="40"/>
        </w:rPr>
        <w:t>)</w:t>
      </w:r>
      <w:r w:rsidR="00D543E0">
        <w:rPr>
          <w:color w:val="3A3A3A" w:themeColor="background2" w:themeShade="40"/>
        </w:rPr>
        <w:t xml:space="preserve">, and one that uses country specific EFs. This is because </w:t>
      </w:r>
      <w:r w:rsidR="00294E3E">
        <w:rPr>
          <w:color w:val="3A3A3A" w:themeColor="background2" w:themeShade="40"/>
        </w:rPr>
        <w:t xml:space="preserve">many Tier 2 methods that are used with international default EFs are </w:t>
      </w:r>
      <w:r w:rsidR="008335FA">
        <w:rPr>
          <w:color w:val="3A3A3A" w:themeColor="background2" w:themeShade="40"/>
        </w:rPr>
        <w:t xml:space="preserve">of comparable accuracy to </w:t>
      </w:r>
      <w:r w:rsidR="00294E3E">
        <w:rPr>
          <w:color w:val="3A3A3A" w:themeColor="background2" w:themeShade="40"/>
        </w:rPr>
        <w:t xml:space="preserve">a Tier 1 approach. </w:t>
      </w:r>
      <w:r w:rsidR="004D3DFA" w:rsidRPr="004D3DFA">
        <w:rPr>
          <w:color w:val="3A3A3A" w:themeColor="background2" w:themeShade="40"/>
        </w:rPr>
        <w:t>In most cases, improving accuracy depends less on moving from Tier 1 to Tier 2 and more on obtaining and applying country</w:t>
      </w:r>
      <w:r w:rsidR="004D3DFA" w:rsidRPr="004D3DFA">
        <w:rPr>
          <w:color w:val="3A3A3A" w:themeColor="background2" w:themeShade="40"/>
        </w:rPr>
        <w:noBreakHyphen/>
        <w:t>specific information when selecting or calculating</w:t>
      </w:r>
      <w:r w:rsidR="004D3DFA">
        <w:rPr>
          <w:color w:val="3A3A3A" w:themeColor="background2" w:themeShade="40"/>
        </w:rPr>
        <w:t xml:space="preserve"> the</w:t>
      </w:r>
      <w:r w:rsidR="004D3DFA" w:rsidRPr="004D3DFA">
        <w:rPr>
          <w:color w:val="3A3A3A" w:themeColor="background2" w:themeShade="40"/>
        </w:rPr>
        <w:t xml:space="preserve"> EF.</w:t>
      </w:r>
    </w:p>
    <w:p w14:paraId="658AA21D" w14:textId="5D1641F6" w:rsidR="00294E3E" w:rsidRDefault="00294E3E" w:rsidP="003935D2">
      <w:pPr>
        <w:spacing w:after="0" w:line="240" w:lineRule="auto"/>
        <w:rPr>
          <w:color w:val="3A3A3A" w:themeColor="background2" w:themeShade="40"/>
        </w:rPr>
      </w:pPr>
    </w:p>
    <w:p w14:paraId="53F0167A" w14:textId="77777777" w:rsidR="005825C0" w:rsidRDefault="005825C0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In addition, i</w:t>
      </w:r>
      <w:r w:rsidR="00905C39">
        <w:rPr>
          <w:color w:val="3A3A3A" w:themeColor="background2" w:themeShade="40"/>
        </w:rPr>
        <w:t>nventory reviewers have asked for improved transparency on methodological choice.</w:t>
      </w:r>
    </w:p>
    <w:p w14:paraId="66E19907" w14:textId="77777777" w:rsidR="005825C0" w:rsidRDefault="005825C0" w:rsidP="003935D2">
      <w:pPr>
        <w:spacing w:after="0" w:line="240" w:lineRule="auto"/>
        <w:rPr>
          <w:color w:val="3A3A3A" w:themeColor="background2" w:themeShade="40"/>
        </w:rPr>
      </w:pPr>
    </w:p>
    <w:p w14:paraId="28402F87" w14:textId="77777777" w:rsidR="003B00FB" w:rsidRDefault="005825C0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One solution would be to update the </w:t>
      </w:r>
      <w:r w:rsidR="00DE3552">
        <w:rPr>
          <w:color w:val="3A3A3A" w:themeColor="background2" w:themeShade="40"/>
        </w:rPr>
        <w:t>IIR template</w:t>
      </w:r>
      <w:r w:rsidR="00A21CF2">
        <w:rPr>
          <w:color w:val="3A3A3A" w:themeColor="background2" w:themeShade="40"/>
        </w:rPr>
        <w:t xml:space="preserve"> and reporting guidelines </w:t>
      </w:r>
      <w:r w:rsidR="00DE3552">
        <w:rPr>
          <w:color w:val="3A3A3A" w:themeColor="background2" w:themeShade="40"/>
        </w:rPr>
        <w:t xml:space="preserve">to </w:t>
      </w:r>
      <w:r w:rsidR="00A21CF2">
        <w:rPr>
          <w:color w:val="3A3A3A" w:themeColor="background2" w:themeShade="40"/>
        </w:rPr>
        <w:t xml:space="preserve">require the IIR to include </w:t>
      </w:r>
      <w:r w:rsidR="00DE3552">
        <w:rPr>
          <w:color w:val="3A3A3A" w:themeColor="background2" w:themeShade="40"/>
        </w:rPr>
        <w:t>table</w:t>
      </w:r>
      <w:r w:rsidR="00294E3E">
        <w:rPr>
          <w:color w:val="3A3A3A" w:themeColor="background2" w:themeShade="40"/>
        </w:rPr>
        <w:t xml:space="preserve">s of methodology Tiers </w:t>
      </w:r>
      <w:r w:rsidR="007066B9">
        <w:rPr>
          <w:color w:val="3A3A3A" w:themeColor="background2" w:themeShade="40"/>
        </w:rPr>
        <w:t>for each sector chapter</w:t>
      </w:r>
      <w:r w:rsidR="00A21CF2">
        <w:rPr>
          <w:color w:val="3A3A3A" w:themeColor="background2" w:themeShade="40"/>
        </w:rPr>
        <w:t>, that not only specify the methodology Tier, but also whether the EFs are default or country specific</w:t>
      </w:r>
      <w:r w:rsidR="007066B9">
        <w:rPr>
          <w:color w:val="3A3A3A" w:themeColor="background2" w:themeShade="40"/>
        </w:rPr>
        <w:t>.</w:t>
      </w:r>
    </w:p>
    <w:p w14:paraId="7A9F3B5B" w14:textId="416C2376" w:rsidR="00DF50AE" w:rsidRDefault="003B00FB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Some </w:t>
      </w:r>
      <w:r w:rsidR="005A076D">
        <w:rPr>
          <w:color w:val="3A3A3A" w:themeColor="background2" w:themeShade="40"/>
        </w:rPr>
        <w:t xml:space="preserve">countries </w:t>
      </w:r>
      <w:r>
        <w:rPr>
          <w:color w:val="3A3A3A" w:themeColor="background2" w:themeShade="40"/>
        </w:rPr>
        <w:t xml:space="preserve">already </w:t>
      </w:r>
      <w:r w:rsidR="005A076D">
        <w:rPr>
          <w:color w:val="3A3A3A" w:themeColor="background2" w:themeShade="40"/>
        </w:rPr>
        <w:t xml:space="preserve">include this information </w:t>
      </w:r>
      <w:r>
        <w:rPr>
          <w:color w:val="3A3A3A" w:themeColor="background2" w:themeShade="40"/>
        </w:rPr>
        <w:t>in their IIRs</w:t>
      </w:r>
      <w:r w:rsidR="005A076D">
        <w:rPr>
          <w:color w:val="3A3A3A" w:themeColor="background2" w:themeShade="40"/>
        </w:rPr>
        <w:t>.</w:t>
      </w:r>
    </w:p>
    <w:p w14:paraId="47EE8C2A" w14:textId="77777777" w:rsidR="00820406" w:rsidRDefault="00820406" w:rsidP="003935D2">
      <w:pPr>
        <w:spacing w:after="0" w:line="240" w:lineRule="auto"/>
        <w:rPr>
          <w:color w:val="3A3A3A" w:themeColor="background2" w:themeShade="40"/>
        </w:rPr>
      </w:pPr>
    </w:p>
    <w:p w14:paraId="55D45A9D" w14:textId="005CBEB6" w:rsidR="00820406" w:rsidRPr="00820406" w:rsidRDefault="00820406" w:rsidP="003935D2">
      <w:pPr>
        <w:spacing w:after="0" w:line="240" w:lineRule="auto"/>
        <w:rPr>
          <w:b/>
          <w:bCs/>
          <w:color w:val="3A3A3A" w:themeColor="background2" w:themeShade="40"/>
        </w:rPr>
      </w:pPr>
      <w:r w:rsidRPr="00820406">
        <w:rPr>
          <w:b/>
          <w:bCs/>
          <w:color w:val="3A3A3A" w:themeColor="background2" w:themeShade="40"/>
        </w:rPr>
        <w:lastRenderedPageBreak/>
        <w:t>K</w:t>
      </w:r>
      <w:r w:rsidR="004D3DFA">
        <w:rPr>
          <w:b/>
          <w:bCs/>
          <w:color w:val="3A3A3A" w:themeColor="background2" w:themeShade="40"/>
        </w:rPr>
        <w:t>ey Category Analysis (KCA)</w:t>
      </w:r>
    </w:p>
    <w:p w14:paraId="23679357" w14:textId="67233AA0" w:rsidR="007D1E5C" w:rsidRDefault="00D73C59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There </w:t>
      </w:r>
      <w:r w:rsidR="00E93664">
        <w:rPr>
          <w:color w:val="3A3A3A" w:themeColor="background2" w:themeShade="40"/>
        </w:rPr>
        <w:t xml:space="preserve">is a need to </w:t>
      </w:r>
      <w:r w:rsidR="000F02F5">
        <w:rPr>
          <w:color w:val="3A3A3A" w:themeColor="background2" w:themeShade="40"/>
        </w:rPr>
        <w:t xml:space="preserve">improve </w:t>
      </w:r>
      <w:r w:rsidR="00E93664">
        <w:rPr>
          <w:color w:val="3A3A3A" w:themeColor="background2" w:themeShade="40"/>
        </w:rPr>
        <w:t xml:space="preserve">the KCA methodology </w:t>
      </w:r>
      <w:r w:rsidR="000F02F5">
        <w:rPr>
          <w:color w:val="3A3A3A" w:themeColor="background2" w:themeShade="40"/>
        </w:rPr>
        <w:t>description, particularly in relation to the sector resolution that it is</w:t>
      </w:r>
      <w:r w:rsidR="004479E7">
        <w:rPr>
          <w:color w:val="3A3A3A" w:themeColor="background2" w:themeShade="40"/>
        </w:rPr>
        <w:t>/isn’t</w:t>
      </w:r>
      <w:r w:rsidR="000F02F5">
        <w:rPr>
          <w:color w:val="3A3A3A" w:themeColor="background2" w:themeShade="40"/>
        </w:rPr>
        <w:t xml:space="preserve"> appropriate to use.</w:t>
      </w:r>
      <w:r w:rsidR="00DF50AE">
        <w:rPr>
          <w:color w:val="3A3A3A" w:themeColor="background2" w:themeShade="40"/>
        </w:rPr>
        <w:t xml:space="preserve"> The text will be updated accordingly.</w:t>
      </w:r>
    </w:p>
    <w:p w14:paraId="31A6E32C" w14:textId="77777777" w:rsidR="00DF50AE" w:rsidRDefault="00DF50AE" w:rsidP="003935D2">
      <w:pPr>
        <w:spacing w:after="0" w:line="240" w:lineRule="auto"/>
        <w:rPr>
          <w:color w:val="3A3A3A" w:themeColor="background2" w:themeShade="40"/>
        </w:rPr>
      </w:pPr>
    </w:p>
    <w:p w14:paraId="1A00C181" w14:textId="3FFD4BF6" w:rsidR="004479E7" w:rsidRDefault="00DF50AE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Currently, undertaking a KCA analysis is a “shall” requirement, but reporting it in the IIR is a “should”. </w:t>
      </w:r>
      <w:r w:rsidR="00820406">
        <w:rPr>
          <w:color w:val="3A3A3A" w:themeColor="background2" w:themeShade="40"/>
        </w:rPr>
        <w:t>This is not very se</w:t>
      </w:r>
      <w:r w:rsidR="00847CC5">
        <w:rPr>
          <w:color w:val="3A3A3A" w:themeColor="background2" w:themeShade="40"/>
        </w:rPr>
        <w:t>ns</w:t>
      </w:r>
      <w:r w:rsidR="00820406">
        <w:rPr>
          <w:color w:val="3A3A3A" w:themeColor="background2" w:themeShade="40"/>
        </w:rPr>
        <w:t>ib</w:t>
      </w:r>
      <w:r w:rsidR="00847CC5">
        <w:rPr>
          <w:color w:val="3A3A3A" w:themeColor="background2" w:themeShade="40"/>
        </w:rPr>
        <w:t>l</w:t>
      </w:r>
      <w:r w:rsidR="00820406">
        <w:rPr>
          <w:color w:val="3A3A3A" w:themeColor="background2" w:themeShade="40"/>
        </w:rPr>
        <w:t xml:space="preserve">e, </w:t>
      </w:r>
      <w:r w:rsidR="00847CC5">
        <w:rPr>
          <w:color w:val="3A3A3A" w:themeColor="background2" w:themeShade="40"/>
        </w:rPr>
        <w:t>the obvious solution being to change the inclusion in the IIR to a “shall” requirement.</w:t>
      </w:r>
      <w:r w:rsidR="00820406">
        <w:rPr>
          <w:color w:val="3A3A3A" w:themeColor="background2" w:themeShade="40"/>
        </w:rPr>
        <w:t xml:space="preserve"> </w:t>
      </w:r>
    </w:p>
    <w:p w14:paraId="2E1596E2" w14:textId="77777777" w:rsidR="004479E7" w:rsidRDefault="004479E7" w:rsidP="003935D2">
      <w:pPr>
        <w:spacing w:after="0" w:line="240" w:lineRule="auto"/>
        <w:rPr>
          <w:color w:val="3A3A3A" w:themeColor="background2" w:themeShade="40"/>
        </w:rPr>
      </w:pPr>
    </w:p>
    <w:p w14:paraId="0F253467" w14:textId="77777777" w:rsidR="007D1E5C" w:rsidRDefault="007D1E5C" w:rsidP="003935D2">
      <w:pPr>
        <w:spacing w:after="0" w:line="240" w:lineRule="auto"/>
        <w:rPr>
          <w:color w:val="3A3A3A" w:themeColor="background2" w:themeShade="40"/>
        </w:rPr>
      </w:pPr>
    </w:p>
    <w:p w14:paraId="2430C917" w14:textId="2B069FB6" w:rsidR="007D1E5C" w:rsidRPr="00C564D6" w:rsidRDefault="007D1E5C" w:rsidP="00320021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C564D6">
        <w:rPr>
          <w:b/>
          <w:bCs/>
          <w:color w:val="C00000"/>
          <w:sz w:val="28"/>
          <w:szCs w:val="28"/>
        </w:rPr>
        <w:t>Part A3</w:t>
      </w:r>
      <w:r w:rsidR="00A21857" w:rsidRPr="00C564D6">
        <w:rPr>
          <w:b/>
          <w:bCs/>
          <w:color w:val="C00000"/>
          <w:sz w:val="28"/>
          <w:szCs w:val="28"/>
        </w:rPr>
        <w:t xml:space="preserve"> Data Collection</w:t>
      </w:r>
      <w:r w:rsidR="00C564D6" w:rsidRPr="00C564D6">
        <w:rPr>
          <w:b/>
          <w:bCs/>
          <w:color w:val="C00000"/>
          <w:sz w:val="28"/>
          <w:szCs w:val="28"/>
        </w:rPr>
        <w:t xml:space="preserve">, </w:t>
      </w:r>
      <w:r w:rsidRPr="00C564D6">
        <w:rPr>
          <w:b/>
          <w:bCs/>
          <w:color w:val="C00000"/>
          <w:sz w:val="28"/>
          <w:szCs w:val="28"/>
        </w:rPr>
        <w:t>Part A4</w:t>
      </w:r>
      <w:r w:rsidR="00A21857" w:rsidRPr="00C564D6">
        <w:rPr>
          <w:b/>
          <w:bCs/>
          <w:color w:val="C00000"/>
          <w:sz w:val="28"/>
          <w:szCs w:val="28"/>
        </w:rPr>
        <w:t xml:space="preserve"> Timeseries Consistency</w:t>
      </w:r>
    </w:p>
    <w:p w14:paraId="5EB0B91E" w14:textId="77777777" w:rsidR="00E03189" w:rsidRDefault="00E03189" w:rsidP="00E03189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A simple update of text where necessary is envisaged, with no major changes to concepts/approaches etc.</w:t>
      </w:r>
    </w:p>
    <w:p w14:paraId="4192EDFD" w14:textId="77777777" w:rsidR="007D1E5C" w:rsidRDefault="007D1E5C" w:rsidP="003935D2">
      <w:pPr>
        <w:spacing w:after="0" w:line="240" w:lineRule="auto"/>
        <w:rPr>
          <w:color w:val="3A3A3A" w:themeColor="background2" w:themeShade="40"/>
        </w:rPr>
      </w:pPr>
    </w:p>
    <w:p w14:paraId="0EDF581E" w14:textId="77777777" w:rsidR="00002635" w:rsidRDefault="00002635" w:rsidP="003935D2">
      <w:pPr>
        <w:spacing w:after="0" w:line="240" w:lineRule="auto"/>
        <w:rPr>
          <w:color w:val="3A3A3A" w:themeColor="background2" w:themeShade="40"/>
        </w:rPr>
      </w:pPr>
    </w:p>
    <w:p w14:paraId="7EC3AC64" w14:textId="15FA2E03" w:rsidR="007D1E5C" w:rsidRPr="001A131E" w:rsidRDefault="007D1E5C" w:rsidP="007D1E5C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1A131E">
        <w:rPr>
          <w:b/>
          <w:bCs/>
          <w:color w:val="C00000"/>
          <w:sz w:val="28"/>
          <w:szCs w:val="28"/>
        </w:rPr>
        <w:t>Part A</w:t>
      </w:r>
      <w:r>
        <w:rPr>
          <w:b/>
          <w:bCs/>
          <w:color w:val="C00000"/>
          <w:sz w:val="28"/>
          <w:szCs w:val="28"/>
        </w:rPr>
        <w:t>5</w:t>
      </w:r>
      <w:r w:rsidR="002816BB">
        <w:rPr>
          <w:b/>
          <w:bCs/>
          <w:color w:val="C00000"/>
          <w:sz w:val="28"/>
          <w:szCs w:val="28"/>
        </w:rPr>
        <w:t xml:space="preserve"> Uncertainties</w:t>
      </w:r>
    </w:p>
    <w:p w14:paraId="0BFF2EA7" w14:textId="77777777" w:rsidR="00880D4D" w:rsidRDefault="005B1F44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There have been significant developments in uncertainty methodologies in recent months</w:t>
      </w:r>
      <w:r w:rsidR="00E03189">
        <w:rPr>
          <w:color w:val="3A3A3A" w:themeColor="background2" w:themeShade="40"/>
        </w:rPr>
        <w:t xml:space="preserve">, and it is sensible to capture this </w:t>
      </w:r>
      <w:r w:rsidR="00AE5AE2">
        <w:rPr>
          <w:color w:val="3A3A3A" w:themeColor="background2" w:themeShade="40"/>
        </w:rPr>
        <w:t>in the uncertainties chapter.</w:t>
      </w:r>
      <w:r>
        <w:rPr>
          <w:color w:val="3A3A3A" w:themeColor="background2" w:themeShade="40"/>
        </w:rPr>
        <w:t xml:space="preserve"> </w:t>
      </w:r>
      <w:r w:rsidR="00AE5AE2">
        <w:rPr>
          <w:color w:val="3A3A3A" w:themeColor="background2" w:themeShade="40"/>
        </w:rPr>
        <w:t>So, it is proposed that g</w:t>
      </w:r>
      <w:r>
        <w:rPr>
          <w:color w:val="3A3A3A" w:themeColor="background2" w:themeShade="40"/>
        </w:rPr>
        <w:t xml:space="preserve">uidance on </w:t>
      </w:r>
      <w:r w:rsidR="00D9421D">
        <w:rPr>
          <w:color w:val="3A3A3A" w:themeColor="background2" w:themeShade="40"/>
        </w:rPr>
        <w:t xml:space="preserve">estimating uncertainties for projections </w:t>
      </w:r>
      <w:r w:rsidR="00AE5AE2">
        <w:rPr>
          <w:color w:val="3A3A3A" w:themeColor="background2" w:themeShade="40"/>
        </w:rPr>
        <w:t>is</w:t>
      </w:r>
      <w:r w:rsidR="00D9421D">
        <w:rPr>
          <w:color w:val="3A3A3A" w:themeColor="background2" w:themeShade="40"/>
        </w:rPr>
        <w:t xml:space="preserve"> be added</w:t>
      </w:r>
      <w:r w:rsidR="00880D4D">
        <w:rPr>
          <w:color w:val="3A3A3A" w:themeColor="background2" w:themeShade="40"/>
        </w:rPr>
        <w:t>. T</w:t>
      </w:r>
      <w:r w:rsidR="00D9421D">
        <w:rPr>
          <w:color w:val="3A3A3A" w:themeColor="background2" w:themeShade="40"/>
        </w:rPr>
        <w:t>here is no requirement to undertake or report this</w:t>
      </w:r>
      <w:r w:rsidR="00AE5AE2">
        <w:rPr>
          <w:color w:val="3A3A3A" w:themeColor="background2" w:themeShade="40"/>
        </w:rPr>
        <w:t xml:space="preserve"> assessment</w:t>
      </w:r>
      <w:r w:rsidR="00880D4D">
        <w:rPr>
          <w:color w:val="3A3A3A" w:themeColor="background2" w:themeShade="40"/>
        </w:rPr>
        <w:t>, but it is considered helpful to compilers, and sensible to present methods to ensure consistency in approach.</w:t>
      </w:r>
    </w:p>
    <w:p w14:paraId="4F3D53C6" w14:textId="320AA041" w:rsidR="007D1E5C" w:rsidRDefault="007D1E5C" w:rsidP="003935D2">
      <w:pPr>
        <w:spacing w:after="0" w:line="240" w:lineRule="auto"/>
        <w:rPr>
          <w:color w:val="3A3A3A" w:themeColor="background2" w:themeShade="40"/>
        </w:rPr>
      </w:pPr>
    </w:p>
    <w:p w14:paraId="3AC52DE1" w14:textId="374A9FB0" w:rsidR="00847CC5" w:rsidRDefault="00847CC5" w:rsidP="00847CC5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Currently, undertaking an uncertainty assessment is a “shall” requirement, but reporting it in the IIR is a “should”. This is not very sensible, the obvious solution being to change the inclusion in the IIR to a “shall” requirement. </w:t>
      </w:r>
    </w:p>
    <w:p w14:paraId="20D83911" w14:textId="77777777" w:rsidR="002816BB" w:rsidRDefault="002816BB" w:rsidP="003935D2">
      <w:pPr>
        <w:spacing w:after="0" w:line="240" w:lineRule="auto"/>
        <w:rPr>
          <w:color w:val="3A3A3A" w:themeColor="background2" w:themeShade="40"/>
        </w:rPr>
      </w:pPr>
    </w:p>
    <w:p w14:paraId="39761B64" w14:textId="77777777" w:rsidR="00002635" w:rsidRDefault="00002635" w:rsidP="003935D2">
      <w:pPr>
        <w:spacing w:after="0" w:line="240" w:lineRule="auto"/>
        <w:rPr>
          <w:color w:val="3A3A3A" w:themeColor="background2" w:themeShade="40"/>
        </w:rPr>
      </w:pPr>
    </w:p>
    <w:p w14:paraId="3CB94F93" w14:textId="6B5ECA35" w:rsidR="002816BB" w:rsidRPr="001A131E" w:rsidRDefault="002816BB" w:rsidP="002816B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1A131E">
        <w:rPr>
          <w:b/>
          <w:bCs/>
          <w:color w:val="C00000"/>
          <w:sz w:val="28"/>
          <w:szCs w:val="28"/>
        </w:rPr>
        <w:t>Part A</w:t>
      </w:r>
      <w:r>
        <w:rPr>
          <w:b/>
          <w:bCs/>
          <w:color w:val="C00000"/>
          <w:sz w:val="28"/>
          <w:szCs w:val="28"/>
        </w:rPr>
        <w:t>6</w:t>
      </w:r>
      <w:r w:rsidR="009D7B11">
        <w:rPr>
          <w:b/>
          <w:bCs/>
          <w:color w:val="C00000"/>
          <w:sz w:val="28"/>
          <w:szCs w:val="28"/>
        </w:rPr>
        <w:t xml:space="preserve"> </w:t>
      </w:r>
      <w:r w:rsidR="009D7B11" w:rsidRPr="009D7B11">
        <w:rPr>
          <w:b/>
          <w:bCs/>
          <w:color w:val="C00000"/>
          <w:sz w:val="28"/>
          <w:szCs w:val="28"/>
        </w:rPr>
        <w:t xml:space="preserve">Inventory management, improvement and </w:t>
      </w:r>
      <w:r w:rsidR="009D7B11">
        <w:rPr>
          <w:b/>
          <w:bCs/>
          <w:color w:val="C00000"/>
          <w:sz w:val="28"/>
          <w:szCs w:val="28"/>
        </w:rPr>
        <w:t>QA/QC</w:t>
      </w:r>
    </w:p>
    <w:p w14:paraId="5674472F" w14:textId="77777777" w:rsidR="007A3E05" w:rsidRPr="007A3E05" w:rsidRDefault="007A3E05" w:rsidP="007A3E05">
      <w:pPr>
        <w:spacing w:after="0" w:line="240" w:lineRule="auto"/>
        <w:rPr>
          <w:color w:val="3A3A3A" w:themeColor="background2" w:themeShade="40"/>
        </w:rPr>
      </w:pPr>
      <w:r w:rsidRPr="007A3E05">
        <w:rPr>
          <w:color w:val="3A3A3A" w:themeColor="background2" w:themeShade="40"/>
        </w:rPr>
        <w:t>A simple update of text where necessary is envisaged, with no major changes to concepts/approaches etc.</w:t>
      </w:r>
    </w:p>
    <w:p w14:paraId="75597D64" w14:textId="77777777" w:rsidR="002816BB" w:rsidRDefault="002816BB" w:rsidP="003935D2">
      <w:pPr>
        <w:spacing w:after="0" w:line="240" w:lineRule="auto"/>
        <w:rPr>
          <w:color w:val="3A3A3A" w:themeColor="background2" w:themeShade="40"/>
        </w:rPr>
      </w:pPr>
    </w:p>
    <w:p w14:paraId="0756DA0F" w14:textId="77777777" w:rsidR="00002635" w:rsidRDefault="00002635" w:rsidP="003935D2">
      <w:pPr>
        <w:spacing w:after="0" w:line="240" w:lineRule="auto"/>
        <w:rPr>
          <w:color w:val="3A3A3A" w:themeColor="background2" w:themeShade="40"/>
        </w:rPr>
      </w:pPr>
    </w:p>
    <w:p w14:paraId="058EF492" w14:textId="7032757B" w:rsidR="002816BB" w:rsidRPr="001A131E" w:rsidRDefault="002816BB" w:rsidP="002816B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C00000"/>
          <w:sz w:val="28"/>
          <w:szCs w:val="28"/>
        </w:rPr>
      </w:pPr>
      <w:r w:rsidRPr="001A131E">
        <w:rPr>
          <w:b/>
          <w:bCs/>
          <w:color w:val="C00000"/>
          <w:sz w:val="28"/>
          <w:szCs w:val="28"/>
        </w:rPr>
        <w:t>Part A</w:t>
      </w:r>
      <w:r>
        <w:rPr>
          <w:b/>
          <w:bCs/>
          <w:color w:val="C00000"/>
          <w:sz w:val="28"/>
          <w:szCs w:val="28"/>
        </w:rPr>
        <w:t>7</w:t>
      </w:r>
      <w:r w:rsidR="00C72805">
        <w:rPr>
          <w:b/>
          <w:bCs/>
          <w:color w:val="C00000"/>
          <w:sz w:val="28"/>
          <w:szCs w:val="28"/>
        </w:rPr>
        <w:t xml:space="preserve"> </w:t>
      </w:r>
      <w:r w:rsidR="00C72805" w:rsidRPr="00C72805">
        <w:rPr>
          <w:b/>
          <w:bCs/>
          <w:color w:val="C00000"/>
          <w:sz w:val="28"/>
          <w:szCs w:val="28"/>
        </w:rPr>
        <w:t>Spatial mapping of emissions</w:t>
      </w:r>
    </w:p>
    <w:p w14:paraId="22551F30" w14:textId="27C42301" w:rsidR="009D7B11" w:rsidRDefault="00CA6AD2" w:rsidP="003935D2">
      <w:p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This will be considered </w:t>
      </w:r>
      <w:r w:rsidR="007A3E05">
        <w:rPr>
          <w:color w:val="3A3A3A" w:themeColor="background2" w:themeShade="40"/>
        </w:rPr>
        <w:t xml:space="preserve">by the </w:t>
      </w:r>
      <w:r>
        <w:rPr>
          <w:color w:val="3A3A3A" w:themeColor="background2" w:themeShade="40"/>
        </w:rPr>
        <w:t xml:space="preserve">User Engagement </w:t>
      </w:r>
      <w:r w:rsidR="007A3E05">
        <w:rPr>
          <w:color w:val="3A3A3A" w:themeColor="background2" w:themeShade="40"/>
        </w:rPr>
        <w:t>expert panel.</w:t>
      </w:r>
    </w:p>
    <w:sectPr w:rsidR="009D7B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5237" w14:textId="77777777" w:rsidR="00250163" w:rsidRDefault="00250163" w:rsidP="008E08AC">
      <w:pPr>
        <w:spacing w:after="0" w:line="240" w:lineRule="auto"/>
      </w:pPr>
      <w:r>
        <w:separator/>
      </w:r>
    </w:p>
  </w:endnote>
  <w:endnote w:type="continuationSeparator" w:id="0">
    <w:p w14:paraId="0E2422E6" w14:textId="77777777" w:rsidR="00250163" w:rsidRDefault="00250163" w:rsidP="008E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308F" w14:textId="77777777" w:rsidR="00250163" w:rsidRDefault="00250163" w:rsidP="008E08AC">
      <w:pPr>
        <w:spacing w:after="0" w:line="240" w:lineRule="auto"/>
      </w:pPr>
      <w:r>
        <w:separator/>
      </w:r>
    </w:p>
  </w:footnote>
  <w:footnote w:type="continuationSeparator" w:id="0">
    <w:p w14:paraId="6790C4F2" w14:textId="77777777" w:rsidR="00250163" w:rsidRDefault="00250163" w:rsidP="008E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D55D" w14:textId="2B2880F1" w:rsidR="008E08AC" w:rsidRDefault="008E08AC" w:rsidP="008E08AC">
    <w:pPr>
      <w:pStyle w:val="Header"/>
      <w:jc w:val="right"/>
    </w:pPr>
    <w:r>
      <w:rPr>
        <w:noProof/>
      </w:rPr>
      <w:drawing>
        <wp:inline distT="0" distB="0" distL="0" distR="0" wp14:anchorId="4BE756A5" wp14:editId="3E829D6D">
          <wp:extent cx="1436985" cy="657225"/>
          <wp:effectExtent l="0" t="0" r="0" b="0"/>
          <wp:docPr id="1965512539" name="Picture 1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12539" name="Picture 1" descr="A red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208" cy="676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13D"/>
    <w:multiLevelType w:val="hybridMultilevel"/>
    <w:tmpl w:val="6800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6E4F"/>
    <w:multiLevelType w:val="hybridMultilevel"/>
    <w:tmpl w:val="2A14B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254"/>
    <w:multiLevelType w:val="hybridMultilevel"/>
    <w:tmpl w:val="FCF6E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A2920"/>
    <w:multiLevelType w:val="hybridMultilevel"/>
    <w:tmpl w:val="F0A20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0913"/>
    <w:multiLevelType w:val="multilevel"/>
    <w:tmpl w:val="7F8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E0736"/>
    <w:multiLevelType w:val="hybridMultilevel"/>
    <w:tmpl w:val="FCF6E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2C0E"/>
    <w:multiLevelType w:val="multilevel"/>
    <w:tmpl w:val="7D1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141913">
    <w:abstractNumId w:val="6"/>
  </w:num>
  <w:num w:numId="2" w16cid:durableId="1895196582">
    <w:abstractNumId w:val="4"/>
  </w:num>
  <w:num w:numId="3" w16cid:durableId="1464958474">
    <w:abstractNumId w:val="0"/>
  </w:num>
  <w:num w:numId="4" w16cid:durableId="1395354328">
    <w:abstractNumId w:val="1"/>
  </w:num>
  <w:num w:numId="5" w16cid:durableId="624702017">
    <w:abstractNumId w:val="3"/>
  </w:num>
  <w:num w:numId="6" w16cid:durableId="981807800">
    <w:abstractNumId w:val="5"/>
  </w:num>
  <w:num w:numId="7" w16cid:durableId="15769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AA"/>
    <w:rsid w:val="00002635"/>
    <w:rsid w:val="00024C17"/>
    <w:rsid w:val="000779BA"/>
    <w:rsid w:val="000A0911"/>
    <w:rsid w:val="000C29F3"/>
    <w:rsid w:val="000C6E5C"/>
    <w:rsid w:val="000D6F09"/>
    <w:rsid w:val="000F02F5"/>
    <w:rsid w:val="00120B78"/>
    <w:rsid w:val="00135C5A"/>
    <w:rsid w:val="00135CE0"/>
    <w:rsid w:val="00173128"/>
    <w:rsid w:val="001A131E"/>
    <w:rsid w:val="001B7F7B"/>
    <w:rsid w:val="001D10BA"/>
    <w:rsid w:val="001F125A"/>
    <w:rsid w:val="0022650E"/>
    <w:rsid w:val="00250163"/>
    <w:rsid w:val="00256718"/>
    <w:rsid w:val="002816BB"/>
    <w:rsid w:val="00294E3E"/>
    <w:rsid w:val="002967C5"/>
    <w:rsid w:val="002A06AE"/>
    <w:rsid w:val="0031652E"/>
    <w:rsid w:val="00332C5B"/>
    <w:rsid w:val="00371B99"/>
    <w:rsid w:val="003935D2"/>
    <w:rsid w:val="003B00FB"/>
    <w:rsid w:val="003E62C9"/>
    <w:rsid w:val="00416772"/>
    <w:rsid w:val="00434607"/>
    <w:rsid w:val="004479E7"/>
    <w:rsid w:val="0046511D"/>
    <w:rsid w:val="00466D1E"/>
    <w:rsid w:val="00472D06"/>
    <w:rsid w:val="004A4C3A"/>
    <w:rsid w:val="004B7DE9"/>
    <w:rsid w:val="004D1418"/>
    <w:rsid w:val="004D3DFA"/>
    <w:rsid w:val="00547F58"/>
    <w:rsid w:val="00575D93"/>
    <w:rsid w:val="005825C0"/>
    <w:rsid w:val="005A076D"/>
    <w:rsid w:val="005A2B48"/>
    <w:rsid w:val="005B1F44"/>
    <w:rsid w:val="00661D0F"/>
    <w:rsid w:val="00685C29"/>
    <w:rsid w:val="0069788F"/>
    <w:rsid w:val="006E75F0"/>
    <w:rsid w:val="007066B9"/>
    <w:rsid w:val="00731E39"/>
    <w:rsid w:val="00733552"/>
    <w:rsid w:val="00733682"/>
    <w:rsid w:val="007354F5"/>
    <w:rsid w:val="00754542"/>
    <w:rsid w:val="00755D87"/>
    <w:rsid w:val="00792AEE"/>
    <w:rsid w:val="007A3E05"/>
    <w:rsid w:val="007A4486"/>
    <w:rsid w:val="007B131D"/>
    <w:rsid w:val="007D1E5C"/>
    <w:rsid w:val="007F1FCD"/>
    <w:rsid w:val="00820406"/>
    <w:rsid w:val="008335FA"/>
    <w:rsid w:val="00847CC5"/>
    <w:rsid w:val="00870D7A"/>
    <w:rsid w:val="00876728"/>
    <w:rsid w:val="00880D4D"/>
    <w:rsid w:val="008E08AC"/>
    <w:rsid w:val="00905C39"/>
    <w:rsid w:val="009567E3"/>
    <w:rsid w:val="0097248B"/>
    <w:rsid w:val="009D433D"/>
    <w:rsid w:val="009D7B11"/>
    <w:rsid w:val="00A21857"/>
    <w:rsid w:val="00A21CF2"/>
    <w:rsid w:val="00A2597D"/>
    <w:rsid w:val="00AE0C71"/>
    <w:rsid w:val="00AE5AE2"/>
    <w:rsid w:val="00B14F09"/>
    <w:rsid w:val="00B6402E"/>
    <w:rsid w:val="00B81FE4"/>
    <w:rsid w:val="00B979CA"/>
    <w:rsid w:val="00BC3F9D"/>
    <w:rsid w:val="00BC4F4A"/>
    <w:rsid w:val="00C102CF"/>
    <w:rsid w:val="00C11B35"/>
    <w:rsid w:val="00C124AA"/>
    <w:rsid w:val="00C564D6"/>
    <w:rsid w:val="00C72805"/>
    <w:rsid w:val="00C84DCC"/>
    <w:rsid w:val="00C93C8B"/>
    <w:rsid w:val="00CA30FE"/>
    <w:rsid w:val="00CA3695"/>
    <w:rsid w:val="00CA6AD2"/>
    <w:rsid w:val="00D142BF"/>
    <w:rsid w:val="00D314A1"/>
    <w:rsid w:val="00D543E0"/>
    <w:rsid w:val="00D73C59"/>
    <w:rsid w:val="00D859DF"/>
    <w:rsid w:val="00D9421D"/>
    <w:rsid w:val="00DE3552"/>
    <w:rsid w:val="00DF2E10"/>
    <w:rsid w:val="00DF50AE"/>
    <w:rsid w:val="00E03189"/>
    <w:rsid w:val="00E41582"/>
    <w:rsid w:val="00E77193"/>
    <w:rsid w:val="00E93664"/>
    <w:rsid w:val="00EA22A2"/>
    <w:rsid w:val="00EB3BC2"/>
    <w:rsid w:val="00ED6ED1"/>
    <w:rsid w:val="00F13E60"/>
    <w:rsid w:val="00F17A75"/>
    <w:rsid w:val="00F20819"/>
    <w:rsid w:val="00F56DFD"/>
    <w:rsid w:val="00F670B1"/>
    <w:rsid w:val="00F7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0571"/>
  <w15:chartTrackingRefBased/>
  <w15:docId w15:val="{F8F08A8F-AA46-4D8E-BD85-555419D6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35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C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0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8AC"/>
  </w:style>
  <w:style w:type="paragraph" w:styleId="Footer">
    <w:name w:val="footer"/>
    <w:basedOn w:val="Normal"/>
    <w:link w:val="FooterChar"/>
    <w:uiPriority w:val="99"/>
    <w:unhideWhenUsed/>
    <w:rsid w:val="008E0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8AC"/>
  </w:style>
  <w:style w:type="table" w:styleId="TableGrid">
    <w:name w:val="Table Grid"/>
    <w:basedOn w:val="TableNormal"/>
    <w:uiPriority w:val="39"/>
    <w:rsid w:val="0022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2</Pages>
  <Words>582</Words>
  <Characters>3055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Thornton</dc:creator>
  <cp:keywords/>
  <dc:description/>
  <cp:lastModifiedBy>Annie Thornton</cp:lastModifiedBy>
  <cp:revision>75</cp:revision>
  <dcterms:created xsi:type="dcterms:W3CDTF">2025-05-06T10:09:00Z</dcterms:created>
  <dcterms:modified xsi:type="dcterms:W3CDTF">2026-04-30T14:00:00Z</dcterms:modified>
</cp:coreProperties>
</file>