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6A7B" w14:textId="69BFC05D" w:rsidR="0066043F" w:rsidRPr="0066043F" w:rsidRDefault="0066043F" w:rsidP="0066043F">
      <w:pPr>
        <w:pStyle w:val="Heading1"/>
        <w:numPr>
          <w:ilvl w:val="0"/>
          <w:numId w:val="0"/>
        </w:numPr>
        <w:ind w:left="432" w:hanging="432"/>
        <w:rPr>
          <w:b/>
          <w:color w:val="C00000"/>
          <w:lang w:val="en-US"/>
        </w:rPr>
      </w:pPr>
      <w:r w:rsidRPr="0066043F">
        <w:rPr>
          <w:b/>
          <w:color w:val="C00000"/>
          <w:lang w:val="en-US"/>
        </w:rPr>
        <w:t>Summary of emission relevant Guidebook changes</w:t>
      </w:r>
    </w:p>
    <w:p w14:paraId="1B10BA1E" w14:textId="77777777" w:rsidR="0066043F" w:rsidRDefault="0066043F" w:rsidP="0066043F">
      <w:pPr>
        <w:rPr>
          <w:lang w:val="en-US"/>
        </w:rPr>
      </w:pPr>
      <w:r>
        <w:rPr>
          <w:lang w:val="en-US"/>
        </w:rPr>
        <w:t xml:space="preserve">The following document gives an overview of all 2023 Guidebook changes which have led to changes in emission factors in Combustion and Industry chapters. It is important to note that there have been other changes to Combustion and Industry chapters in the 2023 update, for example text clarifications and additional guidance, however these have not had a direct influence on emission levels and therefore are not discussed here. </w:t>
      </w:r>
    </w:p>
    <w:p w14:paraId="6BC0C4AC" w14:textId="77777777" w:rsidR="0066043F" w:rsidRPr="0066043F" w:rsidRDefault="0066043F" w:rsidP="0066043F">
      <w:pPr>
        <w:pStyle w:val="Heading2"/>
        <w:numPr>
          <w:ilvl w:val="0"/>
          <w:numId w:val="0"/>
        </w:numPr>
        <w:ind w:left="576" w:hanging="576"/>
        <w:rPr>
          <w:b/>
          <w:color w:val="C00000"/>
          <w:lang w:val="en-US"/>
        </w:rPr>
      </w:pPr>
      <w:r w:rsidRPr="0066043F">
        <w:rPr>
          <w:b/>
          <w:color w:val="C00000"/>
          <w:lang w:val="en-US"/>
        </w:rPr>
        <w:t>Cross-cutting aspects</w:t>
      </w:r>
    </w:p>
    <w:p w14:paraId="5D45E807" w14:textId="77777777" w:rsidR="0066043F" w:rsidRPr="0066043F" w:rsidRDefault="0066043F" w:rsidP="0066043F">
      <w:pPr>
        <w:pStyle w:val="Heading3"/>
        <w:numPr>
          <w:ilvl w:val="0"/>
          <w:numId w:val="0"/>
        </w:numPr>
        <w:ind w:left="720" w:hanging="720"/>
        <w:rPr>
          <w:color w:val="C00000"/>
          <w:lang w:val="en-US"/>
        </w:rPr>
      </w:pPr>
      <w:r w:rsidRPr="0066043F">
        <w:rPr>
          <w:b/>
          <w:color w:val="C00000"/>
          <w:lang w:val="en-US"/>
        </w:rPr>
        <w:t>Limit of quantification</w:t>
      </w:r>
    </w:p>
    <w:p w14:paraId="5DE343F6" w14:textId="77777777" w:rsidR="0066043F" w:rsidRPr="00791D22" w:rsidRDefault="0066043F" w:rsidP="0066043F">
      <w:pPr>
        <w:rPr>
          <w:lang w:val="en-US"/>
        </w:rPr>
      </w:pPr>
      <w:r w:rsidRPr="004E217F">
        <w:rPr>
          <w:b/>
          <w:color w:val="000000" w:themeColor="text1"/>
          <w:lang w:val="en-US"/>
        </w:rPr>
        <w:t>The limit of quantification (LOQ):</w:t>
      </w:r>
      <w:r w:rsidRPr="00791D22">
        <w:rPr>
          <w:lang w:val="en-US"/>
        </w:rPr>
        <w:t xml:space="preserve"> is the lowest concentration of a pollutant which can be quantified with a specified accuracy; analytical results are always above the limit of quantification (in cases of measurement results &lt; LOQ, usually LOQ or half of LOQ is used, marked with a “</w:t>
      </w:r>
      <w:proofErr w:type="gramStart"/>
      <w:r w:rsidRPr="00791D22">
        <w:rPr>
          <w:lang w:val="en-US"/>
        </w:rPr>
        <w:t>&lt;“</w:t>
      </w:r>
      <w:proofErr w:type="gramEnd"/>
      <w:r w:rsidRPr="00791D22">
        <w:rPr>
          <w:lang w:val="en-US"/>
        </w:rPr>
        <w:t>)</w:t>
      </w:r>
    </w:p>
    <w:p w14:paraId="72B31206" w14:textId="77777777" w:rsidR="0066043F" w:rsidRPr="00791D22" w:rsidRDefault="0066043F" w:rsidP="0066043F">
      <w:pPr>
        <w:rPr>
          <w:lang w:val="en-US"/>
        </w:rPr>
      </w:pPr>
      <w:r w:rsidRPr="004E217F">
        <w:rPr>
          <w:b/>
          <w:color w:val="000000" w:themeColor="text1"/>
          <w:lang w:val="en-US"/>
        </w:rPr>
        <w:t>The limit of detection (LOD):</w:t>
      </w:r>
      <w:r w:rsidRPr="00791D22">
        <w:rPr>
          <w:lang w:val="en-US"/>
        </w:rPr>
        <w:t xml:space="preserve">  is the lowest concentration of a pollutant which can be detected (usually not published: internal value of the measurement institute)</w:t>
      </w:r>
    </w:p>
    <w:p w14:paraId="5AC77254" w14:textId="77777777" w:rsidR="0066043F" w:rsidRDefault="0066043F" w:rsidP="0066043F">
      <w:pPr>
        <w:rPr>
          <w:lang w:val="en-US"/>
        </w:rPr>
      </w:pPr>
      <w:r w:rsidRPr="00791D22">
        <w:rPr>
          <w:lang w:val="en-US"/>
        </w:rPr>
        <w:t>All Default emission factors which are based on measurement data below the limit of quantification are marked with a “&lt;</w:t>
      </w:r>
      <w:r>
        <w:rPr>
          <w:lang w:val="en-US"/>
        </w:rPr>
        <w:t xml:space="preserve">” sign </w:t>
      </w:r>
      <w:proofErr w:type="gramStart"/>
      <w:r>
        <w:rPr>
          <w:lang w:val="en-US"/>
        </w:rPr>
        <w:t>in order to</w:t>
      </w:r>
      <w:proofErr w:type="gramEnd"/>
      <w:r>
        <w:rPr>
          <w:lang w:val="en-US"/>
        </w:rPr>
        <w:t xml:space="preserve"> increase transparency. Nevertheless, the emission factor should be used directly for the calculations. </w:t>
      </w:r>
    </w:p>
    <w:p w14:paraId="3079EDFD" w14:textId="77777777" w:rsidR="0066043F" w:rsidRDefault="0066043F" w:rsidP="0066043F">
      <w:pPr>
        <w:rPr>
          <w:lang w:val="en-US"/>
        </w:rPr>
      </w:pPr>
      <w:r>
        <w:rPr>
          <w:lang w:val="en-US"/>
        </w:rPr>
        <w:t xml:space="preserve">There are different </w:t>
      </w:r>
      <w:proofErr w:type="gramStart"/>
      <w:r>
        <w:rPr>
          <w:lang w:val="en-US"/>
        </w:rPr>
        <w:t>ways  of</w:t>
      </w:r>
      <w:proofErr w:type="gramEnd"/>
      <w:r>
        <w:rPr>
          <w:lang w:val="en-US"/>
        </w:rPr>
        <w:t xml:space="preserve"> dealing with values below LOQ. For example, inventory compilers could use of the LOQ, o half of the LOQ, or zero. The use of zero would be only appropriate in cases where the emission is impossible due to the chemical composition of the fuel or input material of the process. In such cases the notation key NA is used (for example PAH, PCDD/F from natural gas combustion). In most of the cases where an emission is theoretically possible, the value is below the LOQ, and there is no clear documentation, the LOQ or half of the LOQ is used. </w:t>
      </w:r>
      <w:proofErr w:type="gramStart"/>
      <w:r>
        <w:rPr>
          <w:lang w:val="en-US"/>
        </w:rPr>
        <w:t>In order to</w:t>
      </w:r>
      <w:proofErr w:type="gramEnd"/>
      <w:r>
        <w:rPr>
          <w:lang w:val="en-US"/>
        </w:rPr>
        <w:t xml:space="preserve"> avoid confusion, it is recommended that inventory compilers use the default values unchanged.  </w:t>
      </w:r>
    </w:p>
    <w:p w14:paraId="50ABC4D9" w14:textId="77777777" w:rsidR="0066043F" w:rsidRPr="0066043F" w:rsidRDefault="0066043F" w:rsidP="0066043F">
      <w:pPr>
        <w:pStyle w:val="Heading3"/>
        <w:numPr>
          <w:ilvl w:val="0"/>
          <w:numId w:val="0"/>
        </w:numPr>
        <w:ind w:left="720" w:hanging="720"/>
        <w:rPr>
          <w:b/>
          <w:color w:val="C00000"/>
          <w:lang w:val="en-US"/>
        </w:rPr>
      </w:pPr>
      <w:r w:rsidRPr="0066043F">
        <w:rPr>
          <w:b/>
          <w:color w:val="C00000"/>
          <w:lang w:val="en-US"/>
        </w:rPr>
        <w:t>Pollutants where no data is available (NE)</w:t>
      </w:r>
    </w:p>
    <w:p w14:paraId="68AB8CAD" w14:textId="77777777" w:rsidR="0066043F" w:rsidRDefault="0066043F" w:rsidP="0066043F">
      <w:pPr>
        <w:rPr>
          <w:lang w:val="en-US"/>
        </w:rPr>
      </w:pPr>
      <w:r>
        <w:rPr>
          <w:lang w:val="en-US"/>
        </w:rPr>
        <w:t xml:space="preserve">In some cases, the set of default emission factors is incomplete due to the lack of data. Therefore, the notation key NE is used. However, this does not require the party to report emissions as </w:t>
      </w:r>
      <w:proofErr w:type="gramStart"/>
      <w:r>
        <w:rPr>
          <w:lang w:val="en-US"/>
        </w:rPr>
        <w:t>NE..</w:t>
      </w:r>
      <w:proofErr w:type="gramEnd"/>
      <w:r>
        <w:rPr>
          <w:lang w:val="en-US"/>
        </w:rPr>
        <w:t xml:space="preserve"> If a party has country-specific data, it should be used. The Combustion and Industry co-chairs are keen to hear from anyone who is aware of data that could be used to support future updates of the Guidebook. </w:t>
      </w:r>
    </w:p>
    <w:p w14:paraId="1840AC81" w14:textId="77777777" w:rsidR="0066043F" w:rsidRDefault="0066043F" w:rsidP="0066043F">
      <w:pPr>
        <w:rPr>
          <w:lang w:val="en-US"/>
        </w:rPr>
      </w:pPr>
      <w:r>
        <w:rPr>
          <w:lang w:val="en-US"/>
        </w:rPr>
        <w:t xml:space="preserve">If there are any problems with the new fuel </w:t>
      </w:r>
      <w:proofErr w:type="gramStart"/>
      <w:r>
        <w:rPr>
          <w:lang w:val="en-US"/>
        </w:rPr>
        <w:t>allocations</w:t>
      </w:r>
      <w:proofErr w:type="gramEnd"/>
      <w:r>
        <w:rPr>
          <w:lang w:val="en-US"/>
        </w:rPr>
        <w:t xml:space="preserve"> please let the co-chairs know. Splitting gaseous fuels into natural gas, refinery gas, blast furnace gas and biogas could cause challenges with ensuring time series consistency.</w:t>
      </w:r>
    </w:p>
    <w:p w14:paraId="04269AAC" w14:textId="77777777" w:rsidR="0066043F" w:rsidRPr="0066043F" w:rsidRDefault="0066043F" w:rsidP="0066043F">
      <w:pPr>
        <w:pStyle w:val="Heading2"/>
        <w:numPr>
          <w:ilvl w:val="0"/>
          <w:numId w:val="0"/>
        </w:numPr>
        <w:ind w:left="576" w:hanging="576"/>
        <w:rPr>
          <w:b/>
          <w:color w:val="C00000"/>
          <w:lang w:val="en-US"/>
        </w:rPr>
      </w:pPr>
      <w:r w:rsidRPr="0066043F">
        <w:rPr>
          <w:b/>
          <w:color w:val="C00000"/>
          <w:lang w:val="en-US"/>
        </w:rPr>
        <w:t xml:space="preserve">1.A.1.a </w:t>
      </w:r>
      <w:proofErr w:type="gramStart"/>
      <w:r w:rsidRPr="0066043F">
        <w:rPr>
          <w:b/>
          <w:color w:val="C00000"/>
          <w:lang w:val="en-US"/>
        </w:rPr>
        <w:t>Public</w:t>
      </w:r>
      <w:proofErr w:type="gramEnd"/>
      <w:r w:rsidRPr="0066043F">
        <w:rPr>
          <w:b/>
          <w:color w:val="C00000"/>
          <w:lang w:val="en-US"/>
        </w:rPr>
        <w:t xml:space="preserve"> electricity and heat production</w:t>
      </w:r>
    </w:p>
    <w:p w14:paraId="580868BD" w14:textId="77777777" w:rsidR="0066043F" w:rsidRPr="0066043F" w:rsidRDefault="0066043F" w:rsidP="0066043F">
      <w:pPr>
        <w:pStyle w:val="Heading3"/>
        <w:numPr>
          <w:ilvl w:val="0"/>
          <w:numId w:val="0"/>
        </w:numPr>
        <w:ind w:left="720" w:hanging="720"/>
        <w:rPr>
          <w:b/>
          <w:color w:val="C00000"/>
          <w:lang w:val="en-US"/>
        </w:rPr>
      </w:pPr>
      <w:r w:rsidRPr="0066043F">
        <w:rPr>
          <w:b/>
          <w:color w:val="C00000"/>
          <w:lang w:val="en-US"/>
        </w:rPr>
        <w:t>Heavy metals and POPs</w:t>
      </w:r>
    </w:p>
    <w:p w14:paraId="55A6F399" w14:textId="77777777" w:rsidR="0066043F" w:rsidRDefault="0066043F" w:rsidP="0066043F">
      <w:pPr>
        <w:rPr>
          <w:lang w:val="en-US"/>
        </w:rPr>
      </w:pPr>
      <w:r>
        <w:rPr>
          <w:lang w:val="en-US"/>
        </w:rPr>
        <w:t xml:space="preserve">With a few exceptions, emission factors for heavy metals and POPs are only available for Tier 1methodologies. </w:t>
      </w:r>
      <w:proofErr w:type="gramStart"/>
      <w:r>
        <w:rPr>
          <w:lang w:val="en-US"/>
        </w:rPr>
        <w:t>In order to</w:t>
      </w:r>
      <w:proofErr w:type="gramEnd"/>
      <w:r>
        <w:rPr>
          <w:lang w:val="en-US"/>
        </w:rPr>
        <w:t xml:space="preserve"> avoid duplicating information, most of the HM and POPs emission factors have been removed from the Tier 2 emission factor tables in the 2023 update. This change has been made </w:t>
      </w:r>
      <w:proofErr w:type="gramStart"/>
      <w:r>
        <w:rPr>
          <w:lang w:val="en-US"/>
        </w:rPr>
        <w:t>in order to</w:t>
      </w:r>
      <w:proofErr w:type="gramEnd"/>
      <w:r>
        <w:rPr>
          <w:lang w:val="en-US"/>
        </w:rPr>
        <w:t xml:space="preserve"> increase transparency and clarify that in most cases emission factors for these pollutants are consistent with a Tier 1 approach. The emissions are still relevant but all the information on HM and POPs emission factors is provided in the Tier 1 emission factor tables.</w:t>
      </w:r>
    </w:p>
    <w:p w14:paraId="00DC25BA" w14:textId="081CAB8B" w:rsidR="0066043F" w:rsidRPr="0066043F" w:rsidRDefault="0066043F" w:rsidP="0066043F">
      <w:pPr>
        <w:pStyle w:val="Heading3"/>
        <w:numPr>
          <w:ilvl w:val="0"/>
          <w:numId w:val="0"/>
        </w:numPr>
        <w:ind w:left="720" w:hanging="720"/>
        <w:rPr>
          <w:b/>
          <w:color w:val="C00000"/>
          <w:lang w:val="en-US"/>
        </w:rPr>
      </w:pPr>
      <w:r w:rsidRPr="0066043F">
        <w:rPr>
          <w:b/>
          <w:color w:val="C00000"/>
          <w:lang w:val="en-US"/>
        </w:rPr>
        <w:lastRenderedPageBreak/>
        <w:t>New emission factors</w:t>
      </w:r>
    </w:p>
    <w:p w14:paraId="18A00EB0" w14:textId="77777777" w:rsidR="0066043F" w:rsidRPr="00CC2E27" w:rsidRDefault="0066043F" w:rsidP="0066043F">
      <w:pPr>
        <w:rPr>
          <w:lang w:val="en-US"/>
        </w:rPr>
      </w:pPr>
      <w:r w:rsidRPr="00CC2E27">
        <w:rPr>
          <w:lang w:val="en-US"/>
        </w:rPr>
        <w:t>New emission factors have been added for:</w:t>
      </w:r>
    </w:p>
    <w:p w14:paraId="4F603FAB" w14:textId="77777777" w:rsidR="0066043F" w:rsidRDefault="0066043F" w:rsidP="0066043F">
      <w:pPr>
        <w:pStyle w:val="ListParagraph"/>
        <w:numPr>
          <w:ilvl w:val="0"/>
          <w:numId w:val="51"/>
        </w:numPr>
        <w:rPr>
          <w:lang w:val="en-US"/>
        </w:rPr>
      </w:pPr>
      <w:r>
        <w:rPr>
          <w:lang w:val="en-US"/>
        </w:rPr>
        <w:t xml:space="preserve">Biogas </w:t>
      </w:r>
    </w:p>
    <w:p w14:paraId="3A775E46" w14:textId="77777777" w:rsidR="0066043F" w:rsidRDefault="0066043F" w:rsidP="0066043F">
      <w:pPr>
        <w:pStyle w:val="ListParagraph"/>
        <w:numPr>
          <w:ilvl w:val="0"/>
          <w:numId w:val="51"/>
        </w:numPr>
        <w:rPr>
          <w:lang w:val="en-US"/>
        </w:rPr>
      </w:pPr>
      <w:r>
        <w:rPr>
          <w:lang w:val="en-US"/>
        </w:rPr>
        <w:t xml:space="preserve">Blast furnace </w:t>
      </w:r>
      <w:proofErr w:type="gramStart"/>
      <w:r>
        <w:rPr>
          <w:lang w:val="en-US"/>
        </w:rPr>
        <w:t>gas</w:t>
      </w:r>
      <w:proofErr w:type="gramEnd"/>
    </w:p>
    <w:p w14:paraId="106868D1" w14:textId="77777777" w:rsidR="0066043F" w:rsidRDefault="0066043F" w:rsidP="0066043F">
      <w:pPr>
        <w:rPr>
          <w:lang w:val="en-US"/>
        </w:rPr>
      </w:pPr>
      <w:r>
        <w:rPr>
          <w:lang w:val="en-US"/>
        </w:rPr>
        <w:t>As a result, the fuel category “gaseous fuels” has been changed to “natural gas”.</w:t>
      </w:r>
    </w:p>
    <w:p w14:paraId="1089D50C" w14:textId="0B18D10C" w:rsidR="0066043F" w:rsidRDefault="0066043F" w:rsidP="0066043F">
      <w:pPr>
        <w:rPr>
          <w:lang w:val="en-US"/>
        </w:rPr>
      </w:pPr>
      <w:r>
        <w:rPr>
          <w:lang w:val="en-US"/>
        </w:rPr>
        <w:t>Please note that the emission factors for biogas are not applicable for biomethane. If biomethane is used instead of biogas, emission factors for natural gas are more appropriate, except for SO</w:t>
      </w:r>
      <w:r>
        <w:rPr>
          <w:vertAlign w:val="subscript"/>
          <w:lang w:val="en-US"/>
        </w:rPr>
        <w:t>2</w:t>
      </w:r>
      <w:r>
        <w:rPr>
          <w:lang w:val="en-US"/>
        </w:rPr>
        <w:t>. The default SO</w:t>
      </w:r>
      <w:r>
        <w:rPr>
          <w:vertAlign w:val="subscript"/>
          <w:lang w:val="en-US"/>
        </w:rPr>
        <w:t>2</w:t>
      </w:r>
      <w:r>
        <w:rPr>
          <w:lang w:val="en-US"/>
        </w:rPr>
        <w:t xml:space="preserve"> emission factor for biogas is too high for biomethane and the emission factor for natural gas is too low for biomethane. Country </w:t>
      </w:r>
      <w:r>
        <w:rPr>
          <w:lang w:val="en-US"/>
        </w:rPr>
        <w:t>specific biomethane</w:t>
      </w:r>
      <w:r>
        <w:rPr>
          <w:lang w:val="en-US"/>
        </w:rPr>
        <w:t xml:space="preserve"> emission factors should be used derived from national gas quality requirements for as that is fed into the gas network.</w:t>
      </w:r>
    </w:p>
    <w:p w14:paraId="12BEECE7" w14:textId="77777777" w:rsidR="0066043F" w:rsidRPr="0066043F" w:rsidRDefault="0066043F" w:rsidP="0066043F">
      <w:pPr>
        <w:pStyle w:val="Heading2"/>
        <w:numPr>
          <w:ilvl w:val="0"/>
          <w:numId w:val="0"/>
        </w:numPr>
        <w:ind w:left="576" w:hanging="576"/>
        <w:rPr>
          <w:b/>
          <w:color w:val="C00000"/>
          <w:lang w:val="en-US"/>
        </w:rPr>
      </w:pPr>
      <w:r w:rsidRPr="0066043F">
        <w:rPr>
          <w:b/>
          <w:color w:val="C00000"/>
          <w:lang w:val="en-US"/>
        </w:rPr>
        <w:t>1.A.1.b Petroleum refining / 1.B.2.a.iv Fugitive emissions oil: Refining and storage</w:t>
      </w:r>
    </w:p>
    <w:p w14:paraId="41930E98" w14:textId="77777777" w:rsidR="0066043F" w:rsidRDefault="0066043F" w:rsidP="0066043F">
      <w:pPr>
        <w:rPr>
          <w:lang w:val="en-US"/>
        </w:rPr>
      </w:pPr>
      <w:r>
        <w:rPr>
          <w:lang w:val="en-US"/>
        </w:rPr>
        <w:t>Both refinery chapters have undergone considerable updates. Please read the chapters carefully.</w:t>
      </w:r>
    </w:p>
    <w:p w14:paraId="41A3AB4B" w14:textId="77777777" w:rsidR="0066043F" w:rsidRPr="0066043F" w:rsidRDefault="0066043F" w:rsidP="0066043F">
      <w:pPr>
        <w:pStyle w:val="Heading3"/>
        <w:numPr>
          <w:ilvl w:val="0"/>
          <w:numId w:val="0"/>
        </w:numPr>
        <w:ind w:left="720" w:hanging="720"/>
        <w:rPr>
          <w:b/>
          <w:color w:val="C00000"/>
          <w:lang w:val="en-US"/>
        </w:rPr>
      </w:pPr>
      <w:r w:rsidRPr="0066043F">
        <w:rPr>
          <w:b/>
          <w:color w:val="C00000"/>
          <w:lang w:val="en-US"/>
        </w:rPr>
        <w:t xml:space="preserve">Allocation </w:t>
      </w:r>
    </w:p>
    <w:tbl>
      <w:tblPr>
        <w:tblStyle w:val="TableGrid"/>
        <w:tblW w:w="0" w:type="auto"/>
        <w:tblLook w:val="04A0" w:firstRow="1" w:lastRow="0" w:firstColumn="1" w:lastColumn="0" w:noHBand="0" w:noVBand="1"/>
      </w:tblPr>
      <w:tblGrid>
        <w:gridCol w:w="2332"/>
        <w:gridCol w:w="2068"/>
        <w:gridCol w:w="2276"/>
        <w:gridCol w:w="2340"/>
      </w:tblGrid>
      <w:tr w:rsidR="0066043F" w14:paraId="30D94974" w14:textId="77777777" w:rsidTr="00A67A16">
        <w:tc>
          <w:tcPr>
            <w:tcW w:w="2341" w:type="dxa"/>
          </w:tcPr>
          <w:p w14:paraId="3EEF406D" w14:textId="77777777" w:rsidR="0066043F" w:rsidRDefault="0066043F" w:rsidP="00A67A16">
            <w:pPr>
              <w:rPr>
                <w:lang w:val="en-US"/>
              </w:rPr>
            </w:pPr>
            <w:r>
              <w:rPr>
                <w:lang w:val="en-US"/>
              </w:rPr>
              <w:t>Emission source</w:t>
            </w:r>
          </w:p>
        </w:tc>
        <w:tc>
          <w:tcPr>
            <w:tcW w:w="2078" w:type="dxa"/>
          </w:tcPr>
          <w:p w14:paraId="7B8769D0" w14:textId="77777777" w:rsidR="0066043F" w:rsidRDefault="0066043F" w:rsidP="00A67A16">
            <w:pPr>
              <w:rPr>
                <w:lang w:val="en-US"/>
              </w:rPr>
            </w:pPr>
            <w:r>
              <w:rPr>
                <w:lang w:val="en-US"/>
              </w:rPr>
              <w:t>Pollutant</w:t>
            </w:r>
          </w:p>
        </w:tc>
        <w:tc>
          <w:tcPr>
            <w:tcW w:w="2290" w:type="dxa"/>
          </w:tcPr>
          <w:p w14:paraId="14F35710" w14:textId="77777777" w:rsidR="0066043F" w:rsidRDefault="0066043F" w:rsidP="00A67A16">
            <w:pPr>
              <w:rPr>
                <w:lang w:val="en-US"/>
              </w:rPr>
            </w:pPr>
            <w:r>
              <w:rPr>
                <w:lang w:val="en-US"/>
              </w:rPr>
              <w:t>1.A.1.b</w:t>
            </w:r>
          </w:p>
        </w:tc>
        <w:tc>
          <w:tcPr>
            <w:tcW w:w="2353" w:type="dxa"/>
          </w:tcPr>
          <w:p w14:paraId="565FB616" w14:textId="77777777" w:rsidR="0066043F" w:rsidRDefault="0066043F" w:rsidP="00A67A16">
            <w:pPr>
              <w:rPr>
                <w:lang w:val="en-US"/>
              </w:rPr>
            </w:pPr>
            <w:r>
              <w:rPr>
                <w:lang w:val="en-US"/>
              </w:rPr>
              <w:t>1.</w:t>
            </w:r>
            <w:proofErr w:type="gramStart"/>
            <w:r>
              <w:rPr>
                <w:lang w:val="en-US"/>
              </w:rPr>
              <w:t>B.2.a.iv</w:t>
            </w:r>
            <w:proofErr w:type="gramEnd"/>
          </w:p>
        </w:tc>
      </w:tr>
      <w:tr w:rsidR="0066043F" w:rsidRPr="00DE64A1" w14:paraId="0A0BC72F" w14:textId="77777777" w:rsidTr="00A67A16">
        <w:tc>
          <w:tcPr>
            <w:tcW w:w="2341" w:type="dxa"/>
          </w:tcPr>
          <w:p w14:paraId="1AE3AA5B" w14:textId="77777777" w:rsidR="0066043F" w:rsidRDefault="0066043F" w:rsidP="00A67A16">
            <w:pPr>
              <w:rPr>
                <w:lang w:val="en-US"/>
              </w:rPr>
            </w:pPr>
            <w:r>
              <w:rPr>
                <w:lang w:val="en-US"/>
              </w:rPr>
              <w:t>Process furnaces and boilers</w:t>
            </w:r>
          </w:p>
        </w:tc>
        <w:tc>
          <w:tcPr>
            <w:tcW w:w="2078" w:type="dxa"/>
          </w:tcPr>
          <w:p w14:paraId="2B0B15EA" w14:textId="77777777" w:rsidR="0066043F" w:rsidRPr="00DE64A1" w:rsidRDefault="0066043F" w:rsidP="00A67A16">
            <w:pPr>
              <w:rPr>
                <w:lang w:val="en-US"/>
              </w:rPr>
            </w:pPr>
            <w:r>
              <w:rPr>
                <w:lang w:val="en-US"/>
              </w:rPr>
              <w:t>NO</w:t>
            </w:r>
            <w:r>
              <w:rPr>
                <w:vertAlign w:val="subscript"/>
                <w:lang w:val="en-US"/>
              </w:rPr>
              <w:t>X</w:t>
            </w:r>
            <w:r>
              <w:rPr>
                <w:lang w:val="en-US"/>
              </w:rPr>
              <w:t>, CO, SO</w:t>
            </w:r>
            <w:r>
              <w:rPr>
                <w:vertAlign w:val="subscript"/>
                <w:lang w:val="en-US"/>
              </w:rPr>
              <w:t>X</w:t>
            </w:r>
            <w:r>
              <w:rPr>
                <w:lang w:val="en-US"/>
              </w:rPr>
              <w:t>, TSP, PM, BC, NH</w:t>
            </w:r>
            <w:r>
              <w:rPr>
                <w:vertAlign w:val="subscript"/>
                <w:lang w:val="en-US"/>
              </w:rPr>
              <w:t>3</w:t>
            </w:r>
            <w:r>
              <w:rPr>
                <w:lang w:val="en-US"/>
              </w:rPr>
              <w:t>, HMs, POPs</w:t>
            </w:r>
          </w:p>
        </w:tc>
        <w:tc>
          <w:tcPr>
            <w:tcW w:w="2290" w:type="dxa"/>
          </w:tcPr>
          <w:p w14:paraId="635475F7" w14:textId="77777777" w:rsidR="0066043F" w:rsidRDefault="0066043F" w:rsidP="00A67A16">
            <w:pPr>
              <w:rPr>
                <w:lang w:val="en-US"/>
              </w:rPr>
            </w:pPr>
            <w:r>
              <w:rPr>
                <w:lang w:val="en-US"/>
              </w:rPr>
              <w:t>Yes</w:t>
            </w:r>
          </w:p>
        </w:tc>
        <w:tc>
          <w:tcPr>
            <w:tcW w:w="2353" w:type="dxa"/>
          </w:tcPr>
          <w:p w14:paraId="3A3E7B45" w14:textId="77777777" w:rsidR="0066043F" w:rsidRDefault="0066043F" w:rsidP="00A67A16">
            <w:pPr>
              <w:rPr>
                <w:lang w:val="en-US"/>
              </w:rPr>
            </w:pPr>
            <w:r>
              <w:rPr>
                <w:lang w:val="en-US"/>
              </w:rPr>
              <w:t>No</w:t>
            </w:r>
          </w:p>
        </w:tc>
      </w:tr>
      <w:tr w:rsidR="0066043F" w:rsidRPr="00DE64A1" w14:paraId="28610BD2" w14:textId="77777777" w:rsidTr="00A67A16">
        <w:tc>
          <w:tcPr>
            <w:tcW w:w="2341" w:type="dxa"/>
          </w:tcPr>
          <w:p w14:paraId="00E503A3" w14:textId="77777777" w:rsidR="0066043F" w:rsidRDefault="0066043F" w:rsidP="00A67A16">
            <w:pPr>
              <w:rPr>
                <w:lang w:val="en-US"/>
              </w:rPr>
            </w:pPr>
            <w:r>
              <w:rPr>
                <w:lang w:val="en-US"/>
              </w:rPr>
              <w:t>All emission sources (combustion + process + fugitive)</w:t>
            </w:r>
          </w:p>
        </w:tc>
        <w:tc>
          <w:tcPr>
            <w:tcW w:w="2078" w:type="dxa"/>
          </w:tcPr>
          <w:p w14:paraId="6CC9221C" w14:textId="77777777" w:rsidR="0066043F" w:rsidRDefault="0066043F" w:rsidP="00A67A16">
            <w:pPr>
              <w:rPr>
                <w:lang w:val="en-US"/>
              </w:rPr>
            </w:pPr>
            <w:r>
              <w:rPr>
                <w:lang w:val="en-US"/>
              </w:rPr>
              <w:t>NMVOC</w:t>
            </w:r>
          </w:p>
        </w:tc>
        <w:tc>
          <w:tcPr>
            <w:tcW w:w="2290" w:type="dxa"/>
          </w:tcPr>
          <w:p w14:paraId="7B2E7837" w14:textId="77777777" w:rsidR="0066043F" w:rsidRDefault="0066043F" w:rsidP="00A67A16">
            <w:pPr>
              <w:rPr>
                <w:lang w:val="en-US"/>
              </w:rPr>
            </w:pPr>
            <w:r>
              <w:rPr>
                <w:lang w:val="en-US"/>
              </w:rPr>
              <w:t>No</w:t>
            </w:r>
          </w:p>
        </w:tc>
        <w:tc>
          <w:tcPr>
            <w:tcW w:w="2353" w:type="dxa"/>
          </w:tcPr>
          <w:p w14:paraId="40C6DEE0" w14:textId="77777777" w:rsidR="0066043F" w:rsidRDefault="0066043F" w:rsidP="00A67A16">
            <w:pPr>
              <w:rPr>
                <w:lang w:val="en-US"/>
              </w:rPr>
            </w:pPr>
            <w:r>
              <w:rPr>
                <w:lang w:val="en-US"/>
              </w:rPr>
              <w:t>Yes</w:t>
            </w:r>
          </w:p>
        </w:tc>
      </w:tr>
      <w:tr w:rsidR="0066043F" w:rsidRPr="00DE64A1" w14:paraId="557C77A8" w14:textId="77777777" w:rsidTr="00A67A16">
        <w:tc>
          <w:tcPr>
            <w:tcW w:w="2341" w:type="dxa"/>
          </w:tcPr>
          <w:p w14:paraId="2E0F45F7" w14:textId="77777777" w:rsidR="0066043F" w:rsidRDefault="0066043F" w:rsidP="00A67A16">
            <w:pPr>
              <w:rPr>
                <w:lang w:val="en-US"/>
              </w:rPr>
            </w:pPr>
            <w:r w:rsidRPr="00AE259C">
              <w:rPr>
                <w:lang w:val="en-US"/>
              </w:rPr>
              <w:t>All emission sources (combustion + process</w:t>
            </w:r>
            <w:r>
              <w:rPr>
                <w:lang w:val="en-US"/>
              </w:rPr>
              <w:t>)</w:t>
            </w:r>
          </w:p>
        </w:tc>
        <w:tc>
          <w:tcPr>
            <w:tcW w:w="2078" w:type="dxa"/>
          </w:tcPr>
          <w:p w14:paraId="1AFBE3EF" w14:textId="77777777" w:rsidR="0066043F" w:rsidRPr="00AE259C" w:rsidRDefault="0066043F" w:rsidP="00A67A16">
            <w:pPr>
              <w:rPr>
                <w:vertAlign w:val="subscript"/>
                <w:lang w:val="en-US"/>
              </w:rPr>
            </w:pPr>
            <w:r>
              <w:rPr>
                <w:lang w:val="en-US"/>
              </w:rPr>
              <w:t>NH</w:t>
            </w:r>
            <w:r>
              <w:rPr>
                <w:vertAlign w:val="subscript"/>
                <w:lang w:val="en-US"/>
              </w:rPr>
              <w:t>3</w:t>
            </w:r>
          </w:p>
        </w:tc>
        <w:tc>
          <w:tcPr>
            <w:tcW w:w="2290" w:type="dxa"/>
          </w:tcPr>
          <w:p w14:paraId="4C63FB13" w14:textId="77777777" w:rsidR="0066043F" w:rsidRDefault="0066043F" w:rsidP="00A67A16">
            <w:pPr>
              <w:rPr>
                <w:lang w:val="en-US"/>
              </w:rPr>
            </w:pPr>
            <w:r>
              <w:rPr>
                <w:lang w:val="en-US"/>
              </w:rPr>
              <w:t>Yes</w:t>
            </w:r>
          </w:p>
        </w:tc>
        <w:tc>
          <w:tcPr>
            <w:tcW w:w="2353" w:type="dxa"/>
          </w:tcPr>
          <w:p w14:paraId="32A3EB09" w14:textId="77777777" w:rsidR="0066043F" w:rsidRDefault="0066043F" w:rsidP="00A67A16">
            <w:pPr>
              <w:rPr>
                <w:lang w:val="en-US"/>
              </w:rPr>
            </w:pPr>
            <w:r>
              <w:rPr>
                <w:lang w:val="en-US"/>
              </w:rPr>
              <w:t>No</w:t>
            </w:r>
          </w:p>
        </w:tc>
      </w:tr>
      <w:tr w:rsidR="0066043F" w:rsidRPr="00DE64A1" w14:paraId="130466D4" w14:textId="77777777" w:rsidTr="00A67A16">
        <w:tc>
          <w:tcPr>
            <w:tcW w:w="2341" w:type="dxa"/>
          </w:tcPr>
          <w:p w14:paraId="23075B7F" w14:textId="77777777" w:rsidR="0066043F" w:rsidRDefault="0066043F" w:rsidP="00A67A16">
            <w:pPr>
              <w:rPr>
                <w:lang w:val="en-US"/>
              </w:rPr>
            </w:pPr>
            <w:r w:rsidRPr="006B4423">
              <w:rPr>
                <w:lang w:val="en-US"/>
              </w:rPr>
              <w:t>fluid catalytic cracking units (FCCU) and catalytic reforming units (CRU)</w:t>
            </w:r>
          </w:p>
        </w:tc>
        <w:tc>
          <w:tcPr>
            <w:tcW w:w="2078" w:type="dxa"/>
          </w:tcPr>
          <w:p w14:paraId="6C4DED74" w14:textId="77777777" w:rsidR="0066043F" w:rsidRDefault="0066043F" w:rsidP="00A67A16">
            <w:pPr>
              <w:rPr>
                <w:lang w:val="en-US"/>
              </w:rPr>
            </w:pPr>
            <w:r>
              <w:rPr>
                <w:lang w:val="en-US"/>
              </w:rPr>
              <w:t>NO</w:t>
            </w:r>
            <w:r>
              <w:rPr>
                <w:vertAlign w:val="subscript"/>
                <w:lang w:val="en-US"/>
              </w:rPr>
              <w:t>X</w:t>
            </w:r>
            <w:r>
              <w:rPr>
                <w:lang w:val="en-US"/>
              </w:rPr>
              <w:t>, CO, SO</w:t>
            </w:r>
            <w:r>
              <w:rPr>
                <w:vertAlign w:val="subscript"/>
                <w:lang w:val="en-US"/>
              </w:rPr>
              <w:t>X</w:t>
            </w:r>
            <w:r>
              <w:rPr>
                <w:lang w:val="en-US"/>
              </w:rPr>
              <w:t>, TSP, PM, BC, NH</w:t>
            </w:r>
            <w:r>
              <w:rPr>
                <w:vertAlign w:val="subscript"/>
                <w:lang w:val="en-US"/>
              </w:rPr>
              <w:t>3</w:t>
            </w:r>
            <w:r>
              <w:rPr>
                <w:lang w:val="en-US"/>
              </w:rPr>
              <w:t>, HMs, POPs</w:t>
            </w:r>
          </w:p>
        </w:tc>
        <w:tc>
          <w:tcPr>
            <w:tcW w:w="2290" w:type="dxa"/>
          </w:tcPr>
          <w:p w14:paraId="049B5E93" w14:textId="77777777" w:rsidR="0066043F" w:rsidRDefault="0066043F" w:rsidP="00A67A16">
            <w:pPr>
              <w:rPr>
                <w:lang w:val="en-US"/>
              </w:rPr>
            </w:pPr>
            <w:r>
              <w:rPr>
                <w:lang w:val="en-US"/>
              </w:rPr>
              <w:t>No</w:t>
            </w:r>
          </w:p>
        </w:tc>
        <w:tc>
          <w:tcPr>
            <w:tcW w:w="2353" w:type="dxa"/>
          </w:tcPr>
          <w:p w14:paraId="5787E260" w14:textId="77777777" w:rsidR="0066043F" w:rsidRDefault="0066043F" w:rsidP="00A67A16">
            <w:pPr>
              <w:rPr>
                <w:lang w:val="en-US"/>
              </w:rPr>
            </w:pPr>
            <w:r>
              <w:rPr>
                <w:lang w:val="en-US"/>
              </w:rPr>
              <w:t>Yes</w:t>
            </w:r>
          </w:p>
        </w:tc>
      </w:tr>
      <w:tr w:rsidR="0066043F" w:rsidRPr="00DE64A1" w14:paraId="5D52D175" w14:textId="77777777" w:rsidTr="00A67A16">
        <w:tc>
          <w:tcPr>
            <w:tcW w:w="2341" w:type="dxa"/>
          </w:tcPr>
          <w:p w14:paraId="2AE98059" w14:textId="77777777" w:rsidR="0066043F" w:rsidRDefault="0066043F" w:rsidP="00A67A16">
            <w:pPr>
              <w:rPr>
                <w:lang w:val="en-US"/>
              </w:rPr>
            </w:pPr>
            <w:r>
              <w:rPr>
                <w:lang w:val="en-US"/>
              </w:rPr>
              <w:t>Sulphur recovery</w:t>
            </w:r>
          </w:p>
        </w:tc>
        <w:tc>
          <w:tcPr>
            <w:tcW w:w="2078" w:type="dxa"/>
          </w:tcPr>
          <w:p w14:paraId="5AEDAC0C" w14:textId="77777777" w:rsidR="0066043F" w:rsidRPr="00930839" w:rsidRDefault="0066043F" w:rsidP="00A67A16">
            <w:pPr>
              <w:rPr>
                <w:vertAlign w:val="subscript"/>
                <w:lang w:val="en-US"/>
              </w:rPr>
            </w:pPr>
            <w:r>
              <w:rPr>
                <w:lang w:val="en-US"/>
              </w:rPr>
              <w:t>SO</w:t>
            </w:r>
            <w:r>
              <w:rPr>
                <w:vertAlign w:val="subscript"/>
                <w:lang w:val="en-US"/>
              </w:rPr>
              <w:t>X</w:t>
            </w:r>
          </w:p>
        </w:tc>
        <w:tc>
          <w:tcPr>
            <w:tcW w:w="2290" w:type="dxa"/>
          </w:tcPr>
          <w:p w14:paraId="6AEE40C4" w14:textId="77777777" w:rsidR="0066043F" w:rsidRDefault="0066043F" w:rsidP="00A67A16">
            <w:pPr>
              <w:rPr>
                <w:lang w:val="en-US"/>
              </w:rPr>
            </w:pPr>
            <w:r>
              <w:rPr>
                <w:lang w:val="en-US"/>
              </w:rPr>
              <w:t>No</w:t>
            </w:r>
          </w:p>
        </w:tc>
        <w:tc>
          <w:tcPr>
            <w:tcW w:w="2353" w:type="dxa"/>
          </w:tcPr>
          <w:p w14:paraId="51379B6F" w14:textId="77777777" w:rsidR="0066043F" w:rsidRDefault="0066043F" w:rsidP="00A67A16">
            <w:pPr>
              <w:rPr>
                <w:lang w:val="en-US"/>
              </w:rPr>
            </w:pPr>
            <w:r>
              <w:rPr>
                <w:lang w:val="en-US"/>
              </w:rPr>
              <w:t>Yes</w:t>
            </w:r>
          </w:p>
        </w:tc>
      </w:tr>
    </w:tbl>
    <w:p w14:paraId="4D3A5111" w14:textId="77777777" w:rsidR="0066043F" w:rsidRDefault="0066043F" w:rsidP="0066043F">
      <w:pPr>
        <w:rPr>
          <w:lang w:val="en-US"/>
        </w:rPr>
      </w:pPr>
    </w:p>
    <w:p w14:paraId="5144D1AA" w14:textId="77777777" w:rsidR="0066043F" w:rsidRDefault="0066043F" w:rsidP="0066043F">
      <w:pPr>
        <w:rPr>
          <w:lang w:val="en-US"/>
        </w:rPr>
      </w:pPr>
      <w:r>
        <w:rPr>
          <w:lang w:val="en-US"/>
        </w:rPr>
        <w:t xml:space="preserve">Note that the suggested default allocation method is a pragmatic solution </w:t>
      </w:r>
      <w:proofErr w:type="gramStart"/>
      <w:r>
        <w:rPr>
          <w:lang w:val="en-US"/>
        </w:rPr>
        <w:t>in order to</w:t>
      </w:r>
      <w:proofErr w:type="gramEnd"/>
      <w:r>
        <w:rPr>
          <w:lang w:val="en-US"/>
        </w:rPr>
        <w:t xml:space="preserve"> avoid double-counting or underestimation. If country-specific data is used it may be necessary to alter allocations accordingly. The selected allocations must be transparently described in the IIR.</w:t>
      </w:r>
    </w:p>
    <w:p w14:paraId="582C5474" w14:textId="77777777" w:rsidR="0066043F" w:rsidRPr="0066043F" w:rsidRDefault="0066043F" w:rsidP="0066043F">
      <w:pPr>
        <w:pStyle w:val="Heading3"/>
        <w:numPr>
          <w:ilvl w:val="0"/>
          <w:numId w:val="0"/>
        </w:numPr>
        <w:ind w:left="720" w:hanging="720"/>
        <w:rPr>
          <w:b/>
          <w:color w:val="C00000"/>
          <w:lang w:val="en-US"/>
        </w:rPr>
      </w:pPr>
      <w:r w:rsidRPr="0066043F">
        <w:rPr>
          <w:b/>
          <w:color w:val="C00000"/>
          <w:lang w:val="en-US"/>
        </w:rPr>
        <w:t>1.A.1.b Petroleum refining - new Tier 1 approach</w:t>
      </w:r>
    </w:p>
    <w:p w14:paraId="37B0BCFC" w14:textId="77777777" w:rsidR="0066043F" w:rsidRDefault="0066043F" w:rsidP="0066043F">
      <w:pPr>
        <w:rPr>
          <w:lang w:val="en-US"/>
        </w:rPr>
      </w:pPr>
      <w:r>
        <w:rPr>
          <w:lang w:val="en-US"/>
        </w:rPr>
        <w:t xml:space="preserve">The Tier 1 methodology has been changed completely </w:t>
      </w:r>
      <w:proofErr w:type="gramStart"/>
      <w:r>
        <w:rPr>
          <w:lang w:val="en-US"/>
        </w:rPr>
        <w:t>in order to</w:t>
      </w:r>
      <w:proofErr w:type="gramEnd"/>
      <w:r>
        <w:rPr>
          <w:lang w:val="en-US"/>
        </w:rPr>
        <w:t xml:space="preserve"> avoid underestimation. The new emission factors cover all fuels (not only refinery gas). The new Tier 1 emission factors are derived from Tier 2 emission factors representing the fuel mix of all EU 27 refineries in 2021. Crude oil input is used as the activity data (and not a fuel). It is assumed that crude oil consumption data are more readily available for countries that are using default values. An alternative approach involves using the average fuel mix combined with Tier 2 emission factors. This is mentioned in the notes of the Tier 1 emission factor table. For calculating the new Tier 1 emission factors, fuel specific Tier 2 emission factors were used which represent unabated emissions. </w:t>
      </w:r>
    </w:p>
    <w:p w14:paraId="124ED708" w14:textId="1B154700" w:rsidR="0066043F" w:rsidRDefault="0066043F" w:rsidP="0066043F">
      <w:pPr>
        <w:rPr>
          <w:lang w:val="en-US"/>
        </w:rPr>
      </w:pPr>
      <w:r>
        <w:rPr>
          <w:lang w:val="en-US"/>
        </w:rPr>
        <w:t xml:space="preserve">All NMVOC default emission factors are reported in source category 1.B.2.a.iv </w:t>
      </w:r>
      <w:r w:rsidRPr="007A7E2A">
        <w:rPr>
          <w:lang w:val="en-US"/>
        </w:rPr>
        <w:t>Fugitive emissions oil: Refining and storage</w:t>
      </w:r>
      <w:r>
        <w:rPr>
          <w:lang w:val="en-US"/>
        </w:rPr>
        <w:t xml:space="preserve"> since it is not possible to </w:t>
      </w:r>
      <w:r>
        <w:rPr>
          <w:lang w:val="en-US"/>
        </w:rPr>
        <w:t>differentiate between</w:t>
      </w:r>
      <w:r>
        <w:rPr>
          <w:lang w:val="en-US"/>
        </w:rPr>
        <w:t xml:space="preserve"> combustion related and fugitive emissions. Similarly, all NH</w:t>
      </w:r>
      <w:r>
        <w:rPr>
          <w:vertAlign w:val="subscript"/>
          <w:lang w:val="en-US"/>
        </w:rPr>
        <w:t>3</w:t>
      </w:r>
      <w:r>
        <w:rPr>
          <w:lang w:val="en-US"/>
        </w:rPr>
        <w:t xml:space="preserve"> emissions are allocated to 1.A.1.b </w:t>
      </w:r>
      <w:r w:rsidRPr="007A7E2A">
        <w:rPr>
          <w:lang w:val="en-US"/>
        </w:rPr>
        <w:t>Petroleum refining</w:t>
      </w:r>
      <w:r>
        <w:rPr>
          <w:lang w:val="en-US"/>
        </w:rPr>
        <w:t xml:space="preserve">. In cases where a mix of country specific emission data and default emission factors are used, it is necessary to ensure </w:t>
      </w:r>
      <w:r>
        <w:rPr>
          <w:lang w:val="en-US"/>
        </w:rPr>
        <w:lastRenderedPageBreak/>
        <w:t xml:space="preserve">that all pollutants and emission sources are covered. If in such a case combustion related NMVOC emission factors are necessary, default EFs from chapter 1.A.1.a </w:t>
      </w:r>
      <w:proofErr w:type="gramStart"/>
      <w:r w:rsidRPr="007A7E2A">
        <w:rPr>
          <w:lang w:val="en-US"/>
        </w:rPr>
        <w:t>Public</w:t>
      </w:r>
      <w:proofErr w:type="gramEnd"/>
      <w:r w:rsidRPr="007A7E2A">
        <w:rPr>
          <w:lang w:val="en-US"/>
        </w:rPr>
        <w:t xml:space="preserve"> electricity and heat production</w:t>
      </w:r>
      <w:r>
        <w:rPr>
          <w:lang w:val="en-US"/>
        </w:rPr>
        <w:t xml:space="preserve"> can be used.</w:t>
      </w:r>
    </w:p>
    <w:p w14:paraId="759C0C52" w14:textId="77777777" w:rsidR="0066043F" w:rsidRDefault="0066043F" w:rsidP="0066043F">
      <w:pPr>
        <w:rPr>
          <w:lang w:val="en-US"/>
        </w:rPr>
      </w:pPr>
      <w:r>
        <w:rPr>
          <w:lang w:val="en-US"/>
        </w:rPr>
        <w:t>The old Tier 1 emission factors of refinery gas have been moved to Tier 2 (process furnaces). Please note that new SO</w:t>
      </w:r>
      <w:r>
        <w:rPr>
          <w:vertAlign w:val="subscript"/>
          <w:lang w:val="en-US"/>
        </w:rPr>
        <w:t>2</w:t>
      </w:r>
      <w:r>
        <w:rPr>
          <w:lang w:val="en-US"/>
        </w:rPr>
        <w:t xml:space="preserve"> emission factors are available. </w:t>
      </w:r>
    </w:p>
    <w:p w14:paraId="7E918B63" w14:textId="77777777" w:rsidR="0066043F" w:rsidRPr="00C82AD8" w:rsidRDefault="0066043F" w:rsidP="0066043F">
      <w:pPr>
        <w:pStyle w:val="Heading3"/>
        <w:numPr>
          <w:ilvl w:val="0"/>
          <w:numId w:val="0"/>
        </w:numPr>
        <w:ind w:left="720" w:hanging="720"/>
        <w:rPr>
          <w:b/>
          <w:lang w:val="en-US"/>
        </w:rPr>
      </w:pPr>
      <w:r w:rsidRPr="0066043F">
        <w:rPr>
          <w:b/>
          <w:color w:val="C00000"/>
          <w:lang w:val="en-US"/>
        </w:rPr>
        <w:t>1.B.2.a.iv Fugitive emissions oil: Refining and storage - new Tier 1 approach</w:t>
      </w:r>
    </w:p>
    <w:p w14:paraId="309D60DB" w14:textId="77777777" w:rsidR="0066043F" w:rsidRDefault="0066043F" w:rsidP="0066043F">
      <w:pPr>
        <w:rPr>
          <w:lang w:val="en-US"/>
        </w:rPr>
      </w:pPr>
      <w:r>
        <w:rPr>
          <w:lang w:val="en-US"/>
        </w:rPr>
        <w:t xml:space="preserve">New Tier 1 emission factors were derived </w:t>
      </w:r>
      <w:r w:rsidRPr="00E738D9">
        <w:rPr>
          <w:lang w:val="en-US"/>
        </w:rPr>
        <w:t>using Tier 2 emission factors for fluid catalytic cracking units (FCCU) and catalytic reforming units (CRU)</w:t>
      </w:r>
      <w:r>
        <w:rPr>
          <w:lang w:val="en-US"/>
        </w:rPr>
        <w:t xml:space="preserve">. Strictly speaking, both processes are not fugitive sources but combustion sources. In order to avoid </w:t>
      </w:r>
      <w:proofErr w:type="gramStart"/>
      <w:r>
        <w:rPr>
          <w:lang w:val="en-US"/>
        </w:rPr>
        <w:t>confusion</w:t>
      </w:r>
      <w:proofErr w:type="gramEnd"/>
      <w:r>
        <w:rPr>
          <w:lang w:val="en-US"/>
        </w:rPr>
        <w:t xml:space="preserve"> it makes sense to present the two Tier 1 methods in different Guidebook chapters. For activity data the same unit is used (crude oil consumption) due to the availability of data. The Tier 1 emission factors consider emission control. This ensures that the use of the Tier 1 emission factors is possible for all countries. It can be assumed that most of the refineries have some kind of emission control systems since unabated emissions from the FCCU are extremely high. Some refineries may have no FCCU plant.</w:t>
      </w:r>
    </w:p>
    <w:p w14:paraId="20999032" w14:textId="77777777" w:rsidR="0066043F" w:rsidRDefault="0066043F" w:rsidP="0066043F">
      <w:pPr>
        <w:rPr>
          <w:lang w:val="en-US"/>
        </w:rPr>
      </w:pPr>
      <w:r>
        <w:rPr>
          <w:lang w:val="en-US"/>
        </w:rPr>
        <w:t xml:space="preserve">For </w:t>
      </w:r>
      <w:proofErr w:type="spellStart"/>
      <w:r>
        <w:rPr>
          <w:lang w:val="en-US"/>
        </w:rPr>
        <w:t>sulphur</w:t>
      </w:r>
      <w:proofErr w:type="spellEnd"/>
      <w:r>
        <w:rPr>
          <w:lang w:val="en-US"/>
        </w:rPr>
        <w:t xml:space="preserve"> recovery plants only Tier 2 emission factors are available. This process is not covered by the Tier 1 approach. </w:t>
      </w:r>
    </w:p>
    <w:p w14:paraId="3E3D9173" w14:textId="77777777" w:rsidR="0066043F" w:rsidRPr="0066043F" w:rsidRDefault="0066043F" w:rsidP="0066043F">
      <w:pPr>
        <w:pStyle w:val="Heading2"/>
        <w:numPr>
          <w:ilvl w:val="0"/>
          <w:numId w:val="0"/>
        </w:numPr>
        <w:ind w:left="576" w:hanging="576"/>
        <w:rPr>
          <w:b/>
          <w:color w:val="C00000"/>
          <w:lang w:val="en-US"/>
        </w:rPr>
      </w:pPr>
      <w:r w:rsidRPr="0066043F">
        <w:rPr>
          <w:b/>
          <w:color w:val="C00000"/>
          <w:lang w:val="en-US"/>
        </w:rPr>
        <w:t>1.A.4 Small combustion</w:t>
      </w:r>
    </w:p>
    <w:p w14:paraId="5B01C6F6" w14:textId="77777777" w:rsidR="0066043F" w:rsidRDefault="0066043F" w:rsidP="0066043F">
      <w:pPr>
        <w:rPr>
          <w:lang w:val="en-US"/>
        </w:rPr>
      </w:pPr>
      <w:r>
        <w:rPr>
          <w:lang w:val="en-US"/>
        </w:rPr>
        <w:t>New Tier 1 and Tier 2 emission factors for NH</w:t>
      </w:r>
      <w:r>
        <w:rPr>
          <w:vertAlign w:val="subscript"/>
          <w:lang w:val="en-US"/>
        </w:rPr>
        <w:t>3</w:t>
      </w:r>
      <w:r>
        <w:rPr>
          <w:lang w:val="en-US"/>
        </w:rPr>
        <w:t xml:space="preserve"> from wood combustion are available.</w:t>
      </w:r>
    </w:p>
    <w:p w14:paraId="6E3AB191" w14:textId="77777777" w:rsidR="0066043F" w:rsidRPr="0066043F" w:rsidRDefault="0066043F" w:rsidP="0066043F">
      <w:pPr>
        <w:pStyle w:val="Heading2"/>
        <w:numPr>
          <w:ilvl w:val="0"/>
          <w:numId w:val="0"/>
        </w:numPr>
        <w:ind w:left="576" w:hanging="576"/>
        <w:rPr>
          <w:b/>
          <w:color w:val="C00000"/>
          <w:lang w:val="en-US"/>
        </w:rPr>
      </w:pPr>
      <w:r w:rsidRPr="0066043F">
        <w:rPr>
          <w:b/>
          <w:color w:val="C00000"/>
          <w:lang w:val="en-US"/>
        </w:rPr>
        <w:t>2.H.1 Pulp and Paper</w:t>
      </w:r>
    </w:p>
    <w:p w14:paraId="5CBAFE96" w14:textId="77777777" w:rsidR="0066043F" w:rsidRDefault="0066043F" w:rsidP="0066043F">
      <w:pPr>
        <w:rPr>
          <w:lang w:val="en-US"/>
        </w:rPr>
      </w:pPr>
      <w:r>
        <w:rPr>
          <w:lang w:val="en-US"/>
        </w:rPr>
        <w:t xml:space="preserve">There have been several changes to the Tier 2 approaches: </w:t>
      </w:r>
    </w:p>
    <w:p w14:paraId="0CC5A486" w14:textId="77777777" w:rsidR="0066043F" w:rsidRDefault="0066043F" w:rsidP="0066043F">
      <w:pPr>
        <w:pStyle w:val="ListParagraph"/>
        <w:numPr>
          <w:ilvl w:val="0"/>
          <w:numId w:val="52"/>
        </w:numPr>
        <w:rPr>
          <w:lang w:val="en-US"/>
        </w:rPr>
      </w:pPr>
      <w:r>
        <w:rPr>
          <w:lang w:val="en-US"/>
        </w:rPr>
        <w:t>updated SO</w:t>
      </w:r>
      <w:r>
        <w:rPr>
          <w:vertAlign w:val="subscript"/>
          <w:lang w:val="en-US"/>
        </w:rPr>
        <w:t>2</w:t>
      </w:r>
      <w:r>
        <w:rPr>
          <w:lang w:val="en-US"/>
        </w:rPr>
        <w:t xml:space="preserve"> emission factors for the </w:t>
      </w:r>
      <w:r w:rsidRPr="00497A16">
        <w:rPr>
          <w:lang w:val="en-US"/>
        </w:rPr>
        <w:t xml:space="preserve">acid </w:t>
      </w:r>
      <w:proofErr w:type="spellStart"/>
      <w:r w:rsidRPr="00497A16">
        <w:rPr>
          <w:lang w:val="en-US"/>
        </w:rPr>
        <w:t>sulphite</w:t>
      </w:r>
      <w:proofErr w:type="spellEnd"/>
      <w:r w:rsidRPr="00497A16">
        <w:rPr>
          <w:lang w:val="en-US"/>
        </w:rPr>
        <w:t xml:space="preserve"> process</w:t>
      </w:r>
      <w:r>
        <w:rPr>
          <w:lang w:val="en-US"/>
        </w:rPr>
        <w:t xml:space="preserve"> </w:t>
      </w:r>
    </w:p>
    <w:p w14:paraId="15456EF7" w14:textId="77777777" w:rsidR="0066043F" w:rsidRDefault="0066043F" w:rsidP="0066043F">
      <w:pPr>
        <w:pStyle w:val="ListParagraph"/>
        <w:numPr>
          <w:ilvl w:val="0"/>
          <w:numId w:val="52"/>
        </w:numPr>
        <w:rPr>
          <w:lang w:val="en-US"/>
        </w:rPr>
      </w:pPr>
      <w:r>
        <w:rPr>
          <w:lang w:val="en-US"/>
        </w:rPr>
        <w:t>new SO</w:t>
      </w:r>
      <w:r>
        <w:rPr>
          <w:vertAlign w:val="subscript"/>
          <w:lang w:val="en-US"/>
        </w:rPr>
        <w:t>2</w:t>
      </w:r>
      <w:r>
        <w:rPr>
          <w:lang w:val="en-US"/>
        </w:rPr>
        <w:t>, NO</w:t>
      </w:r>
      <w:r>
        <w:rPr>
          <w:vertAlign w:val="subscript"/>
          <w:lang w:val="en-US"/>
        </w:rPr>
        <w:t>X</w:t>
      </w:r>
      <w:r>
        <w:rPr>
          <w:lang w:val="en-US"/>
        </w:rPr>
        <w:t xml:space="preserve">, </w:t>
      </w:r>
      <w:proofErr w:type="gramStart"/>
      <w:r>
        <w:rPr>
          <w:lang w:val="en-US"/>
        </w:rPr>
        <w:t>CO</w:t>
      </w:r>
      <w:proofErr w:type="gramEnd"/>
      <w:r>
        <w:rPr>
          <w:lang w:val="en-US"/>
        </w:rPr>
        <w:t xml:space="preserve"> and TSP emission factors for the</w:t>
      </w:r>
      <w:r w:rsidRPr="00B00583">
        <w:rPr>
          <w:lang w:val="en-US"/>
        </w:rPr>
        <w:t xml:space="preserve"> neutral </w:t>
      </w:r>
      <w:proofErr w:type="spellStart"/>
      <w:r w:rsidRPr="00B00583">
        <w:rPr>
          <w:lang w:val="en-US"/>
        </w:rPr>
        <w:t>sulphite</w:t>
      </w:r>
      <w:proofErr w:type="spellEnd"/>
      <w:r w:rsidRPr="00B00583">
        <w:rPr>
          <w:lang w:val="en-US"/>
        </w:rPr>
        <w:t xml:space="preserve"> semi-chemical process (NSCC)</w:t>
      </w:r>
      <w:r>
        <w:rPr>
          <w:lang w:val="en-US"/>
        </w:rPr>
        <w:t xml:space="preserve"> </w:t>
      </w:r>
    </w:p>
    <w:p w14:paraId="23BEBBBF" w14:textId="77777777" w:rsidR="0066043F" w:rsidRPr="00497A16" w:rsidRDefault="0066043F" w:rsidP="0066043F">
      <w:pPr>
        <w:pStyle w:val="ListParagraph"/>
        <w:numPr>
          <w:ilvl w:val="0"/>
          <w:numId w:val="52"/>
        </w:numPr>
        <w:rPr>
          <w:lang w:val="en-US"/>
        </w:rPr>
      </w:pPr>
      <w:r>
        <w:rPr>
          <w:lang w:val="en-US"/>
        </w:rPr>
        <w:t xml:space="preserve">a new table for mechanical pulping where only NMVOC is </w:t>
      </w:r>
      <w:proofErr w:type="gramStart"/>
      <w:r>
        <w:rPr>
          <w:lang w:val="en-US"/>
        </w:rPr>
        <w:t>relevant</w:t>
      </w:r>
      <w:proofErr w:type="gramEnd"/>
    </w:p>
    <w:p w14:paraId="673542D6" w14:textId="77777777" w:rsidR="0066043F" w:rsidRPr="00E738D9" w:rsidRDefault="0066043F" w:rsidP="0066043F">
      <w:pPr>
        <w:rPr>
          <w:lang w:val="en-US"/>
        </w:rPr>
      </w:pPr>
      <w:r>
        <w:rPr>
          <w:lang w:val="en-US"/>
        </w:rPr>
        <w:t xml:space="preserve"> </w:t>
      </w:r>
    </w:p>
    <w:p w14:paraId="0151EB48" w14:textId="77777777" w:rsidR="0066043F" w:rsidRPr="00C4413F" w:rsidRDefault="0066043F" w:rsidP="0066043F">
      <w:pPr>
        <w:pStyle w:val="Heading3"/>
        <w:numPr>
          <w:ilvl w:val="0"/>
          <w:numId w:val="0"/>
        </w:numPr>
        <w:ind w:left="720"/>
        <w:rPr>
          <w:lang w:val="en-US"/>
        </w:rPr>
      </w:pPr>
      <w:r>
        <w:rPr>
          <w:lang w:val="en-US"/>
        </w:rPr>
        <w:t xml:space="preserve">    </w:t>
      </w:r>
    </w:p>
    <w:p w14:paraId="19563C57" w14:textId="77777777" w:rsidR="005843B2" w:rsidRPr="00C73E58" w:rsidRDefault="005843B2">
      <w:pPr>
        <w:spacing w:after="0" w:line="240" w:lineRule="auto"/>
        <w:jc w:val="both"/>
        <w:rPr>
          <w:b/>
          <w:bCs/>
          <w:color w:val="262626" w:themeColor="text1" w:themeTint="D9"/>
        </w:rPr>
      </w:pPr>
    </w:p>
    <w:sectPr w:rsidR="005843B2" w:rsidRPr="00C73E5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A45C" w14:textId="77777777" w:rsidR="0034370A" w:rsidRDefault="0034370A" w:rsidP="003B4552">
      <w:pPr>
        <w:spacing w:after="0" w:line="240" w:lineRule="auto"/>
      </w:pPr>
      <w:r>
        <w:separator/>
      </w:r>
    </w:p>
  </w:endnote>
  <w:endnote w:type="continuationSeparator" w:id="0">
    <w:p w14:paraId="34783861" w14:textId="77777777" w:rsidR="0034370A" w:rsidRDefault="0034370A" w:rsidP="003B4552">
      <w:pPr>
        <w:spacing w:after="0" w:line="240" w:lineRule="auto"/>
      </w:pPr>
      <w:r>
        <w:continuationSeparator/>
      </w:r>
    </w:p>
  </w:endnote>
  <w:endnote w:type="continuationNotice" w:id="1">
    <w:p w14:paraId="3EBBD398" w14:textId="77777777" w:rsidR="0034370A" w:rsidRDefault="003437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536024"/>
      <w:docPartObj>
        <w:docPartGallery w:val="Page Numbers (Bottom of Page)"/>
        <w:docPartUnique/>
      </w:docPartObj>
    </w:sdtPr>
    <w:sdtEndPr>
      <w:rPr>
        <w:noProof/>
      </w:rPr>
    </w:sdtEndPr>
    <w:sdtContent>
      <w:p w14:paraId="734A0ABD" w14:textId="318B774E" w:rsidR="00DA3638" w:rsidRDefault="00DA36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580500" w14:textId="77777777" w:rsidR="00DA3638" w:rsidRDefault="00DA3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8536" w14:textId="77777777" w:rsidR="0034370A" w:rsidRDefault="0034370A" w:rsidP="003B4552">
      <w:pPr>
        <w:spacing w:after="0" w:line="240" w:lineRule="auto"/>
      </w:pPr>
      <w:r>
        <w:separator/>
      </w:r>
    </w:p>
  </w:footnote>
  <w:footnote w:type="continuationSeparator" w:id="0">
    <w:p w14:paraId="4670CA59" w14:textId="77777777" w:rsidR="0034370A" w:rsidRDefault="0034370A" w:rsidP="003B4552">
      <w:pPr>
        <w:spacing w:after="0" w:line="240" w:lineRule="auto"/>
      </w:pPr>
      <w:r>
        <w:continuationSeparator/>
      </w:r>
    </w:p>
  </w:footnote>
  <w:footnote w:type="continuationNotice" w:id="1">
    <w:p w14:paraId="1F6A7F0A" w14:textId="77777777" w:rsidR="0034370A" w:rsidRDefault="003437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ED0D" w14:textId="205EED3C" w:rsidR="00625AE8" w:rsidRDefault="0066043F" w:rsidP="005843B2">
    <w:pPr>
      <w:pStyle w:val="Header"/>
    </w:pPr>
    <w:r>
      <w:t>Summary of emission relevant Guidebook changes (Combustion &amp; Industry)</w:t>
    </w:r>
    <w:r w:rsidR="005843B2">
      <w:tab/>
      <w:t xml:space="preserve"> </w:t>
    </w:r>
    <w:r w:rsidR="00625AE8">
      <w:rPr>
        <w:b/>
        <w:noProof/>
        <w:color w:val="C00000"/>
        <w:sz w:val="32"/>
        <w:lang w:eastAsia="en-GB"/>
      </w:rPr>
      <w:drawing>
        <wp:inline distT="0" distB="0" distL="0" distR="0" wp14:anchorId="7FD8A4AB" wp14:editId="1BD090C5">
          <wp:extent cx="1137037" cy="255632"/>
          <wp:effectExtent l="0" t="0" r="6350" b="0"/>
          <wp:docPr id="1" name="Picture 1" descr="A red and white letter 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etter 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032" cy="2587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1A4"/>
    <w:multiLevelType w:val="hybridMultilevel"/>
    <w:tmpl w:val="46A8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B1CF4"/>
    <w:multiLevelType w:val="hybridMultilevel"/>
    <w:tmpl w:val="0596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00019"/>
    <w:multiLevelType w:val="hybridMultilevel"/>
    <w:tmpl w:val="F266E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2C2D9B"/>
    <w:multiLevelType w:val="hybridMultilevel"/>
    <w:tmpl w:val="A16C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10505"/>
    <w:multiLevelType w:val="hybridMultilevel"/>
    <w:tmpl w:val="8EA6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1215A"/>
    <w:multiLevelType w:val="hybridMultilevel"/>
    <w:tmpl w:val="474E1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727303"/>
    <w:multiLevelType w:val="hybridMultilevel"/>
    <w:tmpl w:val="162C0BC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7" w15:restartNumberingAfterBreak="0">
    <w:nsid w:val="1A654BE1"/>
    <w:multiLevelType w:val="hybridMultilevel"/>
    <w:tmpl w:val="64BAB0DC"/>
    <w:lvl w:ilvl="0" w:tplc="040B0001">
      <w:start w:val="1"/>
      <w:numFmt w:val="bullet"/>
      <w:lvlText w:val=""/>
      <w:lvlJc w:val="left"/>
      <w:pPr>
        <w:ind w:left="927" w:hanging="360"/>
      </w:pPr>
      <w:rPr>
        <w:rFonts w:ascii="Symbol" w:hAnsi="Symbol" w:hint="default"/>
      </w:rPr>
    </w:lvl>
    <w:lvl w:ilvl="1" w:tplc="040B0003">
      <w:start w:val="1"/>
      <w:numFmt w:val="bullet"/>
      <w:lvlText w:val="o"/>
      <w:lvlJc w:val="left"/>
      <w:pPr>
        <w:ind w:left="1647" w:hanging="360"/>
      </w:pPr>
      <w:rPr>
        <w:rFonts w:ascii="Courier New" w:hAnsi="Courier New" w:cs="Courier New" w:hint="default"/>
      </w:rPr>
    </w:lvl>
    <w:lvl w:ilvl="2" w:tplc="040B0005">
      <w:start w:val="1"/>
      <w:numFmt w:val="bullet"/>
      <w:lvlText w:val=""/>
      <w:lvlJc w:val="left"/>
      <w:pPr>
        <w:ind w:left="2367" w:hanging="360"/>
      </w:pPr>
      <w:rPr>
        <w:rFonts w:ascii="Wingdings" w:hAnsi="Wingdings" w:hint="default"/>
      </w:rPr>
    </w:lvl>
    <w:lvl w:ilvl="3" w:tplc="040B0001">
      <w:start w:val="1"/>
      <w:numFmt w:val="bullet"/>
      <w:lvlText w:val=""/>
      <w:lvlJc w:val="left"/>
      <w:pPr>
        <w:ind w:left="3087" w:hanging="360"/>
      </w:pPr>
      <w:rPr>
        <w:rFonts w:ascii="Symbol" w:hAnsi="Symbol" w:hint="default"/>
      </w:rPr>
    </w:lvl>
    <w:lvl w:ilvl="4" w:tplc="040B0003">
      <w:start w:val="1"/>
      <w:numFmt w:val="bullet"/>
      <w:lvlText w:val="o"/>
      <w:lvlJc w:val="left"/>
      <w:pPr>
        <w:ind w:left="3807" w:hanging="360"/>
      </w:pPr>
      <w:rPr>
        <w:rFonts w:ascii="Courier New" w:hAnsi="Courier New" w:cs="Courier New" w:hint="default"/>
      </w:rPr>
    </w:lvl>
    <w:lvl w:ilvl="5" w:tplc="040B0005">
      <w:start w:val="1"/>
      <w:numFmt w:val="bullet"/>
      <w:lvlText w:val=""/>
      <w:lvlJc w:val="left"/>
      <w:pPr>
        <w:ind w:left="4527" w:hanging="360"/>
      </w:pPr>
      <w:rPr>
        <w:rFonts w:ascii="Wingdings" w:hAnsi="Wingdings" w:hint="default"/>
      </w:rPr>
    </w:lvl>
    <w:lvl w:ilvl="6" w:tplc="040B0001">
      <w:start w:val="1"/>
      <w:numFmt w:val="bullet"/>
      <w:lvlText w:val=""/>
      <w:lvlJc w:val="left"/>
      <w:pPr>
        <w:ind w:left="5247" w:hanging="360"/>
      </w:pPr>
      <w:rPr>
        <w:rFonts w:ascii="Symbol" w:hAnsi="Symbol" w:hint="default"/>
      </w:rPr>
    </w:lvl>
    <w:lvl w:ilvl="7" w:tplc="040B0003">
      <w:start w:val="1"/>
      <w:numFmt w:val="bullet"/>
      <w:lvlText w:val="o"/>
      <w:lvlJc w:val="left"/>
      <w:pPr>
        <w:ind w:left="5967" w:hanging="360"/>
      </w:pPr>
      <w:rPr>
        <w:rFonts w:ascii="Courier New" w:hAnsi="Courier New" w:cs="Courier New" w:hint="default"/>
      </w:rPr>
    </w:lvl>
    <w:lvl w:ilvl="8" w:tplc="040B0005">
      <w:start w:val="1"/>
      <w:numFmt w:val="bullet"/>
      <w:lvlText w:val=""/>
      <w:lvlJc w:val="left"/>
      <w:pPr>
        <w:ind w:left="6687" w:hanging="360"/>
      </w:pPr>
      <w:rPr>
        <w:rFonts w:ascii="Wingdings" w:hAnsi="Wingdings" w:hint="default"/>
      </w:rPr>
    </w:lvl>
  </w:abstractNum>
  <w:abstractNum w:abstractNumId="8" w15:restartNumberingAfterBreak="0">
    <w:nsid w:val="1B461502"/>
    <w:multiLevelType w:val="hybridMultilevel"/>
    <w:tmpl w:val="5B66E2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A52B64"/>
    <w:multiLevelType w:val="hybridMultilevel"/>
    <w:tmpl w:val="9B12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80CB7"/>
    <w:multiLevelType w:val="hybridMultilevel"/>
    <w:tmpl w:val="0598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30519"/>
    <w:multiLevelType w:val="hybridMultilevel"/>
    <w:tmpl w:val="8554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D2F16"/>
    <w:multiLevelType w:val="hybridMultilevel"/>
    <w:tmpl w:val="5510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C4C4E"/>
    <w:multiLevelType w:val="hybridMultilevel"/>
    <w:tmpl w:val="14D6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501DC"/>
    <w:multiLevelType w:val="hybridMultilevel"/>
    <w:tmpl w:val="259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C5C24"/>
    <w:multiLevelType w:val="hybridMultilevel"/>
    <w:tmpl w:val="C8B2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C1523"/>
    <w:multiLevelType w:val="hybridMultilevel"/>
    <w:tmpl w:val="31EA4D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6F6CDC"/>
    <w:multiLevelType w:val="hybridMultilevel"/>
    <w:tmpl w:val="E6CA74CC"/>
    <w:lvl w:ilvl="0" w:tplc="040B0001">
      <w:start w:val="1"/>
      <w:numFmt w:val="bullet"/>
      <w:lvlText w:val=""/>
      <w:lvlJc w:val="left"/>
      <w:pPr>
        <w:ind w:left="927" w:hanging="360"/>
      </w:pPr>
      <w:rPr>
        <w:rFonts w:ascii="Symbol" w:hAnsi="Symbol" w:hint="default"/>
      </w:rPr>
    </w:lvl>
    <w:lvl w:ilvl="1" w:tplc="040B0003">
      <w:start w:val="1"/>
      <w:numFmt w:val="bullet"/>
      <w:lvlText w:val="o"/>
      <w:lvlJc w:val="left"/>
      <w:pPr>
        <w:ind w:left="1647" w:hanging="360"/>
      </w:pPr>
      <w:rPr>
        <w:rFonts w:ascii="Courier New" w:hAnsi="Courier New" w:cs="Courier New" w:hint="default"/>
      </w:rPr>
    </w:lvl>
    <w:lvl w:ilvl="2" w:tplc="040B0005">
      <w:start w:val="1"/>
      <w:numFmt w:val="bullet"/>
      <w:lvlText w:val=""/>
      <w:lvlJc w:val="left"/>
      <w:pPr>
        <w:ind w:left="2367" w:hanging="360"/>
      </w:pPr>
      <w:rPr>
        <w:rFonts w:ascii="Wingdings" w:hAnsi="Wingdings" w:hint="default"/>
      </w:rPr>
    </w:lvl>
    <w:lvl w:ilvl="3" w:tplc="040B0001">
      <w:start w:val="1"/>
      <w:numFmt w:val="bullet"/>
      <w:lvlText w:val=""/>
      <w:lvlJc w:val="left"/>
      <w:pPr>
        <w:ind w:left="3087" w:hanging="360"/>
      </w:pPr>
      <w:rPr>
        <w:rFonts w:ascii="Symbol" w:hAnsi="Symbol" w:hint="default"/>
      </w:rPr>
    </w:lvl>
    <w:lvl w:ilvl="4" w:tplc="040B0003">
      <w:start w:val="1"/>
      <w:numFmt w:val="bullet"/>
      <w:lvlText w:val="o"/>
      <w:lvlJc w:val="left"/>
      <w:pPr>
        <w:ind w:left="3807" w:hanging="360"/>
      </w:pPr>
      <w:rPr>
        <w:rFonts w:ascii="Courier New" w:hAnsi="Courier New" w:cs="Courier New" w:hint="default"/>
      </w:rPr>
    </w:lvl>
    <w:lvl w:ilvl="5" w:tplc="040B0005">
      <w:start w:val="1"/>
      <w:numFmt w:val="bullet"/>
      <w:lvlText w:val=""/>
      <w:lvlJc w:val="left"/>
      <w:pPr>
        <w:ind w:left="4527" w:hanging="360"/>
      </w:pPr>
      <w:rPr>
        <w:rFonts w:ascii="Wingdings" w:hAnsi="Wingdings" w:hint="default"/>
      </w:rPr>
    </w:lvl>
    <w:lvl w:ilvl="6" w:tplc="040B0001">
      <w:start w:val="1"/>
      <w:numFmt w:val="bullet"/>
      <w:lvlText w:val=""/>
      <w:lvlJc w:val="left"/>
      <w:pPr>
        <w:ind w:left="5247" w:hanging="360"/>
      </w:pPr>
      <w:rPr>
        <w:rFonts w:ascii="Symbol" w:hAnsi="Symbol" w:hint="default"/>
      </w:rPr>
    </w:lvl>
    <w:lvl w:ilvl="7" w:tplc="040B0003">
      <w:start w:val="1"/>
      <w:numFmt w:val="bullet"/>
      <w:lvlText w:val="o"/>
      <w:lvlJc w:val="left"/>
      <w:pPr>
        <w:ind w:left="5967" w:hanging="360"/>
      </w:pPr>
      <w:rPr>
        <w:rFonts w:ascii="Courier New" w:hAnsi="Courier New" w:cs="Courier New" w:hint="default"/>
      </w:rPr>
    </w:lvl>
    <w:lvl w:ilvl="8" w:tplc="040B0005">
      <w:start w:val="1"/>
      <w:numFmt w:val="bullet"/>
      <w:lvlText w:val=""/>
      <w:lvlJc w:val="left"/>
      <w:pPr>
        <w:ind w:left="6687" w:hanging="360"/>
      </w:pPr>
      <w:rPr>
        <w:rFonts w:ascii="Wingdings" w:hAnsi="Wingdings" w:hint="default"/>
      </w:rPr>
    </w:lvl>
  </w:abstractNum>
  <w:abstractNum w:abstractNumId="18" w15:restartNumberingAfterBreak="0">
    <w:nsid w:val="2B924B93"/>
    <w:multiLevelType w:val="hybridMultilevel"/>
    <w:tmpl w:val="035C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3D70C2"/>
    <w:multiLevelType w:val="hybridMultilevel"/>
    <w:tmpl w:val="1482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59269A"/>
    <w:multiLevelType w:val="hybridMultilevel"/>
    <w:tmpl w:val="3F18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D6651A"/>
    <w:multiLevelType w:val="hybridMultilevel"/>
    <w:tmpl w:val="AD76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BC3248"/>
    <w:multiLevelType w:val="hybridMultilevel"/>
    <w:tmpl w:val="8558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F57D55"/>
    <w:multiLevelType w:val="hybridMultilevel"/>
    <w:tmpl w:val="E94231DA"/>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4" w15:restartNumberingAfterBreak="0">
    <w:nsid w:val="3DFA6BD8"/>
    <w:multiLevelType w:val="hybridMultilevel"/>
    <w:tmpl w:val="1754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1A553B"/>
    <w:multiLevelType w:val="hybridMultilevel"/>
    <w:tmpl w:val="05E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10041E"/>
    <w:multiLevelType w:val="hybridMultilevel"/>
    <w:tmpl w:val="F7EA7DDE"/>
    <w:lvl w:ilvl="0" w:tplc="040B0001">
      <w:start w:val="1"/>
      <w:numFmt w:val="bullet"/>
      <w:lvlText w:val=""/>
      <w:lvlJc w:val="left"/>
      <w:pPr>
        <w:ind w:left="927" w:hanging="360"/>
      </w:pPr>
      <w:rPr>
        <w:rFonts w:ascii="Symbol" w:hAnsi="Symbol" w:hint="default"/>
      </w:rPr>
    </w:lvl>
    <w:lvl w:ilvl="1" w:tplc="040B0003">
      <w:start w:val="1"/>
      <w:numFmt w:val="bullet"/>
      <w:lvlText w:val="o"/>
      <w:lvlJc w:val="left"/>
      <w:pPr>
        <w:ind w:left="1647" w:hanging="360"/>
      </w:pPr>
      <w:rPr>
        <w:rFonts w:ascii="Courier New" w:hAnsi="Courier New" w:cs="Courier New" w:hint="default"/>
      </w:rPr>
    </w:lvl>
    <w:lvl w:ilvl="2" w:tplc="040B0005">
      <w:start w:val="1"/>
      <w:numFmt w:val="bullet"/>
      <w:lvlText w:val=""/>
      <w:lvlJc w:val="left"/>
      <w:pPr>
        <w:ind w:left="2367" w:hanging="360"/>
      </w:pPr>
      <w:rPr>
        <w:rFonts w:ascii="Wingdings" w:hAnsi="Wingdings" w:hint="default"/>
      </w:rPr>
    </w:lvl>
    <w:lvl w:ilvl="3" w:tplc="040B0001">
      <w:start w:val="1"/>
      <w:numFmt w:val="bullet"/>
      <w:lvlText w:val=""/>
      <w:lvlJc w:val="left"/>
      <w:pPr>
        <w:ind w:left="3087" w:hanging="360"/>
      </w:pPr>
      <w:rPr>
        <w:rFonts w:ascii="Symbol" w:hAnsi="Symbol" w:hint="default"/>
      </w:rPr>
    </w:lvl>
    <w:lvl w:ilvl="4" w:tplc="040B0003">
      <w:start w:val="1"/>
      <w:numFmt w:val="bullet"/>
      <w:lvlText w:val="o"/>
      <w:lvlJc w:val="left"/>
      <w:pPr>
        <w:ind w:left="3807" w:hanging="360"/>
      </w:pPr>
      <w:rPr>
        <w:rFonts w:ascii="Courier New" w:hAnsi="Courier New" w:cs="Courier New" w:hint="default"/>
      </w:rPr>
    </w:lvl>
    <w:lvl w:ilvl="5" w:tplc="040B0005">
      <w:start w:val="1"/>
      <w:numFmt w:val="bullet"/>
      <w:lvlText w:val=""/>
      <w:lvlJc w:val="left"/>
      <w:pPr>
        <w:ind w:left="4527" w:hanging="360"/>
      </w:pPr>
      <w:rPr>
        <w:rFonts w:ascii="Wingdings" w:hAnsi="Wingdings" w:hint="default"/>
      </w:rPr>
    </w:lvl>
    <w:lvl w:ilvl="6" w:tplc="040B0001">
      <w:start w:val="1"/>
      <w:numFmt w:val="bullet"/>
      <w:lvlText w:val=""/>
      <w:lvlJc w:val="left"/>
      <w:pPr>
        <w:ind w:left="5247" w:hanging="360"/>
      </w:pPr>
      <w:rPr>
        <w:rFonts w:ascii="Symbol" w:hAnsi="Symbol" w:hint="default"/>
      </w:rPr>
    </w:lvl>
    <w:lvl w:ilvl="7" w:tplc="040B0003">
      <w:start w:val="1"/>
      <w:numFmt w:val="bullet"/>
      <w:lvlText w:val="o"/>
      <w:lvlJc w:val="left"/>
      <w:pPr>
        <w:ind w:left="5967" w:hanging="360"/>
      </w:pPr>
      <w:rPr>
        <w:rFonts w:ascii="Courier New" w:hAnsi="Courier New" w:cs="Courier New" w:hint="default"/>
      </w:rPr>
    </w:lvl>
    <w:lvl w:ilvl="8" w:tplc="040B0005">
      <w:start w:val="1"/>
      <w:numFmt w:val="bullet"/>
      <w:lvlText w:val=""/>
      <w:lvlJc w:val="left"/>
      <w:pPr>
        <w:ind w:left="6687" w:hanging="360"/>
      </w:pPr>
      <w:rPr>
        <w:rFonts w:ascii="Wingdings" w:hAnsi="Wingdings" w:hint="default"/>
      </w:rPr>
    </w:lvl>
  </w:abstractNum>
  <w:abstractNum w:abstractNumId="27" w15:restartNumberingAfterBreak="0">
    <w:nsid w:val="47F96125"/>
    <w:multiLevelType w:val="hybridMultilevel"/>
    <w:tmpl w:val="0AB6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3426D"/>
    <w:multiLevelType w:val="hybridMultilevel"/>
    <w:tmpl w:val="011869C0"/>
    <w:lvl w:ilvl="0" w:tplc="040B0001">
      <w:start w:val="1"/>
      <w:numFmt w:val="bullet"/>
      <w:lvlText w:val=""/>
      <w:lvlJc w:val="left"/>
      <w:pPr>
        <w:ind w:left="1211" w:hanging="360"/>
      </w:pPr>
      <w:rPr>
        <w:rFonts w:ascii="Symbol" w:hAnsi="Symbol" w:hint="default"/>
      </w:rPr>
    </w:lvl>
    <w:lvl w:ilvl="1" w:tplc="040B0003">
      <w:start w:val="1"/>
      <w:numFmt w:val="bullet"/>
      <w:lvlText w:val="o"/>
      <w:lvlJc w:val="left"/>
      <w:pPr>
        <w:ind w:left="1931" w:hanging="360"/>
      </w:pPr>
      <w:rPr>
        <w:rFonts w:ascii="Courier New" w:hAnsi="Courier New" w:cs="Courier New" w:hint="default"/>
      </w:rPr>
    </w:lvl>
    <w:lvl w:ilvl="2" w:tplc="040B0005">
      <w:start w:val="1"/>
      <w:numFmt w:val="bullet"/>
      <w:lvlText w:val=""/>
      <w:lvlJc w:val="left"/>
      <w:pPr>
        <w:ind w:left="2651" w:hanging="360"/>
      </w:pPr>
      <w:rPr>
        <w:rFonts w:ascii="Wingdings" w:hAnsi="Wingdings" w:hint="default"/>
      </w:rPr>
    </w:lvl>
    <w:lvl w:ilvl="3" w:tplc="040B0001">
      <w:start w:val="1"/>
      <w:numFmt w:val="bullet"/>
      <w:lvlText w:val=""/>
      <w:lvlJc w:val="left"/>
      <w:pPr>
        <w:ind w:left="3371" w:hanging="360"/>
      </w:pPr>
      <w:rPr>
        <w:rFonts w:ascii="Symbol" w:hAnsi="Symbol" w:hint="default"/>
      </w:rPr>
    </w:lvl>
    <w:lvl w:ilvl="4" w:tplc="040B0003">
      <w:start w:val="1"/>
      <w:numFmt w:val="bullet"/>
      <w:lvlText w:val="o"/>
      <w:lvlJc w:val="left"/>
      <w:pPr>
        <w:ind w:left="4091" w:hanging="360"/>
      </w:pPr>
      <w:rPr>
        <w:rFonts w:ascii="Courier New" w:hAnsi="Courier New" w:cs="Courier New" w:hint="default"/>
      </w:rPr>
    </w:lvl>
    <w:lvl w:ilvl="5" w:tplc="040B0005">
      <w:start w:val="1"/>
      <w:numFmt w:val="bullet"/>
      <w:lvlText w:val=""/>
      <w:lvlJc w:val="left"/>
      <w:pPr>
        <w:ind w:left="4811" w:hanging="360"/>
      </w:pPr>
      <w:rPr>
        <w:rFonts w:ascii="Wingdings" w:hAnsi="Wingdings" w:hint="default"/>
      </w:rPr>
    </w:lvl>
    <w:lvl w:ilvl="6" w:tplc="040B0001">
      <w:start w:val="1"/>
      <w:numFmt w:val="bullet"/>
      <w:lvlText w:val=""/>
      <w:lvlJc w:val="left"/>
      <w:pPr>
        <w:ind w:left="5531" w:hanging="360"/>
      </w:pPr>
      <w:rPr>
        <w:rFonts w:ascii="Symbol" w:hAnsi="Symbol" w:hint="default"/>
      </w:rPr>
    </w:lvl>
    <w:lvl w:ilvl="7" w:tplc="040B0003">
      <w:start w:val="1"/>
      <w:numFmt w:val="bullet"/>
      <w:lvlText w:val="o"/>
      <w:lvlJc w:val="left"/>
      <w:pPr>
        <w:ind w:left="6251" w:hanging="360"/>
      </w:pPr>
      <w:rPr>
        <w:rFonts w:ascii="Courier New" w:hAnsi="Courier New" w:cs="Courier New" w:hint="default"/>
      </w:rPr>
    </w:lvl>
    <w:lvl w:ilvl="8" w:tplc="040B0005">
      <w:start w:val="1"/>
      <w:numFmt w:val="bullet"/>
      <w:lvlText w:val=""/>
      <w:lvlJc w:val="left"/>
      <w:pPr>
        <w:ind w:left="6971" w:hanging="360"/>
      </w:pPr>
      <w:rPr>
        <w:rFonts w:ascii="Wingdings" w:hAnsi="Wingdings" w:hint="default"/>
      </w:rPr>
    </w:lvl>
  </w:abstractNum>
  <w:abstractNum w:abstractNumId="29" w15:restartNumberingAfterBreak="0">
    <w:nsid w:val="4CC035C1"/>
    <w:multiLevelType w:val="hybridMultilevel"/>
    <w:tmpl w:val="FA60BEA2"/>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0" w15:restartNumberingAfterBreak="0">
    <w:nsid w:val="511A1445"/>
    <w:multiLevelType w:val="hybridMultilevel"/>
    <w:tmpl w:val="7EF2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2E2BEB"/>
    <w:multiLevelType w:val="hybridMultilevel"/>
    <w:tmpl w:val="4310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2823C5"/>
    <w:multiLevelType w:val="hybridMultilevel"/>
    <w:tmpl w:val="F6A0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144DA1"/>
    <w:multiLevelType w:val="hybridMultilevel"/>
    <w:tmpl w:val="C226D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910907"/>
    <w:multiLevelType w:val="hybridMultilevel"/>
    <w:tmpl w:val="02D6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6F49F5"/>
    <w:multiLevelType w:val="hybridMultilevel"/>
    <w:tmpl w:val="0FB01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30D2AD6"/>
    <w:multiLevelType w:val="hybridMultilevel"/>
    <w:tmpl w:val="0708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883444"/>
    <w:multiLevelType w:val="hybridMultilevel"/>
    <w:tmpl w:val="961A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A96D51"/>
    <w:multiLevelType w:val="hybridMultilevel"/>
    <w:tmpl w:val="006A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872C97"/>
    <w:multiLevelType w:val="hybridMultilevel"/>
    <w:tmpl w:val="BF78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FD0398"/>
    <w:multiLevelType w:val="hybridMultilevel"/>
    <w:tmpl w:val="30069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E644B94"/>
    <w:multiLevelType w:val="hybridMultilevel"/>
    <w:tmpl w:val="758A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DF02B2"/>
    <w:multiLevelType w:val="hybridMultilevel"/>
    <w:tmpl w:val="3C78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9C1A04"/>
    <w:multiLevelType w:val="hybridMultilevel"/>
    <w:tmpl w:val="A670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152480"/>
    <w:multiLevelType w:val="multilevel"/>
    <w:tmpl w:val="08090025"/>
    <w:lvl w:ilvl="0">
      <w:start w:val="1"/>
      <w:numFmt w:val="decimal"/>
      <w:pStyle w:val="Heading1"/>
      <w:lvlText w:val="%1"/>
      <w:lvlJc w:val="left"/>
      <w:pPr>
        <w:ind w:left="539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4594940"/>
    <w:multiLevelType w:val="hybridMultilevel"/>
    <w:tmpl w:val="8DDE09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6" w15:restartNumberingAfterBreak="0">
    <w:nsid w:val="7956282C"/>
    <w:multiLevelType w:val="hybridMultilevel"/>
    <w:tmpl w:val="8FE8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614BB1"/>
    <w:multiLevelType w:val="hybridMultilevel"/>
    <w:tmpl w:val="B20E3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DA50108"/>
    <w:multiLevelType w:val="hybridMultilevel"/>
    <w:tmpl w:val="5978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541DC6"/>
    <w:multiLevelType w:val="hybridMultilevel"/>
    <w:tmpl w:val="D7A2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7953249">
    <w:abstractNumId w:val="36"/>
  </w:num>
  <w:num w:numId="2" w16cid:durableId="413162395">
    <w:abstractNumId w:val="33"/>
  </w:num>
  <w:num w:numId="3" w16cid:durableId="366683149">
    <w:abstractNumId w:val="45"/>
  </w:num>
  <w:num w:numId="4" w16cid:durableId="1879538054">
    <w:abstractNumId w:val="28"/>
  </w:num>
  <w:num w:numId="5" w16cid:durableId="2081169904">
    <w:abstractNumId w:val="26"/>
  </w:num>
  <w:num w:numId="6" w16cid:durableId="1787235758">
    <w:abstractNumId w:val="17"/>
  </w:num>
  <w:num w:numId="7" w16cid:durableId="1399788611">
    <w:abstractNumId w:val="7"/>
  </w:num>
  <w:num w:numId="8" w16cid:durableId="1276138520">
    <w:abstractNumId w:val="44"/>
  </w:num>
  <w:num w:numId="9" w16cid:durableId="86538434">
    <w:abstractNumId w:val="18"/>
  </w:num>
  <w:num w:numId="10" w16cid:durableId="1517693944">
    <w:abstractNumId w:val="10"/>
  </w:num>
  <w:num w:numId="11" w16cid:durableId="1154177338">
    <w:abstractNumId w:val="4"/>
  </w:num>
  <w:num w:numId="12" w16cid:durableId="235166347">
    <w:abstractNumId w:val="19"/>
  </w:num>
  <w:num w:numId="13" w16cid:durableId="763573703">
    <w:abstractNumId w:val="25"/>
  </w:num>
  <w:num w:numId="14" w16cid:durableId="1317303197">
    <w:abstractNumId w:val="16"/>
  </w:num>
  <w:num w:numId="15" w16cid:durableId="876703930">
    <w:abstractNumId w:val="1"/>
  </w:num>
  <w:num w:numId="16" w16cid:durableId="562914557">
    <w:abstractNumId w:val="9"/>
  </w:num>
  <w:num w:numId="17" w16cid:durableId="1821194844">
    <w:abstractNumId w:val="8"/>
  </w:num>
  <w:num w:numId="18" w16cid:durableId="2093622480">
    <w:abstractNumId w:val="37"/>
  </w:num>
  <w:num w:numId="19" w16cid:durableId="6068149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693090">
    <w:abstractNumId w:val="23"/>
  </w:num>
  <w:num w:numId="21" w16cid:durableId="537815649">
    <w:abstractNumId w:val="27"/>
  </w:num>
  <w:num w:numId="22" w16cid:durableId="1096251154">
    <w:abstractNumId w:val="44"/>
  </w:num>
  <w:num w:numId="23" w16cid:durableId="639387564">
    <w:abstractNumId w:val="43"/>
  </w:num>
  <w:num w:numId="24" w16cid:durableId="1277446459">
    <w:abstractNumId w:val="32"/>
  </w:num>
  <w:num w:numId="25" w16cid:durableId="1695764554">
    <w:abstractNumId w:val="49"/>
  </w:num>
  <w:num w:numId="26" w16cid:durableId="1032457518">
    <w:abstractNumId w:val="29"/>
  </w:num>
  <w:num w:numId="27" w16cid:durableId="423113779">
    <w:abstractNumId w:val="30"/>
  </w:num>
  <w:num w:numId="28" w16cid:durableId="1171213931">
    <w:abstractNumId w:val="6"/>
  </w:num>
  <w:num w:numId="29" w16cid:durableId="1648392127">
    <w:abstractNumId w:val="21"/>
  </w:num>
  <w:num w:numId="30" w16cid:durableId="221797472">
    <w:abstractNumId w:val="3"/>
  </w:num>
  <w:num w:numId="31" w16cid:durableId="1688480956">
    <w:abstractNumId w:val="38"/>
  </w:num>
  <w:num w:numId="32" w16cid:durableId="116217717">
    <w:abstractNumId w:val="48"/>
  </w:num>
  <w:num w:numId="33" w16cid:durableId="1339306928">
    <w:abstractNumId w:val="11"/>
  </w:num>
  <w:num w:numId="34" w16cid:durableId="808284845">
    <w:abstractNumId w:val="22"/>
  </w:num>
  <w:num w:numId="35" w16cid:durableId="1377465834">
    <w:abstractNumId w:val="31"/>
  </w:num>
  <w:num w:numId="36" w16cid:durableId="1995060773">
    <w:abstractNumId w:val="12"/>
  </w:num>
  <w:num w:numId="37" w16cid:durableId="1607888949">
    <w:abstractNumId w:val="39"/>
  </w:num>
  <w:num w:numId="38" w16cid:durableId="2068721244">
    <w:abstractNumId w:val="14"/>
  </w:num>
  <w:num w:numId="39" w16cid:durableId="1845588939">
    <w:abstractNumId w:val="2"/>
  </w:num>
  <w:num w:numId="40" w16cid:durableId="514030942">
    <w:abstractNumId w:val="24"/>
  </w:num>
  <w:num w:numId="41" w16cid:durableId="1430421170">
    <w:abstractNumId w:val="42"/>
  </w:num>
  <w:num w:numId="42" w16cid:durableId="35745212">
    <w:abstractNumId w:val="47"/>
  </w:num>
  <w:num w:numId="43" w16cid:durableId="1733308852">
    <w:abstractNumId w:val="0"/>
  </w:num>
  <w:num w:numId="44" w16cid:durableId="1112211524">
    <w:abstractNumId w:val="35"/>
  </w:num>
  <w:num w:numId="45" w16cid:durableId="1167669224">
    <w:abstractNumId w:val="41"/>
  </w:num>
  <w:num w:numId="46" w16cid:durableId="1618830151">
    <w:abstractNumId w:val="34"/>
  </w:num>
  <w:num w:numId="47" w16cid:durableId="1311248508">
    <w:abstractNumId w:val="13"/>
  </w:num>
  <w:num w:numId="48" w16cid:durableId="1175803290">
    <w:abstractNumId w:val="20"/>
  </w:num>
  <w:num w:numId="49" w16cid:durableId="834033599">
    <w:abstractNumId w:val="46"/>
  </w:num>
  <w:num w:numId="50" w16cid:durableId="1861311988">
    <w:abstractNumId w:val="15"/>
  </w:num>
  <w:num w:numId="51" w16cid:durableId="1521620277">
    <w:abstractNumId w:val="40"/>
  </w:num>
  <w:num w:numId="52" w16cid:durableId="117965626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899"/>
    <w:rsid w:val="00001D61"/>
    <w:rsid w:val="00001FC1"/>
    <w:rsid w:val="00027AC9"/>
    <w:rsid w:val="000328D2"/>
    <w:rsid w:val="00033B64"/>
    <w:rsid w:val="0003743A"/>
    <w:rsid w:val="0004027B"/>
    <w:rsid w:val="00040FC7"/>
    <w:rsid w:val="000440F2"/>
    <w:rsid w:val="00047941"/>
    <w:rsid w:val="00053281"/>
    <w:rsid w:val="00055A92"/>
    <w:rsid w:val="00062416"/>
    <w:rsid w:val="00067471"/>
    <w:rsid w:val="00073EAF"/>
    <w:rsid w:val="000821F6"/>
    <w:rsid w:val="000903DA"/>
    <w:rsid w:val="000903F4"/>
    <w:rsid w:val="00094039"/>
    <w:rsid w:val="00094CD1"/>
    <w:rsid w:val="00095F3C"/>
    <w:rsid w:val="00097C24"/>
    <w:rsid w:val="000A43CD"/>
    <w:rsid w:val="000A7B76"/>
    <w:rsid w:val="000B02FB"/>
    <w:rsid w:val="000B4F37"/>
    <w:rsid w:val="000C148F"/>
    <w:rsid w:val="000D18D4"/>
    <w:rsid w:val="000D793C"/>
    <w:rsid w:val="000E7126"/>
    <w:rsid w:val="000F403A"/>
    <w:rsid w:val="00103C6E"/>
    <w:rsid w:val="001063C0"/>
    <w:rsid w:val="00124832"/>
    <w:rsid w:val="0012795D"/>
    <w:rsid w:val="0015504E"/>
    <w:rsid w:val="0017039D"/>
    <w:rsid w:val="00171E86"/>
    <w:rsid w:val="001870EE"/>
    <w:rsid w:val="001979DE"/>
    <w:rsid w:val="00197DD9"/>
    <w:rsid w:val="001A3127"/>
    <w:rsid w:val="001A3C9F"/>
    <w:rsid w:val="001A4AE8"/>
    <w:rsid w:val="001A72E7"/>
    <w:rsid w:val="001C031A"/>
    <w:rsid w:val="001D32B7"/>
    <w:rsid w:val="001F49D9"/>
    <w:rsid w:val="00203F7C"/>
    <w:rsid w:val="002041FA"/>
    <w:rsid w:val="00204B26"/>
    <w:rsid w:val="00207A2D"/>
    <w:rsid w:val="00211C1E"/>
    <w:rsid w:val="00217535"/>
    <w:rsid w:val="00230C40"/>
    <w:rsid w:val="00235E0D"/>
    <w:rsid w:val="00241FB7"/>
    <w:rsid w:val="00245B1A"/>
    <w:rsid w:val="00246240"/>
    <w:rsid w:val="00247A88"/>
    <w:rsid w:val="002538A4"/>
    <w:rsid w:val="002623FE"/>
    <w:rsid w:val="002655D7"/>
    <w:rsid w:val="002709A1"/>
    <w:rsid w:val="002719B5"/>
    <w:rsid w:val="0027414C"/>
    <w:rsid w:val="00276B65"/>
    <w:rsid w:val="00283638"/>
    <w:rsid w:val="00286ED0"/>
    <w:rsid w:val="00297E6B"/>
    <w:rsid w:val="002A1824"/>
    <w:rsid w:val="002B14FF"/>
    <w:rsid w:val="002B6CCB"/>
    <w:rsid w:val="002C1716"/>
    <w:rsid w:val="002E15B7"/>
    <w:rsid w:val="002E460A"/>
    <w:rsid w:val="002F6752"/>
    <w:rsid w:val="00301320"/>
    <w:rsid w:val="003102A9"/>
    <w:rsid w:val="003166AE"/>
    <w:rsid w:val="003309AB"/>
    <w:rsid w:val="003350CA"/>
    <w:rsid w:val="00335333"/>
    <w:rsid w:val="00336459"/>
    <w:rsid w:val="0034370A"/>
    <w:rsid w:val="003568C0"/>
    <w:rsid w:val="00362024"/>
    <w:rsid w:val="0037146E"/>
    <w:rsid w:val="003731FA"/>
    <w:rsid w:val="00373897"/>
    <w:rsid w:val="003755A5"/>
    <w:rsid w:val="00375A2D"/>
    <w:rsid w:val="00376FDE"/>
    <w:rsid w:val="003833D8"/>
    <w:rsid w:val="00384E3E"/>
    <w:rsid w:val="0039312D"/>
    <w:rsid w:val="003A5DA2"/>
    <w:rsid w:val="003B0D84"/>
    <w:rsid w:val="003B4552"/>
    <w:rsid w:val="003C45C7"/>
    <w:rsid w:val="003C49E9"/>
    <w:rsid w:val="003D471D"/>
    <w:rsid w:val="003F04A1"/>
    <w:rsid w:val="003F4E95"/>
    <w:rsid w:val="00400E36"/>
    <w:rsid w:val="0040134C"/>
    <w:rsid w:val="00406CD9"/>
    <w:rsid w:val="0041576C"/>
    <w:rsid w:val="0041616D"/>
    <w:rsid w:val="00435BAD"/>
    <w:rsid w:val="00436058"/>
    <w:rsid w:val="00436759"/>
    <w:rsid w:val="004407D4"/>
    <w:rsid w:val="00443F06"/>
    <w:rsid w:val="00453F88"/>
    <w:rsid w:val="004540A7"/>
    <w:rsid w:val="00461D4D"/>
    <w:rsid w:val="004709F2"/>
    <w:rsid w:val="00474BB7"/>
    <w:rsid w:val="004776E5"/>
    <w:rsid w:val="00482DFC"/>
    <w:rsid w:val="004861F5"/>
    <w:rsid w:val="004B0158"/>
    <w:rsid w:val="004B4D3C"/>
    <w:rsid w:val="004C32BB"/>
    <w:rsid w:val="004E250C"/>
    <w:rsid w:val="004E56F8"/>
    <w:rsid w:val="004E68F6"/>
    <w:rsid w:val="004E7235"/>
    <w:rsid w:val="004E7BD1"/>
    <w:rsid w:val="004F0923"/>
    <w:rsid w:val="00504D80"/>
    <w:rsid w:val="005078EC"/>
    <w:rsid w:val="00522095"/>
    <w:rsid w:val="005220E7"/>
    <w:rsid w:val="00542AB7"/>
    <w:rsid w:val="005575AC"/>
    <w:rsid w:val="005613DE"/>
    <w:rsid w:val="005672AC"/>
    <w:rsid w:val="005758E0"/>
    <w:rsid w:val="00575FF2"/>
    <w:rsid w:val="0058149E"/>
    <w:rsid w:val="0058361E"/>
    <w:rsid w:val="005843B2"/>
    <w:rsid w:val="00590E64"/>
    <w:rsid w:val="00591EA3"/>
    <w:rsid w:val="00595672"/>
    <w:rsid w:val="00597E11"/>
    <w:rsid w:val="005B2366"/>
    <w:rsid w:val="005B35D6"/>
    <w:rsid w:val="005B46C6"/>
    <w:rsid w:val="005B66FE"/>
    <w:rsid w:val="005B791F"/>
    <w:rsid w:val="005C2E9B"/>
    <w:rsid w:val="005C2F61"/>
    <w:rsid w:val="005C421B"/>
    <w:rsid w:val="005C6670"/>
    <w:rsid w:val="005E0913"/>
    <w:rsid w:val="005E7204"/>
    <w:rsid w:val="0061798C"/>
    <w:rsid w:val="006201C1"/>
    <w:rsid w:val="00625013"/>
    <w:rsid w:val="00625AE8"/>
    <w:rsid w:val="00634BCE"/>
    <w:rsid w:val="006409ED"/>
    <w:rsid w:val="00643255"/>
    <w:rsid w:val="0065403C"/>
    <w:rsid w:val="00657EE1"/>
    <w:rsid w:val="0066043F"/>
    <w:rsid w:val="00661130"/>
    <w:rsid w:val="00673ED0"/>
    <w:rsid w:val="0068341C"/>
    <w:rsid w:val="00695E87"/>
    <w:rsid w:val="006A244C"/>
    <w:rsid w:val="006A3449"/>
    <w:rsid w:val="006A6CCF"/>
    <w:rsid w:val="006B4588"/>
    <w:rsid w:val="006C3D74"/>
    <w:rsid w:val="006D6E7E"/>
    <w:rsid w:val="006F48D4"/>
    <w:rsid w:val="007047E2"/>
    <w:rsid w:val="00705186"/>
    <w:rsid w:val="00716A1D"/>
    <w:rsid w:val="00716FF7"/>
    <w:rsid w:val="00724028"/>
    <w:rsid w:val="00726431"/>
    <w:rsid w:val="0073092F"/>
    <w:rsid w:val="0073358B"/>
    <w:rsid w:val="0074489A"/>
    <w:rsid w:val="0078650E"/>
    <w:rsid w:val="00790FE9"/>
    <w:rsid w:val="007937BC"/>
    <w:rsid w:val="007A5D71"/>
    <w:rsid w:val="007A74EC"/>
    <w:rsid w:val="007B66BD"/>
    <w:rsid w:val="007C720D"/>
    <w:rsid w:val="007D2C86"/>
    <w:rsid w:val="007D358B"/>
    <w:rsid w:val="007E68A1"/>
    <w:rsid w:val="007F19D0"/>
    <w:rsid w:val="00802234"/>
    <w:rsid w:val="008358CE"/>
    <w:rsid w:val="00836485"/>
    <w:rsid w:val="008371C3"/>
    <w:rsid w:val="00872C5D"/>
    <w:rsid w:val="00885F12"/>
    <w:rsid w:val="00892943"/>
    <w:rsid w:val="00893C36"/>
    <w:rsid w:val="008A7F75"/>
    <w:rsid w:val="008B4450"/>
    <w:rsid w:val="008B5843"/>
    <w:rsid w:val="008B5E21"/>
    <w:rsid w:val="008B6815"/>
    <w:rsid w:val="008C4D59"/>
    <w:rsid w:val="008E3AD1"/>
    <w:rsid w:val="008E41EC"/>
    <w:rsid w:val="008E5F80"/>
    <w:rsid w:val="0091142C"/>
    <w:rsid w:val="00915EB3"/>
    <w:rsid w:val="00924BAA"/>
    <w:rsid w:val="00931518"/>
    <w:rsid w:val="00932773"/>
    <w:rsid w:val="00934D92"/>
    <w:rsid w:val="00935BCB"/>
    <w:rsid w:val="009403F1"/>
    <w:rsid w:val="00944035"/>
    <w:rsid w:val="0095544A"/>
    <w:rsid w:val="009615E5"/>
    <w:rsid w:val="00961C31"/>
    <w:rsid w:val="00964724"/>
    <w:rsid w:val="00964FD4"/>
    <w:rsid w:val="009704ED"/>
    <w:rsid w:val="00975462"/>
    <w:rsid w:val="009754E4"/>
    <w:rsid w:val="00984181"/>
    <w:rsid w:val="00987176"/>
    <w:rsid w:val="009955D5"/>
    <w:rsid w:val="009A4EE1"/>
    <w:rsid w:val="009B4A35"/>
    <w:rsid w:val="009C200D"/>
    <w:rsid w:val="009C47A7"/>
    <w:rsid w:val="009C7EFB"/>
    <w:rsid w:val="009D553D"/>
    <w:rsid w:val="009D5D07"/>
    <w:rsid w:val="009D6582"/>
    <w:rsid w:val="009E4EC2"/>
    <w:rsid w:val="00A11037"/>
    <w:rsid w:val="00A16F21"/>
    <w:rsid w:val="00A2735A"/>
    <w:rsid w:val="00A276EC"/>
    <w:rsid w:val="00A33FEF"/>
    <w:rsid w:val="00A41364"/>
    <w:rsid w:val="00A4368E"/>
    <w:rsid w:val="00A52F69"/>
    <w:rsid w:val="00A803F8"/>
    <w:rsid w:val="00A84BF2"/>
    <w:rsid w:val="00A87703"/>
    <w:rsid w:val="00A97517"/>
    <w:rsid w:val="00AA0E2C"/>
    <w:rsid w:val="00AA4F72"/>
    <w:rsid w:val="00AA7CEA"/>
    <w:rsid w:val="00AB0899"/>
    <w:rsid w:val="00AB1F6E"/>
    <w:rsid w:val="00AB34B5"/>
    <w:rsid w:val="00AB48AF"/>
    <w:rsid w:val="00AC35A0"/>
    <w:rsid w:val="00AC4BED"/>
    <w:rsid w:val="00AD3DD4"/>
    <w:rsid w:val="00AE2862"/>
    <w:rsid w:val="00AF7F36"/>
    <w:rsid w:val="00B13D87"/>
    <w:rsid w:val="00B20280"/>
    <w:rsid w:val="00B21218"/>
    <w:rsid w:val="00B24DD4"/>
    <w:rsid w:val="00B25745"/>
    <w:rsid w:val="00B3494F"/>
    <w:rsid w:val="00B47422"/>
    <w:rsid w:val="00B5078D"/>
    <w:rsid w:val="00B515D6"/>
    <w:rsid w:val="00B63B38"/>
    <w:rsid w:val="00B648E7"/>
    <w:rsid w:val="00B72109"/>
    <w:rsid w:val="00B87960"/>
    <w:rsid w:val="00B97BE3"/>
    <w:rsid w:val="00BA55B6"/>
    <w:rsid w:val="00BB11D4"/>
    <w:rsid w:val="00BB1C0D"/>
    <w:rsid w:val="00BD0DAD"/>
    <w:rsid w:val="00BD6D06"/>
    <w:rsid w:val="00BE1FE7"/>
    <w:rsid w:val="00BE49A2"/>
    <w:rsid w:val="00BE5C90"/>
    <w:rsid w:val="00BF08BD"/>
    <w:rsid w:val="00C0715A"/>
    <w:rsid w:val="00C1508F"/>
    <w:rsid w:val="00C20F63"/>
    <w:rsid w:val="00C2423B"/>
    <w:rsid w:val="00C27C9B"/>
    <w:rsid w:val="00C40226"/>
    <w:rsid w:val="00C52887"/>
    <w:rsid w:val="00C536AA"/>
    <w:rsid w:val="00C67C4B"/>
    <w:rsid w:val="00C73E58"/>
    <w:rsid w:val="00CA3487"/>
    <w:rsid w:val="00CA7121"/>
    <w:rsid w:val="00CB6DE1"/>
    <w:rsid w:val="00CC0BB2"/>
    <w:rsid w:val="00CC273B"/>
    <w:rsid w:val="00CC2F81"/>
    <w:rsid w:val="00CC5CCD"/>
    <w:rsid w:val="00CD4D08"/>
    <w:rsid w:val="00CE44EF"/>
    <w:rsid w:val="00CE7963"/>
    <w:rsid w:val="00CF2D56"/>
    <w:rsid w:val="00CF65D8"/>
    <w:rsid w:val="00D10798"/>
    <w:rsid w:val="00D10860"/>
    <w:rsid w:val="00D148B9"/>
    <w:rsid w:val="00D26269"/>
    <w:rsid w:val="00D34F8A"/>
    <w:rsid w:val="00D42D32"/>
    <w:rsid w:val="00D43204"/>
    <w:rsid w:val="00D459B8"/>
    <w:rsid w:val="00D47B16"/>
    <w:rsid w:val="00D53C19"/>
    <w:rsid w:val="00D71798"/>
    <w:rsid w:val="00D73EBB"/>
    <w:rsid w:val="00D954A4"/>
    <w:rsid w:val="00DA3638"/>
    <w:rsid w:val="00DB6781"/>
    <w:rsid w:val="00DC0604"/>
    <w:rsid w:val="00DC092E"/>
    <w:rsid w:val="00DC4A3F"/>
    <w:rsid w:val="00DC4B36"/>
    <w:rsid w:val="00DD0E3A"/>
    <w:rsid w:val="00DD36EE"/>
    <w:rsid w:val="00DD5FE2"/>
    <w:rsid w:val="00DD6C00"/>
    <w:rsid w:val="00DF1D38"/>
    <w:rsid w:val="00DF57D2"/>
    <w:rsid w:val="00E0412B"/>
    <w:rsid w:val="00E167C8"/>
    <w:rsid w:val="00E23581"/>
    <w:rsid w:val="00E3253C"/>
    <w:rsid w:val="00E349C9"/>
    <w:rsid w:val="00E376FC"/>
    <w:rsid w:val="00E37EF6"/>
    <w:rsid w:val="00E513AC"/>
    <w:rsid w:val="00E537A5"/>
    <w:rsid w:val="00E92537"/>
    <w:rsid w:val="00E936E6"/>
    <w:rsid w:val="00EB796B"/>
    <w:rsid w:val="00EC03CB"/>
    <w:rsid w:val="00EC33DE"/>
    <w:rsid w:val="00EE1518"/>
    <w:rsid w:val="00EE34DC"/>
    <w:rsid w:val="00EE4EC1"/>
    <w:rsid w:val="00EF577F"/>
    <w:rsid w:val="00EF64D8"/>
    <w:rsid w:val="00F06E1E"/>
    <w:rsid w:val="00F2606E"/>
    <w:rsid w:val="00F27E46"/>
    <w:rsid w:val="00F40355"/>
    <w:rsid w:val="00F5465B"/>
    <w:rsid w:val="00F63E2D"/>
    <w:rsid w:val="00F811CE"/>
    <w:rsid w:val="00F842C4"/>
    <w:rsid w:val="00F87DA5"/>
    <w:rsid w:val="00F95238"/>
    <w:rsid w:val="00FB3120"/>
    <w:rsid w:val="00FC1B33"/>
    <w:rsid w:val="00FC3B1E"/>
    <w:rsid w:val="00FD29E2"/>
    <w:rsid w:val="00FE0355"/>
    <w:rsid w:val="00FE4249"/>
    <w:rsid w:val="00FE72E2"/>
    <w:rsid w:val="00FF1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5A3A"/>
  <w15:docId w15:val="{A97B3879-3EA3-45B8-AEAC-B9AE783F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15A"/>
  </w:style>
  <w:style w:type="paragraph" w:styleId="Heading1">
    <w:name w:val="heading 1"/>
    <w:basedOn w:val="Normal"/>
    <w:next w:val="Normal"/>
    <w:link w:val="Heading1Char"/>
    <w:uiPriority w:val="9"/>
    <w:qFormat/>
    <w:rsid w:val="004E250C"/>
    <w:pPr>
      <w:keepNext/>
      <w:keepLines/>
      <w:numPr>
        <w:numId w:val="8"/>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250C"/>
    <w:pPr>
      <w:keepNext/>
      <w:keepLines/>
      <w:numPr>
        <w:ilvl w:val="1"/>
        <w:numId w:val="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E250C"/>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E250C"/>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E250C"/>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E250C"/>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E250C"/>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E250C"/>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250C"/>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99"/>
    <w:rPr>
      <w:rFonts w:ascii="Segoe UI" w:hAnsi="Segoe UI" w:cs="Segoe UI"/>
      <w:sz w:val="18"/>
      <w:szCs w:val="18"/>
    </w:rPr>
  </w:style>
  <w:style w:type="paragraph" w:styleId="ListParagraph">
    <w:name w:val="List Paragraph"/>
    <w:basedOn w:val="Normal"/>
    <w:uiPriority w:val="34"/>
    <w:qFormat/>
    <w:rsid w:val="00E0412B"/>
    <w:pPr>
      <w:ind w:left="720"/>
      <w:contextualSpacing/>
    </w:pPr>
  </w:style>
  <w:style w:type="character" w:styleId="CommentReference">
    <w:name w:val="annotation reference"/>
    <w:basedOn w:val="DefaultParagraphFont"/>
    <w:uiPriority w:val="99"/>
    <w:semiHidden/>
    <w:unhideWhenUsed/>
    <w:rsid w:val="006201C1"/>
    <w:rPr>
      <w:sz w:val="16"/>
      <w:szCs w:val="16"/>
    </w:rPr>
  </w:style>
  <w:style w:type="paragraph" w:styleId="CommentText">
    <w:name w:val="annotation text"/>
    <w:basedOn w:val="Normal"/>
    <w:link w:val="CommentTextChar"/>
    <w:uiPriority w:val="99"/>
    <w:unhideWhenUsed/>
    <w:rsid w:val="006201C1"/>
    <w:pPr>
      <w:spacing w:line="240" w:lineRule="auto"/>
    </w:pPr>
    <w:rPr>
      <w:sz w:val="20"/>
      <w:szCs w:val="20"/>
    </w:rPr>
  </w:style>
  <w:style w:type="character" w:customStyle="1" w:styleId="CommentTextChar">
    <w:name w:val="Comment Text Char"/>
    <w:basedOn w:val="DefaultParagraphFont"/>
    <w:link w:val="CommentText"/>
    <w:uiPriority w:val="99"/>
    <w:rsid w:val="006201C1"/>
    <w:rPr>
      <w:sz w:val="20"/>
      <w:szCs w:val="20"/>
    </w:rPr>
  </w:style>
  <w:style w:type="paragraph" w:styleId="CommentSubject">
    <w:name w:val="annotation subject"/>
    <w:basedOn w:val="CommentText"/>
    <w:next w:val="CommentText"/>
    <w:link w:val="CommentSubjectChar"/>
    <w:uiPriority w:val="99"/>
    <w:semiHidden/>
    <w:unhideWhenUsed/>
    <w:rsid w:val="006201C1"/>
    <w:rPr>
      <w:b/>
      <w:bCs/>
    </w:rPr>
  </w:style>
  <w:style w:type="character" w:customStyle="1" w:styleId="CommentSubjectChar">
    <w:name w:val="Comment Subject Char"/>
    <w:basedOn w:val="CommentTextChar"/>
    <w:link w:val="CommentSubject"/>
    <w:uiPriority w:val="99"/>
    <w:semiHidden/>
    <w:rsid w:val="006201C1"/>
    <w:rPr>
      <w:b/>
      <w:bCs/>
      <w:sz w:val="20"/>
      <w:szCs w:val="20"/>
    </w:rPr>
  </w:style>
  <w:style w:type="character" w:styleId="Hyperlink">
    <w:name w:val="Hyperlink"/>
    <w:basedOn w:val="DefaultParagraphFont"/>
    <w:uiPriority w:val="99"/>
    <w:semiHidden/>
    <w:unhideWhenUsed/>
    <w:rsid w:val="00DB6781"/>
    <w:rPr>
      <w:color w:val="0000FF"/>
      <w:u w:val="single"/>
    </w:rPr>
  </w:style>
  <w:style w:type="character" w:styleId="Emphasis">
    <w:name w:val="Emphasis"/>
    <w:basedOn w:val="DefaultParagraphFont"/>
    <w:uiPriority w:val="20"/>
    <w:qFormat/>
    <w:rsid w:val="00B63B38"/>
    <w:rPr>
      <w:i/>
      <w:iCs/>
    </w:rPr>
  </w:style>
  <w:style w:type="table" w:styleId="TableGrid">
    <w:name w:val="Table Grid"/>
    <w:basedOn w:val="TableNormal"/>
    <w:uiPriority w:val="39"/>
    <w:rsid w:val="00171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
    <w:basedOn w:val="Normal"/>
    <w:link w:val="FootnoteTextChar"/>
    <w:uiPriority w:val="99"/>
    <w:unhideWhenUsed/>
    <w:qFormat/>
    <w:rsid w:val="003B4552"/>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3B4552"/>
    <w:rPr>
      <w:sz w:val="20"/>
      <w:szCs w:val="20"/>
    </w:rPr>
  </w:style>
  <w:style w:type="character" w:styleId="FootnoteReference">
    <w:name w:val="footnote reference"/>
    <w:aliases w:val="4_G"/>
    <w:basedOn w:val="DefaultParagraphFont"/>
    <w:uiPriority w:val="99"/>
    <w:unhideWhenUsed/>
    <w:qFormat/>
    <w:rsid w:val="003B4552"/>
    <w:rPr>
      <w:vertAlign w:val="superscript"/>
    </w:rPr>
  </w:style>
  <w:style w:type="character" w:customStyle="1" w:styleId="Heading1Char">
    <w:name w:val="Heading 1 Char"/>
    <w:basedOn w:val="DefaultParagraphFont"/>
    <w:link w:val="Heading1"/>
    <w:uiPriority w:val="9"/>
    <w:rsid w:val="004E25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250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E250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E250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E250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E250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E250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E25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250C"/>
    <w:rPr>
      <w:rFonts w:asciiTheme="majorHAnsi" w:eastAsiaTheme="majorEastAsia" w:hAnsiTheme="majorHAnsi" w:cstheme="majorBidi"/>
      <w:i/>
      <w:iCs/>
      <w:color w:val="272727" w:themeColor="text1" w:themeTint="D8"/>
      <w:sz w:val="21"/>
      <w:szCs w:val="21"/>
    </w:rPr>
  </w:style>
  <w:style w:type="character" w:customStyle="1" w:styleId="SingleTxtGChar">
    <w:name w:val="_ Single Txt_G Char"/>
    <w:link w:val="SingleTxtG"/>
    <w:locked/>
    <w:rsid w:val="00987176"/>
  </w:style>
  <w:style w:type="paragraph" w:customStyle="1" w:styleId="SingleTxtG">
    <w:name w:val="_ Single Txt_G"/>
    <w:basedOn w:val="Normal"/>
    <w:link w:val="SingleTxtGChar"/>
    <w:qFormat/>
    <w:rsid w:val="00987176"/>
    <w:pPr>
      <w:suppressAutoHyphens/>
      <w:spacing w:after="120" w:line="240" w:lineRule="atLeast"/>
      <w:ind w:left="1134" w:right="1134"/>
      <w:jc w:val="both"/>
    </w:pPr>
  </w:style>
  <w:style w:type="paragraph" w:customStyle="1" w:styleId="font8">
    <w:name w:val="font_8"/>
    <w:basedOn w:val="Normal"/>
    <w:rsid w:val="00C1508F"/>
    <w:pPr>
      <w:spacing w:before="100" w:beforeAutospacing="1" w:after="100" w:afterAutospacing="1" w:line="240" w:lineRule="auto"/>
    </w:pPr>
    <w:rPr>
      <w:rFonts w:ascii="Times New Roman" w:eastAsia="Times New Roman" w:hAnsi="Times New Roman" w:cs="Times New Roman"/>
      <w:sz w:val="24"/>
      <w:szCs w:val="24"/>
      <w:lang w:eastAsia="en-GB"/>
      <w14:ligatures w14:val="standardContextual"/>
    </w:rPr>
  </w:style>
  <w:style w:type="table" w:styleId="TableGridLight">
    <w:name w:val="Grid Table Light"/>
    <w:basedOn w:val="TableNormal"/>
    <w:uiPriority w:val="40"/>
    <w:rsid w:val="00AE28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3">
    <w:name w:val="Grid Table 5 Dark Accent 3"/>
    <w:basedOn w:val="TableNormal"/>
    <w:uiPriority w:val="50"/>
    <w:rsid w:val="00AE28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AE28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EE4EC1"/>
    <w:pPr>
      <w:spacing w:after="200" w:line="240" w:lineRule="auto"/>
    </w:pPr>
    <w:rPr>
      <w:i/>
      <w:iCs/>
      <w:color w:val="44546A" w:themeColor="text2"/>
      <w:sz w:val="18"/>
      <w:szCs w:val="18"/>
    </w:rPr>
  </w:style>
  <w:style w:type="paragraph" w:styleId="Header">
    <w:name w:val="header"/>
    <w:basedOn w:val="Normal"/>
    <w:link w:val="HeaderChar"/>
    <w:uiPriority w:val="99"/>
    <w:unhideWhenUsed/>
    <w:rsid w:val="00D95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4A4"/>
  </w:style>
  <w:style w:type="paragraph" w:styleId="Footer">
    <w:name w:val="footer"/>
    <w:basedOn w:val="Normal"/>
    <w:link w:val="FooterChar"/>
    <w:uiPriority w:val="99"/>
    <w:unhideWhenUsed/>
    <w:rsid w:val="00D95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4A4"/>
  </w:style>
  <w:style w:type="paragraph" w:styleId="Revision">
    <w:name w:val="Revision"/>
    <w:hidden/>
    <w:uiPriority w:val="99"/>
    <w:semiHidden/>
    <w:rsid w:val="004E56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9871">
      <w:bodyDiv w:val="1"/>
      <w:marLeft w:val="0"/>
      <w:marRight w:val="0"/>
      <w:marTop w:val="0"/>
      <w:marBottom w:val="0"/>
      <w:divBdr>
        <w:top w:val="none" w:sz="0" w:space="0" w:color="auto"/>
        <w:left w:val="none" w:sz="0" w:space="0" w:color="auto"/>
        <w:bottom w:val="none" w:sz="0" w:space="0" w:color="auto"/>
        <w:right w:val="none" w:sz="0" w:space="0" w:color="auto"/>
      </w:divBdr>
    </w:div>
    <w:div w:id="338822241">
      <w:bodyDiv w:val="1"/>
      <w:marLeft w:val="0"/>
      <w:marRight w:val="0"/>
      <w:marTop w:val="0"/>
      <w:marBottom w:val="0"/>
      <w:divBdr>
        <w:top w:val="none" w:sz="0" w:space="0" w:color="auto"/>
        <w:left w:val="none" w:sz="0" w:space="0" w:color="auto"/>
        <w:bottom w:val="none" w:sz="0" w:space="0" w:color="auto"/>
        <w:right w:val="none" w:sz="0" w:space="0" w:color="auto"/>
      </w:divBdr>
    </w:div>
    <w:div w:id="429278518">
      <w:bodyDiv w:val="1"/>
      <w:marLeft w:val="0"/>
      <w:marRight w:val="0"/>
      <w:marTop w:val="0"/>
      <w:marBottom w:val="0"/>
      <w:divBdr>
        <w:top w:val="none" w:sz="0" w:space="0" w:color="auto"/>
        <w:left w:val="none" w:sz="0" w:space="0" w:color="auto"/>
        <w:bottom w:val="none" w:sz="0" w:space="0" w:color="auto"/>
        <w:right w:val="none" w:sz="0" w:space="0" w:color="auto"/>
      </w:divBdr>
    </w:div>
    <w:div w:id="506402650">
      <w:bodyDiv w:val="1"/>
      <w:marLeft w:val="0"/>
      <w:marRight w:val="0"/>
      <w:marTop w:val="0"/>
      <w:marBottom w:val="0"/>
      <w:divBdr>
        <w:top w:val="none" w:sz="0" w:space="0" w:color="auto"/>
        <w:left w:val="none" w:sz="0" w:space="0" w:color="auto"/>
        <w:bottom w:val="none" w:sz="0" w:space="0" w:color="auto"/>
        <w:right w:val="none" w:sz="0" w:space="0" w:color="auto"/>
      </w:divBdr>
    </w:div>
    <w:div w:id="536434801">
      <w:bodyDiv w:val="1"/>
      <w:marLeft w:val="0"/>
      <w:marRight w:val="0"/>
      <w:marTop w:val="0"/>
      <w:marBottom w:val="0"/>
      <w:divBdr>
        <w:top w:val="none" w:sz="0" w:space="0" w:color="auto"/>
        <w:left w:val="none" w:sz="0" w:space="0" w:color="auto"/>
        <w:bottom w:val="none" w:sz="0" w:space="0" w:color="auto"/>
        <w:right w:val="none" w:sz="0" w:space="0" w:color="auto"/>
      </w:divBdr>
    </w:div>
    <w:div w:id="570387222">
      <w:bodyDiv w:val="1"/>
      <w:marLeft w:val="0"/>
      <w:marRight w:val="0"/>
      <w:marTop w:val="0"/>
      <w:marBottom w:val="0"/>
      <w:divBdr>
        <w:top w:val="none" w:sz="0" w:space="0" w:color="auto"/>
        <w:left w:val="none" w:sz="0" w:space="0" w:color="auto"/>
        <w:bottom w:val="none" w:sz="0" w:space="0" w:color="auto"/>
        <w:right w:val="none" w:sz="0" w:space="0" w:color="auto"/>
      </w:divBdr>
      <w:divsChild>
        <w:div w:id="1908490165">
          <w:marLeft w:val="0"/>
          <w:marRight w:val="0"/>
          <w:marTop w:val="115"/>
          <w:marBottom w:val="0"/>
          <w:divBdr>
            <w:top w:val="none" w:sz="0" w:space="0" w:color="auto"/>
            <w:left w:val="none" w:sz="0" w:space="0" w:color="auto"/>
            <w:bottom w:val="none" w:sz="0" w:space="0" w:color="auto"/>
            <w:right w:val="none" w:sz="0" w:space="0" w:color="auto"/>
          </w:divBdr>
        </w:div>
        <w:div w:id="43021171">
          <w:marLeft w:val="0"/>
          <w:marRight w:val="0"/>
          <w:marTop w:val="115"/>
          <w:marBottom w:val="0"/>
          <w:divBdr>
            <w:top w:val="none" w:sz="0" w:space="0" w:color="auto"/>
            <w:left w:val="none" w:sz="0" w:space="0" w:color="auto"/>
            <w:bottom w:val="none" w:sz="0" w:space="0" w:color="auto"/>
            <w:right w:val="none" w:sz="0" w:space="0" w:color="auto"/>
          </w:divBdr>
        </w:div>
        <w:div w:id="743990">
          <w:marLeft w:val="0"/>
          <w:marRight w:val="0"/>
          <w:marTop w:val="115"/>
          <w:marBottom w:val="0"/>
          <w:divBdr>
            <w:top w:val="none" w:sz="0" w:space="0" w:color="auto"/>
            <w:left w:val="none" w:sz="0" w:space="0" w:color="auto"/>
            <w:bottom w:val="none" w:sz="0" w:space="0" w:color="auto"/>
            <w:right w:val="none" w:sz="0" w:space="0" w:color="auto"/>
          </w:divBdr>
        </w:div>
        <w:div w:id="1377394165">
          <w:marLeft w:val="0"/>
          <w:marRight w:val="0"/>
          <w:marTop w:val="115"/>
          <w:marBottom w:val="0"/>
          <w:divBdr>
            <w:top w:val="none" w:sz="0" w:space="0" w:color="auto"/>
            <w:left w:val="none" w:sz="0" w:space="0" w:color="auto"/>
            <w:bottom w:val="none" w:sz="0" w:space="0" w:color="auto"/>
            <w:right w:val="none" w:sz="0" w:space="0" w:color="auto"/>
          </w:divBdr>
        </w:div>
        <w:div w:id="1468619381">
          <w:marLeft w:val="0"/>
          <w:marRight w:val="0"/>
          <w:marTop w:val="115"/>
          <w:marBottom w:val="0"/>
          <w:divBdr>
            <w:top w:val="none" w:sz="0" w:space="0" w:color="auto"/>
            <w:left w:val="none" w:sz="0" w:space="0" w:color="auto"/>
            <w:bottom w:val="none" w:sz="0" w:space="0" w:color="auto"/>
            <w:right w:val="none" w:sz="0" w:space="0" w:color="auto"/>
          </w:divBdr>
        </w:div>
        <w:div w:id="1589003421">
          <w:marLeft w:val="0"/>
          <w:marRight w:val="0"/>
          <w:marTop w:val="115"/>
          <w:marBottom w:val="0"/>
          <w:divBdr>
            <w:top w:val="none" w:sz="0" w:space="0" w:color="auto"/>
            <w:left w:val="none" w:sz="0" w:space="0" w:color="auto"/>
            <w:bottom w:val="none" w:sz="0" w:space="0" w:color="auto"/>
            <w:right w:val="none" w:sz="0" w:space="0" w:color="auto"/>
          </w:divBdr>
        </w:div>
        <w:div w:id="300162468">
          <w:marLeft w:val="0"/>
          <w:marRight w:val="0"/>
          <w:marTop w:val="115"/>
          <w:marBottom w:val="0"/>
          <w:divBdr>
            <w:top w:val="none" w:sz="0" w:space="0" w:color="auto"/>
            <w:left w:val="none" w:sz="0" w:space="0" w:color="auto"/>
            <w:bottom w:val="none" w:sz="0" w:space="0" w:color="auto"/>
            <w:right w:val="none" w:sz="0" w:space="0" w:color="auto"/>
          </w:divBdr>
        </w:div>
      </w:divsChild>
    </w:div>
    <w:div w:id="655260855">
      <w:bodyDiv w:val="1"/>
      <w:marLeft w:val="0"/>
      <w:marRight w:val="0"/>
      <w:marTop w:val="0"/>
      <w:marBottom w:val="0"/>
      <w:divBdr>
        <w:top w:val="none" w:sz="0" w:space="0" w:color="auto"/>
        <w:left w:val="none" w:sz="0" w:space="0" w:color="auto"/>
        <w:bottom w:val="none" w:sz="0" w:space="0" w:color="auto"/>
        <w:right w:val="none" w:sz="0" w:space="0" w:color="auto"/>
      </w:divBdr>
    </w:div>
    <w:div w:id="655570712">
      <w:bodyDiv w:val="1"/>
      <w:marLeft w:val="0"/>
      <w:marRight w:val="0"/>
      <w:marTop w:val="0"/>
      <w:marBottom w:val="0"/>
      <w:divBdr>
        <w:top w:val="none" w:sz="0" w:space="0" w:color="auto"/>
        <w:left w:val="none" w:sz="0" w:space="0" w:color="auto"/>
        <w:bottom w:val="none" w:sz="0" w:space="0" w:color="auto"/>
        <w:right w:val="none" w:sz="0" w:space="0" w:color="auto"/>
      </w:divBdr>
    </w:div>
    <w:div w:id="958491347">
      <w:bodyDiv w:val="1"/>
      <w:marLeft w:val="0"/>
      <w:marRight w:val="0"/>
      <w:marTop w:val="0"/>
      <w:marBottom w:val="0"/>
      <w:divBdr>
        <w:top w:val="none" w:sz="0" w:space="0" w:color="auto"/>
        <w:left w:val="none" w:sz="0" w:space="0" w:color="auto"/>
        <w:bottom w:val="none" w:sz="0" w:space="0" w:color="auto"/>
        <w:right w:val="none" w:sz="0" w:space="0" w:color="auto"/>
      </w:divBdr>
    </w:div>
    <w:div w:id="1093554954">
      <w:bodyDiv w:val="1"/>
      <w:marLeft w:val="0"/>
      <w:marRight w:val="0"/>
      <w:marTop w:val="0"/>
      <w:marBottom w:val="0"/>
      <w:divBdr>
        <w:top w:val="none" w:sz="0" w:space="0" w:color="auto"/>
        <w:left w:val="none" w:sz="0" w:space="0" w:color="auto"/>
        <w:bottom w:val="none" w:sz="0" w:space="0" w:color="auto"/>
        <w:right w:val="none" w:sz="0" w:space="0" w:color="auto"/>
      </w:divBdr>
    </w:div>
    <w:div w:id="1186865392">
      <w:bodyDiv w:val="1"/>
      <w:marLeft w:val="0"/>
      <w:marRight w:val="0"/>
      <w:marTop w:val="0"/>
      <w:marBottom w:val="0"/>
      <w:divBdr>
        <w:top w:val="none" w:sz="0" w:space="0" w:color="auto"/>
        <w:left w:val="none" w:sz="0" w:space="0" w:color="auto"/>
        <w:bottom w:val="none" w:sz="0" w:space="0" w:color="auto"/>
        <w:right w:val="none" w:sz="0" w:space="0" w:color="auto"/>
      </w:divBdr>
    </w:div>
    <w:div w:id="1250770293">
      <w:bodyDiv w:val="1"/>
      <w:marLeft w:val="0"/>
      <w:marRight w:val="0"/>
      <w:marTop w:val="0"/>
      <w:marBottom w:val="0"/>
      <w:divBdr>
        <w:top w:val="none" w:sz="0" w:space="0" w:color="auto"/>
        <w:left w:val="none" w:sz="0" w:space="0" w:color="auto"/>
        <w:bottom w:val="none" w:sz="0" w:space="0" w:color="auto"/>
        <w:right w:val="none" w:sz="0" w:space="0" w:color="auto"/>
      </w:divBdr>
    </w:div>
    <w:div w:id="1538465049">
      <w:bodyDiv w:val="1"/>
      <w:marLeft w:val="0"/>
      <w:marRight w:val="0"/>
      <w:marTop w:val="0"/>
      <w:marBottom w:val="0"/>
      <w:divBdr>
        <w:top w:val="none" w:sz="0" w:space="0" w:color="auto"/>
        <w:left w:val="none" w:sz="0" w:space="0" w:color="auto"/>
        <w:bottom w:val="none" w:sz="0" w:space="0" w:color="auto"/>
        <w:right w:val="none" w:sz="0" w:space="0" w:color="auto"/>
      </w:divBdr>
    </w:div>
    <w:div w:id="1705864414">
      <w:bodyDiv w:val="1"/>
      <w:marLeft w:val="0"/>
      <w:marRight w:val="0"/>
      <w:marTop w:val="0"/>
      <w:marBottom w:val="0"/>
      <w:divBdr>
        <w:top w:val="none" w:sz="0" w:space="0" w:color="auto"/>
        <w:left w:val="none" w:sz="0" w:space="0" w:color="auto"/>
        <w:bottom w:val="none" w:sz="0" w:space="0" w:color="auto"/>
        <w:right w:val="none" w:sz="0" w:space="0" w:color="auto"/>
      </w:divBdr>
    </w:div>
    <w:div w:id="1796413720">
      <w:bodyDiv w:val="1"/>
      <w:marLeft w:val="0"/>
      <w:marRight w:val="0"/>
      <w:marTop w:val="0"/>
      <w:marBottom w:val="0"/>
      <w:divBdr>
        <w:top w:val="none" w:sz="0" w:space="0" w:color="auto"/>
        <w:left w:val="none" w:sz="0" w:space="0" w:color="auto"/>
        <w:bottom w:val="none" w:sz="0" w:space="0" w:color="auto"/>
        <w:right w:val="none" w:sz="0" w:space="0" w:color="auto"/>
      </w:divBdr>
    </w:div>
    <w:div w:id="1890994230">
      <w:bodyDiv w:val="1"/>
      <w:marLeft w:val="0"/>
      <w:marRight w:val="0"/>
      <w:marTop w:val="0"/>
      <w:marBottom w:val="0"/>
      <w:divBdr>
        <w:top w:val="none" w:sz="0" w:space="0" w:color="auto"/>
        <w:left w:val="none" w:sz="0" w:space="0" w:color="auto"/>
        <w:bottom w:val="none" w:sz="0" w:space="0" w:color="auto"/>
        <w:right w:val="none" w:sz="0" w:space="0" w:color="auto"/>
      </w:divBdr>
    </w:div>
    <w:div w:id="20977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167B7-EA9F-4D7B-A3C9-A46028CC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Ympäristöhallinto</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Justine Raoult</dc:creator>
  <cp:lastModifiedBy>Annie Thornton</cp:lastModifiedBy>
  <cp:revision>2</cp:revision>
  <dcterms:created xsi:type="dcterms:W3CDTF">2023-09-06T09:59:00Z</dcterms:created>
  <dcterms:modified xsi:type="dcterms:W3CDTF">2023-09-06T09:59:00Z</dcterms:modified>
</cp:coreProperties>
</file>