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D69" w14:textId="067214CF" w:rsidR="00154A42" w:rsidRDefault="00AE22A3" w:rsidP="00227A0F">
      <w:pPr>
        <w:pStyle w:val="1stpg-AetherLetterheading"/>
        <w:rPr>
          <w:sz w:val="40"/>
          <w:szCs w:val="40"/>
        </w:rPr>
      </w:pPr>
      <w:r>
        <w:rPr>
          <w:sz w:val="40"/>
          <w:szCs w:val="40"/>
        </w:rPr>
        <w:t xml:space="preserve">Hydrogen Combustion </w:t>
      </w:r>
      <w:r w:rsidR="006356FF">
        <w:rPr>
          <w:sz w:val="40"/>
          <w:szCs w:val="40"/>
        </w:rPr>
        <w:t>Emission Factors</w:t>
      </w:r>
    </w:p>
    <w:p w14:paraId="5704D487" w14:textId="77777777" w:rsidR="00A072BB" w:rsidRPr="00B7195B" w:rsidRDefault="00A072BB" w:rsidP="00A072BB">
      <w:pPr>
        <w:pStyle w:val="Aethernormal"/>
        <w:spacing w:before="0" w:after="0"/>
      </w:pPr>
    </w:p>
    <w:tbl>
      <w:tblPr>
        <w:tblW w:w="79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36"/>
        <w:gridCol w:w="5402"/>
      </w:tblGrid>
      <w:tr w:rsidR="00A072BB" w:rsidRPr="00DA72E5" w14:paraId="467BD5A1" w14:textId="77777777" w:rsidTr="00C16068">
        <w:tc>
          <w:tcPr>
            <w:tcW w:w="2536" w:type="dxa"/>
            <w:shd w:val="clear" w:color="auto" w:fill="0599C7"/>
          </w:tcPr>
          <w:p w14:paraId="6F5A1967" w14:textId="77777777" w:rsidR="00A072BB" w:rsidRPr="00DA72E5" w:rsidRDefault="00A072BB" w:rsidP="00A072BB">
            <w:pPr>
              <w:pStyle w:val="AetherTableHeadingleftaligned"/>
              <w:spacing w:before="0" w:after="0"/>
            </w:pPr>
            <w:r w:rsidRPr="00DA72E5">
              <w:t>Author(s)</w:t>
            </w:r>
          </w:p>
        </w:tc>
        <w:tc>
          <w:tcPr>
            <w:tcW w:w="5402" w:type="dxa"/>
            <w:shd w:val="clear" w:color="auto" w:fill="F2F2F2"/>
          </w:tcPr>
          <w:p w14:paraId="6E8D86DE" w14:textId="33F1E19F" w:rsidR="00A072BB" w:rsidRPr="00DA72E5" w:rsidRDefault="00AE22A3" w:rsidP="00A072BB">
            <w:pPr>
              <w:pStyle w:val="AetherTableTextleftaligned"/>
              <w:spacing w:before="0" w:after="0"/>
            </w:pPr>
            <w:r>
              <w:t>Jill Mitchell</w:t>
            </w:r>
            <w:r w:rsidR="00755469">
              <w:t>, Melanie Hobson</w:t>
            </w:r>
          </w:p>
        </w:tc>
      </w:tr>
      <w:tr w:rsidR="00A072BB" w:rsidRPr="00DA72E5" w14:paraId="560584AB" w14:textId="77777777" w:rsidTr="00C16068">
        <w:tc>
          <w:tcPr>
            <w:tcW w:w="2536" w:type="dxa"/>
            <w:shd w:val="clear" w:color="auto" w:fill="0599C7"/>
          </w:tcPr>
          <w:p w14:paraId="17BF5962" w14:textId="77777777" w:rsidR="00A072BB" w:rsidRPr="00DA72E5" w:rsidRDefault="00A072BB" w:rsidP="00A072BB">
            <w:pPr>
              <w:pStyle w:val="AetherTableHeadingleftaligned"/>
              <w:spacing w:before="0" w:after="0"/>
            </w:pPr>
            <w:r w:rsidRPr="00DA72E5">
              <w:t>Review</w:t>
            </w:r>
            <w:r>
              <w:t>ed</w:t>
            </w:r>
            <w:r w:rsidRPr="00DA72E5">
              <w:t xml:space="preserve"> by</w:t>
            </w:r>
          </w:p>
        </w:tc>
        <w:tc>
          <w:tcPr>
            <w:tcW w:w="5402" w:type="dxa"/>
            <w:shd w:val="clear" w:color="auto" w:fill="F2F2F2"/>
          </w:tcPr>
          <w:p w14:paraId="22D4BA8D" w14:textId="77777777" w:rsidR="00A072BB" w:rsidRPr="00DA72E5" w:rsidRDefault="00A072BB" w:rsidP="00A072BB">
            <w:pPr>
              <w:pStyle w:val="AetherTableTextleftaligned"/>
              <w:spacing w:before="0" w:after="0"/>
            </w:pPr>
            <w:r>
              <w:t>Chris Dore</w:t>
            </w:r>
          </w:p>
        </w:tc>
      </w:tr>
      <w:tr w:rsidR="00A072BB" w:rsidRPr="00DA72E5" w14:paraId="0BC5C256" w14:textId="77777777" w:rsidTr="00C16068">
        <w:tc>
          <w:tcPr>
            <w:tcW w:w="2536" w:type="dxa"/>
            <w:shd w:val="clear" w:color="auto" w:fill="0599C7"/>
          </w:tcPr>
          <w:p w14:paraId="45399D61" w14:textId="77777777" w:rsidR="00A072BB" w:rsidRPr="00DA72E5" w:rsidRDefault="00A072BB" w:rsidP="00A072BB">
            <w:pPr>
              <w:pStyle w:val="AetherTableHeadingleftaligned"/>
              <w:spacing w:before="0" w:after="0"/>
            </w:pPr>
            <w:r w:rsidRPr="00DA72E5">
              <w:t>Date</w:t>
            </w:r>
          </w:p>
        </w:tc>
        <w:tc>
          <w:tcPr>
            <w:tcW w:w="5402" w:type="dxa"/>
            <w:shd w:val="clear" w:color="auto" w:fill="F2F2F2"/>
          </w:tcPr>
          <w:p w14:paraId="4E577239" w14:textId="14710F1A" w:rsidR="00A072BB" w:rsidRPr="00CC1716" w:rsidRDefault="00755469" w:rsidP="00A072BB">
            <w:pPr>
              <w:pStyle w:val="AetherTableTextleftaligned"/>
              <w:spacing w:before="0" w:after="0"/>
            </w:pPr>
            <w:r>
              <w:t>08/03/2023</w:t>
            </w:r>
          </w:p>
        </w:tc>
      </w:tr>
    </w:tbl>
    <w:p w14:paraId="40016157" w14:textId="77777777" w:rsidR="00A072BB" w:rsidRPr="00A072BB" w:rsidRDefault="00A072BB" w:rsidP="00A072BB">
      <w:pPr>
        <w:pStyle w:val="Aethernormal"/>
      </w:pPr>
    </w:p>
    <w:p w14:paraId="58A56A78" w14:textId="77777777" w:rsidR="00755469" w:rsidRDefault="00755469" w:rsidP="00755469">
      <w:pPr>
        <w:pStyle w:val="1stpg-AetherLetterheading"/>
        <w:numPr>
          <w:ilvl w:val="0"/>
          <w:numId w:val="32"/>
        </w:numPr>
      </w:pPr>
      <w:r>
        <w:t>Introduction</w:t>
      </w:r>
    </w:p>
    <w:p w14:paraId="5CF26D63" w14:textId="5A4DD62F" w:rsidR="00755469" w:rsidRPr="00253E05" w:rsidRDefault="00755469" w:rsidP="00755469">
      <w:pPr>
        <w:rPr>
          <w:b/>
          <w:bCs/>
        </w:rPr>
      </w:pPr>
      <w:r w:rsidRPr="00253E05">
        <w:rPr>
          <w:b/>
          <w:bCs/>
        </w:rPr>
        <w:t xml:space="preserve">Hydrogen </w:t>
      </w:r>
      <w:r>
        <w:rPr>
          <w:b/>
          <w:bCs/>
        </w:rPr>
        <w:t>production</w:t>
      </w:r>
      <w:r w:rsidRPr="00253E05">
        <w:rPr>
          <w:b/>
          <w:bCs/>
        </w:rPr>
        <w:t xml:space="preserve"> in a low/decarbonised economy</w:t>
      </w:r>
    </w:p>
    <w:p w14:paraId="5B5B491A" w14:textId="0480820F" w:rsidR="00755469" w:rsidRDefault="00755469" w:rsidP="00755469">
      <w:proofErr w:type="gramStart"/>
      <w:r>
        <w:t>In an effort to</w:t>
      </w:r>
      <w:proofErr w:type="gramEnd"/>
      <w:r>
        <w:t xml:space="preserve"> combat rising greenhouse gas emissions, decarbonisation efforts aim to shift away from fossil fuel dependence. Along with electrification, hydrogen </w:t>
      </w:r>
      <w:r w:rsidR="000C0C4F">
        <w:t xml:space="preserve">is </w:t>
      </w:r>
      <w:r>
        <w:t xml:space="preserve">potential alternatives to fossil fuels. Although hydrogen </w:t>
      </w:r>
      <w:r w:rsidR="000C0C4F">
        <w:t xml:space="preserve">has </w:t>
      </w:r>
      <w:r>
        <w:t xml:space="preserve">no carbon emissions associated with </w:t>
      </w:r>
      <w:proofErr w:type="spellStart"/>
      <w:proofErr w:type="gramStart"/>
      <w:r w:rsidR="000C0C4F">
        <w:t>it’s</w:t>
      </w:r>
      <w:proofErr w:type="spellEnd"/>
      <w:proofErr w:type="gramEnd"/>
      <w:r w:rsidR="000C0C4F">
        <w:t xml:space="preserve"> </w:t>
      </w:r>
      <w:r>
        <w:t>combustion, historical production of hydrogen has been based on natural gas. Rather than typical production of “grey” hydrogen, “green” hydrogen is produced from renewable energy sources and “blue” hydrogen using natural gas with carbon capture. This “green” or “blue” hydrogen can then be used with no associated carbon emissions</w:t>
      </w:r>
      <w:r w:rsidR="000C0C4F">
        <w:t xml:space="preserve"> and can therefore contribute to </w:t>
      </w:r>
      <w:r>
        <w:t xml:space="preserve">decarbonisation. Fuel cell technology allows the chemical energy from hydrogen to be extracted at high efficiency with no NOx formation in hydrogen fuel cells </w:t>
      </w:r>
      <w:r w:rsidRPr="008B67AC">
        <w:rPr>
          <w:rFonts w:cs="Calibri"/>
        </w:rPr>
        <w:t>(</w:t>
      </w:r>
      <w:proofErr w:type="spellStart"/>
      <w:r w:rsidRPr="008B67AC">
        <w:rPr>
          <w:rFonts w:cs="Calibri"/>
        </w:rPr>
        <w:t>Jeerh</w:t>
      </w:r>
      <w:proofErr w:type="spellEnd"/>
      <w:r w:rsidRPr="008B67AC">
        <w:rPr>
          <w:rFonts w:cs="Calibri"/>
        </w:rPr>
        <w:t xml:space="preserve"> et al., 2021; </w:t>
      </w:r>
      <w:proofErr w:type="spellStart"/>
      <w:r w:rsidRPr="008B67AC">
        <w:rPr>
          <w:rFonts w:cs="Calibri"/>
        </w:rPr>
        <w:t>Staffell</w:t>
      </w:r>
      <w:proofErr w:type="spellEnd"/>
      <w:r w:rsidRPr="008B67AC">
        <w:rPr>
          <w:rFonts w:cs="Calibri"/>
        </w:rPr>
        <w:t xml:space="preserve"> et al., 2019)</w:t>
      </w:r>
      <w:r>
        <w:t>.</w:t>
      </w:r>
    </w:p>
    <w:p w14:paraId="581057FD" w14:textId="77777777" w:rsidR="00755469" w:rsidRPr="00253E05" w:rsidRDefault="00755469" w:rsidP="00755469">
      <w:pPr>
        <w:rPr>
          <w:b/>
          <w:bCs/>
        </w:rPr>
      </w:pPr>
      <w:r w:rsidRPr="00253E05">
        <w:rPr>
          <w:b/>
          <w:bCs/>
        </w:rPr>
        <w:t xml:space="preserve">NOx and PM emissions </w:t>
      </w:r>
    </w:p>
    <w:p w14:paraId="060C742F" w14:textId="510A261B" w:rsidR="00755469" w:rsidRDefault="00755469" w:rsidP="00755469">
      <w:r>
        <w:t xml:space="preserve">Compared to natural gas, combustion of hydrogen is associated with greater NOx emissions due to increased burn temperatures </w:t>
      </w:r>
      <w:r w:rsidRPr="008B67AC">
        <w:rPr>
          <w:rFonts w:cs="Calibri"/>
        </w:rPr>
        <w:t>(Lewis, 2021)</w:t>
      </w:r>
      <w:r>
        <w:t xml:space="preserve">, but there is a reduction in primary PM from hydrogen combustion </w:t>
      </w:r>
      <w:r w:rsidRPr="006530D5">
        <w:rPr>
          <w:rFonts w:cs="Calibri"/>
        </w:rPr>
        <w:t>(</w:t>
      </w:r>
      <w:proofErr w:type="spellStart"/>
      <w:r w:rsidRPr="006530D5">
        <w:rPr>
          <w:rFonts w:cs="Calibri"/>
        </w:rPr>
        <w:t>Laursen</w:t>
      </w:r>
      <w:proofErr w:type="spellEnd"/>
      <w:r w:rsidRPr="006530D5">
        <w:rPr>
          <w:rFonts w:cs="Calibri"/>
        </w:rPr>
        <w:t xml:space="preserve"> et al., 2022; Miller et al., 2007)</w:t>
      </w:r>
      <w:r>
        <w:t>.</w:t>
      </w:r>
    </w:p>
    <w:p w14:paraId="26D1D870" w14:textId="22897D1A" w:rsidR="00755469" w:rsidRDefault="00755469" w:rsidP="00755469">
      <w:r>
        <w:t xml:space="preserve">Although NOx emissions may be higher from hydrogen combustion than current sources, there are widely used aftertreatment strategies that could be applied to hydrogen combustion alternatives </w:t>
      </w:r>
      <w:r w:rsidRPr="008B67AC">
        <w:rPr>
          <w:rFonts w:cs="Calibri"/>
        </w:rPr>
        <w:t>(Lewis, 2021)</w:t>
      </w:r>
      <w:r>
        <w:t xml:space="preserve">. In this </w:t>
      </w:r>
      <w:r w:rsidR="000C0C4F">
        <w:t xml:space="preserve">short </w:t>
      </w:r>
      <w:r>
        <w:t xml:space="preserve">report, </w:t>
      </w:r>
      <w:r w:rsidR="000C0C4F">
        <w:t xml:space="preserve">information is presented that could be incorporated into international guidance, such as the </w:t>
      </w:r>
      <w:r>
        <w:t xml:space="preserve">EMEP/EEA </w:t>
      </w:r>
      <w:r w:rsidR="00E40984">
        <w:t xml:space="preserve">Air Pollutant Emissions Inventory </w:t>
      </w:r>
      <w:r>
        <w:t xml:space="preserve">Guidebook for hydrogen combustion in aviation, and domestic and commercial boilers. These source sectors have been identified as having more limited aftertreatment options </w:t>
      </w:r>
      <w:r w:rsidRPr="008B67AC">
        <w:rPr>
          <w:rFonts w:cs="Calibri"/>
        </w:rPr>
        <w:t>(Lewis, 2021)</w:t>
      </w:r>
      <w:r>
        <w:t xml:space="preserve">. Other sectors could be assumed to be similar to current </w:t>
      </w:r>
      <w:r w:rsidR="000C0C4F">
        <w:t xml:space="preserve">natural </w:t>
      </w:r>
      <w:proofErr w:type="gramStart"/>
      <w:r w:rsidR="000C0C4F">
        <w:t>gas  use</w:t>
      </w:r>
      <w:proofErr w:type="gramEnd"/>
      <w:r w:rsidR="000C0C4F">
        <w:t xml:space="preserve"> </w:t>
      </w:r>
      <w:r>
        <w:t>due to emissions regulations.</w:t>
      </w:r>
    </w:p>
    <w:p w14:paraId="5B68FE5A" w14:textId="77777777" w:rsidR="00755469" w:rsidRDefault="00755469" w:rsidP="00755469">
      <w:pPr>
        <w:pStyle w:val="1stpg-AetherLetterheading"/>
        <w:numPr>
          <w:ilvl w:val="0"/>
          <w:numId w:val="32"/>
        </w:numPr>
      </w:pPr>
      <w:r>
        <w:t>Gas turbines in power plants</w:t>
      </w:r>
    </w:p>
    <w:p w14:paraId="65F2AF57" w14:textId="77777777" w:rsidR="00755469" w:rsidRPr="0099785E" w:rsidRDefault="00755469" w:rsidP="00755469">
      <w:pPr>
        <w:rPr>
          <w:b/>
          <w:bCs/>
        </w:rPr>
      </w:pPr>
      <w:r w:rsidRPr="0099785E">
        <w:rPr>
          <w:b/>
          <w:bCs/>
        </w:rPr>
        <w:t>Combustion conditions for hydrogen</w:t>
      </w:r>
    </w:p>
    <w:p w14:paraId="597222E3" w14:textId="3888F076" w:rsidR="00E40984" w:rsidRDefault="00E40984" w:rsidP="00755469">
      <w:r>
        <w:t>It is generally thought that there is limited scope for the use of hydrogen as a fuel in large point sources. But it is considered here for completeness.</w:t>
      </w:r>
    </w:p>
    <w:p w14:paraId="2A3D84FB" w14:textId="0CD16DE8" w:rsidR="00755469" w:rsidRDefault="00755469" w:rsidP="00755469">
      <w:r>
        <w:t>Using hydrogen in a natural gas turbine engine at full power requires higher equivalence ratios (</w:t>
      </w:r>
      <w:proofErr w:type="gramStart"/>
      <w:r>
        <w:t>i.e.</w:t>
      </w:r>
      <w:proofErr w:type="gramEnd"/>
      <w:r>
        <w:t xml:space="preserve"> “fuel rich” combustion conditions) than natural gas, and this results in greater NO formation </w:t>
      </w:r>
      <w:r w:rsidRPr="007B2E45">
        <w:rPr>
          <w:rFonts w:cs="Calibri"/>
        </w:rPr>
        <w:t>(</w:t>
      </w:r>
      <w:proofErr w:type="spellStart"/>
      <w:r w:rsidRPr="007B2E45">
        <w:rPr>
          <w:rFonts w:cs="Calibri"/>
        </w:rPr>
        <w:t>Therkelsen</w:t>
      </w:r>
      <w:proofErr w:type="spellEnd"/>
      <w:r w:rsidRPr="007B2E45">
        <w:rPr>
          <w:rFonts w:cs="Calibri"/>
        </w:rPr>
        <w:t xml:space="preserve"> et al., 2009)</w:t>
      </w:r>
      <w:r>
        <w:t xml:space="preserve">. It was found that even at lower equivalence ratios, the NO emissions were greater for hydrogen than for natural gas. As shown in </w:t>
      </w:r>
      <w:r w:rsidRPr="004B3531">
        <w:t>Figure 1</w:t>
      </w:r>
      <w:r>
        <w:t xml:space="preserve">, low equivalence ratios are associated with lower mechanical efficiency, so would be undesirable. Therefore, burner design is likely to be very important in reducing NOx emissions, and current natural gas burners are unlikely to be sufficient without changes that are specific to hydrogen combustion. </w:t>
      </w:r>
    </w:p>
    <w:p w14:paraId="15236C00" w14:textId="77777777" w:rsidR="00755469" w:rsidRDefault="00755469" w:rsidP="00755469">
      <w:pPr>
        <w:keepNext/>
      </w:pPr>
      <w:r w:rsidRPr="00F23142">
        <w:rPr>
          <w:noProof/>
        </w:rPr>
        <w:lastRenderedPageBreak/>
        <w:drawing>
          <wp:inline distT="0" distB="0" distL="0" distR="0" wp14:anchorId="7AC7841B" wp14:editId="53240A80">
            <wp:extent cx="5089585" cy="3445881"/>
            <wp:effectExtent l="0" t="0" r="0" b="254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9"/>
                    <a:srcRect b="35680"/>
                    <a:stretch/>
                  </pic:blipFill>
                  <pic:spPr bwMode="auto">
                    <a:xfrm>
                      <a:off x="0" y="0"/>
                      <a:ext cx="5112397" cy="3461326"/>
                    </a:xfrm>
                    <a:prstGeom prst="rect">
                      <a:avLst/>
                    </a:prstGeom>
                    <a:ln>
                      <a:noFill/>
                    </a:ln>
                    <a:extLst>
                      <a:ext uri="{53640926-AAD7-44D8-BBD7-CCE9431645EC}">
                        <a14:shadowObscured xmlns:a14="http://schemas.microsoft.com/office/drawing/2010/main"/>
                      </a:ext>
                    </a:extLst>
                  </pic:spPr>
                </pic:pic>
              </a:graphicData>
            </a:graphic>
          </wp:inline>
        </w:drawing>
      </w:r>
    </w:p>
    <w:p w14:paraId="0AF2F52D" w14:textId="77777777" w:rsidR="00755469" w:rsidRPr="000C0C4F" w:rsidRDefault="00755469" w:rsidP="00755469">
      <w:pPr>
        <w:pStyle w:val="Caption"/>
        <w:rPr>
          <w:color w:val="808080" w:themeColor="background1" w:themeShade="80"/>
        </w:rPr>
      </w:pPr>
      <w:r w:rsidRPr="000C0C4F">
        <w:rPr>
          <w:color w:val="808080" w:themeColor="background1" w:themeShade="80"/>
        </w:rPr>
        <w:t xml:space="preserve">Figure </w:t>
      </w:r>
      <w:r w:rsidR="006356FF" w:rsidRPr="000C0C4F">
        <w:rPr>
          <w:color w:val="808080" w:themeColor="background1" w:themeShade="80"/>
        </w:rPr>
        <w:fldChar w:fldCharType="begin"/>
      </w:r>
      <w:r w:rsidR="006356FF" w:rsidRPr="000C0C4F">
        <w:rPr>
          <w:color w:val="808080" w:themeColor="background1" w:themeShade="80"/>
        </w:rPr>
        <w:instrText xml:space="preserve"> SEQ Figure \* ARABIC </w:instrText>
      </w:r>
      <w:r w:rsidR="006356FF" w:rsidRPr="000C0C4F">
        <w:rPr>
          <w:color w:val="808080" w:themeColor="background1" w:themeShade="80"/>
        </w:rPr>
        <w:fldChar w:fldCharType="separate"/>
      </w:r>
      <w:r w:rsidRPr="000C0C4F">
        <w:rPr>
          <w:noProof/>
          <w:color w:val="808080" w:themeColor="background1" w:themeShade="80"/>
        </w:rPr>
        <w:t>1</w:t>
      </w:r>
      <w:r w:rsidR="006356FF" w:rsidRPr="000C0C4F">
        <w:rPr>
          <w:noProof/>
          <w:color w:val="808080" w:themeColor="background1" w:themeShade="80"/>
        </w:rPr>
        <w:fldChar w:fldCharType="end"/>
      </w:r>
      <w:r w:rsidRPr="000C0C4F">
        <w:rPr>
          <w:color w:val="808080" w:themeColor="background1" w:themeShade="80"/>
        </w:rPr>
        <w:t xml:space="preserve"> – “The variation of mechanical efficiency, combustion temperature and NOx emissions as a function of the equivalence ratio. The equivalence ratio is a measure of the amount of fuel relative to the amount of air. A ratio of 1 means that the amount of oxygen supplied in the air exactly matches the amount of fuel available for all the fuel to be burned with no excess. ‘Fuel lean’ means there is more oxygen available than there is fuel to burn, and ‘fuel rich’ more fuel than oxygen to completely combust it.” </w:t>
      </w:r>
      <w:r w:rsidRPr="000C0C4F">
        <w:rPr>
          <w:rFonts w:ascii="Calibri" w:hAnsi="Calibri" w:cs="Calibri"/>
          <w:color w:val="808080" w:themeColor="background1" w:themeShade="80"/>
        </w:rPr>
        <w:t>(Lewis, 2021)</w:t>
      </w:r>
    </w:p>
    <w:p w14:paraId="25B4632A" w14:textId="77777777" w:rsidR="00755469" w:rsidRPr="0099785E" w:rsidRDefault="00755469" w:rsidP="00755469">
      <w:pPr>
        <w:rPr>
          <w:b/>
          <w:bCs/>
        </w:rPr>
      </w:pPr>
      <w:r w:rsidRPr="0099785E">
        <w:rPr>
          <w:b/>
          <w:bCs/>
        </w:rPr>
        <w:t>Emission</w:t>
      </w:r>
      <w:r>
        <w:rPr>
          <w:b/>
          <w:bCs/>
        </w:rPr>
        <w:t>s and</w:t>
      </w:r>
      <w:r w:rsidRPr="0099785E">
        <w:rPr>
          <w:b/>
          <w:bCs/>
        </w:rPr>
        <w:t xml:space="preserve"> </w:t>
      </w:r>
      <w:r>
        <w:rPr>
          <w:b/>
          <w:bCs/>
        </w:rPr>
        <w:t xml:space="preserve">emissions </w:t>
      </w:r>
      <w:r w:rsidRPr="0099785E">
        <w:rPr>
          <w:b/>
          <w:bCs/>
        </w:rPr>
        <w:t xml:space="preserve">control </w:t>
      </w:r>
    </w:p>
    <w:p w14:paraId="144D155B" w14:textId="77777777" w:rsidR="00755469" w:rsidRDefault="00755469" w:rsidP="00755469">
      <w:r>
        <w:t xml:space="preserve">There is the potential for NOx emission control strategies to be applied to hydrogen fuelled gas turbine combustion systems. For example, Dry Low Emission (DLE) gas turbine combustion systems were developed to reduce NOx emissions (usually below 25 </w:t>
      </w:r>
      <w:proofErr w:type="spellStart"/>
      <w:r>
        <w:t>ppmv</w:t>
      </w:r>
      <w:proofErr w:type="spellEnd"/>
      <w:r>
        <w:t xml:space="preserve">) and are widely used </w:t>
      </w:r>
      <w:r w:rsidRPr="00E27F71">
        <w:rPr>
          <w:rFonts w:cs="Calibri"/>
        </w:rPr>
        <w:t>(Faqih et al., 2022)</w:t>
      </w:r>
      <w:r>
        <w:t xml:space="preserve">. However, DLE hydrogen combustion cannot directly use DLE gas turbine combustion systems as hydrogen </w:t>
      </w:r>
      <w:proofErr w:type="gramStart"/>
      <w:r>
        <w:t>has</w:t>
      </w:r>
      <w:proofErr w:type="gramEnd"/>
      <w:r>
        <w:t xml:space="preserve"> different physical properties to natural gas and similar fuels </w:t>
      </w:r>
      <w:r w:rsidRPr="005150F9">
        <w:rPr>
          <w:rFonts w:cs="Calibri"/>
        </w:rPr>
        <w:t>(</w:t>
      </w:r>
      <w:proofErr w:type="spellStart"/>
      <w:r w:rsidRPr="005150F9">
        <w:rPr>
          <w:rFonts w:cs="Calibri"/>
        </w:rPr>
        <w:t>Tekin</w:t>
      </w:r>
      <w:proofErr w:type="spellEnd"/>
      <w:r w:rsidRPr="005150F9">
        <w:rPr>
          <w:rFonts w:cs="Calibri"/>
        </w:rPr>
        <w:t xml:space="preserve"> et al., 2019)</w:t>
      </w:r>
      <w:r>
        <w:t xml:space="preserve">. Instead, the Micro-Mix DLE combustion chamber was developed for hydrogen using </w:t>
      </w:r>
      <w:proofErr w:type="gramStart"/>
      <w:r>
        <w:t>cross-flow</w:t>
      </w:r>
      <w:proofErr w:type="gramEnd"/>
      <w:r>
        <w:t xml:space="preserve"> mixing of air and gaseous hydrogen so that combustion occurs in multiple smaller “diffusion-type” flames. This results in low NOx emissions due to a short residence time of the reactants in the hot flame region. Furthermore, this low NOx gas turbine combustion system can switch between burning natural gas, natural gas/hydrogen mixtures, and 100% hydrogen. </w:t>
      </w:r>
    </w:p>
    <w:p w14:paraId="6C390864" w14:textId="66A2AD1B" w:rsidR="00755469" w:rsidRPr="00C67994" w:rsidRDefault="00755469" w:rsidP="00755469">
      <w:r>
        <w:t xml:space="preserve">As there are extensive aftertreatment possibilities for gas turbines in power plants </w:t>
      </w:r>
      <w:r w:rsidRPr="006530D5">
        <w:rPr>
          <w:rFonts w:cs="Calibri"/>
        </w:rPr>
        <w:t>(Lewis, 2021)</w:t>
      </w:r>
      <w:r>
        <w:t xml:space="preserve">, </w:t>
      </w:r>
      <w:r w:rsidR="000C0C4F">
        <w:t xml:space="preserve">it is recommended that </w:t>
      </w:r>
      <w:r>
        <w:t xml:space="preserve">NOx emission factors for hydrogen combustion </w:t>
      </w:r>
      <w:r w:rsidR="000C0C4F">
        <w:t xml:space="preserve">are assumed to be </w:t>
      </w:r>
      <w:r>
        <w:t xml:space="preserve">similar to current values for natural gas combustion </w:t>
      </w:r>
      <w:r w:rsidR="00E40984">
        <w:t xml:space="preserve">currently reported in the </w:t>
      </w:r>
      <w:r>
        <w:t>EMEP/EEA Guidebook.</w:t>
      </w:r>
    </w:p>
    <w:p w14:paraId="6303D757" w14:textId="77777777" w:rsidR="00755469" w:rsidRDefault="00755469" w:rsidP="00755469">
      <w:pPr>
        <w:pStyle w:val="1stpg-AetherLetterheading"/>
        <w:numPr>
          <w:ilvl w:val="0"/>
          <w:numId w:val="32"/>
        </w:numPr>
      </w:pPr>
      <w:r>
        <w:t>Internal combustion engines</w:t>
      </w:r>
    </w:p>
    <w:p w14:paraId="25691DEB" w14:textId="51AFDBC6" w:rsidR="00755469" w:rsidRDefault="00487E1B" w:rsidP="00755469">
      <w:r>
        <w:t xml:space="preserve">The introduction of hydrogen to the road transport vehicle fleet is broadly considered to unlikely on a large scale, unless it is produced from hydrogen fuel cells. </w:t>
      </w:r>
      <w:r w:rsidR="00755469">
        <w:t xml:space="preserve">As with other applications, simply replacing current fuels with hydrogen in internal combustion engines is likely to result in an increase in NOx emissions </w:t>
      </w:r>
      <w:r w:rsidR="00755469" w:rsidRPr="004177DC">
        <w:rPr>
          <w:rFonts w:cs="Calibri"/>
        </w:rPr>
        <w:t>(Guo et al., 2020)</w:t>
      </w:r>
      <w:r w:rsidR="00755469">
        <w:t xml:space="preserve"> due to factors such as higher combustion temperatures. In internal combustion engines, NOx emissions depend on the engine load and hydrogen-air ratio </w:t>
      </w:r>
      <w:r w:rsidR="00755469" w:rsidRPr="00C56659">
        <w:rPr>
          <w:rFonts w:cs="Calibri"/>
        </w:rPr>
        <w:t>(</w:t>
      </w:r>
      <w:proofErr w:type="spellStart"/>
      <w:r w:rsidR="00755469" w:rsidRPr="00C56659">
        <w:rPr>
          <w:rFonts w:cs="Calibri"/>
        </w:rPr>
        <w:t>Verhelst</w:t>
      </w:r>
      <w:proofErr w:type="spellEnd"/>
      <w:r w:rsidR="00755469" w:rsidRPr="00C56659">
        <w:rPr>
          <w:rFonts w:cs="Calibri"/>
        </w:rPr>
        <w:t xml:space="preserve"> and </w:t>
      </w:r>
      <w:proofErr w:type="spellStart"/>
      <w:r w:rsidR="00755469" w:rsidRPr="00C56659">
        <w:rPr>
          <w:rFonts w:cs="Calibri"/>
        </w:rPr>
        <w:t>Wallner</w:t>
      </w:r>
      <w:proofErr w:type="spellEnd"/>
      <w:r w:rsidR="00755469" w:rsidRPr="00C56659">
        <w:rPr>
          <w:rFonts w:cs="Calibri"/>
        </w:rPr>
        <w:t>, 2009)</w:t>
      </w:r>
      <w:r w:rsidR="00755469">
        <w:t xml:space="preserve">. Exhaust gas recirculation (EGR), currently used in diesel engines, reintroduces cooled exhaust gas into the combustion chamber to lower the combustion temperature by decreasing oxygen content </w:t>
      </w:r>
      <w:r w:rsidR="00755469" w:rsidRPr="00514B17">
        <w:rPr>
          <w:rFonts w:cs="Calibri"/>
        </w:rPr>
        <w:t>(Guo et al., 2020)</w:t>
      </w:r>
      <w:r w:rsidR="00755469">
        <w:t xml:space="preserve">. There are </w:t>
      </w:r>
      <w:r w:rsidR="00755469">
        <w:lastRenderedPageBreak/>
        <w:t xml:space="preserve">also aftertreatment options to significantly reduce NOx emissions </w:t>
      </w:r>
      <w:r w:rsidR="00755469" w:rsidRPr="00D01AA4">
        <w:rPr>
          <w:rFonts w:cs="Calibri"/>
          <w:szCs w:val="24"/>
        </w:rPr>
        <w:t>(</w:t>
      </w:r>
      <w:proofErr w:type="spellStart"/>
      <w:r w:rsidR="00755469" w:rsidRPr="00D01AA4">
        <w:rPr>
          <w:rFonts w:cs="Calibri"/>
          <w:szCs w:val="24"/>
        </w:rPr>
        <w:t>Stępień</w:t>
      </w:r>
      <w:proofErr w:type="spellEnd"/>
      <w:r w:rsidR="00755469" w:rsidRPr="00D01AA4">
        <w:rPr>
          <w:rFonts w:cs="Calibri"/>
          <w:szCs w:val="24"/>
        </w:rPr>
        <w:t>, 2021)</w:t>
      </w:r>
      <w:r w:rsidR="00755469">
        <w:t xml:space="preserve"> in internal combustion engines.</w:t>
      </w:r>
    </w:p>
    <w:p w14:paraId="4CAD76C5" w14:textId="6D52EBB6" w:rsidR="00755469" w:rsidRPr="00C67994" w:rsidRDefault="00755469" w:rsidP="00755469">
      <w:r>
        <w:t xml:space="preserve">No information has been obtained that reliably quantifies NOx or PM emission factors for hydrogen combustion in internal combustion engines, but emissions </w:t>
      </w:r>
      <w:r w:rsidR="00487E1B">
        <w:t xml:space="preserve">will be </w:t>
      </w:r>
      <w:r>
        <w:t>highly dependent on emission control technologies. So</w:t>
      </w:r>
      <w:r w:rsidR="00487E1B">
        <w:t>,</w:t>
      </w:r>
      <w:r>
        <w:t xml:space="preserve"> </w:t>
      </w:r>
      <w:r w:rsidR="000C0C4F">
        <w:t xml:space="preserve">it is </w:t>
      </w:r>
      <w:r w:rsidR="00487E1B">
        <w:t xml:space="preserve">recommended </w:t>
      </w:r>
      <w:r w:rsidR="000C0C4F">
        <w:t xml:space="preserve">that </w:t>
      </w:r>
      <w:r>
        <w:t xml:space="preserve">NOx and PM </w:t>
      </w:r>
      <w:r w:rsidR="00487E1B">
        <w:t xml:space="preserve">emission factors </w:t>
      </w:r>
      <w:r>
        <w:t xml:space="preserve">for hydrogen combustion are </w:t>
      </w:r>
      <w:r w:rsidR="000C0C4F">
        <w:t xml:space="preserve">assumed to be </w:t>
      </w:r>
      <w:r>
        <w:t xml:space="preserve">the same as those already in the EMEP/EEA Guidebook for </w:t>
      </w:r>
      <w:r w:rsidR="00487E1B">
        <w:t xml:space="preserve">compressed </w:t>
      </w:r>
      <w:r>
        <w:t>natural gas (CNG)</w:t>
      </w:r>
      <w:r w:rsidRPr="00C165A7">
        <w:t>.</w:t>
      </w:r>
    </w:p>
    <w:p w14:paraId="35B23876" w14:textId="77777777" w:rsidR="00755469" w:rsidRDefault="00755469" w:rsidP="00755469">
      <w:pPr>
        <w:pStyle w:val="1stpg-AetherLetterheading"/>
        <w:numPr>
          <w:ilvl w:val="0"/>
          <w:numId w:val="32"/>
        </w:numPr>
      </w:pPr>
      <w:r>
        <w:t>Heavy goods vehicles</w:t>
      </w:r>
    </w:p>
    <w:p w14:paraId="112CD8FE" w14:textId="77777777" w:rsidR="00755469" w:rsidRPr="00384350" w:rsidRDefault="00755469" w:rsidP="00755469">
      <w:pPr>
        <w:rPr>
          <w:b/>
          <w:bCs/>
        </w:rPr>
      </w:pPr>
      <w:r w:rsidRPr="00384350">
        <w:rPr>
          <w:b/>
          <w:bCs/>
        </w:rPr>
        <w:t>Introduction</w:t>
      </w:r>
    </w:p>
    <w:p w14:paraId="008D3EC0" w14:textId="51F51870" w:rsidR="00755469" w:rsidRDefault="00755469" w:rsidP="00755469">
      <w:r>
        <w:t xml:space="preserve">For the decarbonisation of transport, electric batteries in heavy goods vehicles (HGVs) are unlikely to be </w:t>
      </w:r>
      <w:r w:rsidR="00487E1B">
        <w:t xml:space="preserve">used extensively </w:t>
      </w:r>
      <w:proofErr w:type="gramStart"/>
      <w:r w:rsidR="00487E1B">
        <w:t>in the near future</w:t>
      </w:r>
      <w:proofErr w:type="gramEnd"/>
      <w:r w:rsidR="00487E1B">
        <w:t xml:space="preserve">, due to </w:t>
      </w:r>
      <w:r>
        <w:t>feasib</w:t>
      </w:r>
      <w:r w:rsidR="00487E1B">
        <w:t xml:space="preserve">ility issues </w:t>
      </w:r>
      <w:r>
        <w:t xml:space="preserve">such as recharging time </w:t>
      </w:r>
      <w:r w:rsidRPr="00D01AA4">
        <w:rPr>
          <w:rFonts w:cs="Calibri"/>
        </w:rPr>
        <w:t>(Cunanan et al., 2021)</w:t>
      </w:r>
      <w:r>
        <w:t>. However, hydrogen fuel cells (H2FC) and hydrogen internal combustion engines (H2ICE) may be used as decarbonisation options for HGVs.</w:t>
      </w:r>
    </w:p>
    <w:p w14:paraId="45AD0140" w14:textId="77777777" w:rsidR="00755469" w:rsidRPr="00384350" w:rsidRDefault="00755469" w:rsidP="00755469">
      <w:pPr>
        <w:rPr>
          <w:b/>
          <w:bCs/>
        </w:rPr>
      </w:pPr>
      <w:r w:rsidRPr="00384350">
        <w:rPr>
          <w:b/>
          <w:bCs/>
        </w:rPr>
        <w:t>Emission</w:t>
      </w:r>
      <w:r>
        <w:rPr>
          <w:b/>
          <w:bCs/>
        </w:rPr>
        <w:t>s and</w:t>
      </w:r>
      <w:r w:rsidRPr="00384350">
        <w:rPr>
          <w:b/>
          <w:bCs/>
        </w:rPr>
        <w:t xml:space="preserve"> </w:t>
      </w:r>
      <w:r>
        <w:rPr>
          <w:b/>
          <w:bCs/>
        </w:rPr>
        <w:t xml:space="preserve">emissions </w:t>
      </w:r>
      <w:r w:rsidRPr="0099785E">
        <w:rPr>
          <w:b/>
          <w:bCs/>
        </w:rPr>
        <w:t>control</w:t>
      </w:r>
    </w:p>
    <w:p w14:paraId="1915C241" w14:textId="01D4B4CC" w:rsidR="00755469" w:rsidRDefault="00755469" w:rsidP="00755469">
      <w:r>
        <w:t xml:space="preserve">With aftertreatment, the use of H2ICE in HGVs is unlikely to have greater NOx emissions than diesel HGVs </w:t>
      </w:r>
      <w:r w:rsidRPr="00CC3958">
        <w:rPr>
          <w:rFonts w:cs="Calibri"/>
        </w:rPr>
        <w:t>(Lewis, 2021)</w:t>
      </w:r>
      <w:r>
        <w:t xml:space="preserve">. For example, companies with prototypes for 100% hydrogen combustion report NOx emissions that are lower than comparable diesel combustion (Wright &amp; Lewis, 2022). Another pilot hydrogen combustion trial found that NOx emissions were reduced to near-zero by EGR, water injection and aftertreatment </w:t>
      </w:r>
      <w:r w:rsidRPr="00CC3958">
        <w:rPr>
          <w:rFonts w:cs="Calibri"/>
        </w:rPr>
        <w:t>(Atkins et al., 2021)</w:t>
      </w:r>
      <w:r>
        <w:t xml:space="preserve">. Although there is potential to greatly reduce NOx emissions in hydrogen internal combustion engines, it may be that legislation aims to implement regulations that reduce emissions to similar levels to those of current diesel emissions </w:t>
      </w:r>
      <w:r w:rsidRPr="00CC3958">
        <w:rPr>
          <w:rFonts w:cs="Calibri"/>
        </w:rPr>
        <w:t>(Lewis, 2021)</w:t>
      </w:r>
      <w:r>
        <w:t>. So, the NOx reduction potential in H2ICE is likely to depend on government polic</w:t>
      </w:r>
      <w:r w:rsidR="00487E1B">
        <w:t>ies</w:t>
      </w:r>
      <w:r>
        <w:t xml:space="preserve">. </w:t>
      </w:r>
    </w:p>
    <w:p w14:paraId="72C9F9EC" w14:textId="77777777" w:rsidR="00755469" w:rsidRDefault="00755469" w:rsidP="00755469">
      <w:pPr>
        <w:pStyle w:val="1stpg-AetherLetterheading"/>
        <w:numPr>
          <w:ilvl w:val="0"/>
          <w:numId w:val="32"/>
        </w:numPr>
      </w:pPr>
      <w:r>
        <w:t>Aircraft</w:t>
      </w:r>
    </w:p>
    <w:p w14:paraId="4985C96C" w14:textId="77777777" w:rsidR="00755469" w:rsidRPr="00384350" w:rsidRDefault="00755469" w:rsidP="00755469">
      <w:pPr>
        <w:rPr>
          <w:b/>
          <w:bCs/>
        </w:rPr>
      </w:pPr>
      <w:r w:rsidRPr="00384350">
        <w:rPr>
          <w:b/>
          <w:bCs/>
        </w:rPr>
        <w:t>Introduction</w:t>
      </w:r>
    </w:p>
    <w:p w14:paraId="2C8D0349" w14:textId="77777777" w:rsidR="00755469" w:rsidRDefault="00755469" w:rsidP="00755469">
      <w:r>
        <w:t xml:space="preserve">Decarbonising aviation is a challenge due to the high energy content of liquid jet fuel per unit mass and per unit volume </w:t>
      </w:r>
      <w:r w:rsidRPr="00843330">
        <w:rPr>
          <w:rFonts w:cs="Calibri"/>
        </w:rPr>
        <w:t>(</w:t>
      </w:r>
      <w:proofErr w:type="spellStart"/>
      <w:r w:rsidRPr="00843330">
        <w:rPr>
          <w:rFonts w:cs="Calibri"/>
        </w:rPr>
        <w:t>Mukhopadhaya</w:t>
      </w:r>
      <w:proofErr w:type="spellEnd"/>
      <w:r w:rsidRPr="00843330">
        <w:rPr>
          <w:rFonts w:cs="Calibri"/>
        </w:rPr>
        <w:t xml:space="preserve"> and Rutherford, 2022)</w:t>
      </w:r>
      <w:r>
        <w:t xml:space="preserve">. Hydrogen (142 MJ/kg) has low energy density when considered on a per unit volume basis, but it </w:t>
      </w:r>
      <w:r w:rsidRPr="00B03EF3">
        <w:t xml:space="preserve">has around </w:t>
      </w:r>
      <w:r>
        <w:t>3</w:t>
      </w:r>
      <w:r w:rsidRPr="00B03EF3">
        <w:t xml:space="preserve"> times</w:t>
      </w:r>
      <w:r>
        <w:t xml:space="preserve"> the energy density of kerosene (46.2 MJ/kg) when considered on a mass basis. So, it is an appealing option for the aviation sector, although it would require storage in cryogenic tanks.</w:t>
      </w:r>
    </w:p>
    <w:p w14:paraId="38C3D333" w14:textId="77777777" w:rsidR="00755469" w:rsidRPr="00384350" w:rsidRDefault="00755469" w:rsidP="00755469">
      <w:pPr>
        <w:rPr>
          <w:b/>
          <w:bCs/>
        </w:rPr>
      </w:pPr>
      <w:r w:rsidRPr="00384350">
        <w:rPr>
          <w:b/>
          <w:bCs/>
        </w:rPr>
        <w:t xml:space="preserve">Emissions and </w:t>
      </w:r>
      <w:r>
        <w:rPr>
          <w:b/>
          <w:bCs/>
        </w:rPr>
        <w:t xml:space="preserve">emissions </w:t>
      </w:r>
      <w:r w:rsidRPr="0099785E">
        <w:rPr>
          <w:b/>
          <w:bCs/>
        </w:rPr>
        <w:t>control</w:t>
      </w:r>
    </w:p>
    <w:p w14:paraId="4B8A1089" w14:textId="77777777" w:rsidR="00755469" w:rsidRDefault="00755469" w:rsidP="00755469">
      <w:r>
        <w:t xml:space="preserve">Aftertreatment in aircraft engines, such as selective catalytic reduction (SCR), has not been feasible due to high mass flow rates in the engine core </w:t>
      </w:r>
      <w:r w:rsidRPr="00D6776B">
        <w:rPr>
          <w:rFonts w:cs="Calibri"/>
        </w:rPr>
        <w:t>(Prashanth et al., 2021)</w:t>
      </w:r>
      <w:r>
        <w:t xml:space="preserve">. This might make aftertreatment of NOx in hydrogen combustion engines difficult, although there is on-going research into aftertreatments that could be used in aircraft engines. </w:t>
      </w:r>
    </w:p>
    <w:p w14:paraId="0AA93CC7" w14:textId="46ECC21F" w:rsidR="00755469" w:rsidRDefault="00755469" w:rsidP="00755469">
      <w:r>
        <w:t xml:space="preserve">A </w:t>
      </w:r>
      <w:proofErr w:type="gramStart"/>
      <w:r>
        <w:t>study modelling NOx emissions</w:t>
      </w:r>
      <w:proofErr w:type="gramEnd"/>
      <w:r>
        <w:t xml:space="preserve"> from an aircraft with 160 passengers over 3000 nautical miles found </w:t>
      </w:r>
      <w:r w:rsidR="000603DF">
        <w:t>hydrogen</w:t>
      </w:r>
      <w:r>
        <w:t xml:space="preserve"> cruise emissions an order of magnitude lower than </w:t>
      </w:r>
      <w:r w:rsidR="000603DF">
        <w:t xml:space="preserve">for </w:t>
      </w:r>
      <w:r>
        <w:t xml:space="preserve">kerosene, but slightly higher landing and take-off (LTO) emissions </w:t>
      </w:r>
      <w:r w:rsidRPr="00716488">
        <w:rPr>
          <w:rFonts w:cs="Calibri"/>
        </w:rPr>
        <w:t>(Khan et al., 2022)</w:t>
      </w:r>
      <w:r>
        <w:t xml:space="preserve">. However, given that this was a </w:t>
      </w:r>
      <w:r w:rsidRPr="002B38A0">
        <w:t>modelling study</w:t>
      </w:r>
      <w:r>
        <w:t xml:space="preserve">, actual NOx emissions from hydrogen combustion in aircrafts may differ significantly. Water vapour emissions were found to be over 4 times greater than for kerosene fuel, but PM levels were negligible. This is expected to result in increased contrails, but with lower radiative forcing. </w:t>
      </w:r>
    </w:p>
    <w:p w14:paraId="198D4C14" w14:textId="2B353D13" w:rsidR="00755469" w:rsidRDefault="00755469" w:rsidP="00755469">
      <w:r>
        <w:t xml:space="preserve">Based on the research currently available, </w:t>
      </w:r>
      <w:r w:rsidR="000C0C4F">
        <w:t xml:space="preserve">it is recommended that </w:t>
      </w:r>
      <w:r w:rsidR="000603DF">
        <w:t xml:space="preserve">the </w:t>
      </w:r>
      <w:r>
        <w:t xml:space="preserve">NOx scaling factors for hydrogen relative to kerosene in turbine-powered aircraft shown in Table 1 </w:t>
      </w:r>
      <w:r w:rsidR="00E63CF3">
        <w:t>are used</w:t>
      </w:r>
      <w:r>
        <w:t>.</w:t>
      </w:r>
    </w:p>
    <w:p w14:paraId="5CAC4E11" w14:textId="77777777" w:rsidR="00755469" w:rsidRPr="000C0C4F" w:rsidRDefault="00755469" w:rsidP="00755469">
      <w:pPr>
        <w:pStyle w:val="Caption"/>
        <w:rPr>
          <w:color w:val="808080" w:themeColor="background1" w:themeShade="80"/>
        </w:rPr>
      </w:pPr>
      <w:r w:rsidRPr="000C0C4F">
        <w:rPr>
          <w:color w:val="808080" w:themeColor="background1" w:themeShade="80"/>
        </w:rPr>
        <w:lastRenderedPageBreak/>
        <w:t xml:space="preserve">Table </w:t>
      </w:r>
      <w:r w:rsidR="006356FF" w:rsidRPr="000C0C4F">
        <w:rPr>
          <w:color w:val="808080" w:themeColor="background1" w:themeShade="80"/>
        </w:rPr>
        <w:fldChar w:fldCharType="begin"/>
      </w:r>
      <w:r w:rsidR="006356FF" w:rsidRPr="000C0C4F">
        <w:rPr>
          <w:color w:val="808080" w:themeColor="background1" w:themeShade="80"/>
        </w:rPr>
        <w:instrText xml:space="preserve"> SEQ Table \* ARABIC </w:instrText>
      </w:r>
      <w:r w:rsidR="006356FF" w:rsidRPr="000C0C4F">
        <w:rPr>
          <w:color w:val="808080" w:themeColor="background1" w:themeShade="80"/>
        </w:rPr>
        <w:fldChar w:fldCharType="separate"/>
      </w:r>
      <w:r w:rsidRPr="000C0C4F">
        <w:rPr>
          <w:noProof/>
          <w:color w:val="808080" w:themeColor="background1" w:themeShade="80"/>
        </w:rPr>
        <w:t>1</w:t>
      </w:r>
      <w:r w:rsidR="006356FF" w:rsidRPr="000C0C4F">
        <w:rPr>
          <w:noProof/>
          <w:color w:val="808080" w:themeColor="background1" w:themeShade="80"/>
        </w:rPr>
        <w:fldChar w:fldCharType="end"/>
      </w:r>
      <w:r w:rsidRPr="000C0C4F">
        <w:rPr>
          <w:color w:val="808080" w:themeColor="background1" w:themeShade="80"/>
        </w:rPr>
        <w:t xml:space="preserve"> - Suggested NOx scaling factors for hydrogen relative to kerosene in turbine-powered aircrafts based on a modelling study by </w:t>
      </w:r>
      <w:r w:rsidRPr="000C0C4F">
        <w:rPr>
          <w:rFonts w:ascii="Calibri" w:hAnsi="Calibri" w:cs="Calibri"/>
          <w:color w:val="808080" w:themeColor="background1" w:themeShade="80"/>
        </w:rPr>
        <w:t xml:space="preserve">Khan et al., </w:t>
      </w:r>
      <w:proofErr w:type="gramStart"/>
      <w:r w:rsidRPr="000C0C4F">
        <w:rPr>
          <w:rFonts w:ascii="Calibri" w:hAnsi="Calibri" w:cs="Calibri"/>
          <w:color w:val="808080" w:themeColor="background1" w:themeShade="80"/>
        </w:rPr>
        <w:t>2022</w:t>
      </w:r>
      <w:proofErr w:type="gramEnd"/>
    </w:p>
    <w:tbl>
      <w:tblPr>
        <w:tblStyle w:val="TableGrid"/>
        <w:tblW w:w="0" w:type="auto"/>
        <w:tblLook w:val="04A0" w:firstRow="1" w:lastRow="0" w:firstColumn="1" w:lastColumn="0" w:noHBand="0" w:noVBand="1"/>
      </w:tblPr>
      <w:tblGrid>
        <w:gridCol w:w="3005"/>
        <w:gridCol w:w="3005"/>
      </w:tblGrid>
      <w:tr w:rsidR="00755469" w14:paraId="73FA637C" w14:textId="77777777" w:rsidTr="0033612F">
        <w:tc>
          <w:tcPr>
            <w:tcW w:w="3005" w:type="dxa"/>
          </w:tcPr>
          <w:p w14:paraId="593BC1DC" w14:textId="77777777" w:rsidR="00755469" w:rsidRDefault="00755469" w:rsidP="0033612F"/>
        </w:tc>
        <w:tc>
          <w:tcPr>
            <w:tcW w:w="3005" w:type="dxa"/>
          </w:tcPr>
          <w:p w14:paraId="6488ED09" w14:textId="77777777" w:rsidR="00755469" w:rsidRDefault="00755469" w:rsidP="0033612F">
            <w:r>
              <w:t>Hydrogen fuel NOx scaling factor</w:t>
            </w:r>
          </w:p>
        </w:tc>
      </w:tr>
      <w:tr w:rsidR="00755469" w14:paraId="35A21727" w14:textId="77777777" w:rsidTr="0033612F">
        <w:tc>
          <w:tcPr>
            <w:tcW w:w="3005" w:type="dxa"/>
          </w:tcPr>
          <w:p w14:paraId="67C7777E" w14:textId="77777777" w:rsidR="00755469" w:rsidRDefault="00755469" w:rsidP="0033612F">
            <w:r>
              <w:t>Cruise emissions</w:t>
            </w:r>
          </w:p>
        </w:tc>
        <w:tc>
          <w:tcPr>
            <w:tcW w:w="3005" w:type="dxa"/>
          </w:tcPr>
          <w:p w14:paraId="6A4008E5" w14:textId="77777777" w:rsidR="00755469" w:rsidRDefault="00755469" w:rsidP="0033612F">
            <w:r>
              <w:t>0.1</w:t>
            </w:r>
          </w:p>
        </w:tc>
      </w:tr>
      <w:tr w:rsidR="00755469" w14:paraId="463315E9" w14:textId="77777777" w:rsidTr="0033612F">
        <w:tc>
          <w:tcPr>
            <w:tcW w:w="3005" w:type="dxa"/>
          </w:tcPr>
          <w:p w14:paraId="265F0478" w14:textId="77777777" w:rsidR="00755469" w:rsidRDefault="00755469" w:rsidP="0033612F">
            <w:r>
              <w:t>LTO Cycle emissions</w:t>
            </w:r>
          </w:p>
        </w:tc>
        <w:tc>
          <w:tcPr>
            <w:tcW w:w="3005" w:type="dxa"/>
          </w:tcPr>
          <w:p w14:paraId="263B2625" w14:textId="77777777" w:rsidR="00755469" w:rsidRDefault="00755469" w:rsidP="0033612F">
            <w:r>
              <w:t>1.2</w:t>
            </w:r>
          </w:p>
        </w:tc>
      </w:tr>
    </w:tbl>
    <w:p w14:paraId="30DC5586" w14:textId="77777777" w:rsidR="00755469" w:rsidRDefault="00755469" w:rsidP="00755469"/>
    <w:p w14:paraId="0FC9D345" w14:textId="77777777" w:rsidR="00755469" w:rsidRDefault="00755469" w:rsidP="00755469">
      <w:pPr>
        <w:pStyle w:val="1stpg-AetherLetterheading"/>
        <w:numPr>
          <w:ilvl w:val="0"/>
          <w:numId w:val="32"/>
        </w:numPr>
      </w:pPr>
      <w:r>
        <w:t>Maritime shipping</w:t>
      </w:r>
    </w:p>
    <w:p w14:paraId="4CBAAC86" w14:textId="2B1F6958" w:rsidR="00755469" w:rsidRPr="002B38A0" w:rsidRDefault="00755469" w:rsidP="00755469">
      <w:r>
        <w:t xml:space="preserve">Use of hydrogen as a maritime fuel may require some aftertreatment to reduce NOx emissions </w:t>
      </w:r>
      <w:r w:rsidRPr="00141D01">
        <w:rPr>
          <w:rFonts w:cs="Calibri"/>
        </w:rPr>
        <w:t>(ABS, 2021)</w:t>
      </w:r>
      <w:r>
        <w:t xml:space="preserve">. However, an analysis of the use of hydrogen and ammonia in shipping suggests that ammonia may be a better option than hydrogen </w:t>
      </w:r>
      <w:r w:rsidRPr="00134429">
        <w:rPr>
          <w:rFonts w:cs="Calibri"/>
        </w:rPr>
        <w:t>(</w:t>
      </w:r>
      <w:proofErr w:type="spellStart"/>
      <w:r w:rsidRPr="00134429">
        <w:rPr>
          <w:rFonts w:cs="Calibri"/>
        </w:rPr>
        <w:t>Inal</w:t>
      </w:r>
      <w:proofErr w:type="spellEnd"/>
      <w:r w:rsidRPr="00134429">
        <w:rPr>
          <w:rFonts w:cs="Calibri"/>
        </w:rPr>
        <w:t xml:space="preserve"> et al., 2022)</w:t>
      </w:r>
      <w:r>
        <w:t xml:space="preserve">. </w:t>
      </w:r>
      <w:r w:rsidR="00E63CF3">
        <w:t>Whilst a literature review has been undertaken for emissions arising from the use of NH3 as a maritime fuel, it has been concluded that there is currently insufficient information to provide emission factors.</w:t>
      </w:r>
      <w:r>
        <w:t xml:space="preserve"> </w:t>
      </w:r>
    </w:p>
    <w:p w14:paraId="30795BD6" w14:textId="77777777" w:rsidR="00755469" w:rsidRDefault="00755469" w:rsidP="00755469">
      <w:pPr>
        <w:pStyle w:val="1stpg-AetherLetterheading"/>
        <w:numPr>
          <w:ilvl w:val="0"/>
          <w:numId w:val="32"/>
        </w:numPr>
      </w:pPr>
      <w:r>
        <w:t>Residential domestic boilers</w:t>
      </w:r>
    </w:p>
    <w:p w14:paraId="3AC4DB56" w14:textId="77777777" w:rsidR="00755469" w:rsidRPr="00384350" w:rsidRDefault="00755469" w:rsidP="00755469">
      <w:pPr>
        <w:rPr>
          <w:b/>
          <w:bCs/>
        </w:rPr>
      </w:pPr>
      <w:r w:rsidRPr="00384350">
        <w:rPr>
          <w:b/>
          <w:bCs/>
        </w:rPr>
        <w:t>Introduction</w:t>
      </w:r>
    </w:p>
    <w:p w14:paraId="2D1F4DBB" w14:textId="77777777" w:rsidR="00755469" w:rsidRDefault="00755469" w:rsidP="00755469">
      <w:r>
        <w:t xml:space="preserve">Currently, there are economic and design limitations to aftertreatment in domestic boilers </w:t>
      </w:r>
      <w:r w:rsidRPr="00DA4D75">
        <w:rPr>
          <w:rFonts w:cs="Calibri"/>
        </w:rPr>
        <w:t>(Lewis, 2021)</w:t>
      </w:r>
      <w:r>
        <w:t xml:space="preserve"> which is important when considering hydrogen as a fuel due to its association with increased NOx emissions. This may lead to NOx emissions being highest in areas with high population densities often home to more disadvantaged communities. </w:t>
      </w:r>
      <w:r w:rsidRPr="005C4057">
        <w:t xml:space="preserve">For hydrogen combustion in domestic boilers, there are uncertainties in </w:t>
      </w:r>
      <w:r>
        <w:t xml:space="preserve">the </w:t>
      </w:r>
      <w:r w:rsidRPr="005C4057">
        <w:t xml:space="preserve">distribution of </w:t>
      </w:r>
      <w:r>
        <w:t xml:space="preserve">the </w:t>
      </w:r>
      <w:r w:rsidRPr="005C4057">
        <w:t xml:space="preserve">temperature within the flame, </w:t>
      </w:r>
      <w:r>
        <w:t xml:space="preserve">the </w:t>
      </w:r>
      <w:r w:rsidRPr="005C4057">
        <w:t>flame size</w:t>
      </w:r>
      <w:r>
        <w:t>,</w:t>
      </w:r>
      <w:r w:rsidRPr="005C4057">
        <w:t xml:space="preserve"> and how long molecules remain at a temperature high enough for NOx formation </w:t>
      </w:r>
      <w:r w:rsidRPr="005C4057">
        <w:rPr>
          <w:rFonts w:cs="Calibri"/>
        </w:rPr>
        <w:t>(Frazer-Nash Consultancy, 2018)</w:t>
      </w:r>
      <w:r w:rsidRPr="00384350">
        <w:t>.</w:t>
      </w:r>
      <w:r>
        <w:t xml:space="preserve"> Although retrofitting and designing boilers for hydrogen combustion is possible as outlined below, the feasibility of this on a large scale is uncertain, given the current lack of aftertreatment employed in domestic boilers. </w:t>
      </w:r>
    </w:p>
    <w:p w14:paraId="24F5D075" w14:textId="77777777" w:rsidR="00755469" w:rsidRPr="004C72AD" w:rsidRDefault="00755469" w:rsidP="00755469">
      <w:pPr>
        <w:rPr>
          <w:b/>
          <w:bCs/>
        </w:rPr>
      </w:pPr>
      <w:r w:rsidRPr="004C72AD">
        <w:rPr>
          <w:b/>
          <w:bCs/>
        </w:rPr>
        <w:t xml:space="preserve">Emissions and </w:t>
      </w:r>
      <w:r>
        <w:rPr>
          <w:b/>
          <w:bCs/>
        </w:rPr>
        <w:t xml:space="preserve">emissions </w:t>
      </w:r>
      <w:r w:rsidRPr="0099785E">
        <w:rPr>
          <w:b/>
          <w:bCs/>
        </w:rPr>
        <w:t>control</w:t>
      </w:r>
    </w:p>
    <w:p w14:paraId="054AE3F6" w14:textId="77777777" w:rsidR="00755469" w:rsidRDefault="00755469" w:rsidP="00755469">
      <w:r>
        <w:t xml:space="preserve">The retrofit and development of two condensing natural gas boilers for hydrogen resulted in lower NOx emissions than the natural gas equivalent while maintaining a high efficiency </w:t>
      </w:r>
      <w:r w:rsidRPr="005E4024">
        <w:rPr>
          <w:rFonts w:cs="Calibri"/>
        </w:rPr>
        <w:t>(</w:t>
      </w:r>
      <w:proofErr w:type="spellStart"/>
      <w:r w:rsidRPr="005E4024">
        <w:rPr>
          <w:rFonts w:cs="Calibri"/>
        </w:rPr>
        <w:t>Gersen</w:t>
      </w:r>
      <w:proofErr w:type="spellEnd"/>
      <w:r w:rsidRPr="005E4024">
        <w:rPr>
          <w:rFonts w:cs="Calibri"/>
        </w:rPr>
        <w:t xml:space="preserve"> et al., 2020a)</w:t>
      </w:r>
      <w:r>
        <w:t xml:space="preserve">. This was due to the flue gas being maintained at lower temperatures through flue gas recirculation (FGR) than in conventional boilers. After retrofitting, one boiler had greater NOx emissions at certain thermal loads (around 75 mg/kWh) than the current EU </w:t>
      </w:r>
      <w:proofErr w:type="spellStart"/>
      <w:r>
        <w:t>Ecodesign</w:t>
      </w:r>
      <w:proofErr w:type="spellEnd"/>
      <w:r>
        <w:t xml:space="preserve"> emission limit for NOx emissions from gaseous fuel boilers (56 mg/kWh)</w:t>
      </w:r>
      <w:r>
        <w:rPr>
          <w:rStyle w:val="FootnoteReference"/>
        </w:rPr>
        <w:footnoteReference w:id="1"/>
      </w:r>
      <w:r>
        <w:t>. However, when applying strategies such as FGR and optimising the combustion air flow pattern, NOx emissions as low as 5 mg/kWh at lower thermal loads were recorded. The difference between the maximum and minimum value for a certain thermal load was around a factor of 3 for a given thermal load.</w:t>
      </w:r>
    </w:p>
    <w:p w14:paraId="25180479" w14:textId="77777777" w:rsidR="00755469" w:rsidRDefault="00755469" w:rsidP="00755469">
      <w:r>
        <w:t xml:space="preserve">The second boiler had lower NOx emissions than the EU limit for small gaseous boilers. This retrofitted boiler was also tested with methane, and hydrogen was found to give NOx values 3 to 7 times lower than for methane. The hydrogen domestic boilers used in the study were based on condensing boilers, which generally have better NOx performance than conventional boilers due to lower combustion temperatures </w:t>
      </w:r>
      <w:r w:rsidRPr="00AD769B">
        <w:rPr>
          <w:rFonts w:cs="Calibri"/>
          <w:szCs w:val="24"/>
        </w:rPr>
        <w:t>(</w:t>
      </w:r>
      <w:proofErr w:type="spellStart"/>
      <w:r w:rsidRPr="00AD769B">
        <w:rPr>
          <w:rFonts w:cs="Calibri"/>
          <w:szCs w:val="24"/>
        </w:rPr>
        <w:t>Bălănescu</w:t>
      </w:r>
      <w:proofErr w:type="spellEnd"/>
      <w:r w:rsidRPr="00AD769B">
        <w:rPr>
          <w:rFonts w:cs="Calibri"/>
          <w:szCs w:val="24"/>
        </w:rPr>
        <w:t xml:space="preserve"> and </w:t>
      </w:r>
      <w:proofErr w:type="spellStart"/>
      <w:r w:rsidRPr="00AD769B">
        <w:rPr>
          <w:rFonts w:cs="Calibri"/>
          <w:szCs w:val="24"/>
        </w:rPr>
        <w:t>Homutescu</w:t>
      </w:r>
      <w:proofErr w:type="spellEnd"/>
      <w:r w:rsidRPr="00AD769B">
        <w:rPr>
          <w:rFonts w:cs="Calibri"/>
          <w:szCs w:val="24"/>
        </w:rPr>
        <w:t>, 2018)</w:t>
      </w:r>
      <w:r>
        <w:t xml:space="preserve">. </w:t>
      </w:r>
    </w:p>
    <w:p w14:paraId="586409B1" w14:textId="1DAEEB0E" w:rsidR="00755469" w:rsidRDefault="00431B4F" w:rsidP="00755469">
      <w:r>
        <w:lastRenderedPageBreak/>
        <w:t xml:space="preserve">It is </w:t>
      </w:r>
      <w:r w:rsidR="000603DF">
        <w:t xml:space="preserve">recommended </w:t>
      </w:r>
      <w:r>
        <w:t xml:space="preserve">that </w:t>
      </w:r>
      <w:r w:rsidR="00755469">
        <w:t xml:space="preserve">NOx emission factors for hydrogen domestic boilers </w:t>
      </w:r>
      <w:r>
        <w:t xml:space="preserve">used in emission inventories are </w:t>
      </w:r>
      <w:r w:rsidR="00755469">
        <w:t>a factor of 3 times higher than the current emission factors</w:t>
      </w:r>
      <w:r w:rsidR="000603DF" w:rsidRPr="000603DF">
        <w:t xml:space="preserve"> </w:t>
      </w:r>
      <w:r w:rsidR="000603DF">
        <w:t>for natural gas in the EMEP/EEA Guidebook</w:t>
      </w:r>
      <w:r w:rsidR="00755469">
        <w:t xml:space="preserve">. This is based on the increase found before aftertreatment strategies are implemented by </w:t>
      </w:r>
      <w:proofErr w:type="spellStart"/>
      <w:r w:rsidR="00755469" w:rsidRPr="00CE65D7">
        <w:rPr>
          <w:rFonts w:cs="Calibri"/>
        </w:rPr>
        <w:t>Gersen</w:t>
      </w:r>
      <w:proofErr w:type="spellEnd"/>
      <w:r w:rsidR="00755469" w:rsidRPr="00CE65D7">
        <w:rPr>
          <w:rFonts w:cs="Calibri"/>
        </w:rPr>
        <w:t xml:space="preserve"> et al., 2020a</w:t>
      </w:r>
      <w:r>
        <w:rPr>
          <w:rFonts w:cs="Calibri"/>
        </w:rPr>
        <w:t xml:space="preserve">, so it is important that any reporting of this new emission factors clearly indicates that it </w:t>
      </w:r>
      <w:r>
        <w:t xml:space="preserve">represents an </w:t>
      </w:r>
      <w:r w:rsidR="00755469">
        <w:t xml:space="preserve">emission factor without aftertreatment. </w:t>
      </w:r>
    </w:p>
    <w:p w14:paraId="4F84EA0A" w14:textId="39136B82" w:rsidR="00431B4F" w:rsidRDefault="00431B4F" w:rsidP="00755469">
      <w:r>
        <w:t>This first estimate should be revised following any new research, and if the widespread use of aftertreatment and NOx reducing strategies is deemed viable.</w:t>
      </w:r>
    </w:p>
    <w:p w14:paraId="10D4C271" w14:textId="77777777" w:rsidR="00755469" w:rsidRDefault="00755469" w:rsidP="00755469">
      <w:pPr>
        <w:pStyle w:val="1stpg-AetherLetterheading"/>
        <w:numPr>
          <w:ilvl w:val="0"/>
          <w:numId w:val="32"/>
        </w:numPr>
      </w:pPr>
      <w:r>
        <w:t>Commercial heating boilers</w:t>
      </w:r>
    </w:p>
    <w:p w14:paraId="4D34152F" w14:textId="77777777" w:rsidR="00755469" w:rsidRPr="00F3344C" w:rsidRDefault="00755469" w:rsidP="00755469">
      <w:pPr>
        <w:rPr>
          <w:b/>
          <w:bCs/>
        </w:rPr>
      </w:pPr>
      <w:r w:rsidRPr="00F3344C">
        <w:rPr>
          <w:b/>
          <w:bCs/>
        </w:rPr>
        <w:t>Introduction</w:t>
      </w:r>
    </w:p>
    <w:p w14:paraId="621D8563" w14:textId="77777777" w:rsidR="00755469" w:rsidRPr="0002007E" w:rsidRDefault="00755469" w:rsidP="00755469">
      <w:r>
        <w:t xml:space="preserve">Compared with domestic boilers, aftertreatment is more feasible in commercial heating boilers </w:t>
      </w:r>
      <w:r w:rsidRPr="000771AB">
        <w:rPr>
          <w:rFonts w:cs="Calibri"/>
        </w:rPr>
        <w:t>(Lewis, 2021)</w:t>
      </w:r>
      <w:r>
        <w:t xml:space="preserve">. Although the use of hydrogen as a fuel may result in more NOx production than other fuels such as natural gas, this can potentially be mitigated with aftertreatment technologies. </w:t>
      </w:r>
    </w:p>
    <w:p w14:paraId="21931496" w14:textId="77777777" w:rsidR="00755469" w:rsidRPr="004C72AD" w:rsidRDefault="00755469" w:rsidP="00755469">
      <w:pPr>
        <w:rPr>
          <w:b/>
          <w:bCs/>
        </w:rPr>
      </w:pPr>
      <w:r w:rsidRPr="004C72AD">
        <w:rPr>
          <w:b/>
          <w:bCs/>
        </w:rPr>
        <w:t xml:space="preserve">Emissions and </w:t>
      </w:r>
      <w:r>
        <w:rPr>
          <w:b/>
          <w:bCs/>
        </w:rPr>
        <w:t xml:space="preserve">emissions </w:t>
      </w:r>
      <w:r w:rsidRPr="0099785E">
        <w:rPr>
          <w:b/>
          <w:bCs/>
        </w:rPr>
        <w:t>control</w:t>
      </w:r>
    </w:p>
    <w:p w14:paraId="22898E5E" w14:textId="7CC5640F" w:rsidR="00755469" w:rsidRDefault="00755469" w:rsidP="00755469">
      <w:r>
        <w:t xml:space="preserve"> A study looking at the NOx emissions from burning natural gas, natural gas/hydrogen mixtures and pure hydrogen in a 475kW industrial boiler found that the greater NOx emissions associated with hydrogen could be reduced significantly with FGR </w:t>
      </w:r>
      <w:r w:rsidRPr="00F91C0D">
        <w:rPr>
          <w:rFonts w:cs="Calibri"/>
        </w:rPr>
        <w:t>(</w:t>
      </w:r>
      <w:proofErr w:type="spellStart"/>
      <w:r w:rsidRPr="00F91C0D">
        <w:rPr>
          <w:rFonts w:cs="Calibri"/>
        </w:rPr>
        <w:t>Gersen</w:t>
      </w:r>
      <w:proofErr w:type="spellEnd"/>
      <w:r w:rsidRPr="00F91C0D">
        <w:rPr>
          <w:rFonts w:cs="Calibri"/>
        </w:rPr>
        <w:t xml:space="preserve"> et al., 2020b)</w:t>
      </w:r>
      <w:r>
        <w:t>. For pure hydrogen, the NOx emissions were a factor of three greater than natural gas in the same conditions but were reduced by more than a factor of 10 when using FGR.</w:t>
      </w:r>
    </w:p>
    <w:p w14:paraId="122777C1" w14:textId="32395696" w:rsidR="00755469" w:rsidRDefault="00431B4F" w:rsidP="00755469">
      <w:r>
        <w:t xml:space="preserve">It is recommended that </w:t>
      </w:r>
      <w:r w:rsidR="00755469">
        <w:t xml:space="preserve">the NOx </w:t>
      </w:r>
      <w:r>
        <w:t xml:space="preserve">emission factor for hydrogen combustion is assumed to be the same as that for </w:t>
      </w:r>
      <w:r w:rsidR="00755469">
        <w:t xml:space="preserve">gaseous fuels </w:t>
      </w:r>
      <w:r>
        <w:t xml:space="preserve">reported in </w:t>
      </w:r>
      <w:r w:rsidR="000603DF">
        <w:t xml:space="preserve">the EMEP/EEA Guidebook, </w:t>
      </w:r>
      <w:r w:rsidR="00755469">
        <w:t xml:space="preserve">as aftertreatment strategies are available for commercial heating boilers. However, the upper confidence interval could be increased by a factor of 3 (as shown in Table 2 for medium size boilers) to represent the greater potential for NOx emissions from hydrogen combustion. It is recommended that the lower confidence interval is kept the same, as although NOx reductions (compared to natural gas) have been observed using FGR, the wider use of these strategies has yet to be assessed for hydrogen. </w:t>
      </w:r>
      <w:proofErr w:type="gramStart"/>
      <w:r w:rsidR="00755469">
        <w:t>Similar to</w:t>
      </w:r>
      <w:proofErr w:type="gramEnd"/>
      <w:r w:rsidR="00755469">
        <w:t xml:space="preserve"> domestic boilers, this should be reviewed in future years to capture results from relevant research studies. </w:t>
      </w:r>
    </w:p>
    <w:p w14:paraId="0F29E528" w14:textId="7F176093" w:rsidR="00755469" w:rsidRPr="000C0C4F" w:rsidRDefault="00755469" w:rsidP="00755469">
      <w:pPr>
        <w:pStyle w:val="Caption"/>
        <w:keepNext/>
        <w:rPr>
          <w:color w:val="808080" w:themeColor="background1" w:themeShade="80"/>
        </w:rPr>
      </w:pPr>
      <w:r w:rsidRPr="000C0C4F">
        <w:rPr>
          <w:color w:val="808080" w:themeColor="background1" w:themeShade="80"/>
        </w:rPr>
        <w:t xml:space="preserve">Table </w:t>
      </w:r>
      <w:r w:rsidR="006356FF" w:rsidRPr="000C0C4F">
        <w:rPr>
          <w:color w:val="808080" w:themeColor="background1" w:themeShade="80"/>
        </w:rPr>
        <w:fldChar w:fldCharType="begin"/>
      </w:r>
      <w:r w:rsidR="006356FF" w:rsidRPr="000C0C4F">
        <w:rPr>
          <w:color w:val="808080" w:themeColor="background1" w:themeShade="80"/>
        </w:rPr>
        <w:instrText xml:space="preserve"> SEQ Table \* ARABIC </w:instrText>
      </w:r>
      <w:r w:rsidR="006356FF" w:rsidRPr="000C0C4F">
        <w:rPr>
          <w:color w:val="808080" w:themeColor="background1" w:themeShade="80"/>
        </w:rPr>
        <w:fldChar w:fldCharType="separate"/>
      </w:r>
      <w:r w:rsidRPr="000C0C4F">
        <w:rPr>
          <w:noProof/>
          <w:color w:val="808080" w:themeColor="background1" w:themeShade="80"/>
        </w:rPr>
        <w:t>2</w:t>
      </w:r>
      <w:r w:rsidR="006356FF" w:rsidRPr="000C0C4F">
        <w:rPr>
          <w:noProof/>
          <w:color w:val="808080" w:themeColor="background1" w:themeShade="80"/>
        </w:rPr>
        <w:fldChar w:fldCharType="end"/>
      </w:r>
      <w:r w:rsidRPr="000C0C4F">
        <w:rPr>
          <w:color w:val="808080" w:themeColor="background1" w:themeShade="80"/>
        </w:rPr>
        <w:t xml:space="preserve"> - NOx emission values and 95% confidence interval for gaseous fuels in medium (&gt;50 </w:t>
      </w:r>
      <w:proofErr w:type="spellStart"/>
      <w:r w:rsidRPr="000C0C4F">
        <w:rPr>
          <w:color w:val="808080" w:themeColor="background1" w:themeShade="80"/>
        </w:rPr>
        <w:t>kWth</w:t>
      </w:r>
      <w:proofErr w:type="spellEnd"/>
      <w:r w:rsidRPr="000C0C4F">
        <w:rPr>
          <w:color w:val="808080" w:themeColor="background1" w:themeShade="80"/>
        </w:rPr>
        <w:t xml:space="preserve"> to &lt;=1 </w:t>
      </w:r>
      <w:proofErr w:type="spellStart"/>
      <w:r w:rsidRPr="000C0C4F">
        <w:rPr>
          <w:color w:val="808080" w:themeColor="background1" w:themeShade="80"/>
        </w:rPr>
        <w:t>MWth</w:t>
      </w:r>
      <w:proofErr w:type="spellEnd"/>
      <w:r w:rsidRPr="000C0C4F">
        <w:rPr>
          <w:color w:val="808080" w:themeColor="background1" w:themeShade="80"/>
        </w:rPr>
        <w:t>) boilers (EMEP/EEA Guidebook. Section 1.A.4 (Small combustion), Table 3.26), and proposed changes for hydrogen.</w:t>
      </w:r>
    </w:p>
    <w:tbl>
      <w:tblPr>
        <w:tblStyle w:val="TableGrid"/>
        <w:tblW w:w="0" w:type="auto"/>
        <w:tblLook w:val="04A0" w:firstRow="1" w:lastRow="0" w:firstColumn="1" w:lastColumn="0" w:noHBand="0" w:noVBand="1"/>
      </w:tblPr>
      <w:tblGrid>
        <w:gridCol w:w="2271"/>
        <w:gridCol w:w="2379"/>
        <w:gridCol w:w="2270"/>
        <w:gridCol w:w="2096"/>
      </w:tblGrid>
      <w:tr w:rsidR="00755469" w14:paraId="45692401" w14:textId="77777777" w:rsidTr="0033612F">
        <w:tc>
          <w:tcPr>
            <w:tcW w:w="2271" w:type="dxa"/>
            <w:vMerge w:val="restart"/>
          </w:tcPr>
          <w:p w14:paraId="5548F24B" w14:textId="77777777" w:rsidR="00755469" w:rsidRDefault="00755469" w:rsidP="0033612F"/>
        </w:tc>
        <w:tc>
          <w:tcPr>
            <w:tcW w:w="2379" w:type="dxa"/>
            <w:vMerge w:val="restart"/>
          </w:tcPr>
          <w:p w14:paraId="6A83FB03" w14:textId="77777777" w:rsidR="00755469" w:rsidRDefault="00755469" w:rsidP="0033612F">
            <w:r>
              <w:t>NOx value</w:t>
            </w:r>
          </w:p>
        </w:tc>
        <w:tc>
          <w:tcPr>
            <w:tcW w:w="4366" w:type="dxa"/>
            <w:gridSpan w:val="2"/>
          </w:tcPr>
          <w:p w14:paraId="6441A523" w14:textId="77777777" w:rsidR="00755469" w:rsidRDefault="00755469" w:rsidP="0033612F">
            <w:r>
              <w:t>95% confidence interval</w:t>
            </w:r>
          </w:p>
        </w:tc>
      </w:tr>
      <w:tr w:rsidR="00755469" w14:paraId="00B12B3A" w14:textId="77777777" w:rsidTr="0033612F">
        <w:tc>
          <w:tcPr>
            <w:tcW w:w="2271" w:type="dxa"/>
            <w:vMerge/>
          </w:tcPr>
          <w:p w14:paraId="6D97109A" w14:textId="77777777" w:rsidR="00755469" w:rsidRDefault="00755469" w:rsidP="0033612F"/>
        </w:tc>
        <w:tc>
          <w:tcPr>
            <w:tcW w:w="2379" w:type="dxa"/>
            <w:vMerge/>
          </w:tcPr>
          <w:p w14:paraId="5764E6C5" w14:textId="77777777" w:rsidR="00755469" w:rsidRDefault="00755469" w:rsidP="0033612F"/>
        </w:tc>
        <w:tc>
          <w:tcPr>
            <w:tcW w:w="2270" w:type="dxa"/>
          </w:tcPr>
          <w:p w14:paraId="54F5F319" w14:textId="77777777" w:rsidR="00755469" w:rsidRPr="00B93B86" w:rsidRDefault="00755469" w:rsidP="0033612F">
            <w:pPr>
              <w:rPr>
                <w:b/>
                <w:bCs/>
              </w:rPr>
            </w:pPr>
            <w:r>
              <w:t>Lower</w:t>
            </w:r>
          </w:p>
        </w:tc>
        <w:tc>
          <w:tcPr>
            <w:tcW w:w="2096" w:type="dxa"/>
          </w:tcPr>
          <w:p w14:paraId="7A7BF69F" w14:textId="77777777" w:rsidR="00755469" w:rsidRDefault="00755469" w:rsidP="0033612F">
            <w:r>
              <w:t>Upper</w:t>
            </w:r>
          </w:p>
        </w:tc>
      </w:tr>
      <w:tr w:rsidR="00755469" w14:paraId="00E06AA5" w14:textId="77777777" w:rsidTr="0033612F">
        <w:tc>
          <w:tcPr>
            <w:tcW w:w="2271" w:type="dxa"/>
          </w:tcPr>
          <w:p w14:paraId="27D3EE1E" w14:textId="77777777" w:rsidR="00755469" w:rsidRDefault="00755469" w:rsidP="0033612F">
            <w:r>
              <w:t>Gaseous fuels</w:t>
            </w:r>
          </w:p>
        </w:tc>
        <w:tc>
          <w:tcPr>
            <w:tcW w:w="2379" w:type="dxa"/>
          </w:tcPr>
          <w:p w14:paraId="0862C886" w14:textId="77777777" w:rsidR="00755469" w:rsidRDefault="00755469" w:rsidP="0033612F">
            <w:r>
              <w:t>73 g/GJ</w:t>
            </w:r>
          </w:p>
        </w:tc>
        <w:tc>
          <w:tcPr>
            <w:tcW w:w="2270" w:type="dxa"/>
          </w:tcPr>
          <w:p w14:paraId="50B37091" w14:textId="77777777" w:rsidR="00755469" w:rsidRDefault="00755469" w:rsidP="0033612F">
            <w:r>
              <w:t>44 g/GJ</w:t>
            </w:r>
          </w:p>
        </w:tc>
        <w:tc>
          <w:tcPr>
            <w:tcW w:w="2096" w:type="dxa"/>
          </w:tcPr>
          <w:p w14:paraId="0EF24F7F" w14:textId="77777777" w:rsidR="00755469" w:rsidRDefault="00755469" w:rsidP="0033612F">
            <w:r>
              <w:t>103 g/GJ</w:t>
            </w:r>
          </w:p>
        </w:tc>
      </w:tr>
      <w:tr w:rsidR="00755469" w14:paraId="74FD1794" w14:textId="77777777" w:rsidTr="0033612F">
        <w:tc>
          <w:tcPr>
            <w:tcW w:w="2271" w:type="dxa"/>
          </w:tcPr>
          <w:p w14:paraId="3C67F590" w14:textId="529E1EB4" w:rsidR="00755469" w:rsidRDefault="00755469" w:rsidP="0033612F">
            <w:r>
              <w:t>H</w:t>
            </w:r>
            <w:r w:rsidR="000603DF">
              <w:t>ydrogen</w:t>
            </w:r>
          </w:p>
        </w:tc>
        <w:tc>
          <w:tcPr>
            <w:tcW w:w="2379" w:type="dxa"/>
          </w:tcPr>
          <w:p w14:paraId="7B4462F0" w14:textId="77777777" w:rsidR="00755469" w:rsidRDefault="00755469" w:rsidP="0033612F">
            <w:r>
              <w:t>73 g/GJ</w:t>
            </w:r>
          </w:p>
        </w:tc>
        <w:tc>
          <w:tcPr>
            <w:tcW w:w="2270" w:type="dxa"/>
          </w:tcPr>
          <w:p w14:paraId="09947D63" w14:textId="77777777" w:rsidR="00755469" w:rsidRDefault="00755469" w:rsidP="0033612F">
            <w:r>
              <w:t>44 g/GJ</w:t>
            </w:r>
          </w:p>
        </w:tc>
        <w:tc>
          <w:tcPr>
            <w:tcW w:w="2096" w:type="dxa"/>
          </w:tcPr>
          <w:p w14:paraId="209AFD88" w14:textId="77777777" w:rsidR="00755469" w:rsidRDefault="00755469" w:rsidP="0033612F">
            <w:r>
              <w:t>309 g/GJ</w:t>
            </w:r>
          </w:p>
        </w:tc>
      </w:tr>
    </w:tbl>
    <w:p w14:paraId="322EE57C" w14:textId="77777777" w:rsidR="00755469" w:rsidRDefault="00755469" w:rsidP="00755469"/>
    <w:p w14:paraId="4C269D6A" w14:textId="77777777" w:rsidR="00755469" w:rsidRDefault="00755469" w:rsidP="00755469">
      <w:pPr>
        <w:pStyle w:val="1stpg-AetherLetterheading"/>
        <w:numPr>
          <w:ilvl w:val="0"/>
          <w:numId w:val="32"/>
        </w:numPr>
      </w:pPr>
      <w:r>
        <w:t>References</w:t>
      </w:r>
    </w:p>
    <w:p w14:paraId="0071BD69" w14:textId="7217CEB8" w:rsidR="00755469" w:rsidRPr="0081224A" w:rsidRDefault="00755469" w:rsidP="00755469">
      <w:pPr>
        <w:pStyle w:val="Bibliography"/>
        <w:rPr>
          <w:rFonts w:cs="Calibri"/>
          <w:szCs w:val="24"/>
        </w:rPr>
      </w:pPr>
      <w:r w:rsidRPr="0081224A">
        <w:rPr>
          <w:rFonts w:cs="Calibri"/>
          <w:szCs w:val="24"/>
        </w:rPr>
        <w:t xml:space="preserve">ABS, 2021. </w:t>
      </w:r>
      <w:r w:rsidR="000C0C4F" w:rsidRPr="0081224A">
        <w:rPr>
          <w:rFonts w:cs="Calibri"/>
          <w:szCs w:val="24"/>
        </w:rPr>
        <w:t xml:space="preserve">Hydrogen </w:t>
      </w:r>
      <w:r w:rsidR="000C0C4F">
        <w:rPr>
          <w:rFonts w:cs="Calibri"/>
          <w:szCs w:val="24"/>
        </w:rPr>
        <w:t>a</w:t>
      </w:r>
      <w:r w:rsidR="000C0C4F" w:rsidRPr="0081224A">
        <w:rPr>
          <w:rFonts w:cs="Calibri"/>
          <w:szCs w:val="24"/>
        </w:rPr>
        <w:t>s Marine Fuel.</w:t>
      </w:r>
    </w:p>
    <w:p w14:paraId="7F1A5C57" w14:textId="77777777" w:rsidR="00755469" w:rsidRPr="0081224A" w:rsidRDefault="00755469" w:rsidP="00755469">
      <w:pPr>
        <w:pStyle w:val="Bibliography"/>
        <w:rPr>
          <w:rFonts w:cs="Calibri"/>
          <w:szCs w:val="24"/>
        </w:rPr>
      </w:pPr>
      <w:r w:rsidRPr="0081224A">
        <w:rPr>
          <w:rFonts w:cs="Calibri"/>
          <w:szCs w:val="24"/>
        </w:rPr>
        <w:t xml:space="preserve">Atkins, D.P., Pike-Wilson, D.E., Morgan, P.R., 2021. Can Hydrogen Engines Support Decarbonisation in the </w:t>
      </w:r>
      <w:proofErr w:type="gramStart"/>
      <w:r w:rsidRPr="0081224A">
        <w:rPr>
          <w:rFonts w:cs="Calibri"/>
          <w:szCs w:val="24"/>
        </w:rPr>
        <w:t>Heavy Duty</w:t>
      </w:r>
      <w:proofErr w:type="gramEnd"/>
      <w:r w:rsidRPr="0081224A">
        <w:rPr>
          <w:rFonts w:cs="Calibri"/>
          <w:szCs w:val="24"/>
        </w:rPr>
        <w:t xml:space="preserve"> Sector?</w:t>
      </w:r>
    </w:p>
    <w:p w14:paraId="31557459" w14:textId="77777777" w:rsidR="00755469" w:rsidRPr="0081224A" w:rsidRDefault="00755469" w:rsidP="00755469">
      <w:pPr>
        <w:pStyle w:val="Bibliography"/>
        <w:rPr>
          <w:rFonts w:cs="Calibri"/>
          <w:szCs w:val="24"/>
        </w:rPr>
      </w:pPr>
      <w:proofErr w:type="spellStart"/>
      <w:r w:rsidRPr="0081224A">
        <w:rPr>
          <w:rFonts w:cs="Calibri"/>
          <w:szCs w:val="24"/>
        </w:rPr>
        <w:lastRenderedPageBreak/>
        <w:t>Bălănescu</w:t>
      </w:r>
      <w:proofErr w:type="spellEnd"/>
      <w:r w:rsidRPr="0081224A">
        <w:rPr>
          <w:rFonts w:cs="Calibri"/>
          <w:szCs w:val="24"/>
        </w:rPr>
        <w:t xml:space="preserve">, D.T., </w:t>
      </w:r>
      <w:proofErr w:type="spellStart"/>
      <w:r w:rsidRPr="0081224A">
        <w:rPr>
          <w:rFonts w:cs="Calibri"/>
          <w:szCs w:val="24"/>
        </w:rPr>
        <w:t>Homutescu</w:t>
      </w:r>
      <w:proofErr w:type="spellEnd"/>
      <w:r w:rsidRPr="0081224A">
        <w:rPr>
          <w:rFonts w:cs="Calibri"/>
          <w:szCs w:val="24"/>
        </w:rPr>
        <w:t>, V.M., 2018. Experimental investigation on performance of a condensing boiler and economic evaluation in real operating conditions. Appl. Therm. Eng. 143, 48–58. https://doi.org/10.1016/j.applthermaleng.2018.07.082</w:t>
      </w:r>
    </w:p>
    <w:p w14:paraId="33FD3E78" w14:textId="77777777" w:rsidR="00755469" w:rsidRPr="0081224A" w:rsidRDefault="00755469" w:rsidP="00755469">
      <w:pPr>
        <w:pStyle w:val="Bibliography"/>
        <w:rPr>
          <w:rFonts w:cs="Calibri"/>
          <w:szCs w:val="24"/>
        </w:rPr>
      </w:pPr>
      <w:r w:rsidRPr="0081224A">
        <w:rPr>
          <w:rFonts w:cs="Calibri"/>
          <w:szCs w:val="24"/>
        </w:rPr>
        <w:t>Commission Regulation (EU) No 813/2013, 2013</w:t>
      </w:r>
      <w:proofErr w:type="gramStart"/>
      <w:r w:rsidRPr="0081224A">
        <w:rPr>
          <w:rFonts w:cs="Calibri"/>
          <w:szCs w:val="24"/>
        </w:rPr>
        <w:t>. ,</w:t>
      </w:r>
      <w:proofErr w:type="gramEnd"/>
      <w:r w:rsidRPr="0081224A">
        <w:rPr>
          <w:rFonts w:cs="Calibri"/>
          <w:szCs w:val="24"/>
        </w:rPr>
        <w:t xml:space="preserve"> OJ L.</w:t>
      </w:r>
    </w:p>
    <w:p w14:paraId="155259A3" w14:textId="77777777" w:rsidR="00755469" w:rsidRPr="0081224A" w:rsidRDefault="00755469" w:rsidP="00755469">
      <w:pPr>
        <w:pStyle w:val="Bibliography"/>
        <w:rPr>
          <w:rFonts w:cs="Calibri"/>
          <w:szCs w:val="24"/>
        </w:rPr>
      </w:pPr>
      <w:r w:rsidRPr="0081224A">
        <w:rPr>
          <w:rFonts w:cs="Calibri"/>
          <w:szCs w:val="24"/>
        </w:rPr>
        <w:t>Cunanan, C., Tran, M.-K., Lee, Y., Kwok, S., Leung, V., Fowler, M., 2021. A Review of Heavy-Duty Vehicle Powertrain Technologies: Diesel Engine Vehicles, Battery Electric Vehicles, and Hydrogen Fuel Cell Electric Vehicles. Clean Technol. 3, 474–489. https://doi.org/10.3390/cleantechnol3020028</w:t>
      </w:r>
    </w:p>
    <w:p w14:paraId="6D365CA6" w14:textId="77777777" w:rsidR="00755469" w:rsidRPr="0081224A" w:rsidRDefault="00755469" w:rsidP="00755469">
      <w:pPr>
        <w:pStyle w:val="Bibliography"/>
        <w:rPr>
          <w:rFonts w:cs="Calibri"/>
          <w:szCs w:val="24"/>
        </w:rPr>
      </w:pPr>
      <w:r w:rsidRPr="0081224A">
        <w:rPr>
          <w:rFonts w:cs="Calibri"/>
          <w:szCs w:val="24"/>
        </w:rPr>
        <w:t>Faqih, M., Omar, M.B., Ibrahim, R., Omar, B.A.A., 2022. Dry-Low Emission Gas Turbine Technology: Recent Trends and Challenges. Appl. Sci. 12, 10922. https://doi.org/10.3390/app122110922</w:t>
      </w:r>
    </w:p>
    <w:p w14:paraId="598D37E7" w14:textId="77777777" w:rsidR="00755469" w:rsidRPr="0081224A" w:rsidRDefault="00755469" w:rsidP="00755469">
      <w:pPr>
        <w:pStyle w:val="Bibliography"/>
        <w:rPr>
          <w:rFonts w:cs="Calibri"/>
          <w:szCs w:val="24"/>
        </w:rPr>
      </w:pPr>
      <w:r w:rsidRPr="0081224A">
        <w:rPr>
          <w:rFonts w:cs="Calibri"/>
          <w:szCs w:val="24"/>
        </w:rPr>
        <w:t>Frazer-Nash Consultancy, 2018. Appraisal of Domestic Hydrogen Appliances.</w:t>
      </w:r>
    </w:p>
    <w:p w14:paraId="19A66C77" w14:textId="77777777" w:rsidR="00755469" w:rsidRPr="0081224A" w:rsidRDefault="00755469" w:rsidP="00755469">
      <w:pPr>
        <w:pStyle w:val="Bibliography"/>
        <w:rPr>
          <w:rFonts w:cs="Calibri"/>
          <w:szCs w:val="24"/>
        </w:rPr>
      </w:pPr>
      <w:proofErr w:type="spellStart"/>
      <w:r w:rsidRPr="0081224A">
        <w:rPr>
          <w:rFonts w:cs="Calibri"/>
          <w:szCs w:val="24"/>
        </w:rPr>
        <w:t>Gersen</w:t>
      </w:r>
      <w:proofErr w:type="spellEnd"/>
      <w:r w:rsidRPr="0081224A">
        <w:rPr>
          <w:rFonts w:cs="Calibri"/>
          <w:szCs w:val="24"/>
        </w:rPr>
        <w:t xml:space="preserve">, S., </w:t>
      </w:r>
      <w:proofErr w:type="spellStart"/>
      <w:r w:rsidRPr="0081224A">
        <w:rPr>
          <w:rFonts w:cs="Calibri"/>
          <w:szCs w:val="24"/>
        </w:rPr>
        <w:t>Darmeveil</w:t>
      </w:r>
      <w:proofErr w:type="spellEnd"/>
      <w:r w:rsidRPr="0081224A">
        <w:rPr>
          <w:rFonts w:cs="Calibri"/>
          <w:szCs w:val="24"/>
        </w:rPr>
        <w:t xml:space="preserve">, H., Van </w:t>
      </w:r>
      <w:proofErr w:type="spellStart"/>
      <w:r w:rsidRPr="0081224A">
        <w:rPr>
          <w:rFonts w:cs="Calibri"/>
          <w:szCs w:val="24"/>
        </w:rPr>
        <w:t>essen</w:t>
      </w:r>
      <w:proofErr w:type="spellEnd"/>
      <w:r w:rsidRPr="0081224A">
        <w:rPr>
          <w:rFonts w:cs="Calibri"/>
          <w:szCs w:val="24"/>
        </w:rPr>
        <w:t xml:space="preserve">, M., </w:t>
      </w:r>
      <w:proofErr w:type="spellStart"/>
      <w:r w:rsidRPr="0081224A">
        <w:rPr>
          <w:rFonts w:cs="Calibri"/>
          <w:szCs w:val="24"/>
        </w:rPr>
        <w:t>Martinus</w:t>
      </w:r>
      <w:proofErr w:type="spellEnd"/>
      <w:r w:rsidRPr="0081224A">
        <w:rPr>
          <w:rFonts w:cs="Calibri"/>
          <w:szCs w:val="24"/>
        </w:rPr>
        <w:t xml:space="preserve">, G., </w:t>
      </w:r>
      <w:proofErr w:type="spellStart"/>
      <w:r w:rsidRPr="0081224A">
        <w:rPr>
          <w:rFonts w:cs="Calibri"/>
          <w:szCs w:val="24"/>
        </w:rPr>
        <w:t>Teerlingc</w:t>
      </w:r>
      <w:proofErr w:type="spellEnd"/>
      <w:r w:rsidRPr="0081224A">
        <w:rPr>
          <w:rFonts w:cs="Calibri"/>
          <w:szCs w:val="24"/>
        </w:rPr>
        <w:t>, O., 2020a. Domestic hydrogen boilers in practice: enabling the use of hydrogen in the built environment.</w:t>
      </w:r>
    </w:p>
    <w:p w14:paraId="209BD904" w14:textId="77777777" w:rsidR="00755469" w:rsidRPr="0081224A" w:rsidRDefault="00755469" w:rsidP="00755469">
      <w:pPr>
        <w:pStyle w:val="Bibliography"/>
        <w:rPr>
          <w:rFonts w:cs="Calibri"/>
          <w:szCs w:val="24"/>
        </w:rPr>
      </w:pPr>
      <w:proofErr w:type="spellStart"/>
      <w:r w:rsidRPr="0081224A">
        <w:rPr>
          <w:rFonts w:cs="Calibri"/>
          <w:szCs w:val="24"/>
        </w:rPr>
        <w:t>Gersen</w:t>
      </w:r>
      <w:proofErr w:type="spellEnd"/>
      <w:r w:rsidRPr="0081224A">
        <w:rPr>
          <w:rFonts w:cs="Calibri"/>
          <w:szCs w:val="24"/>
        </w:rPr>
        <w:t xml:space="preserve">, S., Slim, B., </w:t>
      </w:r>
      <w:proofErr w:type="spellStart"/>
      <w:r w:rsidRPr="0081224A">
        <w:rPr>
          <w:rFonts w:cs="Calibri"/>
          <w:szCs w:val="24"/>
        </w:rPr>
        <w:t>Zeijlmaker</w:t>
      </w:r>
      <w:proofErr w:type="spellEnd"/>
      <w:r w:rsidRPr="0081224A">
        <w:rPr>
          <w:rFonts w:cs="Calibri"/>
          <w:szCs w:val="24"/>
        </w:rPr>
        <w:t xml:space="preserve">, R., Van </w:t>
      </w:r>
      <w:proofErr w:type="spellStart"/>
      <w:r w:rsidRPr="0081224A">
        <w:rPr>
          <w:rFonts w:cs="Calibri"/>
          <w:szCs w:val="24"/>
        </w:rPr>
        <w:t>essen</w:t>
      </w:r>
      <w:proofErr w:type="spellEnd"/>
      <w:r w:rsidRPr="0081224A">
        <w:rPr>
          <w:rFonts w:cs="Calibri"/>
          <w:szCs w:val="24"/>
        </w:rPr>
        <w:t xml:space="preserve">, M., </w:t>
      </w:r>
      <w:proofErr w:type="spellStart"/>
      <w:r w:rsidRPr="0081224A">
        <w:rPr>
          <w:rFonts w:cs="Calibri"/>
          <w:szCs w:val="24"/>
        </w:rPr>
        <w:t>Tichelaar</w:t>
      </w:r>
      <w:proofErr w:type="spellEnd"/>
      <w:r w:rsidRPr="0081224A">
        <w:rPr>
          <w:rFonts w:cs="Calibri"/>
          <w:szCs w:val="24"/>
        </w:rPr>
        <w:t>, R., 2020b. The Development of a Natural Gas/Hydrogen Boiler System [WWW Document]. URL https://www.researchgate.net/publication/339899796_The_Development_of_a_Natural_GasHydrogen_Boiler_System (accessed 1.27.23).</w:t>
      </w:r>
    </w:p>
    <w:p w14:paraId="15E12262" w14:textId="77777777" w:rsidR="00755469" w:rsidRPr="0081224A" w:rsidRDefault="00755469" w:rsidP="00755469">
      <w:pPr>
        <w:pStyle w:val="Bibliography"/>
        <w:rPr>
          <w:rFonts w:cs="Calibri"/>
          <w:szCs w:val="24"/>
        </w:rPr>
      </w:pPr>
      <w:r w:rsidRPr="0081224A">
        <w:rPr>
          <w:rFonts w:cs="Calibri"/>
          <w:szCs w:val="24"/>
        </w:rPr>
        <w:t xml:space="preserve">Guo, H., Zhou, S., Zou, J., </w:t>
      </w:r>
      <w:proofErr w:type="spellStart"/>
      <w:r w:rsidRPr="0081224A">
        <w:rPr>
          <w:rFonts w:cs="Calibri"/>
          <w:szCs w:val="24"/>
        </w:rPr>
        <w:t>Shreka</w:t>
      </w:r>
      <w:proofErr w:type="spellEnd"/>
      <w:r w:rsidRPr="0081224A">
        <w:rPr>
          <w:rFonts w:cs="Calibri"/>
          <w:szCs w:val="24"/>
        </w:rPr>
        <w:t>, M., 2020. A Numerical Investigation on De-NOx Technology and Abnormal Combustion Control for a Hydrogen Engine with EGR System. Processes 8, 1178. https://doi.org/10.3390/pr8091178</w:t>
      </w:r>
    </w:p>
    <w:p w14:paraId="78F0B85B" w14:textId="77777777" w:rsidR="00755469" w:rsidRPr="0081224A" w:rsidRDefault="00755469" w:rsidP="00755469">
      <w:pPr>
        <w:pStyle w:val="Bibliography"/>
        <w:rPr>
          <w:rFonts w:cs="Calibri"/>
          <w:szCs w:val="24"/>
        </w:rPr>
      </w:pPr>
      <w:proofErr w:type="spellStart"/>
      <w:r w:rsidRPr="0081224A">
        <w:rPr>
          <w:rFonts w:cs="Calibri"/>
          <w:szCs w:val="24"/>
        </w:rPr>
        <w:t>Inal</w:t>
      </w:r>
      <w:proofErr w:type="spellEnd"/>
      <w:r w:rsidRPr="0081224A">
        <w:rPr>
          <w:rFonts w:cs="Calibri"/>
          <w:szCs w:val="24"/>
        </w:rPr>
        <w:t xml:space="preserve">, O.B., </w:t>
      </w:r>
      <w:proofErr w:type="spellStart"/>
      <w:r w:rsidRPr="0081224A">
        <w:rPr>
          <w:rFonts w:cs="Calibri"/>
          <w:szCs w:val="24"/>
        </w:rPr>
        <w:t>Zincir</w:t>
      </w:r>
      <w:proofErr w:type="spellEnd"/>
      <w:r w:rsidRPr="0081224A">
        <w:rPr>
          <w:rFonts w:cs="Calibri"/>
          <w:szCs w:val="24"/>
        </w:rPr>
        <w:t xml:space="preserve">, B., Deniz, C., 2022. Investigation on the decarbonization of shipping: An approach to hydrogen and ammonia. Int. J. </w:t>
      </w:r>
      <w:proofErr w:type="spellStart"/>
      <w:r w:rsidRPr="0081224A">
        <w:rPr>
          <w:rFonts w:cs="Calibri"/>
          <w:szCs w:val="24"/>
        </w:rPr>
        <w:t>Hydrog</w:t>
      </w:r>
      <w:proofErr w:type="spellEnd"/>
      <w:r w:rsidRPr="0081224A">
        <w:rPr>
          <w:rFonts w:cs="Calibri"/>
          <w:szCs w:val="24"/>
        </w:rPr>
        <w:t>. Energy, The Fifth International Hydrogen Technologies Congress 47, 19888–19900. https://doi.org/10.1016/j.ijhydene.2022.01.189</w:t>
      </w:r>
    </w:p>
    <w:p w14:paraId="45DD6216" w14:textId="77777777" w:rsidR="00755469" w:rsidRPr="0081224A" w:rsidRDefault="00755469" w:rsidP="00755469">
      <w:pPr>
        <w:pStyle w:val="Bibliography"/>
        <w:rPr>
          <w:rFonts w:cs="Calibri"/>
          <w:szCs w:val="24"/>
        </w:rPr>
      </w:pPr>
      <w:proofErr w:type="spellStart"/>
      <w:r w:rsidRPr="0081224A">
        <w:rPr>
          <w:rFonts w:cs="Calibri"/>
          <w:szCs w:val="24"/>
        </w:rPr>
        <w:t>Jeerh</w:t>
      </w:r>
      <w:proofErr w:type="spellEnd"/>
      <w:r w:rsidRPr="0081224A">
        <w:rPr>
          <w:rFonts w:cs="Calibri"/>
          <w:szCs w:val="24"/>
        </w:rPr>
        <w:t>, G., Zhang, M., Tao, S., 2021. Recent progress in ammonia fuel cells and their potential applications. J. Mater. Chem. A 9, 727–752. https://doi.org/10.1039/D0TA08810B</w:t>
      </w:r>
    </w:p>
    <w:p w14:paraId="5908B68A" w14:textId="77777777" w:rsidR="00755469" w:rsidRPr="0081224A" w:rsidRDefault="00755469" w:rsidP="00755469">
      <w:pPr>
        <w:pStyle w:val="Bibliography"/>
        <w:rPr>
          <w:rFonts w:cs="Calibri"/>
          <w:szCs w:val="24"/>
        </w:rPr>
      </w:pPr>
      <w:r w:rsidRPr="0081224A">
        <w:rPr>
          <w:rFonts w:cs="Calibri"/>
          <w:szCs w:val="24"/>
        </w:rPr>
        <w:t xml:space="preserve">Khan, M.A.H., Brierley, J., Tait, K.N., Bullock, S., Shallcross, D.E., </w:t>
      </w:r>
      <w:proofErr w:type="spellStart"/>
      <w:r w:rsidRPr="0081224A">
        <w:rPr>
          <w:rFonts w:cs="Calibri"/>
          <w:szCs w:val="24"/>
        </w:rPr>
        <w:t>Lowenberg</w:t>
      </w:r>
      <w:proofErr w:type="spellEnd"/>
      <w:r w:rsidRPr="0081224A">
        <w:rPr>
          <w:rFonts w:cs="Calibri"/>
          <w:szCs w:val="24"/>
        </w:rPr>
        <w:t>, M.H., 2022. The Emissions of Water Vapour and NOx from Modelled Hydrogen-Fuelled Aircraft and the Impact of NOx Reduction on Climate Compared with Kerosene-Fuelled Aircraft. Atmosphere 13, 1660. https://doi.org/10.3390/atmos13101660</w:t>
      </w:r>
    </w:p>
    <w:p w14:paraId="122321AC" w14:textId="77777777" w:rsidR="00755469" w:rsidRPr="0081224A" w:rsidRDefault="00755469" w:rsidP="00755469">
      <w:pPr>
        <w:pStyle w:val="Bibliography"/>
        <w:rPr>
          <w:rFonts w:cs="Calibri"/>
          <w:szCs w:val="24"/>
        </w:rPr>
      </w:pPr>
      <w:r w:rsidRPr="0081224A">
        <w:rPr>
          <w:rFonts w:cs="Calibri"/>
          <w:szCs w:val="24"/>
        </w:rPr>
        <w:t>Lewis, A.C., 2021. Optimising air quality co-benefits in a hydrogen economy: a case for hydrogen-specific standards for NOx emissions. Environ. Sci. Atmospheres 1, 201–207. https://doi.org/10.1039/D1EA00037C</w:t>
      </w:r>
    </w:p>
    <w:p w14:paraId="7CDF4CD5" w14:textId="77777777" w:rsidR="00755469" w:rsidRPr="0081224A" w:rsidRDefault="00755469" w:rsidP="00755469">
      <w:pPr>
        <w:pStyle w:val="Bibliography"/>
        <w:rPr>
          <w:rFonts w:cs="Calibri"/>
          <w:szCs w:val="24"/>
        </w:rPr>
      </w:pPr>
      <w:r w:rsidRPr="0081224A">
        <w:rPr>
          <w:rFonts w:cs="Calibri"/>
          <w:szCs w:val="24"/>
        </w:rPr>
        <w:t xml:space="preserve">Miller, A.L., Stipe, C.B., </w:t>
      </w:r>
      <w:proofErr w:type="spellStart"/>
      <w:r w:rsidRPr="0081224A">
        <w:rPr>
          <w:rFonts w:cs="Calibri"/>
          <w:szCs w:val="24"/>
        </w:rPr>
        <w:t>Habjan</w:t>
      </w:r>
      <w:proofErr w:type="spellEnd"/>
      <w:r w:rsidRPr="0081224A">
        <w:rPr>
          <w:rFonts w:cs="Calibri"/>
          <w:szCs w:val="24"/>
        </w:rPr>
        <w:t>, M.C., Ahlstrand, G.G., 2007. Role of Lubrication Oil in Particulate Emissions from a Hydrogen-Powered Internal Combustion Engine. Environ. Sci. Technol. 41, 6828–6835. https://doi.org/10.1021/es070999r</w:t>
      </w:r>
    </w:p>
    <w:p w14:paraId="1D9390CD" w14:textId="77777777" w:rsidR="00755469" w:rsidRPr="0081224A" w:rsidRDefault="00755469" w:rsidP="00755469">
      <w:pPr>
        <w:pStyle w:val="Bibliography"/>
        <w:rPr>
          <w:rFonts w:cs="Calibri"/>
          <w:szCs w:val="24"/>
        </w:rPr>
      </w:pPr>
      <w:proofErr w:type="spellStart"/>
      <w:r w:rsidRPr="0081224A">
        <w:rPr>
          <w:rFonts w:cs="Calibri"/>
          <w:szCs w:val="24"/>
        </w:rPr>
        <w:t>Mukhopadhaya</w:t>
      </w:r>
      <w:proofErr w:type="spellEnd"/>
      <w:r w:rsidRPr="0081224A">
        <w:rPr>
          <w:rFonts w:cs="Calibri"/>
          <w:szCs w:val="24"/>
        </w:rPr>
        <w:t>, J., Rutherford, D., 2022. Performance analysis of evolutionary hydrogen-powered aircraft.</w:t>
      </w:r>
    </w:p>
    <w:p w14:paraId="4126C10B" w14:textId="77777777" w:rsidR="00755469" w:rsidRPr="0081224A" w:rsidRDefault="00755469" w:rsidP="00755469">
      <w:pPr>
        <w:pStyle w:val="Bibliography"/>
        <w:rPr>
          <w:rFonts w:cs="Calibri"/>
          <w:szCs w:val="24"/>
        </w:rPr>
      </w:pPr>
      <w:r w:rsidRPr="0081224A">
        <w:rPr>
          <w:rFonts w:cs="Calibri"/>
          <w:szCs w:val="24"/>
        </w:rPr>
        <w:t>Prashanth, P., L. </w:t>
      </w:r>
      <w:proofErr w:type="spellStart"/>
      <w:r w:rsidRPr="0081224A">
        <w:rPr>
          <w:rFonts w:cs="Calibri"/>
          <w:szCs w:val="24"/>
        </w:rPr>
        <w:t>Speth</w:t>
      </w:r>
      <w:proofErr w:type="spellEnd"/>
      <w:r w:rsidRPr="0081224A">
        <w:rPr>
          <w:rFonts w:cs="Calibri"/>
          <w:szCs w:val="24"/>
        </w:rPr>
        <w:t>, R., D. Eastham, S., S. </w:t>
      </w:r>
      <w:proofErr w:type="spellStart"/>
      <w:r w:rsidRPr="0081224A">
        <w:rPr>
          <w:rFonts w:cs="Calibri"/>
          <w:szCs w:val="24"/>
        </w:rPr>
        <w:t>Sabnis</w:t>
      </w:r>
      <w:proofErr w:type="spellEnd"/>
      <w:r w:rsidRPr="0081224A">
        <w:rPr>
          <w:rFonts w:cs="Calibri"/>
          <w:szCs w:val="24"/>
        </w:rPr>
        <w:t>, J., H. Barrett, S.R., 2021. Post-combustion emissions control in aero-gas turbine engines. Energy Environ. Sci. 14, 916–930. https://doi.org/10.1039/D0EE02362K</w:t>
      </w:r>
    </w:p>
    <w:p w14:paraId="06C8A229" w14:textId="77777777" w:rsidR="00755469" w:rsidRPr="0081224A" w:rsidRDefault="00755469" w:rsidP="00755469">
      <w:pPr>
        <w:pStyle w:val="Bibliography"/>
        <w:rPr>
          <w:rFonts w:cs="Calibri"/>
          <w:szCs w:val="24"/>
        </w:rPr>
      </w:pPr>
      <w:proofErr w:type="spellStart"/>
      <w:r w:rsidRPr="0081224A">
        <w:rPr>
          <w:rFonts w:cs="Calibri"/>
          <w:szCs w:val="24"/>
        </w:rPr>
        <w:t>Staffell</w:t>
      </w:r>
      <w:proofErr w:type="spellEnd"/>
      <w:r w:rsidRPr="0081224A">
        <w:rPr>
          <w:rFonts w:cs="Calibri"/>
          <w:szCs w:val="24"/>
        </w:rPr>
        <w:t xml:space="preserve">, I., </w:t>
      </w:r>
      <w:proofErr w:type="spellStart"/>
      <w:r w:rsidRPr="0081224A">
        <w:rPr>
          <w:rFonts w:cs="Calibri"/>
          <w:szCs w:val="24"/>
        </w:rPr>
        <w:t>Scamman</w:t>
      </w:r>
      <w:proofErr w:type="spellEnd"/>
      <w:r w:rsidRPr="0081224A">
        <w:rPr>
          <w:rFonts w:cs="Calibri"/>
          <w:szCs w:val="24"/>
        </w:rPr>
        <w:t>, D., Abad, A.V., Balcombe, P., Dodds, P.E., Ekins, P., Shah, N., Ward, K.R., 2019. The role of hydrogen and fuel cells in the global energy system. Energy Environ. Sci. 12, 463–491. https://doi.org/10.1039/C8EE01157E</w:t>
      </w:r>
    </w:p>
    <w:p w14:paraId="5A01A63B" w14:textId="77777777" w:rsidR="00755469" w:rsidRPr="0081224A" w:rsidRDefault="00755469" w:rsidP="00755469">
      <w:pPr>
        <w:pStyle w:val="Bibliography"/>
        <w:rPr>
          <w:rFonts w:cs="Calibri"/>
          <w:szCs w:val="24"/>
        </w:rPr>
      </w:pPr>
      <w:proofErr w:type="spellStart"/>
      <w:r w:rsidRPr="0081224A">
        <w:rPr>
          <w:rFonts w:cs="Calibri"/>
          <w:szCs w:val="24"/>
        </w:rPr>
        <w:t>Stępień</w:t>
      </w:r>
      <w:proofErr w:type="spellEnd"/>
      <w:r w:rsidRPr="0081224A">
        <w:rPr>
          <w:rFonts w:cs="Calibri"/>
          <w:szCs w:val="24"/>
        </w:rPr>
        <w:t>, Z., 2021. A Comprehensive Overview of Hydrogen-</w:t>
      </w:r>
      <w:proofErr w:type="spellStart"/>
      <w:r w:rsidRPr="0081224A">
        <w:rPr>
          <w:rFonts w:cs="Calibri"/>
          <w:szCs w:val="24"/>
        </w:rPr>
        <w:t>Fueled</w:t>
      </w:r>
      <w:proofErr w:type="spellEnd"/>
      <w:r w:rsidRPr="0081224A">
        <w:rPr>
          <w:rFonts w:cs="Calibri"/>
          <w:szCs w:val="24"/>
        </w:rPr>
        <w:t xml:space="preserve"> Internal Combustion Engines: Achievements and Future Challenges. Energies 14, 6504. https://doi.org/10.3390/en14206504</w:t>
      </w:r>
    </w:p>
    <w:p w14:paraId="0C530D23" w14:textId="77777777" w:rsidR="00755469" w:rsidRPr="0081224A" w:rsidRDefault="00755469" w:rsidP="00755469">
      <w:pPr>
        <w:pStyle w:val="Bibliography"/>
        <w:rPr>
          <w:rFonts w:cs="Calibri"/>
          <w:szCs w:val="24"/>
        </w:rPr>
      </w:pPr>
      <w:proofErr w:type="spellStart"/>
      <w:r w:rsidRPr="0081224A">
        <w:rPr>
          <w:rFonts w:cs="Calibri"/>
          <w:szCs w:val="24"/>
        </w:rPr>
        <w:lastRenderedPageBreak/>
        <w:t>Tekin</w:t>
      </w:r>
      <w:proofErr w:type="spellEnd"/>
      <w:r w:rsidRPr="0081224A">
        <w:rPr>
          <w:rFonts w:cs="Calibri"/>
          <w:szCs w:val="24"/>
        </w:rPr>
        <w:t>, N., Ashikaga, M., Horikawa, A., Funke, Dr.-</w:t>
      </w:r>
      <w:proofErr w:type="spellStart"/>
      <w:r w:rsidRPr="0081224A">
        <w:rPr>
          <w:rFonts w:cs="Calibri"/>
          <w:szCs w:val="24"/>
        </w:rPr>
        <w:t>Ing.H</w:t>
      </w:r>
      <w:proofErr w:type="spellEnd"/>
      <w:r w:rsidRPr="0081224A">
        <w:rPr>
          <w:rFonts w:cs="Calibri"/>
          <w:szCs w:val="24"/>
        </w:rPr>
        <w:t>., 2019. Enhancement of fuel flexibility of industrial gas turbines by development of innovative hydrogen combustion systems.</w:t>
      </w:r>
    </w:p>
    <w:p w14:paraId="692BBA2D" w14:textId="77777777" w:rsidR="00755469" w:rsidRPr="0081224A" w:rsidRDefault="00755469" w:rsidP="00755469">
      <w:pPr>
        <w:pStyle w:val="Bibliography"/>
        <w:rPr>
          <w:rFonts w:cs="Calibri"/>
          <w:szCs w:val="24"/>
        </w:rPr>
      </w:pPr>
      <w:proofErr w:type="spellStart"/>
      <w:r w:rsidRPr="0081224A">
        <w:rPr>
          <w:rFonts w:cs="Calibri"/>
          <w:szCs w:val="24"/>
        </w:rPr>
        <w:t>Therkelsen</w:t>
      </w:r>
      <w:proofErr w:type="spellEnd"/>
      <w:r w:rsidRPr="0081224A">
        <w:rPr>
          <w:rFonts w:cs="Calibri"/>
          <w:szCs w:val="24"/>
        </w:rPr>
        <w:t xml:space="preserve">, P., </w:t>
      </w:r>
      <w:proofErr w:type="spellStart"/>
      <w:r w:rsidRPr="0081224A">
        <w:rPr>
          <w:rFonts w:cs="Calibri"/>
          <w:szCs w:val="24"/>
        </w:rPr>
        <w:t>Werts</w:t>
      </w:r>
      <w:proofErr w:type="spellEnd"/>
      <w:r w:rsidRPr="0081224A">
        <w:rPr>
          <w:rFonts w:cs="Calibri"/>
          <w:szCs w:val="24"/>
        </w:rPr>
        <w:t xml:space="preserve">, T., McDonell, V., </w:t>
      </w:r>
      <w:proofErr w:type="spellStart"/>
      <w:r w:rsidRPr="0081224A">
        <w:rPr>
          <w:rFonts w:cs="Calibri"/>
          <w:szCs w:val="24"/>
        </w:rPr>
        <w:t>Samuelsen</w:t>
      </w:r>
      <w:proofErr w:type="spellEnd"/>
      <w:r w:rsidRPr="0081224A">
        <w:rPr>
          <w:rFonts w:cs="Calibri"/>
          <w:szCs w:val="24"/>
        </w:rPr>
        <w:t>, S., 2009. Analysis of NOx Formation in a Hydrogen-</w:t>
      </w:r>
      <w:proofErr w:type="spellStart"/>
      <w:r w:rsidRPr="0081224A">
        <w:rPr>
          <w:rFonts w:cs="Calibri"/>
          <w:szCs w:val="24"/>
        </w:rPr>
        <w:t>Fueled</w:t>
      </w:r>
      <w:proofErr w:type="spellEnd"/>
      <w:r w:rsidRPr="0081224A">
        <w:rPr>
          <w:rFonts w:cs="Calibri"/>
          <w:szCs w:val="24"/>
        </w:rPr>
        <w:t xml:space="preserve"> Gas Turbine Engine. J. Eng. Gas Turbines Power 131, 031507. https://doi.org/10.1115/1.3028232</w:t>
      </w:r>
    </w:p>
    <w:p w14:paraId="4D922E9B" w14:textId="77777777" w:rsidR="00755469" w:rsidRPr="0081224A" w:rsidRDefault="00755469" w:rsidP="00755469">
      <w:pPr>
        <w:pStyle w:val="Bibliography"/>
        <w:rPr>
          <w:rFonts w:cs="Calibri"/>
          <w:szCs w:val="24"/>
        </w:rPr>
      </w:pPr>
      <w:proofErr w:type="spellStart"/>
      <w:r w:rsidRPr="0081224A">
        <w:rPr>
          <w:rFonts w:cs="Calibri"/>
          <w:szCs w:val="24"/>
        </w:rPr>
        <w:t>Verhelst</w:t>
      </w:r>
      <w:proofErr w:type="spellEnd"/>
      <w:r w:rsidRPr="0081224A">
        <w:rPr>
          <w:rFonts w:cs="Calibri"/>
          <w:szCs w:val="24"/>
        </w:rPr>
        <w:t xml:space="preserve">, S., </w:t>
      </w:r>
      <w:proofErr w:type="spellStart"/>
      <w:r w:rsidRPr="0081224A">
        <w:rPr>
          <w:rFonts w:cs="Calibri"/>
          <w:szCs w:val="24"/>
        </w:rPr>
        <w:t>Wallner</w:t>
      </w:r>
      <w:proofErr w:type="spellEnd"/>
      <w:r w:rsidRPr="0081224A">
        <w:rPr>
          <w:rFonts w:cs="Calibri"/>
          <w:szCs w:val="24"/>
        </w:rPr>
        <w:t>, T., 2009. Hydrogen-</w:t>
      </w:r>
      <w:proofErr w:type="spellStart"/>
      <w:r w:rsidRPr="0081224A">
        <w:rPr>
          <w:rFonts w:cs="Calibri"/>
          <w:szCs w:val="24"/>
        </w:rPr>
        <w:t>fueled</w:t>
      </w:r>
      <w:proofErr w:type="spellEnd"/>
      <w:r w:rsidRPr="0081224A">
        <w:rPr>
          <w:rFonts w:cs="Calibri"/>
          <w:szCs w:val="24"/>
        </w:rPr>
        <w:t xml:space="preserve"> internal combustion engines. Prog. Energy Combust. Sci. 35, 490–527. https://doi.org/10.1016/j.pecs.2009.08.001</w:t>
      </w:r>
    </w:p>
    <w:p w14:paraId="7C12DD7A" w14:textId="77777777" w:rsidR="00755469" w:rsidRPr="007A7874" w:rsidRDefault="00755469" w:rsidP="00755469"/>
    <w:p w14:paraId="48E94928" w14:textId="77777777" w:rsidR="00755469" w:rsidRPr="004B1B81" w:rsidRDefault="00755469" w:rsidP="00755469">
      <w:pPr>
        <w:pStyle w:val="Aethernormal"/>
      </w:pPr>
    </w:p>
    <w:sectPr w:rsidR="00755469" w:rsidRPr="004B1B81" w:rsidSect="00B23295">
      <w:headerReference w:type="even"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4"/>
    </wne:keymap>
    <wne:keymap wne:kcmPrimary="0234">
      <wne:acd wne:acdName="acd2"/>
    </wne:keymap>
    <wne:keymap wne:kcmPrimary="0235">
      <wne:acd wne:acdName="acd3"/>
    </wne:keymap>
    <wne:keymap wne:kcmPrimary="0236">
      <wne:acd wne:acdName="acd7"/>
    </wne:keymap>
    <wne:keymap wne:kcmPrimary="0237">
      <wne:acd wne:acdName="acd8"/>
    </wne:keymap>
    <wne:keymap wne:kcmPrimary="0238">
      <wne:acd wne:acdName="acd5"/>
    </wne:keymap>
    <wne:keymap wne:kcmPrimary="0239">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G8AbABkAA==" wne:acdName="acd0" wne:fciIndexBasedOn="0065"/>
    <wne:acd wne:argValue="AgBCAG8AbABkACAAJgAgAEkAdABhAGwAaQBjAA==" wne:acdName="acd1" wne:fciIndexBasedOn="0065"/>
    <wne:acd wne:argValue="AgBIAEkARwBIAEwASQBHAEgAVAA=" wne:acdName="acd2" wne:fciIndexBasedOn="0065"/>
    <wne:acd wne:argValue="AgBIAEkARwBIAEwASQBHAEgAVAAyAA==" wne:acdName="acd3" wne:fciIndexBasedOn="0065"/>
    <wne:acd wne:argValue="AgBJAHQAYQBsAGkAYwA=" wne:acdName="acd4" wne:fciIndexBasedOn="0065"/>
    <wne:acd wne:argValue="AgBTAHQAYQBuAGQAIABvAHUAdAAgAHQAZQB4AHQA" wne:acdName="acd5" wne:fciIndexBasedOn="0065"/>
    <wne:acd wne:argValue="AgBTAHQAYQBuAGQAIABvAHUAdAAgAHQAZQB4AHQAIABCAE8ATABEAA==" wne:acdName="acd6" wne:fciIndexBasedOn="0065"/>
    <wne:acd wne:argValue="AgBTAHUAYgBzAGMAcgBpAHAAdAA=" wne:acdName="acd7" wne:fciIndexBasedOn="0065"/>
    <wne:acd wne:argValue="AgBTAHUAcABlAHIAcwBjAHIAaQBwAH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B566" w14:textId="77777777" w:rsidR="00BC6CB4" w:rsidRDefault="00BC6CB4" w:rsidP="00A3786E">
      <w:pPr>
        <w:spacing w:after="0" w:line="240" w:lineRule="auto"/>
      </w:pPr>
      <w:r>
        <w:separator/>
      </w:r>
    </w:p>
  </w:endnote>
  <w:endnote w:type="continuationSeparator" w:id="0">
    <w:p w14:paraId="2D6F0DF7" w14:textId="77777777" w:rsidR="00BC6CB4" w:rsidRDefault="00BC6CB4" w:rsidP="00A3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DE96" w14:textId="77777777" w:rsidR="00B60333" w:rsidRDefault="00B6033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85DB" w14:textId="77777777" w:rsidR="009249F9" w:rsidRDefault="009249F9" w:rsidP="009249F9">
    <w:pPr>
      <w:pStyle w:val="Aetherfootermaindoc"/>
    </w:pPr>
  </w:p>
  <w:p w14:paraId="73F8E52B" w14:textId="1090DBA0" w:rsidR="00943A04" w:rsidRPr="009249F9" w:rsidRDefault="00BF0D41" w:rsidP="00BF0D41">
    <w:pPr>
      <w:pStyle w:val="Aetherfootermaindoc"/>
      <w:ind w:left="0"/>
    </w:pPr>
    <w:r>
      <w:ptab w:relativeTo="margin" w:alignment="right" w:leader="none"/>
    </w:r>
    <w:r w:rsidRPr="00BF0D41">
      <w:fldChar w:fldCharType="begin"/>
    </w:r>
    <w:r w:rsidRPr="00BF0D41">
      <w:instrText xml:space="preserve"> PAGE   \* MERGEFORMAT </w:instrText>
    </w:r>
    <w:r w:rsidRPr="00BF0D41">
      <w:fldChar w:fldCharType="separate"/>
    </w:r>
    <w:r w:rsidR="00BD2EB5">
      <w:rPr>
        <w:noProof/>
      </w:rPr>
      <w:t>5</w:t>
    </w:r>
    <w:r w:rsidRPr="00BF0D4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4241" w14:textId="7DEB5050" w:rsidR="00B23295" w:rsidRDefault="00B23295" w:rsidP="00B23295">
    <w:pPr>
      <w:pStyle w:val="1stpgAetherFooter"/>
      <w:ind w:right="-568" w:hanging="567"/>
    </w:pPr>
    <w:bookmarkStart w:id="0" w:name="_Hlk497377762"/>
    <w:bookmarkStart w:id="1" w:name="_Hlk497377763"/>
  </w:p>
  <w:bookmarkEnd w:id="0"/>
  <w:bookmarkEnd w:id="1"/>
  <w:p w14:paraId="4C23FFE8" w14:textId="4775167B" w:rsidR="00943A04" w:rsidRPr="00B23295" w:rsidRDefault="00943A04" w:rsidP="00C16068">
    <w:pPr>
      <w:pStyle w:val="1stpgAetherFooter"/>
      <w:ind w:right="-568"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6470" w14:textId="77777777" w:rsidR="00BC6CB4" w:rsidRDefault="00BC6CB4" w:rsidP="00A3786E">
      <w:pPr>
        <w:spacing w:after="0" w:line="240" w:lineRule="auto"/>
      </w:pPr>
      <w:r>
        <w:separator/>
      </w:r>
    </w:p>
  </w:footnote>
  <w:footnote w:type="continuationSeparator" w:id="0">
    <w:p w14:paraId="46682C6A" w14:textId="77777777" w:rsidR="00BC6CB4" w:rsidRDefault="00BC6CB4" w:rsidP="00A3786E">
      <w:pPr>
        <w:spacing w:after="0" w:line="240" w:lineRule="auto"/>
      </w:pPr>
      <w:r>
        <w:continuationSeparator/>
      </w:r>
    </w:p>
  </w:footnote>
  <w:footnote w:id="1">
    <w:p w14:paraId="28B3B2BC" w14:textId="77777777" w:rsidR="00755469" w:rsidRDefault="00755469" w:rsidP="00755469">
      <w:pPr>
        <w:pStyle w:val="FootnoteText"/>
      </w:pPr>
      <w:r>
        <w:rPr>
          <w:rStyle w:val="FootnoteReference"/>
        </w:rPr>
        <w:footnoteRef/>
      </w:r>
      <w:r>
        <w:t xml:space="preserve">  </w:t>
      </w:r>
      <w:r w:rsidRPr="005E4024">
        <w:rPr>
          <w:rFonts w:cs="Calibri"/>
          <w:i/>
          <w:iCs/>
          <w:szCs w:val="24"/>
        </w:rPr>
        <w:t>Commission Regulation (EU) No 813/2013</w:t>
      </w:r>
      <w:r w:rsidRPr="005E4024">
        <w:rPr>
          <w:rFonts w:cs="Calibri"/>
          <w:szCs w:val="24"/>
        </w:rPr>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888D" w14:textId="77777777" w:rsidR="00B60333" w:rsidRDefault="00B6033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CDA" w14:textId="38E58663" w:rsidR="00B23295" w:rsidRDefault="00B23295" w:rsidP="00B23295">
    <w:pPr>
      <w:pStyle w:val="AetherHeader"/>
    </w:pPr>
  </w:p>
  <w:p w14:paraId="70E2BABB" w14:textId="77777777" w:rsidR="00943A04" w:rsidRPr="00B23295" w:rsidRDefault="00943A04" w:rsidP="00B23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12.95pt" o:bullet="t">
        <v:imagedata r:id="rId1" o:title="bullet"/>
      </v:shape>
    </w:pict>
  </w:numPicBullet>
  <w:abstractNum w:abstractNumId="0" w15:restartNumberingAfterBreak="0">
    <w:nsid w:val="02080C60"/>
    <w:multiLevelType w:val="hybridMultilevel"/>
    <w:tmpl w:val="BB483A6C"/>
    <w:lvl w:ilvl="0" w:tplc="74C42408">
      <w:start w:val="1"/>
      <w:numFmt w:val="decimal"/>
      <w:lvlText w:val="%1."/>
      <w:lvlJc w:val="left"/>
      <w:pPr>
        <w:ind w:left="720" w:hanging="360"/>
      </w:pPr>
      <w:rPr>
        <w:rFonts w:hint="default"/>
        <w:color w:val="0599C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412CD"/>
    <w:multiLevelType w:val="hybridMultilevel"/>
    <w:tmpl w:val="A0F0B9D0"/>
    <w:lvl w:ilvl="0" w:tplc="FD34763A">
      <w:start w:val="1"/>
      <w:numFmt w:val="bullet"/>
      <w:lvlText w:val=""/>
      <w:lvlJc w:val="left"/>
      <w:pPr>
        <w:ind w:left="360" w:hanging="360"/>
      </w:pPr>
      <w:rPr>
        <w:rFonts w:ascii="Symbol" w:hAnsi="Symbol" w:hint="default"/>
        <w:color w:val="0599C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43FA7"/>
    <w:multiLevelType w:val="hybridMultilevel"/>
    <w:tmpl w:val="66C06C8C"/>
    <w:lvl w:ilvl="0" w:tplc="203CE092">
      <w:start w:val="1"/>
      <w:numFmt w:val="bullet"/>
      <w:lvlText w:val=""/>
      <w:lvlJc w:val="left"/>
      <w:pPr>
        <w:ind w:left="720" w:hanging="360"/>
      </w:pPr>
      <w:rPr>
        <w:rFonts w:ascii="Symbol" w:hAnsi="Symbol" w:hint="default"/>
        <w:color w:val="0599C7"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6582"/>
    <w:multiLevelType w:val="hybridMultilevel"/>
    <w:tmpl w:val="D23E2AFC"/>
    <w:lvl w:ilvl="0" w:tplc="05447896">
      <w:start w:val="38"/>
      <w:numFmt w:val="decimal"/>
      <w:lvlText w:val="%1."/>
      <w:lvlJc w:val="left"/>
      <w:pPr>
        <w:ind w:left="360"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114950F0"/>
    <w:multiLevelType w:val="hybridMultilevel"/>
    <w:tmpl w:val="8DD48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62F70"/>
    <w:multiLevelType w:val="hybridMultilevel"/>
    <w:tmpl w:val="30DA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25159"/>
    <w:multiLevelType w:val="hybridMultilevel"/>
    <w:tmpl w:val="FC9EF5EE"/>
    <w:lvl w:ilvl="0" w:tplc="203CE092">
      <w:start w:val="1"/>
      <w:numFmt w:val="bullet"/>
      <w:lvlText w:val=""/>
      <w:lvlJc w:val="left"/>
      <w:pPr>
        <w:ind w:left="720" w:hanging="360"/>
      </w:pPr>
      <w:rPr>
        <w:rFonts w:ascii="Symbol" w:hAnsi="Symbol" w:hint="default"/>
        <w:color w:val="0599C7" w:themeColor="accent1"/>
      </w:rPr>
    </w:lvl>
    <w:lvl w:ilvl="1" w:tplc="06460C7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64F98"/>
    <w:multiLevelType w:val="hybridMultilevel"/>
    <w:tmpl w:val="A6B26DEE"/>
    <w:lvl w:ilvl="0" w:tplc="08090001">
      <w:start w:val="1"/>
      <w:numFmt w:val="bullet"/>
      <w:lvlText w:val=""/>
      <w:lvlJc w:val="left"/>
      <w:pPr>
        <w:ind w:left="615" w:hanging="360"/>
      </w:pPr>
      <w:rPr>
        <w:rFonts w:ascii="Symbol" w:hAnsi="Symbol" w:hint="default"/>
      </w:rPr>
    </w:lvl>
    <w:lvl w:ilvl="1" w:tplc="08090003">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8" w15:restartNumberingAfterBreak="0">
    <w:nsid w:val="21A453BF"/>
    <w:multiLevelType w:val="hybridMultilevel"/>
    <w:tmpl w:val="0A582FF4"/>
    <w:lvl w:ilvl="0" w:tplc="52E4493C">
      <w:numFmt w:val="bullet"/>
      <w:pStyle w:val="AetherTableTextBullets"/>
      <w:lvlText w:val="•"/>
      <w:lvlJc w:val="left"/>
      <w:pPr>
        <w:ind w:left="360" w:hanging="360"/>
      </w:pPr>
      <w:rPr>
        <w:rFonts w:ascii="Arial" w:hAnsi="Arial" w:hint="default"/>
        <w:color w:val="6363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6264F"/>
    <w:multiLevelType w:val="hybridMultilevel"/>
    <w:tmpl w:val="B02E4A2E"/>
    <w:lvl w:ilvl="0" w:tplc="DCECF3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0521A"/>
    <w:multiLevelType w:val="multilevel"/>
    <w:tmpl w:val="AD6A476E"/>
    <w:lvl w:ilvl="0">
      <w:start w:val="1"/>
      <w:numFmt w:val="decimal"/>
      <w:pStyle w:val="AetherBulletsStyle-2levelsnumbered"/>
      <w:lvlText w:val="%1."/>
      <w:lvlJc w:val="left"/>
      <w:pPr>
        <w:ind w:left="454" w:hanging="454"/>
      </w:pPr>
      <w:rPr>
        <w:rFonts w:ascii="Calibri" w:hAnsi="Calibri" w:hint="default"/>
        <w:color w:val="636363"/>
        <w:sz w:val="22"/>
      </w:rPr>
    </w:lvl>
    <w:lvl w:ilvl="1">
      <w:start w:val="1"/>
      <w:numFmt w:val="lowerLetter"/>
      <w:lvlText w:val="%2)"/>
      <w:lvlJc w:val="left"/>
      <w:pPr>
        <w:tabs>
          <w:tab w:val="num" w:pos="851"/>
        </w:tabs>
        <w:ind w:left="907" w:hanging="453"/>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2B44176C"/>
    <w:multiLevelType w:val="hybridMultilevel"/>
    <w:tmpl w:val="78863EA8"/>
    <w:lvl w:ilvl="0" w:tplc="08090001">
      <w:start w:val="1"/>
      <w:numFmt w:val="bullet"/>
      <w:lvlText w:val=""/>
      <w:lvlJc w:val="left"/>
      <w:pPr>
        <w:ind w:left="615" w:hanging="360"/>
      </w:pPr>
      <w:rPr>
        <w:rFonts w:ascii="Symbol" w:hAnsi="Symbol" w:hint="default"/>
      </w:rPr>
    </w:lvl>
    <w:lvl w:ilvl="1" w:tplc="0914AB4E">
      <w:start w:val="1"/>
      <w:numFmt w:val="decimal"/>
      <w:lvlText w:val="%2."/>
      <w:lvlJc w:val="left"/>
      <w:pPr>
        <w:ind w:left="1335" w:hanging="360"/>
      </w:pPr>
      <w:rPr>
        <w:rFonts w:hint="default"/>
      </w:r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2" w15:restartNumberingAfterBreak="0">
    <w:nsid w:val="414403C4"/>
    <w:multiLevelType w:val="hybridMultilevel"/>
    <w:tmpl w:val="44EA1E1C"/>
    <w:lvl w:ilvl="0" w:tplc="203CE092">
      <w:start w:val="1"/>
      <w:numFmt w:val="bullet"/>
      <w:lvlText w:val=""/>
      <w:lvlJc w:val="left"/>
      <w:pPr>
        <w:ind w:left="720" w:hanging="360"/>
      </w:pPr>
      <w:rPr>
        <w:rFonts w:ascii="Symbol" w:hAnsi="Symbol" w:hint="default"/>
        <w:color w:val="0599C7"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80E60"/>
    <w:multiLevelType w:val="hybridMultilevel"/>
    <w:tmpl w:val="43C2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D2E91"/>
    <w:multiLevelType w:val="hybridMultilevel"/>
    <w:tmpl w:val="4726D470"/>
    <w:lvl w:ilvl="0" w:tplc="203CE092">
      <w:start w:val="1"/>
      <w:numFmt w:val="bullet"/>
      <w:lvlText w:val=""/>
      <w:lvlJc w:val="left"/>
      <w:pPr>
        <w:ind w:left="720" w:hanging="360"/>
      </w:pPr>
      <w:rPr>
        <w:rFonts w:ascii="Symbol" w:hAnsi="Symbol" w:hint="default"/>
        <w:color w:val="0599C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B1CFB"/>
    <w:multiLevelType w:val="hybridMultilevel"/>
    <w:tmpl w:val="1AF22094"/>
    <w:lvl w:ilvl="0" w:tplc="90E63EDA">
      <w:numFmt w:val="bullet"/>
      <w:lvlText w:val="•"/>
      <w:lvlJc w:val="left"/>
      <w:pPr>
        <w:ind w:left="720" w:hanging="360"/>
      </w:pPr>
      <w:rPr>
        <w:rFonts w:ascii="Arial" w:hAnsi="Aria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40AB4"/>
    <w:multiLevelType w:val="hybridMultilevel"/>
    <w:tmpl w:val="B14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41F96"/>
    <w:multiLevelType w:val="hybridMultilevel"/>
    <w:tmpl w:val="C430F148"/>
    <w:lvl w:ilvl="0" w:tplc="4088FF50">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C307C9"/>
    <w:multiLevelType w:val="multilevel"/>
    <w:tmpl w:val="BA025E20"/>
    <w:lvl w:ilvl="0">
      <w:start w:val="1"/>
      <w:numFmt w:val="bullet"/>
      <w:pStyle w:val="AetherBulletsStyle-3levels"/>
      <w:lvlText w:val=""/>
      <w:lvlJc w:val="left"/>
      <w:pPr>
        <w:tabs>
          <w:tab w:val="num" w:pos="567"/>
        </w:tabs>
        <w:ind w:left="851" w:hanging="284"/>
      </w:pPr>
      <w:rPr>
        <w:rFonts w:ascii="Symbol" w:hAnsi="Symbol" w:hint="default"/>
        <w:color w:val="1493C6"/>
        <w:u w:color="1493C6"/>
      </w:rPr>
    </w:lvl>
    <w:lvl w:ilvl="1">
      <w:start w:val="1"/>
      <w:numFmt w:val="bullet"/>
      <w:lvlText w:val=""/>
      <w:lvlJc w:val="left"/>
      <w:pPr>
        <w:tabs>
          <w:tab w:val="num" w:pos="851"/>
        </w:tabs>
        <w:ind w:left="1134" w:hanging="283"/>
      </w:pPr>
      <w:rPr>
        <w:rFonts w:ascii="Wingdings" w:hAnsi="Wingdings" w:hint="default"/>
        <w:color w:val="1493C6"/>
      </w:rPr>
    </w:lvl>
    <w:lvl w:ilvl="2">
      <w:start w:val="1"/>
      <w:numFmt w:val="bullet"/>
      <w:lvlText w:val=""/>
      <w:lvlJc w:val="left"/>
      <w:pPr>
        <w:tabs>
          <w:tab w:val="num" w:pos="1134"/>
        </w:tabs>
        <w:ind w:left="1418" w:hanging="284"/>
      </w:pPr>
      <w:rPr>
        <w:rFonts w:ascii="Wingdings" w:hAnsi="Wingdings" w:hint="default"/>
        <w:color w:val="1493C6"/>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B6313EA"/>
    <w:multiLevelType w:val="multilevel"/>
    <w:tmpl w:val="57CEE932"/>
    <w:lvl w:ilvl="0">
      <w:start w:val="1"/>
      <w:numFmt w:val="decimal"/>
      <w:pStyle w:val="TCsnumberbullets"/>
      <w:lvlText w:val="%1."/>
      <w:lvlJc w:val="left"/>
      <w:pPr>
        <w:ind w:left="284" w:hanging="284"/>
      </w:pPr>
      <w:rPr>
        <w:rFonts w:ascii="Calibri" w:hAnsi="Calibri" w:hint="default"/>
        <w:color w:val="636363"/>
        <w:sz w:val="18"/>
      </w:rPr>
    </w:lvl>
    <w:lvl w:ilvl="1">
      <w:start w:val="1"/>
      <w:numFmt w:val="lowerLetter"/>
      <w:lvlText w:val="%2)"/>
      <w:lvlJc w:val="left"/>
      <w:pPr>
        <w:ind w:left="567" w:hanging="283"/>
      </w:pPr>
      <w:rPr>
        <w:rFonts w:ascii="Calibri" w:hAnsi="Calibri" w:hint="default"/>
        <w:color w:val="636363"/>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25417D"/>
    <w:multiLevelType w:val="hybridMultilevel"/>
    <w:tmpl w:val="419EA0D0"/>
    <w:lvl w:ilvl="0" w:tplc="203CE092">
      <w:start w:val="1"/>
      <w:numFmt w:val="bullet"/>
      <w:lvlText w:val=""/>
      <w:lvlJc w:val="left"/>
      <w:pPr>
        <w:ind w:left="1440" w:hanging="360"/>
      </w:pPr>
      <w:rPr>
        <w:rFonts w:ascii="Symbol" w:hAnsi="Symbol" w:hint="default"/>
        <w:color w:val="0599C7"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EC2E3E"/>
    <w:multiLevelType w:val="multilevel"/>
    <w:tmpl w:val="5858C13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05A70B1"/>
    <w:multiLevelType w:val="hybridMultilevel"/>
    <w:tmpl w:val="EC30A622"/>
    <w:lvl w:ilvl="0" w:tplc="08090001">
      <w:start w:val="1"/>
      <w:numFmt w:val="bullet"/>
      <w:lvlText w:val=""/>
      <w:lvlJc w:val="left"/>
      <w:pPr>
        <w:ind w:left="615" w:hanging="360"/>
      </w:pPr>
      <w:rPr>
        <w:rFonts w:ascii="Symbol" w:hAnsi="Symbol" w:hint="default"/>
      </w:rPr>
    </w:lvl>
    <w:lvl w:ilvl="1" w:tplc="08090001">
      <w:start w:val="1"/>
      <w:numFmt w:val="bullet"/>
      <w:lvlText w:val=""/>
      <w:lvlJc w:val="left"/>
      <w:pPr>
        <w:ind w:left="1335" w:hanging="360"/>
      </w:pPr>
      <w:rPr>
        <w:rFonts w:ascii="Symbol" w:hAnsi="Symbol" w:hint="default"/>
      </w:r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23" w15:restartNumberingAfterBreak="0">
    <w:nsid w:val="70F65394"/>
    <w:multiLevelType w:val="hybridMultilevel"/>
    <w:tmpl w:val="37EA83B2"/>
    <w:lvl w:ilvl="0" w:tplc="203CE092">
      <w:start w:val="1"/>
      <w:numFmt w:val="bullet"/>
      <w:lvlText w:val=""/>
      <w:lvlJc w:val="left"/>
      <w:pPr>
        <w:ind w:left="720" w:hanging="360"/>
      </w:pPr>
      <w:rPr>
        <w:rFonts w:ascii="Symbol" w:hAnsi="Symbol" w:hint="default"/>
        <w:color w:val="0599C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C4E93"/>
    <w:multiLevelType w:val="multilevel"/>
    <w:tmpl w:val="637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64D69"/>
    <w:multiLevelType w:val="multilevel"/>
    <w:tmpl w:val="3D3226E8"/>
    <w:lvl w:ilvl="0">
      <w:start w:val="1"/>
      <w:numFmt w:val="decimal"/>
      <w:lvlText w:val="%1."/>
      <w:lvlJc w:val="left"/>
      <w:pPr>
        <w:ind w:left="851" w:hanging="851"/>
      </w:pPr>
      <w:rPr>
        <w:rFonts w:hint="default"/>
      </w:rPr>
    </w:lvl>
    <w:lvl w:ilvl="1">
      <w:start w:val="2"/>
      <w:numFmt w:val="decimal"/>
      <w:lvlRestart w:val="0"/>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E3F0E59"/>
    <w:multiLevelType w:val="multilevel"/>
    <w:tmpl w:val="C1C42D3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Restart w:val="0"/>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18427026">
    <w:abstractNumId w:val="18"/>
  </w:num>
  <w:num w:numId="2" w16cid:durableId="15417010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377844">
    <w:abstractNumId w:val="10"/>
  </w:num>
  <w:num w:numId="4" w16cid:durableId="602150161">
    <w:abstractNumId w:val="25"/>
  </w:num>
  <w:num w:numId="5" w16cid:durableId="1942712960">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333574">
    <w:abstractNumId w:val="25"/>
  </w:num>
  <w:num w:numId="7" w16cid:durableId="1440099865">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467127">
    <w:abstractNumId w:val="26"/>
  </w:num>
  <w:num w:numId="9" w16cid:durableId="1890338821">
    <w:abstractNumId w:val="26"/>
    <w:lvlOverride w:ilvl="0">
      <w:lvl w:ilvl="0">
        <w:start w:val="1"/>
        <w:numFmt w:val="decimal"/>
        <w:lvlText w:val="%1."/>
        <w:lvlJc w:val="left"/>
        <w:pPr>
          <w:ind w:left="851" w:hanging="851"/>
        </w:pPr>
        <w:rPr>
          <w:rFonts w:hint="default"/>
        </w:rPr>
      </w:lvl>
    </w:lvlOverride>
    <w:lvlOverride w:ilvl="1">
      <w:lvl w:ilvl="1">
        <w:start w:val="1"/>
        <w:numFmt w:val="decimal"/>
        <w:lvlRestart w:val="0"/>
        <w:lvlText w:val="1.%2"/>
        <w:lvlJc w:val="left"/>
        <w:pPr>
          <w:ind w:left="851" w:hanging="851"/>
        </w:pPr>
        <w:rPr>
          <w:rFonts w:hint="default"/>
        </w:rPr>
      </w:lvl>
    </w:lvlOverride>
    <w:lvlOverride w:ilvl="2">
      <w:lvl w:ilvl="2">
        <w:start w:val="1"/>
        <w:numFmt w:val="decimal"/>
        <w:lvlRestart w:val="0"/>
        <w:lvlText w:val="%1.%2.%3"/>
        <w:lvlJc w:val="left"/>
        <w:pPr>
          <w:ind w:left="851" w:hanging="851"/>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784084667">
    <w:abstractNumId w:val="21"/>
  </w:num>
  <w:num w:numId="11" w16cid:durableId="1924803129">
    <w:abstractNumId w:val="8"/>
  </w:num>
  <w:num w:numId="12" w16cid:durableId="77674484">
    <w:abstractNumId w:val="15"/>
  </w:num>
  <w:num w:numId="13" w16cid:durableId="1938052871">
    <w:abstractNumId w:val="18"/>
    <w:lvlOverride w:ilvl="0">
      <w:lvl w:ilvl="0">
        <w:start w:val="1"/>
        <w:numFmt w:val="bullet"/>
        <w:pStyle w:val="AetherBulletsStyle-3levels"/>
        <w:lvlText w:val=""/>
        <w:lvlPicBulletId w:val="0"/>
        <w:lvlJc w:val="left"/>
        <w:pPr>
          <w:tabs>
            <w:tab w:val="num" w:pos="567"/>
          </w:tabs>
          <w:ind w:left="851" w:hanging="284"/>
        </w:pPr>
        <w:rPr>
          <w:rFonts w:ascii="Symbol" w:hAnsi="Symbol" w:hint="default"/>
          <w:color w:val="auto"/>
          <w:u w:color="1493C6"/>
        </w:rPr>
      </w:lvl>
    </w:lvlOverride>
    <w:lvlOverride w:ilvl="1">
      <w:lvl w:ilvl="1">
        <w:start w:val="1"/>
        <w:numFmt w:val="bullet"/>
        <w:lvlText w:val=""/>
        <w:lvlJc w:val="left"/>
        <w:pPr>
          <w:tabs>
            <w:tab w:val="num" w:pos="851"/>
          </w:tabs>
          <w:ind w:left="1134" w:hanging="283"/>
        </w:pPr>
        <w:rPr>
          <w:rFonts w:ascii="Wingdings" w:hAnsi="Wingdings" w:hint="default"/>
          <w:color w:val="1493C6"/>
        </w:rPr>
      </w:lvl>
    </w:lvlOverride>
    <w:lvlOverride w:ilvl="2">
      <w:lvl w:ilvl="2">
        <w:start w:val="1"/>
        <w:numFmt w:val="bullet"/>
        <w:lvlText w:val=""/>
        <w:lvlJc w:val="left"/>
        <w:pPr>
          <w:tabs>
            <w:tab w:val="num" w:pos="1134"/>
          </w:tabs>
          <w:ind w:left="1418" w:hanging="284"/>
        </w:pPr>
        <w:rPr>
          <w:rFonts w:ascii="Symbol" w:hAnsi="Symbol" w:hint="default"/>
          <w:color w:val="1493C6"/>
        </w:rPr>
      </w:lvl>
    </w:lvlOverride>
    <w:lvlOverride w:ilvl="3">
      <w:lvl w:ilvl="3">
        <w:start w:val="1"/>
        <w:numFmt w:val="bullet"/>
        <w:lvlText w:val=""/>
        <w:lvlJc w:val="left"/>
        <w:pPr>
          <w:ind w:left="3164" w:hanging="360"/>
        </w:pPr>
        <w:rPr>
          <w:rFonts w:ascii="Symbol" w:hAnsi="Symbol"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14" w16cid:durableId="774902539">
    <w:abstractNumId w:val="17"/>
  </w:num>
  <w:num w:numId="15" w16cid:durableId="542984134">
    <w:abstractNumId w:val="22"/>
  </w:num>
  <w:num w:numId="16" w16cid:durableId="1694578077">
    <w:abstractNumId w:val="3"/>
  </w:num>
  <w:num w:numId="17" w16cid:durableId="453595610">
    <w:abstractNumId w:val="7"/>
  </w:num>
  <w:num w:numId="18" w16cid:durableId="629554937">
    <w:abstractNumId w:val="11"/>
  </w:num>
  <w:num w:numId="19" w16cid:durableId="1954170903">
    <w:abstractNumId w:val="19"/>
  </w:num>
  <w:num w:numId="20" w16cid:durableId="1623534761">
    <w:abstractNumId w:val="16"/>
  </w:num>
  <w:num w:numId="21" w16cid:durableId="1542866234">
    <w:abstractNumId w:val="13"/>
  </w:num>
  <w:num w:numId="22" w16cid:durableId="448552639">
    <w:abstractNumId w:val="4"/>
  </w:num>
  <w:num w:numId="23" w16cid:durableId="667513536">
    <w:abstractNumId w:val="9"/>
  </w:num>
  <w:num w:numId="24" w16cid:durableId="1270239728">
    <w:abstractNumId w:val="6"/>
  </w:num>
  <w:num w:numId="25" w16cid:durableId="361319014">
    <w:abstractNumId w:val="20"/>
  </w:num>
  <w:num w:numId="26" w16cid:durableId="1360856027">
    <w:abstractNumId w:val="23"/>
  </w:num>
  <w:num w:numId="27" w16cid:durableId="2099978293">
    <w:abstractNumId w:val="12"/>
  </w:num>
  <w:num w:numId="28" w16cid:durableId="56444006">
    <w:abstractNumId w:val="14"/>
  </w:num>
  <w:num w:numId="29" w16cid:durableId="987175614">
    <w:abstractNumId w:val="2"/>
  </w:num>
  <w:num w:numId="30" w16cid:durableId="186919090">
    <w:abstractNumId w:val="24"/>
  </w:num>
  <w:num w:numId="31" w16cid:durableId="786967704">
    <w:abstractNumId w:val="1"/>
  </w:num>
  <w:num w:numId="32" w16cid:durableId="511771168">
    <w:abstractNumId w:val="0"/>
  </w:num>
  <w:num w:numId="33" w16cid:durableId="958418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33"/>
    <w:rsid w:val="000112AA"/>
    <w:rsid w:val="00031354"/>
    <w:rsid w:val="0003144E"/>
    <w:rsid w:val="00043C0B"/>
    <w:rsid w:val="000457BF"/>
    <w:rsid w:val="00054A01"/>
    <w:rsid w:val="000566A4"/>
    <w:rsid w:val="000603DF"/>
    <w:rsid w:val="00073313"/>
    <w:rsid w:val="00087E0F"/>
    <w:rsid w:val="000931F0"/>
    <w:rsid w:val="0009385E"/>
    <w:rsid w:val="000A097A"/>
    <w:rsid w:val="000B4E50"/>
    <w:rsid w:val="000B5459"/>
    <w:rsid w:val="000B6FE8"/>
    <w:rsid w:val="000C0C4F"/>
    <w:rsid w:val="000E7F82"/>
    <w:rsid w:val="00106E7A"/>
    <w:rsid w:val="00154A42"/>
    <w:rsid w:val="001A056B"/>
    <w:rsid w:val="001F17FD"/>
    <w:rsid w:val="00213589"/>
    <w:rsid w:val="0021758C"/>
    <w:rsid w:val="00220B84"/>
    <w:rsid w:val="00224CD0"/>
    <w:rsid w:val="00227A0F"/>
    <w:rsid w:val="002341CD"/>
    <w:rsid w:val="00234C4C"/>
    <w:rsid w:val="00273520"/>
    <w:rsid w:val="00284627"/>
    <w:rsid w:val="00285814"/>
    <w:rsid w:val="002960DE"/>
    <w:rsid w:val="002A433E"/>
    <w:rsid w:val="002B66FD"/>
    <w:rsid w:val="002B7476"/>
    <w:rsid w:val="002C3C25"/>
    <w:rsid w:val="002E795B"/>
    <w:rsid w:val="002F74A8"/>
    <w:rsid w:val="00315F2A"/>
    <w:rsid w:val="003211CC"/>
    <w:rsid w:val="00334386"/>
    <w:rsid w:val="00357C47"/>
    <w:rsid w:val="00373AD4"/>
    <w:rsid w:val="0039124A"/>
    <w:rsid w:val="003A57B0"/>
    <w:rsid w:val="003B3A73"/>
    <w:rsid w:val="003B4ECC"/>
    <w:rsid w:val="003B6743"/>
    <w:rsid w:val="003C3D84"/>
    <w:rsid w:val="003D7258"/>
    <w:rsid w:val="003E72DD"/>
    <w:rsid w:val="00404F9D"/>
    <w:rsid w:val="00424F59"/>
    <w:rsid w:val="00427066"/>
    <w:rsid w:val="00431774"/>
    <w:rsid w:val="00431B4F"/>
    <w:rsid w:val="00434DE1"/>
    <w:rsid w:val="004503B2"/>
    <w:rsid w:val="004574F9"/>
    <w:rsid w:val="00470DB4"/>
    <w:rsid w:val="004729E3"/>
    <w:rsid w:val="00477351"/>
    <w:rsid w:val="00487E1B"/>
    <w:rsid w:val="004B1B81"/>
    <w:rsid w:val="004B3C25"/>
    <w:rsid w:val="004B50F9"/>
    <w:rsid w:val="004C4F54"/>
    <w:rsid w:val="004C67EC"/>
    <w:rsid w:val="004D1F3D"/>
    <w:rsid w:val="004E4E24"/>
    <w:rsid w:val="004E7875"/>
    <w:rsid w:val="004F09EC"/>
    <w:rsid w:val="0050131C"/>
    <w:rsid w:val="00514DF2"/>
    <w:rsid w:val="00520BF7"/>
    <w:rsid w:val="00523026"/>
    <w:rsid w:val="00531D3B"/>
    <w:rsid w:val="005662B9"/>
    <w:rsid w:val="00567BA8"/>
    <w:rsid w:val="00581491"/>
    <w:rsid w:val="00586D7D"/>
    <w:rsid w:val="005A7B42"/>
    <w:rsid w:val="005B0894"/>
    <w:rsid w:val="005B2D45"/>
    <w:rsid w:val="005B7D6E"/>
    <w:rsid w:val="005E1102"/>
    <w:rsid w:val="005E2E48"/>
    <w:rsid w:val="00611FBF"/>
    <w:rsid w:val="006153B6"/>
    <w:rsid w:val="0062628B"/>
    <w:rsid w:val="006356FF"/>
    <w:rsid w:val="00643075"/>
    <w:rsid w:val="0064770B"/>
    <w:rsid w:val="00651D2D"/>
    <w:rsid w:val="00651E73"/>
    <w:rsid w:val="006641EA"/>
    <w:rsid w:val="00665454"/>
    <w:rsid w:val="00674627"/>
    <w:rsid w:val="00674B30"/>
    <w:rsid w:val="00677586"/>
    <w:rsid w:val="006957D1"/>
    <w:rsid w:val="006A46EE"/>
    <w:rsid w:val="006D27F5"/>
    <w:rsid w:val="006D5EE3"/>
    <w:rsid w:val="00701E1D"/>
    <w:rsid w:val="007038D8"/>
    <w:rsid w:val="00737E2D"/>
    <w:rsid w:val="00743795"/>
    <w:rsid w:val="00755469"/>
    <w:rsid w:val="00755C1A"/>
    <w:rsid w:val="0075647B"/>
    <w:rsid w:val="00756669"/>
    <w:rsid w:val="0075745C"/>
    <w:rsid w:val="00760596"/>
    <w:rsid w:val="007633E4"/>
    <w:rsid w:val="007652BA"/>
    <w:rsid w:val="00766FC1"/>
    <w:rsid w:val="007816B5"/>
    <w:rsid w:val="007B00BB"/>
    <w:rsid w:val="007B01EB"/>
    <w:rsid w:val="007B575A"/>
    <w:rsid w:val="007B6372"/>
    <w:rsid w:val="007C457F"/>
    <w:rsid w:val="00806E3E"/>
    <w:rsid w:val="00807DAB"/>
    <w:rsid w:val="00822DC3"/>
    <w:rsid w:val="00825E4F"/>
    <w:rsid w:val="008260BA"/>
    <w:rsid w:val="00830A93"/>
    <w:rsid w:val="00843A75"/>
    <w:rsid w:val="00847A75"/>
    <w:rsid w:val="0089435B"/>
    <w:rsid w:val="008A19DF"/>
    <w:rsid w:val="008D0CBA"/>
    <w:rsid w:val="008D43C4"/>
    <w:rsid w:val="008F09A5"/>
    <w:rsid w:val="008F48EE"/>
    <w:rsid w:val="00904D03"/>
    <w:rsid w:val="00914E34"/>
    <w:rsid w:val="00921066"/>
    <w:rsid w:val="009249F9"/>
    <w:rsid w:val="00926962"/>
    <w:rsid w:val="0093138C"/>
    <w:rsid w:val="00943A04"/>
    <w:rsid w:val="009557C9"/>
    <w:rsid w:val="00961260"/>
    <w:rsid w:val="009644BC"/>
    <w:rsid w:val="0097447C"/>
    <w:rsid w:val="009768E2"/>
    <w:rsid w:val="0097768C"/>
    <w:rsid w:val="0098583E"/>
    <w:rsid w:val="00994A14"/>
    <w:rsid w:val="00997CF2"/>
    <w:rsid w:val="009A34BA"/>
    <w:rsid w:val="009D52BD"/>
    <w:rsid w:val="009D5700"/>
    <w:rsid w:val="009E4A2F"/>
    <w:rsid w:val="009F7AF6"/>
    <w:rsid w:val="00A072BB"/>
    <w:rsid w:val="00A24BE6"/>
    <w:rsid w:val="00A31AE7"/>
    <w:rsid w:val="00A3786E"/>
    <w:rsid w:val="00A4183E"/>
    <w:rsid w:val="00A60900"/>
    <w:rsid w:val="00A65FC5"/>
    <w:rsid w:val="00A660A2"/>
    <w:rsid w:val="00A74096"/>
    <w:rsid w:val="00A75F1F"/>
    <w:rsid w:val="00A906C9"/>
    <w:rsid w:val="00AA55DB"/>
    <w:rsid w:val="00AA79DB"/>
    <w:rsid w:val="00AD17AE"/>
    <w:rsid w:val="00AE22A3"/>
    <w:rsid w:val="00AE3DBD"/>
    <w:rsid w:val="00B01FFD"/>
    <w:rsid w:val="00B03DA5"/>
    <w:rsid w:val="00B12972"/>
    <w:rsid w:val="00B155C1"/>
    <w:rsid w:val="00B23295"/>
    <w:rsid w:val="00B2736A"/>
    <w:rsid w:val="00B3241E"/>
    <w:rsid w:val="00B42BF9"/>
    <w:rsid w:val="00B60333"/>
    <w:rsid w:val="00B7195B"/>
    <w:rsid w:val="00B76A9A"/>
    <w:rsid w:val="00BA2776"/>
    <w:rsid w:val="00BA6C4E"/>
    <w:rsid w:val="00BC1C0C"/>
    <w:rsid w:val="00BC6CB4"/>
    <w:rsid w:val="00BD2EB5"/>
    <w:rsid w:val="00BD3C4A"/>
    <w:rsid w:val="00BE755E"/>
    <w:rsid w:val="00BF0D41"/>
    <w:rsid w:val="00BF2EF3"/>
    <w:rsid w:val="00BF3947"/>
    <w:rsid w:val="00C16068"/>
    <w:rsid w:val="00C3302F"/>
    <w:rsid w:val="00C346A9"/>
    <w:rsid w:val="00C53248"/>
    <w:rsid w:val="00C5610D"/>
    <w:rsid w:val="00C63202"/>
    <w:rsid w:val="00C663C1"/>
    <w:rsid w:val="00C667CA"/>
    <w:rsid w:val="00C939CE"/>
    <w:rsid w:val="00C97A8B"/>
    <w:rsid w:val="00CB0F3E"/>
    <w:rsid w:val="00CB786D"/>
    <w:rsid w:val="00CC1716"/>
    <w:rsid w:val="00CC6C49"/>
    <w:rsid w:val="00CC717D"/>
    <w:rsid w:val="00CE2A92"/>
    <w:rsid w:val="00CF0754"/>
    <w:rsid w:val="00CF3134"/>
    <w:rsid w:val="00CF495D"/>
    <w:rsid w:val="00D003E6"/>
    <w:rsid w:val="00D0747B"/>
    <w:rsid w:val="00D265FB"/>
    <w:rsid w:val="00D33FE2"/>
    <w:rsid w:val="00D34198"/>
    <w:rsid w:val="00D46115"/>
    <w:rsid w:val="00D464E7"/>
    <w:rsid w:val="00D540D8"/>
    <w:rsid w:val="00D935D8"/>
    <w:rsid w:val="00DA606A"/>
    <w:rsid w:val="00DA72E5"/>
    <w:rsid w:val="00DB04DC"/>
    <w:rsid w:val="00DF656D"/>
    <w:rsid w:val="00E0712D"/>
    <w:rsid w:val="00E12852"/>
    <w:rsid w:val="00E1332D"/>
    <w:rsid w:val="00E146FB"/>
    <w:rsid w:val="00E173ED"/>
    <w:rsid w:val="00E40984"/>
    <w:rsid w:val="00E45BB3"/>
    <w:rsid w:val="00E51497"/>
    <w:rsid w:val="00E56A19"/>
    <w:rsid w:val="00E5754E"/>
    <w:rsid w:val="00E57710"/>
    <w:rsid w:val="00E63CF3"/>
    <w:rsid w:val="00E77A87"/>
    <w:rsid w:val="00E81BBD"/>
    <w:rsid w:val="00EB6EF2"/>
    <w:rsid w:val="00EC2938"/>
    <w:rsid w:val="00EC5F42"/>
    <w:rsid w:val="00EC6F34"/>
    <w:rsid w:val="00EE3D73"/>
    <w:rsid w:val="00EE6822"/>
    <w:rsid w:val="00EF0DAE"/>
    <w:rsid w:val="00F05508"/>
    <w:rsid w:val="00F35225"/>
    <w:rsid w:val="00F40DE0"/>
    <w:rsid w:val="00F42BDB"/>
    <w:rsid w:val="00F57721"/>
    <w:rsid w:val="00F64C25"/>
    <w:rsid w:val="00F81C00"/>
    <w:rsid w:val="00F8234C"/>
    <w:rsid w:val="00F94CBB"/>
    <w:rsid w:val="00FA40BF"/>
    <w:rsid w:val="00FB7720"/>
    <w:rsid w:val="00FF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04938"/>
  <w15:chartTrackingRefBased/>
  <w15:docId w15:val="{04AE5829-8214-44D1-8270-E60190C5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locked="0" w:uiPriority="71"/>
    <w:lsdException w:name="Colorful List Accent 6" w:locked="0" w:uiPriority="72"/>
    <w:lsdException w:name="Colorful Grid Accent 6" w:locked="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semiHidden="1" w:unhideWhenUsed="1"/>
    <w:lsdException w:name="Smart Link" w:locked="0" w:semiHidden="1" w:unhideWhenUsed="1"/>
  </w:latentStyles>
  <w:style w:type="paragraph" w:default="1" w:styleId="Normal">
    <w:name w:val="Normal"/>
    <w:qFormat/>
    <w:rsid w:val="005B2D45"/>
    <w:pPr>
      <w:spacing w:after="160" w:line="259" w:lineRule="auto"/>
    </w:pPr>
    <w:rPr>
      <w:sz w:val="22"/>
      <w:szCs w:val="22"/>
      <w:lang w:eastAsia="en-US"/>
    </w:rPr>
  </w:style>
  <w:style w:type="paragraph" w:styleId="Heading1">
    <w:name w:val="heading 1"/>
    <w:basedOn w:val="Normal"/>
    <w:next w:val="Normal"/>
    <w:link w:val="Heading1Char"/>
    <w:uiPriority w:val="9"/>
    <w:semiHidden/>
    <w:locked/>
    <w:rsid w:val="005B2D45"/>
    <w:pPr>
      <w:keepNext/>
      <w:keepLines/>
      <w:spacing w:before="240" w:after="0"/>
      <w:outlineLvl w:val="0"/>
    </w:pPr>
    <w:rPr>
      <w:rFonts w:eastAsia="Times New Roman"/>
      <w:color w:val="0F6D94"/>
      <w:sz w:val="32"/>
      <w:szCs w:val="32"/>
    </w:rPr>
  </w:style>
  <w:style w:type="paragraph" w:styleId="Heading2">
    <w:name w:val="heading 2"/>
    <w:basedOn w:val="Normal"/>
    <w:next w:val="Normal"/>
    <w:link w:val="Heading2Char"/>
    <w:uiPriority w:val="9"/>
    <w:semiHidden/>
    <w:unhideWhenUsed/>
    <w:qFormat/>
    <w:locked/>
    <w:rsid w:val="005B2D45"/>
    <w:pPr>
      <w:keepNext/>
      <w:keepLines/>
      <w:spacing w:before="40" w:after="0"/>
      <w:outlineLvl w:val="1"/>
    </w:pPr>
    <w:rPr>
      <w:rFonts w:eastAsia="Times New Roman"/>
      <w:color w:val="0F6D94"/>
      <w:sz w:val="26"/>
      <w:szCs w:val="26"/>
    </w:rPr>
  </w:style>
  <w:style w:type="paragraph" w:styleId="Heading3">
    <w:name w:val="heading 3"/>
    <w:basedOn w:val="Normal"/>
    <w:next w:val="Normal"/>
    <w:link w:val="Heading3Char"/>
    <w:uiPriority w:val="9"/>
    <w:semiHidden/>
    <w:unhideWhenUsed/>
    <w:qFormat/>
    <w:locked/>
    <w:rsid w:val="005B2D45"/>
    <w:pPr>
      <w:keepNext/>
      <w:keepLines/>
      <w:spacing w:before="40" w:after="0"/>
      <w:outlineLvl w:val="2"/>
    </w:pPr>
    <w:rPr>
      <w:rFonts w:eastAsia="Times New Roman"/>
      <w:color w:val="0A486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thernormal">
    <w:name w:val="Aether normal"/>
    <w:qFormat/>
    <w:rsid w:val="00D540D8"/>
    <w:pPr>
      <w:spacing w:before="120" w:after="240"/>
    </w:pPr>
    <w:rPr>
      <w:color w:val="636363"/>
      <w:sz w:val="22"/>
      <w:szCs w:val="22"/>
      <w:lang w:eastAsia="en-US"/>
    </w:rPr>
  </w:style>
  <w:style w:type="paragraph" w:customStyle="1" w:styleId="AetherHeader">
    <w:name w:val="Aether Header"/>
    <w:next w:val="Normal"/>
    <w:qFormat/>
    <w:rsid w:val="00567BA8"/>
    <w:pPr>
      <w:spacing w:before="40" w:after="40"/>
    </w:pPr>
    <w:rPr>
      <w:b/>
      <w:color w:val="0599C7"/>
      <w:sz w:val="22"/>
      <w:szCs w:val="22"/>
      <w:lang w:eastAsia="en-US"/>
    </w:rPr>
  </w:style>
  <w:style w:type="paragraph" w:customStyle="1" w:styleId="1stpgAetherFooter">
    <w:name w:val="1st pg Aether Footer"/>
    <w:next w:val="Normal"/>
    <w:qFormat/>
    <w:rsid w:val="00567BA8"/>
    <w:pPr>
      <w:spacing w:before="40" w:after="40"/>
      <w:jc w:val="center"/>
    </w:pPr>
    <w:rPr>
      <w:bCs/>
      <w:color w:val="0599C7"/>
      <w:sz w:val="16"/>
      <w:szCs w:val="22"/>
      <w:lang w:eastAsia="en-US"/>
    </w:rPr>
  </w:style>
  <w:style w:type="paragraph" w:customStyle="1" w:styleId="AetherBulletsStyle-3levels">
    <w:name w:val="Aether Bullets Style - 3 levels"/>
    <w:next w:val="Aethernormal"/>
    <w:qFormat/>
    <w:rsid w:val="009557C9"/>
    <w:pPr>
      <w:numPr>
        <w:numId w:val="1"/>
      </w:numPr>
      <w:spacing w:before="120" w:after="120"/>
      <w:contextualSpacing/>
    </w:pPr>
    <w:rPr>
      <w:color w:val="636363"/>
      <w:sz w:val="22"/>
      <w:szCs w:val="22"/>
      <w:lang w:eastAsia="en-US"/>
    </w:rPr>
  </w:style>
  <w:style w:type="paragraph" w:customStyle="1" w:styleId="AetherBulletsStyle-2levelsnumbered">
    <w:name w:val="Aether Bullets Style - 2 levels numbered"/>
    <w:next w:val="Aethernormal"/>
    <w:qFormat/>
    <w:rsid w:val="00373AD4"/>
    <w:pPr>
      <w:numPr>
        <w:numId w:val="3"/>
      </w:numPr>
      <w:spacing w:before="120" w:after="120"/>
      <w:contextualSpacing/>
    </w:pPr>
    <w:rPr>
      <w:color w:val="636363"/>
      <w:sz w:val="22"/>
      <w:szCs w:val="22"/>
      <w:lang w:eastAsia="en-US"/>
    </w:rPr>
  </w:style>
  <w:style w:type="paragraph" w:customStyle="1" w:styleId="TCstext">
    <w:name w:val="T&amp;Cs text"/>
    <w:qFormat/>
    <w:rsid w:val="00C346A9"/>
    <w:pPr>
      <w:spacing w:before="40" w:after="40"/>
    </w:pPr>
    <w:rPr>
      <w:color w:val="636363"/>
      <w:sz w:val="18"/>
      <w:szCs w:val="22"/>
      <w:lang w:eastAsia="en-US"/>
    </w:rPr>
  </w:style>
  <w:style w:type="paragraph" w:customStyle="1" w:styleId="AetherPropLetHeading2">
    <w:name w:val="Aether PropLet Heading 2"/>
    <w:next w:val="Aethernormal"/>
    <w:qFormat/>
    <w:rsid w:val="00B03DA5"/>
    <w:pPr>
      <w:keepNext/>
      <w:spacing w:before="320"/>
      <w:outlineLvl w:val="1"/>
    </w:pPr>
    <w:rPr>
      <w:b/>
      <w:color w:val="636363"/>
      <w:sz w:val="24"/>
      <w:szCs w:val="22"/>
      <w:lang w:eastAsia="en-US"/>
    </w:rPr>
  </w:style>
  <w:style w:type="paragraph" w:customStyle="1" w:styleId="AetherPropLetHeading1">
    <w:name w:val="Aether PropLet Heading 1"/>
    <w:next w:val="Aethernormal"/>
    <w:qFormat/>
    <w:rsid w:val="00B03DA5"/>
    <w:pPr>
      <w:keepNext/>
      <w:spacing w:before="40"/>
      <w:outlineLvl w:val="0"/>
    </w:pPr>
    <w:rPr>
      <w:b/>
      <w:color w:val="0599C7"/>
      <w:sz w:val="28"/>
      <w:szCs w:val="22"/>
      <w:lang w:eastAsia="en-US"/>
    </w:rPr>
  </w:style>
  <w:style w:type="table" w:customStyle="1" w:styleId="AetherTable3orange">
    <w:name w:val="Aether Table 3orange"/>
    <w:basedOn w:val="TableNormal"/>
    <w:uiPriority w:val="99"/>
    <w:rsid w:val="003D72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tblPr/>
      <w:tcPr>
        <w:shd w:val="clear" w:color="auto" w:fill="ED7D31"/>
      </w:tcPr>
    </w:tblStylePr>
    <w:tblStylePr w:type="firstCol">
      <w:tblPr>
        <w:jc w:val="center"/>
      </w:tblPr>
      <w:trPr>
        <w:jc w:val="center"/>
      </w:trPr>
      <w:tcPr>
        <w:shd w:val="clear" w:color="auto" w:fill="ED7D31"/>
      </w:tcPr>
    </w:tblStylePr>
  </w:style>
  <w:style w:type="table" w:customStyle="1" w:styleId="AetherTable1orange">
    <w:name w:val="Aether Table 1orange"/>
    <w:basedOn w:val="TableNormal"/>
    <w:uiPriority w:val="99"/>
    <w:rsid w:val="002B7476"/>
    <w:tblPr>
      <w:tblStyleRow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blStylePr w:type="firstRow">
      <w:tblPr/>
      <w:tcPr>
        <w:shd w:val="clear" w:color="auto" w:fill="ED7D31"/>
      </w:tcPr>
    </w:tblStylePr>
    <w:tblStylePr w:type="band1Horz">
      <w:tblPr/>
      <w:tcPr>
        <w:shd w:val="clear" w:color="auto" w:fill="F2F2F2"/>
      </w:tcPr>
    </w:tblStylePr>
    <w:tblStylePr w:type="band2Horz">
      <w:tblPr/>
      <w:tcPr>
        <w:shd w:val="clear" w:color="auto" w:fill="F2F2F2"/>
      </w:tcPr>
    </w:tblStylePr>
  </w:style>
  <w:style w:type="paragraph" w:customStyle="1" w:styleId="AetherSourcetext">
    <w:name w:val="Aether Source text"/>
    <w:next w:val="Aethernormal"/>
    <w:qFormat/>
    <w:rsid w:val="00D540D8"/>
    <w:pPr>
      <w:spacing w:before="40" w:after="80"/>
    </w:pPr>
    <w:rPr>
      <w:i/>
      <w:color w:val="636363"/>
      <w:szCs w:val="22"/>
      <w:lang w:eastAsia="en-US"/>
    </w:rPr>
  </w:style>
  <w:style w:type="paragraph" w:customStyle="1" w:styleId="FigureTableCaption">
    <w:name w:val="Figure/Table Caption"/>
    <w:next w:val="Aethernormal"/>
    <w:qFormat/>
    <w:rsid w:val="00043C0B"/>
    <w:pPr>
      <w:spacing w:before="240" w:after="80"/>
    </w:pPr>
    <w:rPr>
      <w:i/>
      <w:color w:val="0599C7"/>
      <w:szCs w:val="22"/>
      <w:lang w:eastAsia="en-US"/>
    </w:rPr>
  </w:style>
  <w:style w:type="paragraph" w:customStyle="1" w:styleId="AetherTableTextBullets">
    <w:name w:val="Aether Table Text Bullets"/>
    <w:qFormat/>
    <w:rsid w:val="0075647B"/>
    <w:pPr>
      <w:numPr>
        <w:numId w:val="11"/>
      </w:numPr>
      <w:spacing w:before="40" w:after="40"/>
      <w:ind w:left="170" w:hanging="170"/>
      <w:contextualSpacing/>
    </w:pPr>
    <w:rPr>
      <w:color w:val="636363"/>
      <w:szCs w:val="22"/>
      <w:lang w:eastAsia="en-US"/>
    </w:rPr>
  </w:style>
  <w:style w:type="paragraph" w:customStyle="1" w:styleId="TCsnumberbullets">
    <w:name w:val="T&amp;Cs number bullets"/>
    <w:qFormat/>
    <w:rsid w:val="004D1F3D"/>
    <w:pPr>
      <w:numPr>
        <w:numId w:val="19"/>
      </w:numPr>
      <w:contextualSpacing/>
    </w:pPr>
    <w:rPr>
      <w:color w:val="636363"/>
      <w:sz w:val="17"/>
      <w:szCs w:val="22"/>
      <w:lang w:eastAsia="en-US"/>
    </w:rPr>
  </w:style>
  <w:style w:type="paragraph" w:styleId="Footer">
    <w:name w:val="footer"/>
    <w:basedOn w:val="Normal"/>
    <w:link w:val="FooterChar"/>
    <w:uiPriority w:val="99"/>
    <w:unhideWhenUsed/>
    <w:locked/>
    <w:rsid w:val="004D1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F3D"/>
    <w:rPr>
      <w:sz w:val="22"/>
      <w:szCs w:val="22"/>
      <w:lang w:eastAsia="en-US"/>
    </w:rPr>
  </w:style>
  <w:style w:type="character" w:customStyle="1" w:styleId="Bold">
    <w:name w:val="Bold"/>
    <w:uiPriority w:val="1"/>
    <w:qFormat/>
    <w:rsid w:val="003B3A73"/>
    <w:rPr>
      <w:b/>
    </w:rPr>
  </w:style>
  <w:style w:type="character" w:customStyle="1" w:styleId="Italic">
    <w:name w:val="Italic"/>
    <w:uiPriority w:val="1"/>
    <w:qFormat/>
    <w:rsid w:val="003B3A73"/>
    <w:rPr>
      <w:i/>
    </w:rPr>
  </w:style>
  <w:style w:type="character" w:customStyle="1" w:styleId="BoldItalic">
    <w:name w:val="Bold &amp; Italic"/>
    <w:uiPriority w:val="1"/>
    <w:qFormat/>
    <w:rsid w:val="003B3A73"/>
    <w:rPr>
      <w:b/>
      <w:i/>
    </w:rPr>
  </w:style>
  <w:style w:type="character" w:customStyle="1" w:styleId="Standouttext">
    <w:name w:val="Stand out text"/>
    <w:uiPriority w:val="1"/>
    <w:qFormat/>
    <w:rsid w:val="002B7476"/>
    <w:rPr>
      <w:color w:val="ED7D31"/>
    </w:rPr>
  </w:style>
  <w:style w:type="character" w:customStyle="1" w:styleId="Superscript">
    <w:name w:val="Superscript"/>
    <w:uiPriority w:val="1"/>
    <w:qFormat/>
    <w:rsid w:val="003B3A73"/>
    <w:rPr>
      <w:vertAlign w:val="superscript"/>
    </w:rPr>
  </w:style>
  <w:style w:type="character" w:customStyle="1" w:styleId="Subscript">
    <w:name w:val="Subscript"/>
    <w:uiPriority w:val="1"/>
    <w:qFormat/>
    <w:rsid w:val="003B3A73"/>
    <w:rPr>
      <w:vertAlign w:val="subscript"/>
    </w:rPr>
  </w:style>
  <w:style w:type="table" w:styleId="TableGridLight">
    <w:name w:val="Grid Table Light"/>
    <w:basedOn w:val="TableNormal"/>
    <w:uiPriority w:val="40"/>
    <w:locked/>
    <w:rsid w:val="00E1285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liverablestext">
    <w:name w:val="Deliverables text"/>
    <w:next w:val="Aethernormal"/>
    <w:qFormat/>
    <w:rsid w:val="00043C0B"/>
    <w:pPr>
      <w:shd w:val="clear" w:color="auto" w:fill="F2F2F2"/>
      <w:spacing w:before="80" w:after="80"/>
    </w:pPr>
    <w:rPr>
      <w:color w:val="06728C"/>
      <w:sz w:val="22"/>
      <w:szCs w:val="22"/>
      <w:lang w:eastAsia="en-US"/>
    </w:rPr>
  </w:style>
  <w:style w:type="paragraph" w:customStyle="1" w:styleId="1stpg-AetherLetterheading">
    <w:name w:val="1st pg - Aether Letter heading"/>
    <w:next w:val="Aethernormal"/>
    <w:qFormat/>
    <w:rsid w:val="005B7D6E"/>
    <w:pPr>
      <w:spacing w:before="240" w:after="240"/>
    </w:pPr>
    <w:rPr>
      <w:b/>
      <w:color w:val="0599C7"/>
      <w:sz w:val="28"/>
      <w:szCs w:val="22"/>
      <w:lang w:eastAsia="en-US"/>
    </w:rPr>
  </w:style>
  <w:style w:type="character" w:customStyle="1" w:styleId="Heading2Char">
    <w:name w:val="Heading 2 Char"/>
    <w:link w:val="Heading2"/>
    <w:uiPriority w:val="9"/>
    <w:semiHidden/>
    <w:rsid w:val="005B2D45"/>
    <w:rPr>
      <w:rFonts w:ascii="Calibri" w:eastAsia="Times New Roman" w:hAnsi="Calibri" w:cs="Times New Roman"/>
      <w:color w:val="0F6D94"/>
      <w:sz w:val="26"/>
      <w:szCs w:val="26"/>
    </w:rPr>
  </w:style>
  <w:style w:type="character" w:customStyle="1" w:styleId="Heading3Char">
    <w:name w:val="Heading 3 Char"/>
    <w:link w:val="Heading3"/>
    <w:uiPriority w:val="9"/>
    <w:semiHidden/>
    <w:rsid w:val="005B2D45"/>
    <w:rPr>
      <w:rFonts w:ascii="Calibri" w:eastAsia="Times New Roman" w:hAnsi="Calibri" w:cs="Times New Roman"/>
      <w:color w:val="0A4862"/>
      <w:sz w:val="24"/>
      <w:szCs w:val="24"/>
    </w:rPr>
  </w:style>
  <w:style w:type="paragraph" w:styleId="Header">
    <w:name w:val="header"/>
    <w:basedOn w:val="Normal"/>
    <w:link w:val="HeaderChar"/>
    <w:uiPriority w:val="99"/>
    <w:unhideWhenUsed/>
    <w:locked/>
    <w:rsid w:val="004D1F3D"/>
    <w:pPr>
      <w:tabs>
        <w:tab w:val="center" w:pos="4513"/>
        <w:tab w:val="right" w:pos="9026"/>
      </w:tabs>
      <w:spacing w:after="0" w:line="240" w:lineRule="auto"/>
    </w:pPr>
  </w:style>
  <w:style w:type="character" w:customStyle="1" w:styleId="Heading1Char">
    <w:name w:val="Heading 1 Char"/>
    <w:link w:val="Heading1"/>
    <w:uiPriority w:val="9"/>
    <w:semiHidden/>
    <w:rsid w:val="005B2D45"/>
    <w:rPr>
      <w:rFonts w:ascii="Calibri" w:eastAsia="Times New Roman" w:hAnsi="Calibri" w:cs="Times New Roman"/>
      <w:color w:val="0F6D94"/>
      <w:sz w:val="32"/>
      <w:szCs w:val="32"/>
    </w:rPr>
  </w:style>
  <w:style w:type="paragraph" w:styleId="TOCHeading">
    <w:name w:val="TOC Heading"/>
    <w:next w:val="Normal"/>
    <w:uiPriority w:val="39"/>
    <w:unhideWhenUsed/>
    <w:rsid w:val="00AE3DBD"/>
    <w:rPr>
      <w:rFonts w:eastAsia="Times New Roman"/>
      <w:color w:val="06728C"/>
      <w:sz w:val="32"/>
      <w:szCs w:val="32"/>
      <w:lang w:val="en-US" w:eastAsia="en-US"/>
    </w:rPr>
  </w:style>
  <w:style w:type="character" w:customStyle="1" w:styleId="HeaderChar">
    <w:name w:val="Header Char"/>
    <w:basedOn w:val="DefaultParagraphFont"/>
    <w:link w:val="Header"/>
    <w:uiPriority w:val="99"/>
    <w:rsid w:val="004D1F3D"/>
    <w:rPr>
      <w:sz w:val="22"/>
      <w:szCs w:val="22"/>
      <w:lang w:eastAsia="en-US"/>
    </w:rPr>
  </w:style>
  <w:style w:type="table" w:customStyle="1" w:styleId="AetherTable2orange">
    <w:name w:val="Aether Table 2orange"/>
    <w:basedOn w:val="TableNormal"/>
    <w:uiPriority w:val="99"/>
    <w:rsid w:val="002B7476"/>
    <w:pPr>
      <w:spacing w:before="40" w:after="40"/>
    </w:pPr>
    <w:tblPr>
      <w:tblStyleCol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F2F2F2"/>
    </w:tcPr>
    <w:tblStylePr w:type="firstCol">
      <w:tblPr/>
      <w:tcPr>
        <w:shd w:val="clear" w:color="auto" w:fill="ED7D31"/>
      </w:tcPr>
    </w:tblStylePr>
    <w:tblStylePr w:type="band1Vert">
      <w:tblPr/>
      <w:tcPr>
        <w:shd w:val="clear" w:color="auto" w:fill="F2F2F2"/>
      </w:tcPr>
    </w:tblStylePr>
    <w:tblStylePr w:type="band2Vert">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2F2F2"/>
      </w:tcPr>
    </w:tblStylePr>
  </w:style>
  <w:style w:type="character" w:styleId="Hyperlink">
    <w:name w:val="Hyperlink"/>
    <w:uiPriority w:val="99"/>
    <w:unhideWhenUsed/>
    <w:rsid w:val="00284627"/>
    <w:rPr>
      <w:color w:val="0563C1"/>
      <w:u w:val="single"/>
    </w:rPr>
  </w:style>
  <w:style w:type="character" w:styleId="UnresolvedMention">
    <w:name w:val="Unresolved Mention"/>
    <w:uiPriority w:val="99"/>
    <w:semiHidden/>
    <w:unhideWhenUsed/>
    <w:locked/>
    <w:rsid w:val="00284627"/>
    <w:rPr>
      <w:color w:val="808080"/>
      <w:shd w:val="clear" w:color="auto" w:fill="E6E6E6"/>
    </w:rPr>
  </w:style>
  <w:style w:type="paragraph" w:customStyle="1" w:styleId="Backpagetext">
    <w:name w:val="Back page text"/>
    <w:qFormat/>
    <w:rsid w:val="00054A01"/>
    <w:pPr>
      <w:spacing w:before="240" w:after="240" w:line="360" w:lineRule="auto"/>
      <w:contextualSpacing/>
      <w:jc w:val="right"/>
    </w:pPr>
    <w:rPr>
      <w:color w:val="0599C7"/>
      <w:sz w:val="28"/>
      <w:szCs w:val="22"/>
      <w:lang w:eastAsia="en-US"/>
    </w:rPr>
  </w:style>
  <w:style w:type="table" w:customStyle="1" w:styleId="AetherTable2blue">
    <w:name w:val="Aether Table 2blue"/>
    <w:basedOn w:val="TableNormal"/>
    <w:uiPriority w:val="99"/>
    <w:rsid w:val="004729E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Col">
      <w:tblPr/>
      <w:tcPr>
        <w:shd w:val="clear" w:color="auto" w:fill="0599C7"/>
      </w:tcPr>
    </w:tblStylePr>
  </w:style>
  <w:style w:type="table" w:customStyle="1" w:styleId="AetherTable1blue">
    <w:name w:val="Aether Table 1blue"/>
    <w:basedOn w:val="TableNormal"/>
    <w:uiPriority w:val="99"/>
    <w:rsid w:val="004729E3"/>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F2F2F2"/>
    </w:tcPr>
    <w:tblStylePr w:type="firstRow">
      <w:tblPr/>
      <w:tcPr>
        <w:shd w:val="clear" w:color="auto" w:fill="0599C7"/>
      </w:tcPr>
    </w:tblStylePr>
  </w:style>
  <w:style w:type="table" w:customStyle="1" w:styleId="AetherTable3blue">
    <w:name w:val="Aether Table 3blue"/>
    <w:basedOn w:val="TableNormal"/>
    <w:uiPriority w:val="99"/>
    <w:rsid w:val="003A57B0"/>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F2F2F2"/>
    </w:tcPr>
    <w:tblStylePr w:type="firstRow">
      <w:tblPr/>
      <w:tcPr>
        <w:shd w:val="clear" w:color="auto" w:fill="0599C7"/>
      </w:tcPr>
    </w:tblStylePr>
    <w:tblStylePr w:type="firstCol">
      <w:tblPr/>
      <w:tcPr>
        <w:shd w:val="clear" w:color="auto" w:fill="0599C7"/>
      </w:tcPr>
    </w:tblStylePr>
  </w:style>
  <w:style w:type="paragraph" w:customStyle="1" w:styleId="1stpgAetherAddress">
    <w:name w:val="1st pg Aether Address"/>
    <w:next w:val="Aethernormal"/>
    <w:qFormat/>
    <w:rsid w:val="00CF3134"/>
    <w:pPr>
      <w:spacing w:before="40" w:after="40"/>
      <w:jc w:val="right"/>
    </w:pPr>
    <w:rPr>
      <w:color w:val="636363"/>
      <w:sz w:val="22"/>
      <w:szCs w:val="22"/>
      <w:lang w:eastAsia="en-US"/>
    </w:rPr>
  </w:style>
  <w:style w:type="paragraph" w:customStyle="1" w:styleId="1stpgAetherTOaddress">
    <w:name w:val="1st pg Aether TO address"/>
    <w:qFormat/>
    <w:rsid w:val="00CF3134"/>
    <w:pPr>
      <w:spacing w:before="40" w:after="40"/>
    </w:pPr>
    <w:rPr>
      <w:color w:val="636363"/>
      <w:sz w:val="22"/>
      <w:szCs w:val="22"/>
      <w:lang w:eastAsia="en-US"/>
    </w:rPr>
  </w:style>
  <w:style w:type="character" w:styleId="CommentReference">
    <w:name w:val="annotation reference"/>
    <w:basedOn w:val="DefaultParagraphFont"/>
    <w:uiPriority w:val="99"/>
    <w:semiHidden/>
    <w:unhideWhenUsed/>
    <w:rsid w:val="00E12852"/>
    <w:rPr>
      <w:sz w:val="16"/>
      <w:szCs w:val="16"/>
    </w:rPr>
  </w:style>
  <w:style w:type="paragraph" w:styleId="CommentText">
    <w:name w:val="annotation text"/>
    <w:basedOn w:val="Normal"/>
    <w:link w:val="CommentTextChar"/>
    <w:uiPriority w:val="99"/>
    <w:unhideWhenUsed/>
    <w:rsid w:val="00E12852"/>
    <w:pPr>
      <w:spacing w:line="240" w:lineRule="auto"/>
    </w:pPr>
    <w:rPr>
      <w:sz w:val="20"/>
      <w:szCs w:val="20"/>
    </w:rPr>
  </w:style>
  <w:style w:type="paragraph" w:customStyle="1" w:styleId="Aetherfootermaindoc">
    <w:name w:val="Aether footer main doc"/>
    <w:qFormat/>
    <w:rsid w:val="00FF2BFC"/>
    <w:pPr>
      <w:tabs>
        <w:tab w:val="right" w:pos="9070"/>
      </w:tabs>
      <w:ind w:left="-2268"/>
    </w:pPr>
    <w:rPr>
      <w:rFonts w:asciiTheme="majorHAnsi" w:hAnsiTheme="majorHAnsi"/>
      <w:b/>
      <w:bCs/>
      <w:color w:val="0599C7"/>
      <w:sz w:val="22"/>
      <w:szCs w:val="22"/>
      <w:lang w:eastAsia="en-US"/>
    </w:rPr>
  </w:style>
  <w:style w:type="character" w:customStyle="1" w:styleId="HIGHLIGHT">
    <w:name w:val="HIGHLIGHT"/>
    <w:uiPriority w:val="1"/>
    <w:qFormat/>
    <w:rsid w:val="00A906C9"/>
    <w:rPr>
      <w:bdr w:val="none" w:sz="0" w:space="0" w:color="auto"/>
      <w:shd w:val="clear" w:color="auto" w:fill="FFFF00"/>
    </w:rPr>
  </w:style>
  <w:style w:type="character" w:customStyle="1" w:styleId="CommentTextChar">
    <w:name w:val="Comment Text Char"/>
    <w:basedOn w:val="DefaultParagraphFont"/>
    <w:link w:val="CommentText"/>
    <w:uiPriority w:val="99"/>
    <w:rsid w:val="00E12852"/>
    <w:rPr>
      <w:lang w:eastAsia="en-US"/>
    </w:rPr>
  </w:style>
  <w:style w:type="paragraph" w:styleId="CommentSubject">
    <w:name w:val="annotation subject"/>
    <w:basedOn w:val="CommentText"/>
    <w:next w:val="CommentText"/>
    <w:link w:val="CommentSubjectChar"/>
    <w:uiPriority w:val="99"/>
    <w:semiHidden/>
    <w:unhideWhenUsed/>
    <w:rsid w:val="00E12852"/>
    <w:rPr>
      <w:b/>
      <w:bCs/>
    </w:rPr>
  </w:style>
  <w:style w:type="character" w:customStyle="1" w:styleId="CommentSubjectChar">
    <w:name w:val="Comment Subject Char"/>
    <w:basedOn w:val="CommentTextChar"/>
    <w:link w:val="CommentSubject"/>
    <w:uiPriority w:val="99"/>
    <w:semiHidden/>
    <w:rsid w:val="00E12852"/>
    <w:rPr>
      <w:b/>
      <w:bCs/>
      <w:lang w:eastAsia="en-US"/>
    </w:rPr>
  </w:style>
  <w:style w:type="paragraph" w:styleId="BalloonText">
    <w:name w:val="Balloon Text"/>
    <w:basedOn w:val="Normal"/>
    <w:link w:val="BalloonTextChar"/>
    <w:uiPriority w:val="99"/>
    <w:semiHidden/>
    <w:unhideWhenUsed/>
    <w:locked/>
    <w:rsid w:val="00E12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52"/>
    <w:rPr>
      <w:rFonts w:ascii="Segoe UI" w:hAnsi="Segoe UI" w:cs="Segoe UI"/>
      <w:sz w:val="18"/>
      <w:szCs w:val="18"/>
      <w:lang w:eastAsia="en-US"/>
    </w:rPr>
  </w:style>
  <w:style w:type="character" w:customStyle="1" w:styleId="StandouttextBOLD">
    <w:name w:val="Stand out text BOLD"/>
    <w:uiPriority w:val="1"/>
    <w:qFormat/>
    <w:rsid w:val="00E173ED"/>
    <w:rPr>
      <w:b/>
      <w:color w:val="ED7D31"/>
    </w:rPr>
  </w:style>
  <w:style w:type="table" w:styleId="TableGrid">
    <w:name w:val="Table Grid"/>
    <w:basedOn w:val="TableNormal"/>
    <w:uiPriority w:val="39"/>
    <w:locked/>
    <w:rsid w:val="003D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sHeading">
    <w:name w:val="T&amp;Cs Heading"/>
    <w:rsid w:val="00AE3DBD"/>
    <w:pPr>
      <w:outlineLvl w:val="3"/>
    </w:pPr>
    <w:rPr>
      <w:rFonts w:eastAsia="Times New Roman"/>
      <w:b/>
      <w:bCs/>
      <w:color w:val="06728C"/>
      <w:lang w:eastAsia="en-US"/>
    </w:rPr>
  </w:style>
  <w:style w:type="paragraph" w:customStyle="1" w:styleId="AetherPropLetHeading3">
    <w:name w:val="Aether PropLet Heading 3"/>
    <w:next w:val="Aethernormal"/>
    <w:qFormat/>
    <w:rsid w:val="00B03DA5"/>
    <w:pPr>
      <w:keepNext/>
      <w:spacing w:before="320"/>
      <w:outlineLvl w:val="2"/>
    </w:pPr>
    <w:rPr>
      <w:b/>
      <w:color w:val="06728C"/>
      <w:sz w:val="22"/>
      <w:szCs w:val="22"/>
      <w:lang w:eastAsia="en-US"/>
    </w:rPr>
  </w:style>
  <w:style w:type="paragraph" w:customStyle="1" w:styleId="NoSpacing1">
    <w:name w:val="No Spacing1"/>
    <w:next w:val="Aethernormal"/>
    <w:qFormat/>
    <w:rsid w:val="009A34BA"/>
    <w:rPr>
      <w:color w:val="636363"/>
      <w:sz w:val="8"/>
      <w:szCs w:val="22"/>
      <w:lang w:eastAsia="en-US"/>
    </w:rPr>
  </w:style>
  <w:style w:type="paragraph" w:customStyle="1" w:styleId="aetherfootnote">
    <w:name w:val="aether footnote"/>
    <w:qFormat/>
    <w:rsid w:val="00E1332D"/>
    <w:pPr>
      <w:spacing w:before="40" w:after="40"/>
      <w:contextualSpacing/>
    </w:pPr>
    <w:rPr>
      <w:color w:val="636363"/>
      <w:sz w:val="18"/>
      <w:szCs w:val="22"/>
      <w:lang w:eastAsia="en-US"/>
    </w:rPr>
  </w:style>
  <w:style w:type="table" w:customStyle="1" w:styleId="AetherTable1orange1">
    <w:name w:val="Aether Table 1orange1"/>
    <w:basedOn w:val="TableNormal"/>
    <w:uiPriority w:val="99"/>
    <w:rsid w:val="00A74096"/>
    <w:tblPr>
      <w:tblStyleRowBandSize w:val="1"/>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blStylePr w:type="firstRow">
      <w:tblPr/>
      <w:tcPr>
        <w:shd w:val="clear" w:color="auto" w:fill="ED7D31"/>
      </w:tcPr>
    </w:tblStylePr>
    <w:tblStylePr w:type="band1Horz">
      <w:tblPr/>
      <w:tcPr>
        <w:shd w:val="clear" w:color="auto" w:fill="F2F2F2"/>
      </w:tcPr>
    </w:tblStylePr>
    <w:tblStylePr w:type="band2Horz">
      <w:tblPr/>
      <w:tcPr>
        <w:shd w:val="clear" w:color="auto" w:fill="F2F2F2"/>
      </w:tcPr>
    </w:tblStylePr>
  </w:style>
  <w:style w:type="paragraph" w:customStyle="1" w:styleId="AetherTableHeadingleftaligned">
    <w:name w:val="Aether Table Heading left aligned"/>
    <w:qFormat/>
    <w:rsid w:val="00A74096"/>
    <w:pPr>
      <w:spacing w:before="40" w:after="40"/>
    </w:pPr>
    <w:rPr>
      <w:b/>
      <w:color w:val="FFFFFF"/>
      <w:sz w:val="22"/>
      <w:szCs w:val="22"/>
      <w:lang w:eastAsia="en-US"/>
    </w:rPr>
  </w:style>
  <w:style w:type="paragraph" w:customStyle="1" w:styleId="AetherTableTextleftaligned">
    <w:name w:val="Aether Table Text left aligned"/>
    <w:qFormat/>
    <w:rsid w:val="00A74096"/>
    <w:pPr>
      <w:spacing w:before="40" w:after="40"/>
    </w:pPr>
    <w:rPr>
      <w:color w:val="636363"/>
      <w:szCs w:val="22"/>
      <w:lang w:eastAsia="en-US"/>
    </w:rPr>
  </w:style>
  <w:style w:type="paragraph" w:customStyle="1" w:styleId="AetherTabletextrightaligned">
    <w:name w:val="Aether Table text right aligned"/>
    <w:qFormat/>
    <w:rsid w:val="00A74096"/>
    <w:pPr>
      <w:spacing w:before="40" w:after="40"/>
      <w:jc w:val="right"/>
    </w:pPr>
    <w:rPr>
      <w:color w:val="636363"/>
      <w:szCs w:val="22"/>
      <w:lang w:eastAsia="en-US"/>
    </w:rPr>
  </w:style>
  <w:style w:type="paragraph" w:customStyle="1" w:styleId="AetherTabletextCentred">
    <w:name w:val="Aether Table text Centred"/>
    <w:qFormat/>
    <w:rsid w:val="00A74096"/>
    <w:pPr>
      <w:spacing w:before="40" w:after="40"/>
      <w:jc w:val="center"/>
    </w:pPr>
    <w:rPr>
      <w:color w:val="636363"/>
      <w:szCs w:val="22"/>
      <w:lang w:eastAsia="en-US"/>
    </w:rPr>
  </w:style>
  <w:style w:type="paragraph" w:customStyle="1" w:styleId="AetherTableHeadingcentred">
    <w:name w:val="Aether Table Heading centred"/>
    <w:qFormat/>
    <w:rsid w:val="00A74096"/>
    <w:pPr>
      <w:spacing w:before="40" w:after="40"/>
      <w:jc w:val="center"/>
    </w:pPr>
    <w:rPr>
      <w:b/>
      <w:color w:val="FFFFFF"/>
      <w:sz w:val="22"/>
      <w:szCs w:val="22"/>
      <w:lang w:eastAsia="en-US"/>
    </w:rPr>
  </w:style>
  <w:style w:type="paragraph" w:customStyle="1" w:styleId="AetherTableHeadingrightaligned">
    <w:name w:val="Aether Table Heading right aligned"/>
    <w:qFormat/>
    <w:rsid w:val="00A74096"/>
    <w:pPr>
      <w:spacing w:before="40" w:after="40"/>
      <w:jc w:val="right"/>
    </w:pPr>
    <w:rPr>
      <w:b/>
      <w:color w:val="FFFFFF"/>
      <w:sz w:val="22"/>
      <w:szCs w:val="22"/>
      <w:lang w:eastAsia="en-US"/>
    </w:rPr>
  </w:style>
  <w:style w:type="character" w:customStyle="1" w:styleId="HIGHLIGHT2">
    <w:name w:val="HIGHLIGHT2"/>
    <w:uiPriority w:val="1"/>
    <w:qFormat/>
    <w:rsid w:val="00BF0D41"/>
    <w:rPr>
      <w:bdr w:val="none" w:sz="0" w:space="0" w:color="auto"/>
      <w:shd w:val="clear" w:color="auto" w:fill="36FF90" w:themeFill="accent5" w:themeFillTint="99"/>
    </w:rPr>
  </w:style>
  <w:style w:type="paragraph" w:styleId="FootnoteText">
    <w:name w:val="footnote text"/>
    <w:basedOn w:val="Normal"/>
    <w:link w:val="FootnoteTextChar"/>
    <w:uiPriority w:val="99"/>
    <w:semiHidden/>
    <w:unhideWhenUsed/>
    <w:rsid w:val="004B3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C25"/>
    <w:rPr>
      <w:lang w:eastAsia="en-US"/>
    </w:rPr>
  </w:style>
  <w:style w:type="character" w:styleId="FootnoteReference">
    <w:name w:val="footnote reference"/>
    <w:basedOn w:val="DefaultParagraphFont"/>
    <w:uiPriority w:val="99"/>
    <w:semiHidden/>
    <w:unhideWhenUsed/>
    <w:rsid w:val="004B3C25"/>
    <w:rPr>
      <w:vertAlign w:val="superscript"/>
    </w:rPr>
  </w:style>
  <w:style w:type="paragraph" w:styleId="ListParagraph">
    <w:name w:val="List Paragraph"/>
    <w:basedOn w:val="Normal"/>
    <w:uiPriority w:val="34"/>
    <w:qFormat/>
    <w:locked/>
    <w:rsid w:val="004C4F54"/>
    <w:pPr>
      <w:ind w:left="720"/>
      <w:contextualSpacing/>
    </w:pPr>
    <w:rPr>
      <w:rFonts w:asciiTheme="minorHAnsi" w:eastAsiaTheme="minorHAnsi" w:hAnsiTheme="minorHAnsi" w:cstheme="minorBidi"/>
    </w:rPr>
  </w:style>
  <w:style w:type="paragraph" w:styleId="Bibliography">
    <w:name w:val="Bibliography"/>
    <w:basedOn w:val="Normal"/>
    <w:next w:val="Normal"/>
    <w:uiPriority w:val="37"/>
    <w:semiHidden/>
    <w:unhideWhenUsed/>
    <w:locked/>
    <w:rsid w:val="00755469"/>
  </w:style>
  <w:style w:type="paragraph" w:styleId="Caption">
    <w:name w:val="caption"/>
    <w:basedOn w:val="Normal"/>
    <w:next w:val="Normal"/>
    <w:uiPriority w:val="35"/>
    <w:unhideWhenUsed/>
    <w:qFormat/>
    <w:locked/>
    <w:rsid w:val="00755469"/>
    <w:pPr>
      <w:spacing w:after="200" w:line="240" w:lineRule="auto"/>
    </w:pPr>
    <w:rPr>
      <w:rFonts w:asciiTheme="minorHAnsi" w:eastAsiaTheme="minorHAnsi" w:hAnsiTheme="minorHAnsi" w:cstheme="minorBidi"/>
      <w:i/>
      <w:iCs/>
      <w:color w:val="BFBFBF" w:themeColor="text2"/>
      <w:sz w:val="18"/>
      <w:szCs w:val="18"/>
    </w:rPr>
  </w:style>
  <w:style w:type="paragraph" w:styleId="Title">
    <w:name w:val="Title"/>
    <w:basedOn w:val="Normal"/>
    <w:next w:val="Normal"/>
    <w:link w:val="TitleChar"/>
    <w:uiPriority w:val="10"/>
    <w:qFormat/>
    <w:locked/>
    <w:rsid w:val="00755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46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4847">
      <w:bodyDiv w:val="1"/>
      <w:marLeft w:val="0"/>
      <w:marRight w:val="0"/>
      <w:marTop w:val="0"/>
      <w:marBottom w:val="0"/>
      <w:divBdr>
        <w:top w:val="none" w:sz="0" w:space="0" w:color="auto"/>
        <w:left w:val="none" w:sz="0" w:space="0" w:color="auto"/>
        <w:bottom w:val="none" w:sz="0" w:space="0" w:color="auto"/>
        <w:right w:val="none" w:sz="0" w:space="0" w:color="auto"/>
      </w:divBdr>
    </w:div>
    <w:div w:id="319505451">
      <w:bodyDiv w:val="1"/>
      <w:marLeft w:val="0"/>
      <w:marRight w:val="0"/>
      <w:marTop w:val="0"/>
      <w:marBottom w:val="0"/>
      <w:divBdr>
        <w:top w:val="none" w:sz="0" w:space="0" w:color="auto"/>
        <w:left w:val="none" w:sz="0" w:space="0" w:color="auto"/>
        <w:bottom w:val="none" w:sz="0" w:space="0" w:color="auto"/>
        <w:right w:val="none" w:sz="0" w:space="0" w:color="auto"/>
      </w:divBdr>
    </w:div>
    <w:div w:id="185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636363"/>
      </a:dk1>
      <a:lt1>
        <a:sysClr val="window" lastClr="FFFFFF"/>
      </a:lt1>
      <a:dk2>
        <a:srgbClr val="BFBFBF"/>
      </a:dk2>
      <a:lt2>
        <a:srgbClr val="E7E6E6"/>
      </a:lt2>
      <a:accent1>
        <a:srgbClr val="0599C7"/>
      </a:accent1>
      <a:accent2>
        <a:srgbClr val="06728C"/>
      </a:accent2>
      <a:accent3>
        <a:srgbClr val="ED7D31"/>
      </a:accent3>
      <a:accent4>
        <a:srgbClr val="6C2E9A"/>
      </a:accent4>
      <a:accent5>
        <a:srgbClr val="00B05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DA58-1A31-444E-83BE-B99CBD0C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Links>
    <vt:vector size="12" baseType="variant">
      <vt:variant>
        <vt:i4>1245211</vt:i4>
      </vt:variant>
      <vt:variant>
        <vt:i4>39</vt:i4>
      </vt:variant>
      <vt:variant>
        <vt:i4>0</vt:i4>
      </vt:variant>
      <vt:variant>
        <vt:i4>5</vt:i4>
      </vt:variant>
      <vt:variant>
        <vt:lpwstr>http://www.aether-uk.com/</vt:lpwstr>
      </vt:variant>
      <vt:variant>
        <vt:lpwstr/>
      </vt:variant>
      <vt:variant>
        <vt:i4>1441847</vt:i4>
      </vt:variant>
      <vt:variant>
        <vt:i4>3</vt:i4>
      </vt:variant>
      <vt:variant>
        <vt:i4>0</vt:i4>
      </vt:variant>
      <vt:variant>
        <vt:i4>5</vt:i4>
      </vt:variant>
      <vt:variant>
        <vt:lpwstr>mailto:katie.king@aether-uk.com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King</dc:creator>
  <cp:keywords/>
  <dc:description/>
  <cp:lastModifiedBy>Annie Thornton</cp:lastModifiedBy>
  <cp:revision>5</cp:revision>
  <dcterms:created xsi:type="dcterms:W3CDTF">2023-03-29T14:23:00Z</dcterms:created>
  <dcterms:modified xsi:type="dcterms:W3CDTF">2023-03-29T15:43:00Z</dcterms:modified>
</cp:coreProperties>
</file>