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9B2D" w14:textId="77777777" w:rsidR="00D90A08" w:rsidRPr="000855B2" w:rsidRDefault="00D90A08" w:rsidP="002E12B5">
      <w:pPr>
        <w:rPr>
          <w:szCs w:val="18"/>
          <w:lang w:val="en-GB"/>
        </w:rPr>
      </w:pPr>
    </w:p>
    <w:p w14:paraId="14B20F5A" w14:textId="77777777" w:rsidR="00D90A08" w:rsidRDefault="00D90A08" w:rsidP="002E12B5">
      <w:pPr>
        <w:rPr>
          <w:szCs w:val="18"/>
          <w:lang w:val="en-GB"/>
        </w:rPr>
      </w:pPr>
    </w:p>
    <w:p w14:paraId="0E03A8DE" w14:textId="77777777" w:rsidR="00B651C6" w:rsidRDefault="00B651C6" w:rsidP="002E12B5">
      <w:pPr>
        <w:rPr>
          <w:szCs w:val="18"/>
          <w:lang w:val="en-GB"/>
        </w:rPr>
      </w:pPr>
    </w:p>
    <w:p w14:paraId="3D7216D4" w14:textId="77777777" w:rsidR="00B651C6" w:rsidRDefault="00B651C6" w:rsidP="002E12B5">
      <w:pPr>
        <w:rPr>
          <w:szCs w:val="18"/>
          <w:lang w:val="en-GB"/>
        </w:rPr>
      </w:pPr>
    </w:p>
    <w:p w14:paraId="5CE2961C" w14:textId="77777777" w:rsidR="00B651C6" w:rsidRPr="000855B2" w:rsidRDefault="00B651C6" w:rsidP="002E12B5">
      <w:pPr>
        <w:rPr>
          <w:szCs w:val="18"/>
          <w:lang w:val="en-GB"/>
        </w:rPr>
      </w:pPr>
    </w:p>
    <w:tbl>
      <w:tblPr>
        <w:tblW w:w="5000"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1271"/>
        <w:gridCol w:w="1848"/>
        <w:gridCol w:w="5344"/>
      </w:tblGrid>
      <w:tr w:rsidR="002E12B5" w:rsidRPr="000855B2" w14:paraId="14D231B5" w14:textId="77777777" w:rsidTr="00167D6A">
        <w:tc>
          <w:tcPr>
            <w:tcW w:w="1843" w:type="pct"/>
            <w:gridSpan w:val="2"/>
            <w:tcBorders>
              <w:top w:val="single" w:sz="4" w:space="0" w:color="auto"/>
              <w:bottom w:val="single" w:sz="4" w:space="0" w:color="auto"/>
            </w:tcBorders>
          </w:tcPr>
          <w:p w14:paraId="7BA59ADE" w14:textId="77777777" w:rsidR="002E12B5" w:rsidRPr="000855B2" w:rsidRDefault="002E12B5" w:rsidP="002E12B5">
            <w:pPr>
              <w:pStyle w:val="TableBody"/>
              <w:rPr>
                <w:b/>
                <w:sz w:val="18"/>
                <w:szCs w:val="18"/>
                <w:lang w:val="en-GB"/>
              </w:rPr>
            </w:pPr>
            <w:r w:rsidRPr="000855B2">
              <w:rPr>
                <w:b/>
                <w:sz w:val="18"/>
                <w:szCs w:val="18"/>
                <w:lang w:val="en-GB"/>
              </w:rPr>
              <w:t>C</w:t>
            </w:r>
            <w:bookmarkStart w:id="0" w:name="_Ref197480434"/>
            <w:bookmarkEnd w:id="0"/>
            <w:r w:rsidRPr="000855B2">
              <w:rPr>
                <w:b/>
                <w:sz w:val="18"/>
                <w:szCs w:val="18"/>
                <w:lang w:val="en-GB"/>
              </w:rPr>
              <w:t>ategory</w:t>
            </w:r>
          </w:p>
        </w:tc>
        <w:tc>
          <w:tcPr>
            <w:tcW w:w="3157" w:type="pct"/>
            <w:tcBorders>
              <w:top w:val="single" w:sz="4" w:space="0" w:color="auto"/>
              <w:bottom w:val="single" w:sz="4" w:space="0" w:color="auto"/>
            </w:tcBorders>
          </w:tcPr>
          <w:p w14:paraId="1B3329AA" w14:textId="77777777" w:rsidR="002E12B5" w:rsidRPr="000855B2" w:rsidRDefault="00AC1E78" w:rsidP="002E12B5">
            <w:pPr>
              <w:pStyle w:val="TableBody"/>
              <w:rPr>
                <w:b/>
                <w:sz w:val="18"/>
                <w:szCs w:val="18"/>
                <w:lang w:val="en-GB"/>
              </w:rPr>
            </w:pPr>
            <w:r w:rsidRPr="000855B2">
              <w:rPr>
                <w:b/>
                <w:sz w:val="18"/>
                <w:szCs w:val="18"/>
                <w:lang w:val="en-GB"/>
              </w:rPr>
              <w:t>Title</w:t>
            </w:r>
          </w:p>
        </w:tc>
      </w:tr>
      <w:tr w:rsidR="002E12B5" w:rsidRPr="000855B2" w14:paraId="55F9C006" w14:textId="77777777" w:rsidTr="00167D6A">
        <w:tc>
          <w:tcPr>
            <w:tcW w:w="0" w:type="auto"/>
            <w:tcBorders>
              <w:top w:val="single" w:sz="4" w:space="0" w:color="auto"/>
            </w:tcBorders>
          </w:tcPr>
          <w:p w14:paraId="5EC9A326" w14:textId="77777777" w:rsidR="002E12B5" w:rsidRPr="000855B2" w:rsidRDefault="002E12B5" w:rsidP="00AC1E78">
            <w:pPr>
              <w:pStyle w:val="TableBody"/>
              <w:rPr>
                <w:b/>
                <w:sz w:val="18"/>
                <w:szCs w:val="18"/>
                <w:lang w:val="en-GB"/>
              </w:rPr>
            </w:pPr>
            <w:r w:rsidRPr="000855B2">
              <w:rPr>
                <w:b/>
                <w:sz w:val="18"/>
                <w:szCs w:val="18"/>
                <w:lang w:val="en-GB"/>
              </w:rPr>
              <w:t>NFR</w:t>
            </w:r>
          </w:p>
        </w:tc>
        <w:tc>
          <w:tcPr>
            <w:tcW w:w="1092" w:type="pct"/>
            <w:tcBorders>
              <w:top w:val="single" w:sz="4" w:space="0" w:color="auto"/>
            </w:tcBorders>
          </w:tcPr>
          <w:p w14:paraId="7884E40F" w14:textId="77777777" w:rsidR="002E12B5" w:rsidRPr="00DC626D" w:rsidRDefault="00354E02" w:rsidP="00167D6A">
            <w:pPr>
              <w:pStyle w:val="TableBold"/>
              <w:keepNext/>
              <w:suppressAutoHyphens/>
              <w:ind w:left="1134" w:hanging="1134"/>
              <w:rPr>
                <w:rFonts w:cs="Open Sans"/>
                <w:b w:val="0"/>
                <w:bCs/>
                <w:sz w:val="18"/>
                <w:szCs w:val="18"/>
                <w:lang w:val="it-IT"/>
              </w:rPr>
            </w:pPr>
            <w:r w:rsidRPr="00354E02">
              <w:rPr>
                <w:b w:val="0"/>
                <w:sz w:val="18"/>
                <w:szCs w:val="18"/>
                <w:lang w:val="it-IT"/>
              </w:rPr>
              <w:t>1.A.3.b.i</w:t>
            </w:r>
          </w:p>
          <w:p w14:paraId="1D2E0BF0" w14:textId="77777777" w:rsidR="002E12B5" w:rsidRPr="00DC626D" w:rsidRDefault="00354E02" w:rsidP="002E12B5">
            <w:pPr>
              <w:pStyle w:val="TableBold"/>
              <w:rPr>
                <w:b w:val="0"/>
                <w:sz w:val="18"/>
                <w:szCs w:val="18"/>
                <w:lang w:val="it-IT"/>
              </w:rPr>
            </w:pPr>
            <w:r w:rsidRPr="00354E02">
              <w:rPr>
                <w:b w:val="0"/>
                <w:sz w:val="18"/>
                <w:szCs w:val="18"/>
                <w:lang w:val="it-IT"/>
              </w:rPr>
              <w:t>1.A.3.b.ii</w:t>
            </w:r>
          </w:p>
          <w:p w14:paraId="0A8CACAA" w14:textId="77777777" w:rsidR="002E12B5" w:rsidRPr="00DC626D" w:rsidRDefault="00354E02" w:rsidP="002E12B5">
            <w:pPr>
              <w:pStyle w:val="TableBold"/>
              <w:rPr>
                <w:b w:val="0"/>
                <w:sz w:val="18"/>
                <w:szCs w:val="18"/>
                <w:lang w:val="it-IT"/>
              </w:rPr>
            </w:pPr>
            <w:r w:rsidRPr="00354E02">
              <w:rPr>
                <w:b w:val="0"/>
                <w:sz w:val="18"/>
                <w:szCs w:val="18"/>
                <w:lang w:val="it-IT"/>
              </w:rPr>
              <w:t>1.A.3.b.iii</w:t>
            </w:r>
          </w:p>
          <w:p w14:paraId="51C8AB41" w14:textId="77777777" w:rsidR="002E12B5" w:rsidRPr="000855B2" w:rsidRDefault="002E12B5" w:rsidP="002E12B5">
            <w:pPr>
              <w:pStyle w:val="TableBold"/>
              <w:rPr>
                <w:b w:val="0"/>
                <w:sz w:val="18"/>
                <w:szCs w:val="18"/>
                <w:lang w:val="en-GB"/>
              </w:rPr>
            </w:pPr>
            <w:r w:rsidRPr="000855B2">
              <w:rPr>
                <w:b w:val="0"/>
                <w:sz w:val="18"/>
                <w:szCs w:val="18"/>
                <w:lang w:val="en-GB"/>
              </w:rPr>
              <w:t>1.A.3.b.iv</w:t>
            </w:r>
          </w:p>
        </w:tc>
        <w:tc>
          <w:tcPr>
            <w:tcW w:w="3157" w:type="pct"/>
            <w:tcBorders>
              <w:top w:val="single" w:sz="4" w:space="0" w:color="auto"/>
            </w:tcBorders>
          </w:tcPr>
          <w:p w14:paraId="1A5ED0FB" w14:textId="77777777" w:rsidR="002E12B5" w:rsidRPr="000855B2" w:rsidRDefault="002E12B5" w:rsidP="002E12B5">
            <w:pPr>
              <w:pStyle w:val="TableBold"/>
              <w:rPr>
                <w:b w:val="0"/>
                <w:sz w:val="18"/>
                <w:szCs w:val="18"/>
                <w:lang w:val="en-GB"/>
              </w:rPr>
            </w:pPr>
            <w:r w:rsidRPr="000855B2">
              <w:rPr>
                <w:b w:val="0"/>
                <w:sz w:val="18"/>
                <w:szCs w:val="18"/>
                <w:lang w:val="en-GB"/>
              </w:rPr>
              <w:t>Passenger cars</w:t>
            </w:r>
          </w:p>
          <w:p w14:paraId="4283E408" w14:textId="77777777" w:rsidR="002E12B5" w:rsidRPr="000855B2" w:rsidRDefault="00E3629B" w:rsidP="002E12B5">
            <w:pPr>
              <w:pStyle w:val="TableBold"/>
              <w:rPr>
                <w:b w:val="0"/>
                <w:sz w:val="18"/>
                <w:szCs w:val="18"/>
                <w:lang w:val="en-GB"/>
              </w:rPr>
            </w:pPr>
            <w:r w:rsidRPr="000855B2">
              <w:rPr>
                <w:b w:val="0"/>
                <w:bCs/>
                <w:sz w:val="18"/>
                <w:szCs w:val="18"/>
                <w:lang w:val="en-GB"/>
              </w:rPr>
              <w:t xml:space="preserve">Light commercial </w:t>
            </w:r>
            <w:r w:rsidR="002E12B5" w:rsidRPr="000855B2">
              <w:rPr>
                <w:b w:val="0"/>
                <w:sz w:val="18"/>
                <w:szCs w:val="18"/>
                <w:lang w:val="en-GB"/>
              </w:rPr>
              <w:t>trucks</w:t>
            </w:r>
          </w:p>
          <w:p w14:paraId="58CFDF3F" w14:textId="77777777" w:rsidR="002E12B5" w:rsidRPr="000855B2" w:rsidRDefault="002E12B5" w:rsidP="002E12B5">
            <w:pPr>
              <w:pStyle w:val="TableBold"/>
              <w:rPr>
                <w:b w:val="0"/>
                <w:sz w:val="18"/>
                <w:szCs w:val="18"/>
                <w:lang w:val="en-GB"/>
              </w:rPr>
            </w:pPr>
            <w:r w:rsidRPr="000855B2">
              <w:rPr>
                <w:b w:val="0"/>
                <w:sz w:val="18"/>
                <w:szCs w:val="18"/>
                <w:lang w:val="en-GB"/>
              </w:rPr>
              <w:t>Heavy-duty vehicles including buses</w:t>
            </w:r>
          </w:p>
          <w:p w14:paraId="39B453A5" w14:textId="77777777" w:rsidR="002E12B5" w:rsidRPr="000855B2" w:rsidRDefault="002E12B5" w:rsidP="002E12B5">
            <w:pPr>
              <w:pStyle w:val="TableBold"/>
              <w:rPr>
                <w:b w:val="0"/>
                <w:sz w:val="18"/>
                <w:szCs w:val="18"/>
                <w:lang w:val="en-GB"/>
              </w:rPr>
            </w:pPr>
            <w:r w:rsidRPr="000855B2">
              <w:rPr>
                <w:b w:val="0"/>
                <w:sz w:val="18"/>
                <w:szCs w:val="18"/>
                <w:lang w:val="en-GB"/>
              </w:rPr>
              <w:t>Motorcycles</w:t>
            </w:r>
          </w:p>
        </w:tc>
      </w:tr>
      <w:tr w:rsidR="002E12B5" w:rsidRPr="000855B2" w14:paraId="4C5E459C" w14:textId="77777777" w:rsidTr="00167D6A">
        <w:tc>
          <w:tcPr>
            <w:tcW w:w="0" w:type="auto"/>
          </w:tcPr>
          <w:p w14:paraId="69489346" w14:textId="77777777" w:rsidR="002E12B5" w:rsidRPr="000855B2" w:rsidRDefault="002E12B5" w:rsidP="00AC1E78">
            <w:pPr>
              <w:pStyle w:val="TableBody"/>
              <w:rPr>
                <w:b/>
                <w:sz w:val="18"/>
                <w:szCs w:val="18"/>
                <w:lang w:val="en-GB"/>
              </w:rPr>
            </w:pPr>
            <w:smartTag w:uri="urn:schemas-microsoft-com:office:smarttags" w:element="stockticker">
              <w:r w:rsidRPr="000855B2">
                <w:rPr>
                  <w:b/>
                  <w:sz w:val="18"/>
                  <w:szCs w:val="18"/>
                  <w:lang w:val="en-GB"/>
                </w:rPr>
                <w:t>SNAP</w:t>
              </w:r>
            </w:smartTag>
          </w:p>
        </w:tc>
        <w:tc>
          <w:tcPr>
            <w:tcW w:w="1092" w:type="pct"/>
          </w:tcPr>
          <w:p w14:paraId="2046D041" w14:textId="77777777" w:rsidR="002E12B5" w:rsidRPr="000855B2" w:rsidRDefault="002E12B5" w:rsidP="002E12B5">
            <w:pPr>
              <w:pStyle w:val="TableBold"/>
              <w:rPr>
                <w:b w:val="0"/>
                <w:bCs/>
                <w:sz w:val="18"/>
                <w:szCs w:val="18"/>
                <w:lang w:val="en-GB"/>
              </w:rPr>
            </w:pPr>
            <w:r w:rsidRPr="000855B2">
              <w:rPr>
                <w:b w:val="0"/>
                <w:bCs/>
                <w:sz w:val="18"/>
                <w:szCs w:val="18"/>
                <w:lang w:val="en-GB"/>
              </w:rPr>
              <w:t>0701</w:t>
            </w:r>
          </w:p>
          <w:p w14:paraId="57B00FB3" w14:textId="77777777" w:rsidR="002E12B5" w:rsidRPr="000855B2" w:rsidRDefault="002E12B5" w:rsidP="002E12B5">
            <w:pPr>
              <w:pStyle w:val="TableBold"/>
              <w:rPr>
                <w:b w:val="0"/>
                <w:bCs/>
                <w:sz w:val="18"/>
                <w:szCs w:val="18"/>
                <w:lang w:val="en-GB"/>
              </w:rPr>
            </w:pPr>
            <w:r w:rsidRPr="000855B2">
              <w:rPr>
                <w:b w:val="0"/>
                <w:bCs/>
                <w:sz w:val="18"/>
                <w:szCs w:val="18"/>
                <w:lang w:val="en-GB"/>
              </w:rPr>
              <w:t>0702</w:t>
            </w:r>
          </w:p>
          <w:p w14:paraId="185727D0" w14:textId="77777777" w:rsidR="002E12B5" w:rsidRPr="000855B2" w:rsidRDefault="002E12B5" w:rsidP="002E12B5">
            <w:pPr>
              <w:pStyle w:val="TableBold"/>
              <w:rPr>
                <w:b w:val="0"/>
                <w:bCs/>
                <w:sz w:val="18"/>
                <w:szCs w:val="18"/>
                <w:lang w:val="en-GB"/>
              </w:rPr>
            </w:pPr>
            <w:r w:rsidRPr="000855B2">
              <w:rPr>
                <w:b w:val="0"/>
                <w:bCs/>
                <w:sz w:val="18"/>
                <w:szCs w:val="18"/>
                <w:lang w:val="en-GB"/>
              </w:rPr>
              <w:t>0703</w:t>
            </w:r>
          </w:p>
          <w:p w14:paraId="629F0B9C" w14:textId="77777777" w:rsidR="002E12B5" w:rsidRPr="000855B2" w:rsidRDefault="002E12B5" w:rsidP="002E12B5">
            <w:pPr>
              <w:pStyle w:val="TableBold"/>
              <w:rPr>
                <w:b w:val="0"/>
                <w:bCs/>
                <w:sz w:val="18"/>
                <w:szCs w:val="18"/>
                <w:lang w:val="en-GB"/>
              </w:rPr>
            </w:pPr>
            <w:r w:rsidRPr="000855B2">
              <w:rPr>
                <w:b w:val="0"/>
                <w:bCs/>
                <w:sz w:val="18"/>
                <w:szCs w:val="18"/>
                <w:lang w:val="en-GB"/>
              </w:rPr>
              <w:t>0704</w:t>
            </w:r>
          </w:p>
          <w:p w14:paraId="0A8D5098" w14:textId="77777777" w:rsidR="002E12B5" w:rsidRPr="000855B2" w:rsidRDefault="002E12B5" w:rsidP="002E12B5">
            <w:pPr>
              <w:pStyle w:val="TableBold"/>
              <w:rPr>
                <w:b w:val="0"/>
                <w:sz w:val="18"/>
                <w:szCs w:val="18"/>
                <w:lang w:val="en-GB"/>
              </w:rPr>
            </w:pPr>
            <w:r w:rsidRPr="000855B2">
              <w:rPr>
                <w:b w:val="0"/>
                <w:bCs/>
                <w:sz w:val="18"/>
                <w:szCs w:val="18"/>
                <w:lang w:val="en-GB"/>
              </w:rPr>
              <w:t>0705</w:t>
            </w:r>
          </w:p>
        </w:tc>
        <w:tc>
          <w:tcPr>
            <w:tcW w:w="3157" w:type="pct"/>
          </w:tcPr>
          <w:p w14:paraId="6A59806D" w14:textId="77777777" w:rsidR="002E12B5" w:rsidRPr="000855B2" w:rsidRDefault="002E12B5" w:rsidP="002E12B5">
            <w:pPr>
              <w:pStyle w:val="TableBold"/>
              <w:rPr>
                <w:b w:val="0"/>
                <w:bCs/>
                <w:sz w:val="18"/>
                <w:szCs w:val="18"/>
                <w:lang w:val="en-GB"/>
              </w:rPr>
            </w:pPr>
            <w:r w:rsidRPr="000855B2">
              <w:rPr>
                <w:b w:val="0"/>
                <w:bCs/>
                <w:sz w:val="18"/>
                <w:szCs w:val="18"/>
                <w:lang w:val="en-GB"/>
              </w:rPr>
              <w:t>Passenger cars</w:t>
            </w:r>
          </w:p>
          <w:p w14:paraId="06A0D20F" w14:textId="77777777" w:rsidR="002E12B5" w:rsidRPr="000855B2" w:rsidRDefault="00CF67A4" w:rsidP="002E12B5">
            <w:pPr>
              <w:pStyle w:val="TableBold"/>
              <w:rPr>
                <w:b w:val="0"/>
                <w:bCs/>
                <w:sz w:val="18"/>
                <w:szCs w:val="18"/>
                <w:lang w:val="en-GB"/>
              </w:rPr>
            </w:pPr>
            <w:r w:rsidRPr="000855B2">
              <w:rPr>
                <w:b w:val="0"/>
                <w:bCs/>
                <w:sz w:val="18"/>
                <w:szCs w:val="18"/>
                <w:lang w:val="en-GB"/>
              </w:rPr>
              <w:t>Light commercial</w:t>
            </w:r>
            <w:r w:rsidR="002E12B5" w:rsidRPr="000855B2">
              <w:rPr>
                <w:b w:val="0"/>
                <w:bCs/>
                <w:sz w:val="18"/>
                <w:szCs w:val="18"/>
                <w:lang w:val="en-GB"/>
              </w:rPr>
              <w:t xml:space="preserve"> vehicles &lt; 3.5 t</w:t>
            </w:r>
          </w:p>
          <w:p w14:paraId="62A7319C" w14:textId="77777777" w:rsidR="002E12B5" w:rsidRPr="000855B2" w:rsidRDefault="002E12B5" w:rsidP="002E12B5">
            <w:pPr>
              <w:pStyle w:val="TableBold"/>
              <w:rPr>
                <w:b w:val="0"/>
                <w:bCs/>
                <w:sz w:val="18"/>
                <w:szCs w:val="18"/>
                <w:lang w:val="en-GB"/>
              </w:rPr>
            </w:pPr>
            <w:r w:rsidRPr="000855B2">
              <w:rPr>
                <w:b w:val="0"/>
                <w:bCs/>
                <w:sz w:val="18"/>
                <w:szCs w:val="18"/>
                <w:lang w:val="en-GB"/>
              </w:rPr>
              <w:t>Heavy-duty vehicles &gt; 3.5 t and buses</w:t>
            </w:r>
          </w:p>
          <w:p w14:paraId="4327154C" w14:textId="77777777" w:rsidR="002E12B5" w:rsidRPr="000855B2" w:rsidRDefault="002E12B5" w:rsidP="002E12B5">
            <w:pPr>
              <w:pStyle w:val="TableBold"/>
              <w:rPr>
                <w:b w:val="0"/>
                <w:bCs/>
                <w:sz w:val="18"/>
                <w:szCs w:val="18"/>
                <w:lang w:val="en-GB"/>
              </w:rPr>
            </w:pPr>
            <w:r w:rsidRPr="000855B2">
              <w:rPr>
                <w:b w:val="0"/>
                <w:bCs/>
                <w:sz w:val="18"/>
                <w:szCs w:val="18"/>
                <w:lang w:val="en-GB"/>
              </w:rPr>
              <w:t xml:space="preserve">Mopeds and </w:t>
            </w:r>
            <w:r w:rsidR="008A3002" w:rsidRPr="000855B2">
              <w:rPr>
                <w:b w:val="0"/>
                <w:bCs/>
                <w:sz w:val="18"/>
                <w:szCs w:val="18"/>
                <w:lang w:val="en-GB"/>
              </w:rPr>
              <w:t>m</w:t>
            </w:r>
            <w:r w:rsidRPr="000855B2">
              <w:rPr>
                <w:b w:val="0"/>
                <w:bCs/>
                <w:sz w:val="18"/>
                <w:szCs w:val="18"/>
                <w:lang w:val="en-GB"/>
              </w:rPr>
              <w:t>otorcycles &lt; 50</w:t>
            </w:r>
            <w:r w:rsidR="00363D3C" w:rsidRPr="000855B2">
              <w:rPr>
                <w:b w:val="0"/>
                <w:bCs/>
                <w:sz w:val="18"/>
                <w:szCs w:val="18"/>
                <w:lang w:val="en-GB"/>
              </w:rPr>
              <w:t> cm</w:t>
            </w:r>
            <w:r w:rsidRPr="000855B2">
              <w:rPr>
                <w:b w:val="0"/>
                <w:bCs/>
                <w:sz w:val="18"/>
                <w:szCs w:val="18"/>
                <w:vertAlign w:val="superscript"/>
                <w:lang w:val="en-GB"/>
              </w:rPr>
              <w:t>3</w:t>
            </w:r>
          </w:p>
          <w:p w14:paraId="4D68E677" w14:textId="77777777" w:rsidR="002E12B5" w:rsidRPr="000855B2" w:rsidRDefault="002E12B5" w:rsidP="002E12B5">
            <w:pPr>
              <w:pStyle w:val="TableBold"/>
              <w:rPr>
                <w:b w:val="0"/>
                <w:sz w:val="18"/>
                <w:szCs w:val="18"/>
                <w:lang w:val="en-GB"/>
              </w:rPr>
            </w:pPr>
            <w:r w:rsidRPr="000855B2">
              <w:rPr>
                <w:b w:val="0"/>
                <w:bCs/>
                <w:sz w:val="18"/>
                <w:szCs w:val="18"/>
                <w:lang w:val="en-GB"/>
              </w:rPr>
              <w:t>Motorcycles &gt; 50</w:t>
            </w:r>
            <w:r w:rsidR="00363D3C" w:rsidRPr="000855B2">
              <w:rPr>
                <w:b w:val="0"/>
                <w:bCs/>
                <w:sz w:val="18"/>
                <w:szCs w:val="18"/>
                <w:lang w:val="en-GB"/>
              </w:rPr>
              <w:t> cm</w:t>
            </w:r>
            <w:r w:rsidRPr="000855B2">
              <w:rPr>
                <w:b w:val="0"/>
                <w:bCs/>
                <w:sz w:val="18"/>
                <w:szCs w:val="18"/>
                <w:vertAlign w:val="superscript"/>
                <w:lang w:val="en-GB"/>
              </w:rPr>
              <w:t>3</w:t>
            </w:r>
          </w:p>
        </w:tc>
      </w:tr>
      <w:tr w:rsidR="002E12B5" w:rsidRPr="000855B2" w14:paraId="32B65076" w14:textId="77777777" w:rsidTr="00167D6A">
        <w:tc>
          <w:tcPr>
            <w:tcW w:w="0" w:type="auto"/>
          </w:tcPr>
          <w:p w14:paraId="57A15E77" w14:textId="77777777" w:rsidR="002E12B5" w:rsidRPr="000855B2" w:rsidRDefault="002E12B5" w:rsidP="00AC1E78">
            <w:pPr>
              <w:pStyle w:val="TableBody"/>
              <w:rPr>
                <w:b/>
                <w:sz w:val="18"/>
                <w:szCs w:val="18"/>
                <w:lang w:val="en-GB"/>
              </w:rPr>
            </w:pPr>
            <w:r w:rsidRPr="000855B2">
              <w:rPr>
                <w:b/>
                <w:sz w:val="18"/>
                <w:szCs w:val="18"/>
                <w:lang w:val="en-GB"/>
              </w:rPr>
              <w:t>ISIC</w:t>
            </w:r>
          </w:p>
        </w:tc>
        <w:tc>
          <w:tcPr>
            <w:tcW w:w="1092" w:type="pct"/>
          </w:tcPr>
          <w:p w14:paraId="64B1F18A" w14:textId="77777777" w:rsidR="002E12B5" w:rsidRPr="000855B2" w:rsidRDefault="002E12B5" w:rsidP="002E12B5">
            <w:pPr>
              <w:pStyle w:val="TableBold"/>
              <w:rPr>
                <w:b w:val="0"/>
                <w:sz w:val="18"/>
                <w:szCs w:val="18"/>
                <w:lang w:val="en-GB"/>
              </w:rPr>
            </w:pPr>
          </w:p>
        </w:tc>
        <w:tc>
          <w:tcPr>
            <w:tcW w:w="3157" w:type="pct"/>
          </w:tcPr>
          <w:p w14:paraId="198C3412" w14:textId="77777777" w:rsidR="002E12B5" w:rsidRPr="000855B2" w:rsidRDefault="002E12B5" w:rsidP="002E12B5">
            <w:pPr>
              <w:pStyle w:val="TableBold"/>
              <w:rPr>
                <w:b w:val="0"/>
                <w:sz w:val="18"/>
                <w:szCs w:val="18"/>
                <w:lang w:val="en-GB"/>
              </w:rPr>
            </w:pPr>
          </w:p>
        </w:tc>
      </w:tr>
      <w:tr w:rsidR="002E12B5" w:rsidRPr="000855B2" w14:paraId="3B76B1B3" w14:textId="77777777" w:rsidTr="00167D6A">
        <w:tc>
          <w:tcPr>
            <w:tcW w:w="0" w:type="auto"/>
          </w:tcPr>
          <w:p w14:paraId="17398201" w14:textId="77777777" w:rsidR="002E12B5" w:rsidRPr="000855B2" w:rsidRDefault="002E12B5" w:rsidP="002E12B5">
            <w:pPr>
              <w:pStyle w:val="TableBody"/>
              <w:rPr>
                <w:b/>
                <w:sz w:val="18"/>
                <w:szCs w:val="18"/>
                <w:lang w:val="en-GB"/>
              </w:rPr>
            </w:pPr>
            <w:r w:rsidRPr="000855B2">
              <w:rPr>
                <w:b/>
                <w:sz w:val="18"/>
                <w:szCs w:val="18"/>
                <w:lang w:val="en-GB"/>
              </w:rPr>
              <w:t>Version</w:t>
            </w:r>
          </w:p>
        </w:tc>
        <w:tc>
          <w:tcPr>
            <w:tcW w:w="1092" w:type="pct"/>
          </w:tcPr>
          <w:p w14:paraId="143D309D" w14:textId="77777777" w:rsidR="002E12B5" w:rsidRPr="000855B2" w:rsidRDefault="002E12B5" w:rsidP="00EB15EF">
            <w:pPr>
              <w:pStyle w:val="TableBold"/>
              <w:rPr>
                <w:b w:val="0"/>
                <w:sz w:val="18"/>
                <w:szCs w:val="18"/>
                <w:lang w:val="en-GB"/>
              </w:rPr>
            </w:pPr>
            <w:r w:rsidRPr="000855B2">
              <w:rPr>
                <w:b w:val="0"/>
                <w:sz w:val="18"/>
                <w:szCs w:val="18"/>
                <w:lang w:val="en-GB"/>
              </w:rPr>
              <w:t xml:space="preserve">Guidebook </w:t>
            </w:r>
            <w:r w:rsidR="002746D7" w:rsidRPr="000855B2">
              <w:rPr>
                <w:b w:val="0"/>
                <w:sz w:val="18"/>
                <w:szCs w:val="18"/>
                <w:lang w:val="en-GB"/>
              </w:rPr>
              <w:t>201</w:t>
            </w:r>
            <w:r w:rsidR="00EB15EF" w:rsidRPr="000855B2">
              <w:rPr>
                <w:b w:val="0"/>
                <w:sz w:val="18"/>
                <w:szCs w:val="18"/>
                <w:lang w:val="en-GB"/>
              </w:rPr>
              <w:t>6</w:t>
            </w:r>
          </w:p>
        </w:tc>
        <w:tc>
          <w:tcPr>
            <w:tcW w:w="3157" w:type="pct"/>
          </w:tcPr>
          <w:p w14:paraId="0A7EBF1F" w14:textId="77777777" w:rsidR="002E12B5" w:rsidRPr="000855B2" w:rsidRDefault="002E12B5" w:rsidP="002E12B5">
            <w:pPr>
              <w:pStyle w:val="TableBold"/>
              <w:rPr>
                <w:b w:val="0"/>
                <w:sz w:val="18"/>
                <w:szCs w:val="18"/>
                <w:lang w:val="en-GB"/>
              </w:rPr>
            </w:pPr>
          </w:p>
        </w:tc>
      </w:tr>
    </w:tbl>
    <w:p w14:paraId="538BE4A9" w14:textId="77777777" w:rsidR="002E12B5" w:rsidRPr="000855B2" w:rsidRDefault="002E12B5" w:rsidP="002E12B5">
      <w:pPr>
        <w:rPr>
          <w:szCs w:val="18"/>
          <w:lang w:val="en-GB"/>
        </w:rPr>
      </w:pPr>
    </w:p>
    <w:p w14:paraId="38D00FEC" w14:textId="77777777" w:rsidR="002E12B5" w:rsidRPr="000855B2" w:rsidRDefault="002E12B5" w:rsidP="002E12B5">
      <w:pPr>
        <w:rPr>
          <w:szCs w:val="18"/>
          <w:lang w:val="en-GB"/>
        </w:rPr>
      </w:pPr>
    </w:p>
    <w:p w14:paraId="37E86337" w14:textId="77777777" w:rsidR="002E12B5" w:rsidRPr="000855B2" w:rsidRDefault="002E12B5" w:rsidP="002E12B5">
      <w:pPr>
        <w:rPr>
          <w:szCs w:val="18"/>
          <w:lang w:val="en-GB"/>
        </w:rPr>
      </w:pPr>
    </w:p>
    <w:p w14:paraId="69330560" w14:textId="77777777" w:rsidR="00AC1E78" w:rsidRPr="000855B2" w:rsidRDefault="00AC1E78" w:rsidP="002E12B5">
      <w:pPr>
        <w:rPr>
          <w:szCs w:val="18"/>
          <w:lang w:val="en-GB"/>
        </w:rPr>
      </w:pPr>
    </w:p>
    <w:p w14:paraId="65623041" w14:textId="77777777" w:rsidR="00AC1E78" w:rsidRPr="000855B2" w:rsidRDefault="00AC1E78" w:rsidP="002E12B5">
      <w:pPr>
        <w:rPr>
          <w:szCs w:val="18"/>
          <w:lang w:val="en-GB"/>
        </w:rPr>
      </w:pPr>
    </w:p>
    <w:p w14:paraId="02E21B8A" w14:textId="77777777" w:rsidR="00AC1E78" w:rsidRPr="000855B2" w:rsidRDefault="00AC1E78" w:rsidP="002E12B5">
      <w:pPr>
        <w:rPr>
          <w:szCs w:val="18"/>
          <w:lang w:val="en-GB"/>
        </w:rPr>
      </w:pPr>
    </w:p>
    <w:p w14:paraId="37471C27" w14:textId="77777777" w:rsidR="00AC1E78" w:rsidRPr="000855B2" w:rsidRDefault="00AC1E78" w:rsidP="002E12B5">
      <w:pPr>
        <w:rPr>
          <w:szCs w:val="18"/>
          <w:lang w:val="en-GB"/>
        </w:rPr>
      </w:pPr>
    </w:p>
    <w:p w14:paraId="3E0FE5A7" w14:textId="77777777" w:rsidR="002E12B5" w:rsidRPr="000855B2" w:rsidRDefault="002E12B5" w:rsidP="002E12B5">
      <w:pPr>
        <w:rPr>
          <w:szCs w:val="18"/>
          <w:lang w:val="en-GB"/>
        </w:rPr>
      </w:pPr>
    </w:p>
    <w:p w14:paraId="02EA0E37" w14:textId="68BF8556" w:rsidR="00155FF2" w:rsidRDefault="00155FF2" w:rsidP="002E12B5">
      <w:pPr>
        <w:rPr>
          <w:szCs w:val="18"/>
          <w:lang w:val="en-GB"/>
        </w:rPr>
      </w:pPr>
    </w:p>
    <w:p w14:paraId="166B22D7" w14:textId="1226B22E" w:rsidR="00167D6A" w:rsidRDefault="00167D6A" w:rsidP="002E12B5">
      <w:pPr>
        <w:rPr>
          <w:szCs w:val="18"/>
          <w:lang w:val="en-GB"/>
        </w:rPr>
      </w:pPr>
    </w:p>
    <w:p w14:paraId="718E4A0D" w14:textId="5989CBC6" w:rsidR="00167D6A" w:rsidRDefault="00167D6A" w:rsidP="002E12B5">
      <w:pPr>
        <w:rPr>
          <w:szCs w:val="18"/>
          <w:lang w:val="en-GB"/>
        </w:rPr>
      </w:pPr>
    </w:p>
    <w:p w14:paraId="165B4765" w14:textId="3F3C7CA6" w:rsidR="00167D6A" w:rsidRDefault="00167D6A" w:rsidP="002E12B5">
      <w:pPr>
        <w:rPr>
          <w:szCs w:val="18"/>
          <w:lang w:val="en-GB"/>
        </w:rPr>
      </w:pPr>
    </w:p>
    <w:p w14:paraId="0E86C10D" w14:textId="20A0E2A0" w:rsidR="00167D6A" w:rsidRDefault="00167D6A" w:rsidP="002E12B5">
      <w:pPr>
        <w:rPr>
          <w:szCs w:val="18"/>
          <w:lang w:val="en-GB"/>
        </w:rPr>
      </w:pPr>
    </w:p>
    <w:p w14:paraId="5722DFA7" w14:textId="7C968F52" w:rsidR="00167D6A" w:rsidRDefault="00167D6A" w:rsidP="002E12B5">
      <w:pPr>
        <w:rPr>
          <w:szCs w:val="18"/>
          <w:lang w:val="en-GB"/>
        </w:rPr>
      </w:pPr>
    </w:p>
    <w:p w14:paraId="37053846" w14:textId="5B2B7754" w:rsidR="00167D6A" w:rsidRDefault="00167D6A" w:rsidP="002E12B5">
      <w:pPr>
        <w:rPr>
          <w:szCs w:val="18"/>
          <w:lang w:val="en-GB"/>
        </w:rPr>
      </w:pPr>
    </w:p>
    <w:p w14:paraId="2D8DA789" w14:textId="1AD0DDCC" w:rsidR="00167D6A" w:rsidRDefault="00167D6A" w:rsidP="002E12B5">
      <w:pPr>
        <w:rPr>
          <w:szCs w:val="18"/>
          <w:lang w:val="en-GB"/>
        </w:rPr>
      </w:pPr>
    </w:p>
    <w:p w14:paraId="59D988F7" w14:textId="77777777" w:rsidR="00167D6A" w:rsidRPr="000855B2" w:rsidRDefault="00167D6A" w:rsidP="002E12B5">
      <w:pPr>
        <w:rPr>
          <w:szCs w:val="18"/>
          <w:lang w:val="en-GB"/>
        </w:rPr>
      </w:pPr>
    </w:p>
    <w:p w14:paraId="682FFF96" w14:textId="77777777" w:rsidR="002E12B5" w:rsidRPr="000855B2" w:rsidRDefault="002E12B5" w:rsidP="002E12B5">
      <w:pPr>
        <w:rPr>
          <w:b/>
          <w:szCs w:val="18"/>
          <w:lang w:val="en-GB"/>
        </w:rPr>
      </w:pPr>
      <w:r w:rsidRPr="000855B2">
        <w:rPr>
          <w:b/>
          <w:szCs w:val="18"/>
          <w:lang w:val="en-GB"/>
        </w:rPr>
        <w:t xml:space="preserve">Lead </w:t>
      </w:r>
      <w:r w:rsidR="008A3002" w:rsidRPr="000855B2">
        <w:rPr>
          <w:b/>
          <w:szCs w:val="18"/>
          <w:lang w:val="en-GB"/>
        </w:rPr>
        <w:t>a</w:t>
      </w:r>
      <w:r w:rsidRPr="000855B2">
        <w:rPr>
          <w:b/>
          <w:szCs w:val="18"/>
          <w:lang w:val="en-GB"/>
        </w:rPr>
        <w:t>uthors</w:t>
      </w:r>
    </w:p>
    <w:p w14:paraId="146D12C3" w14:textId="77777777" w:rsidR="002E12B5" w:rsidRPr="000855B2" w:rsidRDefault="002E12B5" w:rsidP="002E12B5">
      <w:pPr>
        <w:rPr>
          <w:szCs w:val="18"/>
          <w:lang w:val="en-GB"/>
        </w:rPr>
      </w:pPr>
      <w:r w:rsidRPr="000855B2">
        <w:rPr>
          <w:szCs w:val="18"/>
          <w:lang w:val="en-GB"/>
        </w:rPr>
        <w:t>Leonidas Ntziachristos, Zissis Samaras</w:t>
      </w:r>
    </w:p>
    <w:p w14:paraId="37757139" w14:textId="77777777" w:rsidR="002E12B5" w:rsidRPr="000855B2" w:rsidRDefault="002E12B5" w:rsidP="002E12B5">
      <w:pPr>
        <w:rPr>
          <w:szCs w:val="18"/>
          <w:lang w:val="en-GB"/>
        </w:rPr>
      </w:pPr>
    </w:p>
    <w:p w14:paraId="2F855BE5" w14:textId="77777777" w:rsidR="002E12B5" w:rsidRPr="000855B2" w:rsidRDefault="002E12B5" w:rsidP="002E12B5">
      <w:pPr>
        <w:rPr>
          <w:b/>
          <w:szCs w:val="18"/>
          <w:lang w:val="en-GB"/>
        </w:rPr>
      </w:pPr>
      <w:r w:rsidRPr="000855B2">
        <w:rPr>
          <w:b/>
          <w:szCs w:val="18"/>
          <w:lang w:val="en-GB"/>
        </w:rPr>
        <w:t xml:space="preserve">Contributing </w:t>
      </w:r>
      <w:r w:rsidR="008A3002" w:rsidRPr="000855B2">
        <w:rPr>
          <w:b/>
          <w:szCs w:val="18"/>
          <w:lang w:val="en-GB"/>
        </w:rPr>
        <w:t>a</w:t>
      </w:r>
      <w:r w:rsidRPr="000855B2">
        <w:rPr>
          <w:b/>
          <w:szCs w:val="18"/>
          <w:lang w:val="en-GB"/>
        </w:rPr>
        <w:t>uthors (including to earlier versions of this chapter)</w:t>
      </w:r>
    </w:p>
    <w:p w14:paraId="2A231EE8" w14:textId="77777777" w:rsidR="002E12B5" w:rsidRPr="000855B2" w:rsidRDefault="002E12B5" w:rsidP="00804335">
      <w:pPr>
        <w:pStyle w:val="BodyText"/>
      </w:pPr>
      <w:r w:rsidRPr="000855B2">
        <w:t xml:space="preserve">Chariton Kouridis, </w:t>
      </w:r>
      <w:r w:rsidR="00697FFA" w:rsidRPr="000855B2">
        <w:t xml:space="preserve">Christos Samaras, </w:t>
      </w:r>
      <w:r w:rsidRPr="000855B2">
        <w:t xml:space="preserve">Dieter Hassel, </w:t>
      </w:r>
      <w:r w:rsidR="00697FFA" w:rsidRPr="000855B2">
        <w:t xml:space="preserve">Giorgos Mellios, </w:t>
      </w:r>
      <w:r w:rsidRPr="000855B2">
        <w:t xml:space="preserve">Ian McCrae, John Hickman, Karl-Heinz Zierock, Mario Keller, </w:t>
      </w:r>
      <w:r w:rsidR="00697FFA" w:rsidRPr="000855B2">
        <w:t xml:space="preserve">Martin Rexeis, </w:t>
      </w:r>
      <w:r w:rsidRPr="000855B2">
        <w:t xml:space="preserve">Michel Andre, </w:t>
      </w:r>
      <w:r w:rsidR="00772665" w:rsidRPr="000855B2">
        <w:t xml:space="preserve">Morten Winther, </w:t>
      </w:r>
      <w:r w:rsidR="00697FFA" w:rsidRPr="000855B2">
        <w:t xml:space="preserve">Nikolaos Pastramas, </w:t>
      </w:r>
      <w:r w:rsidRPr="000855B2">
        <w:t xml:space="preserve">Norbert Gorissen, Paul Boulter, </w:t>
      </w:r>
      <w:r w:rsidR="004F43C5" w:rsidRPr="000855B2">
        <w:t xml:space="preserve">Petros Katsis, </w:t>
      </w:r>
      <w:r w:rsidRPr="000855B2">
        <w:t>Robert Joumard, Rudolf Rijkeboer, Savas Geivanidis, Stefan Hausberger</w:t>
      </w:r>
    </w:p>
    <w:p w14:paraId="20658565" w14:textId="77777777" w:rsidR="001D2587" w:rsidRPr="000855B2" w:rsidRDefault="002E12B5">
      <w:pPr>
        <w:pStyle w:val="ContentsHeader"/>
        <w:rPr>
          <w:sz w:val="44"/>
          <w:lang w:val="en-GB"/>
        </w:rPr>
      </w:pPr>
      <w:r w:rsidRPr="000855B2">
        <w:rPr>
          <w:sz w:val="18"/>
          <w:szCs w:val="18"/>
          <w:lang w:val="en-GB"/>
        </w:rPr>
        <w:br w:type="page"/>
      </w:r>
      <w:r w:rsidR="001D2587" w:rsidRPr="000855B2">
        <w:rPr>
          <w:sz w:val="44"/>
          <w:lang w:val="en-GB"/>
        </w:rPr>
        <w:lastRenderedPageBreak/>
        <w:t>Contents</w:t>
      </w:r>
    </w:p>
    <w:p w14:paraId="180E6A7A" w14:textId="455361D9" w:rsidR="0071604C" w:rsidRDefault="00E17971">
      <w:pPr>
        <w:pStyle w:val="TOC1"/>
        <w:rPr>
          <w:rFonts w:asciiTheme="minorHAnsi" w:eastAsiaTheme="minorEastAsia" w:hAnsiTheme="minorHAnsi" w:cstheme="minorBidi"/>
          <w:b w:val="0"/>
          <w:szCs w:val="22"/>
          <w:lang w:val="en-US" w:eastAsia="en-US"/>
        </w:rPr>
      </w:pPr>
      <w:r w:rsidRPr="000855B2">
        <w:rPr>
          <w:b w:val="0"/>
          <w:lang w:val="en-GB"/>
        </w:rPr>
        <w:fldChar w:fldCharType="begin"/>
      </w:r>
      <w:r w:rsidR="00680AE9" w:rsidRPr="000855B2">
        <w:rPr>
          <w:b w:val="0"/>
          <w:lang w:val="en-GB"/>
        </w:rPr>
        <w:instrText xml:space="preserve"> TOC \o "1-2" \h \z \u </w:instrText>
      </w:r>
      <w:r w:rsidRPr="000855B2">
        <w:rPr>
          <w:b w:val="0"/>
          <w:lang w:val="en-GB"/>
        </w:rPr>
        <w:fldChar w:fldCharType="separate"/>
      </w:r>
      <w:hyperlink w:anchor="_Toc482003889" w:history="1">
        <w:r w:rsidR="0071604C" w:rsidRPr="00F11BA8">
          <w:rPr>
            <w:rStyle w:val="Hyperlink"/>
          </w:rPr>
          <w:t>1</w:t>
        </w:r>
        <w:r w:rsidR="0071604C">
          <w:rPr>
            <w:rFonts w:asciiTheme="minorHAnsi" w:eastAsiaTheme="minorEastAsia" w:hAnsiTheme="minorHAnsi" w:cstheme="minorBidi"/>
            <w:b w:val="0"/>
            <w:szCs w:val="22"/>
            <w:lang w:val="en-US" w:eastAsia="en-US"/>
          </w:rPr>
          <w:tab/>
        </w:r>
        <w:r w:rsidR="0071604C" w:rsidRPr="00F11BA8">
          <w:rPr>
            <w:rStyle w:val="Hyperlink"/>
          </w:rPr>
          <w:t>Overview</w:t>
        </w:r>
        <w:r w:rsidR="0071604C">
          <w:rPr>
            <w:webHidden/>
          </w:rPr>
          <w:tab/>
        </w:r>
        <w:r w:rsidR="0071604C">
          <w:rPr>
            <w:webHidden/>
          </w:rPr>
          <w:fldChar w:fldCharType="begin"/>
        </w:r>
        <w:r w:rsidR="0071604C">
          <w:rPr>
            <w:webHidden/>
          </w:rPr>
          <w:instrText xml:space="preserve"> PAGEREF _Toc482003889 \h </w:instrText>
        </w:r>
        <w:r w:rsidR="0071604C">
          <w:rPr>
            <w:webHidden/>
          </w:rPr>
        </w:r>
        <w:r w:rsidR="0071604C">
          <w:rPr>
            <w:webHidden/>
          </w:rPr>
          <w:fldChar w:fldCharType="separate"/>
        </w:r>
        <w:r w:rsidR="0071604C">
          <w:rPr>
            <w:webHidden/>
          </w:rPr>
          <w:t>3</w:t>
        </w:r>
        <w:r w:rsidR="0071604C">
          <w:rPr>
            <w:webHidden/>
          </w:rPr>
          <w:fldChar w:fldCharType="end"/>
        </w:r>
      </w:hyperlink>
    </w:p>
    <w:p w14:paraId="7C177E05" w14:textId="48B5EBA1" w:rsidR="0071604C" w:rsidRDefault="0071604C">
      <w:pPr>
        <w:pStyle w:val="TOC2"/>
        <w:rPr>
          <w:rFonts w:asciiTheme="minorHAnsi" w:eastAsiaTheme="minorEastAsia" w:hAnsiTheme="minorHAnsi" w:cstheme="minorBidi"/>
          <w:sz w:val="22"/>
          <w:szCs w:val="22"/>
          <w:lang w:val="en-US" w:eastAsia="en-US"/>
        </w:rPr>
      </w:pPr>
      <w:hyperlink w:anchor="_Toc482003890" w:history="1">
        <w:r w:rsidRPr="00F11BA8">
          <w:rPr>
            <w:rStyle w:val="Hyperlink"/>
          </w:rPr>
          <w:t>1.1</w:t>
        </w:r>
        <w:r>
          <w:rPr>
            <w:rFonts w:asciiTheme="minorHAnsi" w:eastAsiaTheme="minorEastAsia" w:hAnsiTheme="minorHAnsi" w:cstheme="minorBidi"/>
            <w:sz w:val="22"/>
            <w:szCs w:val="22"/>
            <w:lang w:val="en-US" w:eastAsia="en-US"/>
          </w:rPr>
          <w:tab/>
        </w:r>
        <w:r w:rsidRPr="00F11BA8">
          <w:rPr>
            <w:rStyle w:val="Hyperlink"/>
          </w:rPr>
          <w:t>General description</w:t>
        </w:r>
        <w:r>
          <w:rPr>
            <w:webHidden/>
          </w:rPr>
          <w:tab/>
        </w:r>
        <w:r>
          <w:rPr>
            <w:webHidden/>
          </w:rPr>
          <w:fldChar w:fldCharType="begin"/>
        </w:r>
        <w:r>
          <w:rPr>
            <w:webHidden/>
          </w:rPr>
          <w:instrText xml:space="preserve"> PAGEREF _Toc482003890 \h </w:instrText>
        </w:r>
        <w:r>
          <w:rPr>
            <w:webHidden/>
          </w:rPr>
        </w:r>
        <w:r>
          <w:rPr>
            <w:webHidden/>
          </w:rPr>
          <w:fldChar w:fldCharType="separate"/>
        </w:r>
        <w:r>
          <w:rPr>
            <w:webHidden/>
          </w:rPr>
          <w:t>3</w:t>
        </w:r>
        <w:r>
          <w:rPr>
            <w:webHidden/>
          </w:rPr>
          <w:fldChar w:fldCharType="end"/>
        </w:r>
      </w:hyperlink>
    </w:p>
    <w:p w14:paraId="2C4A8366" w14:textId="798530A8" w:rsidR="0071604C" w:rsidRDefault="0071604C">
      <w:pPr>
        <w:pStyle w:val="TOC2"/>
        <w:rPr>
          <w:rFonts w:asciiTheme="minorHAnsi" w:eastAsiaTheme="minorEastAsia" w:hAnsiTheme="minorHAnsi" w:cstheme="minorBidi"/>
          <w:sz w:val="22"/>
          <w:szCs w:val="22"/>
          <w:lang w:val="en-US" w:eastAsia="en-US"/>
        </w:rPr>
      </w:pPr>
      <w:hyperlink w:anchor="_Toc482003891" w:history="1">
        <w:r w:rsidRPr="00F11BA8">
          <w:rPr>
            <w:rStyle w:val="Hyperlink"/>
          </w:rPr>
          <w:t>1.2</w:t>
        </w:r>
        <w:r>
          <w:rPr>
            <w:rFonts w:asciiTheme="minorHAnsi" w:eastAsiaTheme="minorEastAsia" w:hAnsiTheme="minorHAnsi" w:cstheme="minorBidi"/>
            <w:sz w:val="22"/>
            <w:szCs w:val="22"/>
            <w:lang w:val="en-US" w:eastAsia="en-US"/>
          </w:rPr>
          <w:tab/>
        </w:r>
        <w:r w:rsidRPr="00F11BA8">
          <w:rPr>
            <w:rStyle w:val="Hyperlink"/>
          </w:rPr>
          <w:t>Structure and origins of this chapter</w:t>
        </w:r>
        <w:r>
          <w:rPr>
            <w:webHidden/>
          </w:rPr>
          <w:tab/>
        </w:r>
        <w:r>
          <w:rPr>
            <w:webHidden/>
          </w:rPr>
          <w:fldChar w:fldCharType="begin"/>
        </w:r>
        <w:r>
          <w:rPr>
            <w:webHidden/>
          </w:rPr>
          <w:instrText xml:space="preserve"> PAGEREF _Toc482003891 \h </w:instrText>
        </w:r>
        <w:r>
          <w:rPr>
            <w:webHidden/>
          </w:rPr>
        </w:r>
        <w:r>
          <w:rPr>
            <w:webHidden/>
          </w:rPr>
          <w:fldChar w:fldCharType="separate"/>
        </w:r>
        <w:r>
          <w:rPr>
            <w:webHidden/>
          </w:rPr>
          <w:t>3</w:t>
        </w:r>
        <w:r>
          <w:rPr>
            <w:webHidden/>
          </w:rPr>
          <w:fldChar w:fldCharType="end"/>
        </w:r>
      </w:hyperlink>
    </w:p>
    <w:p w14:paraId="419FA404" w14:textId="30BE54AC" w:rsidR="0071604C" w:rsidRDefault="0071604C">
      <w:pPr>
        <w:pStyle w:val="TOC1"/>
        <w:rPr>
          <w:rFonts w:asciiTheme="minorHAnsi" w:eastAsiaTheme="minorEastAsia" w:hAnsiTheme="minorHAnsi" w:cstheme="minorBidi"/>
          <w:b w:val="0"/>
          <w:szCs w:val="22"/>
          <w:lang w:val="en-US" w:eastAsia="en-US"/>
        </w:rPr>
      </w:pPr>
      <w:hyperlink w:anchor="_Toc482003892" w:history="1">
        <w:r w:rsidRPr="00F11BA8">
          <w:rPr>
            <w:rStyle w:val="Hyperlink"/>
          </w:rPr>
          <w:t>2</w:t>
        </w:r>
        <w:r>
          <w:rPr>
            <w:rFonts w:asciiTheme="minorHAnsi" w:eastAsiaTheme="minorEastAsia" w:hAnsiTheme="minorHAnsi" w:cstheme="minorBidi"/>
            <w:b w:val="0"/>
            <w:szCs w:val="22"/>
            <w:lang w:val="en-US" w:eastAsia="en-US"/>
          </w:rPr>
          <w:tab/>
        </w:r>
        <w:r w:rsidRPr="00F11BA8">
          <w:rPr>
            <w:rStyle w:val="Hyperlink"/>
          </w:rPr>
          <w:t>Description of sources</w:t>
        </w:r>
        <w:r>
          <w:rPr>
            <w:webHidden/>
          </w:rPr>
          <w:tab/>
        </w:r>
        <w:r>
          <w:rPr>
            <w:webHidden/>
          </w:rPr>
          <w:fldChar w:fldCharType="begin"/>
        </w:r>
        <w:r>
          <w:rPr>
            <w:webHidden/>
          </w:rPr>
          <w:instrText xml:space="preserve"> PAGEREF _Toc482003892 \h </w:instrText>
        </w:r>
        <w:r>
          <w:rPr>
            <w:webHidden/>
          </w:rPr>
        </w:r>
        <w:r>
          <w:rPr>
            <w:webHidden/>
          </w:rPr>
          <w:fldChar w:fldCharType="separate"/>
        </w:r>
        <w:r>
          <w:rPr>
            <w:webHidden/>
          </w:rPr>
          <w:t>4</w:t>
        </w:r>
        <w:r>
          <w:rPr>
            <w:webHidden/>
          </w:rPr>
          <w:fldChar w:fldCharType="end"/>
        </w:r>
      </w:hyperlink>
    </w:p>
    <w:p w14:paraId="2463FDA1" w14:textId="451F1DE5" w:rsidR="0071604C" w:rsidRDefault="0071604C">
      <w:pPr>
        <w:pStyle w:val="TOC2"/>
        <w:rPr>
          <w:rFonts w:asciiTheme="minorHAnsi" w:eastAsiaTheme="minorEastAsia" w:hAnsiTheme="minorHAnsi" w:cstheme="minorBidi"/>
          <w:sz w:val="22"/>
          <w:szCs w:val="22"/>
          <w:lang w:val="en-US" w:eastAsia="en-US"/>
        </w:rPr>
      </w:pPr>
      <w:hyperlink w:anchor="_Toc482003893" w:history="1">
        <w:r w:rsidRPr="00F11BA8">
          <w:rPr>
            <w:rStyle w:val="Hyperlink"/>
          </w:rPr>
          <w:t>2.1</w:t>
        </w:r>
        <w:r>
          <w:rPr>
            <w:rFonts w:asciiTheme="minorHAnsi" w:eastAsiaTheme="minorEastAsia" w:hAnsiTheme="minorHAnsi" w:cstheme="minorBidi"/>
            <w:sz w:val="22"/>
            <w:szCs w:val="22"/>
            <w:lang w:val="en-US" w:eastAsia="en-US"/>
          </w:rPr>
          <w:tab/>
        </w:r>
        <w:r w:rsidRPr="00F11BA8">
          <w:rPr>
            <w:rStyle w:val="Hyperlink"/>
          </w:rPr>
          <w:t>Process description</w:t>
        </w:r>
        <w:r>
          <w:rPr>
            <w:webHidden/>
          </w:rPr>
          <w:tab/>
        </w:r>
        <w:r>
          <w:rPr>
            <w:webHidden/>
          </w:rPr>
          <w:fldChar w:fldCharType="begin"/>
        </w:r>
        <w:r>
          <w:rPr>
            <w:webHidden/>
          </w:rPr>
          <w:instrText xml:space="preserve"> PAGEREF _Toc482003893 \h </w:instrText>
        </w:r>
        <w:r>
          <w:rPr>
            <w:webHidden/>
          </w:rPr>
        </w:r>
        <w:r>
          <w:rPr>
            <w:webHidden/>
          </w:rPr>
          <w:fldChar w:fldCharType="separate"/>
        </w:r>
        <w:r>
          <w:rPr>
            <w:webHidden/>
          </w:rPr>
          <w:t>4</w:t>
        </w:r>
        <w:r>
          <w:rPr>
            <w:webHidden/>
          </w:rPr>
          <w:fldChar w:fldCharType="end"/>
        </w:r>
      </w:hyperlink>
    </w:p>
    <w:p w14:paraId="2B05CA9A" w14:textId="30799669" w:rsidR="0071604C" w:rsidRDefault="0071604C">
      <w:pPr>
        <w:pStyle w:val="TOC2"/>
        <w:rPr>
          <w:rFonts w:asciiTheme="minorHAnsi" w:eastAsiaTheme="minorEastAsia" w:hAnsiTheme="minorHAnsi" w:cstheme="minorBidi"/>
          <w:sz w:val="22"/>
          <w:szCs w:val="22"/>
          <w:lang w:val="en-US" w:eastAsia="en-US"/>
        </w:rPr>
      </w:pPr>
      <w:hyperlink w:anchor="_Toc482003894" w:history="1">
        <w:r w:rsidRPr="00F11BA8">
          <w:rPr>
            <w:rStyle w:val="Hyperlink"/>
          </w:rPr>
          <w:t>2.2</w:t>
        </w:r>
        <w:r>
          <w:rPr>
            <w:rFonts w:asciiTheme="minorHAnsi" w:eastAsiaTheme="minorEastAsia" w:hAnsiTheme="minorHAnsi" w:cstheme="minorBidi"/>
            <w:sz w:val="22"/>
            <w:szCs w:val="22"/>
            <w:lang w:val="en-US" w:eastAsia="en-US"/>
          </w:rPr>
          <w:tab/>
        </w:r>
        <w:r w:rsidRPr="00F11BA8">
          <w:rPr>
            <w:rStyle w:val="Hyperlink"/>
          </w:rPr>
          <w:t>Techniques</w:t>
        </w:r>
        <w:r>
          <w:rPr>
            <w:webHidden/>
          </w:rPr>
          <w:tab/>
        </w:r>
        <w:r>
          <w:rPr>
            <w:webHidden/>
          </w:rPr>
          <w:fldChar w:fldCharType="begin"/>
        </w:r>
        <w:r>
          <w:rPr>
            <w:webHidden/>
          </w:rPr>
          <w:instrText xml:space="preserve"> PAGEREF _Toc482003894 \h </w:instrText>
        </w:r>
        <w:r>
          <w:rPr>
            <w:webHidden/>
          </w:rPr>
        </w:r>
        <w:r>
          <w:rPr>
            <w:webHidden/>
          </w:rPr>
          <w:fldChar w:fldCharType="separate"/>
        </w:r>
        <w:r>
          <w:rPr>
            <w:webHidden/>
          </w:rPr>
          <w:t>8</w:t>
        </w:r>
        <w:r>
          <w:rPr>
            <w:webHidden/>
          </w:rPr>
          <w:fldChar w:fldCharType="end"/>
        </w:r>
      </w:hyperlink>
    </w:p>
    <w:p w14:paraId="183A49DE" w14:textId="4EDC6C69" w:rsidR="0071604C" w:rsidRDefault="0071604C">
      <w:pPr>
        <w:pStyle w:val="TOC2"/>
        <w:rPr>
          <w:rFonts w:asciiTheme="minorHAnsi" w:eastAsiaTheme="minorEastAsia" w:hAnsiTheme="minorHAnsi" w:cstheme="minorBidi"/>
          <w:sz w:val="22"/>
          <w:szCs w:val="22"/>
          <w:lang w:val="en-US" w:eastAsia="en-US"/>
        </w:rPr>
      </w:pPr>
      <w:hyperlink w:anchor="_Toc482003895" w:history="1">
        <w:r w:rsidRPr="00F11BA8">
          <w:rPr>
            <w:rStyle w:val="Hyperlink"/>
          </w:rPr>
          <w:t>2.3</w:t>
        </w:r>
        <w:r>
          <w:rPr>
            <w:rFonts w:asciiTheme="minorHAnsi" w:eastAsiaTheme="minorEastAsia" w:hAnsiTheme="minorHAnsi" w:cstheme="minorBidi"/>
            <w:sz w:val="22"/>
            <w:szCs w:val="22"/>
            <w:lang w:val="en-US" w:eastAsia="en-US"/>
          </w:rPr>
          <w:tab/>
        </w:r>
        <w:r w:rsidRPr="00F11BA8">
          <w:rPr>
            <w:rStyle w:val="Hyperlink"/>
          </w:rPr>
          <w:t>Controls</w:t>
        </w:r>
        <w:r>
          <w:rPr>
            <w:webHidden/>
          </w:rPr>
          <w:tab/>
        </w:r>
        <w:r>
          <w:rPr>
            <w:webHidden/>
          </w:rPr>
          <w:fldChar w:fldCharType="begin"/>
        </w:r>
        <w:r>
          <w:rPr>
            <w:webHidden/>
          </w:rPr>
          <w:instrText xml:space="preserve"> PAGEREF _Toc482003895 \h </w:instrText>
        </w:r>
        <w:r>
          <w:rPr>
            <w:webHidden/>
          </w:rPr>
        </w:r>
        <w:r>
          <w:rPr>
            <w:webHidden/>
          </w:rPr>
          <w:fldChar w:fldCharType="separate"/>
        </w:r>
        <w:r>
          <w:rPr>
            <w:webHidden/>
          </w:rPr>
          <w:t>8</w:t>
        </w:r>
        <w:r>
          <w:rPr>
            <w:webHidden/>
          </w:rPr>
          <w:fldChar w:fldCharType="end"/>
        </w:r>
      </w:hyperlink>
    </w:p>
    <w:p w14:paraId="0F308DE9" w14:textId="17C01B32" w:rsidR="0071604C" w:rsidRDefault="0071604C">
      <w:pPr>
        <w:pStyle w:val="TOC1"/>
        <w:rPr>
          <w:rFonts w:asciiTheme="minorHAnsi" w:eastAsiaTheme="minorEastAsia" w:hAnsiTheme="minorHAnsi" w:cstheme="minorBidi"/>
          <w:b w:val="0"/>
          <w:szCs w:val="22"/>
          <w:lang w:val="en-US" w:eastAsia="en-US"/>
        </w:rPr>
      </w:pPr>
      <w:hyperlink w:anchor="_Toc482003896" w:history="1">
        <w:r w:rsidRPr="00F11BA8">
          <w:rPr>
            <w:rStyle w:val="Hyperlink"/>
          </w:rPr>
          <w:t>3</w:t>
        </w:r>
        <w:r>
          <w:rPr>
            <w:rFonts w:asciiTheme="minorHAnsi" w:eastAsiaTheme="minorEastAsia" w:hAnsiTheme="minorHAnsi" w:cstheme="minorBidi"/>
            <w:b w:val="0"/>
            <w:szCs w:val="22"/>
            <w:lang w:val="en-US" w:eastAsia="en-US"/>
          </w:rPr>
          <w:tab/>
        </w:r>
        <w:r w:rsidRPr="00F11BA8">
          <w:rPr>
            <w:rStyle w:val="Hyperlink"/>
          </w:rPr>
          <w:t>Calculation methods</w:t>
        </w:r>
        <w:r>
          <w:rPr>
            <w:webHidden/>
          </w:rPr>
          <w:tab/>
        </w:r>
        <w:r>
          <w:rPr>
            <w:webHidden/>
          </w:rPr>
          <w:fldChar w:fldCharType="begin"/>
        </w:r>
        <w:r>
          <w:rPr>
            <w:webHidden/>
          </w:rPr>
          <w:instrText xml:space="preserve"> PAGEREF _Toc482003896 \h </w:instrText>
        </w:r>
        <w:r>
          <w:rPr>
            <w:webHidden/>
          </w:rPr>
        </w:r>
        <w:r>
          <w:rPr>
            <w:webHidden/>
          </w:rPr>
          <w:fldChar w:fldCharType="separate"/>
        </w:r>
        <w:r>
          <w:rPr>
            <w:webHidden/>
          </w:rPr>
          <w:t>17</w:t>
        </w:r>
        <w:r>
          <w:rPr>
            <w:webHidden/>
          </w:rPr>
          <w:fldChar w:fldCharType="end"/>
        </w:r>
      </w:hyperlink>
    </w:p>
    <w:p w14:paraId="54C0E954" w14:textId="28FABDA2" w:rsidR="0071604C" w:rsidRDefault="0071604C">
      <w:pPr>
        <w:pStyle w:val="TOC2"/>
        <w:rPr>
          <w:rFonts w:asciiTheme="minorHAnsi" w:eastAsiaTheme="minorEastAsia" w:hAnsiTheme="minorHAnsi" w:cstheme="minorBidi"/>
          <w:sz w:val="22"/>
          <w:szCs w:val="22"/>
          <w:lang w:val="en-US" w:eastAsia="en-US"/>
        </w:rPr>
      </w:pPr>
      <w:hyperlink w:anchor="_Toc482003897" w:history="1">
        <w:r w:rsidRPr="00F11BA8">
          <w:rPr>
            <w:rStyle w:val="Hyperlink"/>
          </w:rPr>
          <w:t>3.1</w:t>
        </w:r>
        <w:r>
          <w:rPr>
            <w:rFonts w:asciiTheme="minorHAnsi" w:eastAsiaTheme="minorEastAsia" w:hAnsiTheme="minorHAnsi" w:cstheme="minorBidi"/>
            <w:sz w:val="22"/>
            <w:szCs w:val="22"/>
            <w:lang w:val="en-US" w:eastAsia="en-US"/>
          </w:rPr>
          <w:tab/>
        </w:r>
        <w:r w:rsidRPr="00F11BA8">
          <w:rPr>
            <w:rStyle w:val="Hyperlink"/>
          </w:rPr>
          <w:t>Choice of method</w:t>
        </w:r>
        <w:r>
          <w:rPr>
            <w:webHidden/>
          </w:rPr>
          <w:tab/>
        </w:r>
        <w:r>
          <w:rPr>
            <w:webHidden/>
          </w:rPr>
          <w:fldChar w:fldCharType="begin"/>
        </w:r>
        <w:r>
          <w:rPr>
            <w:webHidden/>
          </w:rPr>
          <w:instrText xml:space="preserve"> PAGEREF _Toc482003897 \h </w:instrText>
        </w:r>
        <w:r>
          <w:rPr>
            <w:webHidden/>
          </w:rPr>
        </w:r>
        <w:r>
          <w:rPr>
            <w:webHidden/>
          </w:rPr>
          <w:fldChar w:fldCharType="separate"/>
        </w:r>
        <w:r>
          <w:rPr>
            <w:webHidden/>
          </w:rPr>
          <w:t>19</w:t>
        </w:r>
        <w:r>
          <w:rPr>
            <w:webHidden/>
          </w:rPr>
          <w:fldChar w:fldCharType="end"/>
        </w:r>
      </w:hyperlink>
    </w:p>
    <w:p w14:paraId="07C41283" w14:textId="7FDA2DB8" w:rsidR="0071604C" w:rsidRDefault="0071604C">
      <w:pPr>
        <w:pStyle w:val="TOC2"/>
        <w:rPr>
          <w:rFonts w:asciiTheme="minorHAnsi" w:eastAsiaTheme="minorEastAsia" w:hAnsiTheme="minorHAnsi" w:cstheme="minorBidi"/>
          <w:sz w:val="22"/>
          <w:szCs w:val="22"/>
          <w:lang w:val="en-US" w:eastAsia="en-US"/>
        </w:rPr>
      </w:pPr>
      <w:hyperlink w:anchor="_Toc482003898" w:history="1">
        <w:r w:rsidRPr="00F11BA8">
          <w:rPr>
            <w:rStyle w:val="Hyperlink"/>
          </w:rPr>
          <w:t>3.2</w:t>
        </w:r>
        <w:r>
          <w:rPr>
            <w:rFonts w:asciiTheme="minorHAnsi" w:eastAsiaTheme="minorEastAsia" w:hAnsiTheme="minorHAnsi" w:cstheme="minorBidi"/>
            <w:sz w:val="22"/>
            <w:szCs w:val="22"/>
            <w:lang w:val="en-US" w:eastAsia="en-US"/>
          </w:rPr>
          <w:tab/>
        </w:r>
        <w:r w:rsidRPr="00F11BA8">
          <w:rPr>
            <w:rStyle w:val="Hyperlink"/>
          </w:rPr>
          <w:t>Tier 1 method</w:t>
        </w:r>
        <w:r>
          <w:rPr>
            <w:webHidden/>
          </w:rPr>
          <w:tab/>
        </w:r>
        <w:r>
          <w:rPr>
            <w:webHidden/>
          </w:rPr>
          <w:fldChar w:fldCharType="begin"/>
        </w:r>
        <w:r>
          <w:rPr>
            <w:webHidden/>
          </w:rPr>
          <w:instrText xml:space="preserve"> PAGEREF _Toc482003898 \h </w:instrText>
        </w:r>
        <w:r>
          <w:rPr>
            <w:webHidden/>
          </w:rPr>
        </w:r>
        <w:r>
          <w:rPr>
            <w:webHidden/>
          </w:rPr>
          <w:fldChar w:fldCharType="separate"/>
        </w:r>
        <w:r>
          <w:rPr>
            <w:webHidden/>
          </w:rPr>
          <w:t>20</w:t>
        </w:r>
        <w:r>
          <w:rPr>
            <w:webHidden/>
          </w:rPr>
          <w:fldChar w:fldCharType="end"/>
        </w:r>
      </w:hyperlink>
    </w:p>
    <w:p w14:paraId="0806DAA6" w14:textId="53FC6670" w:rsidR="0071604C" w:rsidRDefault="0071604C">
      <w:pPr>
        <w:pStyle w:val="TOC2"/>
        <w:rPr>
          <w:rFonts w:asciiTheme="minorHAnsi" w:eastAsiaTheme="minorEastAsia" w:hAnsiTheme="minorHAnsi" w:cstheme="minorBidi"/>
          <w:sz w:val="22"/>
          <w:szCs w:val="22"/>
          <w:lang w:val="en-US" w:eastAsia="en-US"/>
        </w:rPr>
      </w:pPr>
      <w:hyperlink w:anchor="_Toc482003899" w:history="1">
        <w:r w:rsidRPr="00F11BA8">
          <w:rPr>
            <w:rStyle w:val="Hyperlink"/>
          </w:rPr>
          <w:t>3.3</w:t>
        </w:r>
        <w:r>
          <w:rPr>
            <w:rFonts w:asciiTheme="minorHAnsi" w:eastAsiaTheme="minorEastAsia" w:hAnsiTheme="minorHAnsi" w:cstheme="minorBidi"/>
            <w:sz w:val="22"/>
            <w:szCs w:val="22"/>
            <w:lang w:val="en-US" w:eastAsia="en-US"/>
          </w:rPr>
          <w:tab/>
        </w:r>
        <w:r w:rsidRPr="00F11BA8">
          <w:rPr>
            <w:rStyle w:val="Hyperlink"/>
          </w:rPr>
          <w:t>Tier 2 method</w:t>
        </w:r>
        <w:r>
          <w:rPr>
            <w:webHidden/>
          </w:rPr>
          <w:tab/>
        </w:r>
        <w:r>
          <w:rPr>
            <w:webHidden/>
          </w:rPr>
          <w:fldChar w:fldCharType="begin"/>
        </w:r>
        <w:r>
          <w:rPr>
            <w:webHidden/>
          </w:rPr>
          <w:instrText xml:space="preserve"> PAGEREF _Toc482003899 \h </w:instrText>
        </w:r>
        <w:r>
          <w:rPr>
            <w:webHidden/>
          </w:rPr>
        </w:r>
        <w:r>
          <w:rPr>
            <w:webHidden/>
          </w:rPr>
          <w:fldChar w:fldCharType="separate"/>
        </w:r>
        <w:r>
          <w:rPr>
            <w:webHidden/>
          </w:rPr>
          <w:t>25</w:t>
        </w:r>
        <w:r>
          <w:rPr>
            <w:webHidden/>
          </w:rPr>
          <w:fldChar w:fldCharType="end"/>
        </w:r>
      </w:hyperlink>
    </w:p>
    <w:p w14:paraId="09FEC87B" w14:textId="77FF53F9" w:rsidR="0071604C" w:rsidRDefault="0071604C">
      <w:pPr>
        <w:pStyle w:val="TOC2"/>
        <w:rPr>
          <w:rFonts w:asciiTheme="minorHAnsi" w:eastAsiaTheme="minorEastAsia" w:hAnsiTheme="minorHAnsi" w:cstheme="minorBidi"/>
          <w:sz w:val="22"/>
          <w:szCs w:val="22"/>
          <w:lang w:val="en-US" w:eastAsia="en-US"/>
        </w:rPr>
      </w:pPr>
      <w:hyperlink w:anchor="_Toc482003900" w:history="1">
        <w:r w:rsidRPr="00F11BA8">
          <w:rPr>
            <w:rStyle w:val="Hyperlink"/>
          </w:rPr>
          <w:t>3.4</w:t>
        </w:r>
        <w:r>
          <w:rPr>
            <w:rFonts w:asciiTheme="minorHAnsi" w:eastAsiaTheme="minorEastAsia" w:hAnsiTheme="minorHAnsi" w:cstheme="minorBidi"/>
            <w:sz w:val="22"/>
            <w:szCs w:val="22"/>
            <w:lang w:val="en-US" w:eastAsia="en-US"/>
          </w:rPr>
          <w:tab/>
        </w:r>
        <w:r w:rsidRPr="00F11BA8">
          <w:rPr>
            <w:rStyle w:val="Hyperlink"/>
          </w:rPr>
          <w:t>Tier 3 method</w:t>
        </w:r>
        <w:r>
          <w:rPr>
            <w:webHidden/>
          </w:rPr>
          <w:tab/>
        </w:r>
        <w:r>
          <w:rPr>
            <w:webHidden/>
          </w:rPr>
          <w:fldChar w:fldCharType="begin"/>
        </w:r>
        <w:r>
          <w:rPr>
            <w:webHidden/>
          </w:rPr>
          <w:instrText xml:space="preserve"> PAGEREF _Toc482003900 \h </w:instrText>
        </w:r>
        <w:r>
          <w:rPr>
            <w:webHidden/>
          </w:rPr>
        </w:r>
        <w:r>
          <w:rPr>
            <w:webHidden/>
          </w:rPr>
          <w:fldChar w:fldCharType="separate"/>
        </w:r>
        <w:r>
          <w:rPr>
            <w:webHidden/>
          </w:rPr>
          <w:t>35</w:t>
        </w:r>
        <w:r>
          <w:rPr>
            <w:webHidden/>
          </w:rPr>
          <w:fldChar w:fldCharType="end"/>
        </w:r>
      </w:hyperlink>
    </w:p>
    <w:p w14:paraId="0E5DD6AD" w14:textId="551AB02A" w:rsidR="0071604C" w:rsidRDefault="0071604C">
      <w:pPr>
        <w:pStyle w:val="TOC1"/>
        <w:rPr>
          <w:rFonts w:asciiTheme="minorHAnsi" w:eastAsiaTheme="minorEastAsia" w:hAnsiTheme="minorHAnsi" w:cstheme="minorBidi"/>
          <w:b w:val="0"/>
          <w:szCs w:val="22"/>
          <w:lang w:val="en-US" w:eastAsia="en-US"/>
        </w:rPr>
      </w:pPr>
      <w:hyperlink w:anchor="_Toc482003901" w:history="1">
        <w:r w:rsidRPr="00F11BA8">
          <w:rPr>
            <w:rStyle w:val="Hyperlink"/>
          </w:rPr>
          <w:t>4</w:t>
        </w:r>
        <w:r>
          <w:rPr>
            <w:rFonts w:asciiTheme="minorHAnsi" w:eastAsiaTheme="minorEastAsia" w:hAnsiTheme="minorHAnsi" w:cstheme="minorBidi"/>
            <w:b w:val="0"/>
            <w:szCs w:val="22"/>
            <w:lang w:val="en-US" w:eastAsia="en-US"/>
          </w:rPr>
          <w:tab/>
        </w:r>
        <w:r w:rsidRPr="00F11BA8">
          <w:rPr>
            <w:rStyle w:val="Hyperlink"/>
          </w:rPr>
          <w:t>Data quality</w:t>
        </w:r>
        <w:r>
          <w:rPr>
            <w:webHidden/>
          </w:rPr>
          <w:tab/>
        </w:r>
        <w:r>
          <w:rPr>
            <w:webHidden/>
          </w:rPr>
          <w:fldChar w:fldCharType="begin"/>
        </w:r>
        <w:r>
          <w:rPr>
            <w:webHidden/>
          </w:rPr>
          <w:instrText xml:space="preserve"> PAGEREF _Toc482003901 \h </w:instrText>
        </w:r>
        <w:r>
          <w:rPr>
            <w:webHidden/>
          </w:rPr>
        </w:r>
        <w:r>
          <w:rPr>
            <w:webHidden/>
          </w:rPr>
          <w:fldChar w:fldCharType="separate"/>
        </w:r>
        <w:r>
          <w:rPr>
            <w:webHidden/>
          </w:rPr>
          <w:t>99</w:t>
        </w:r>
        <w:r>
          <w:rPr>
            <w:webHidden/>
          </w:rPr>
          <w:fldChar w:fldCharType="end"/>
        </w:r>
      </w:hyperlink>
    </w:p>
    <w:p w14:paraId="410162F8" w14:textId="2A2A5FB6" w:rsidR="0071604C" w:rsidRDefault="0071604C">
      <w:pPr>
        <w:pStyle w:val="TOC2"/>
        <w:rPr>
          <w:rFonts w:asciiTheme="minorHAnsi" w:eastAsiaTheme="minorEastAsia" w:hAnsiTheme="minorHAnsi" w:cstheme="minorBidi"/>
          <w:sz w:val="22"/>
          <w:szCs w:val="22"/>
          <w:lang w:val="en-US" w:eastAsia="en-US"/>
        </w:rPr>
      </w:pPr>
      <w:hyperlink w:anchor="_Toc482003902" w:history="1">
        <w:r w:rsidRPr="00F11BA8">
          <w:rPr>
            <w:rStyle w:val="Hyperlink"/>
          </w:rPr>
          <w:t>4.1</w:t>
        </w:r>
        <w:r>
          <w:rPr>
            <w:rFonts w:asciiTheme="minorHAnsi" w:eastAsiaTheme="minorEastAsia" w:hAnsiTheme="minorHAnsi" w:cstheme="minorBidi"/>
            <w:sz w:val="22"/>
            <w:szCs w:val="22"/>
            <w:lang w:val="en-US" w:eastAsia="en-US"/>
          </w:rPr>
          <w:tab/>
        </w:r>
        <w:r w:rsidRPr="00F11BA8">
          <w:rPr>
            <w:rStyle w:val="Hyperlink"/>
          </w:rPr>
          <w:t>Completeness</w:t>
        </w:r>
        <w:r>
          <w:rPr>
            <w:webHidden/>
          </w:rPr>
          <w:tab/>
        </w:r>
        <w:r>
          <w:rPr>
            <w:webHidden/>
          </w:rPr>
          <w:fldChar w:fldCharType="begin"/>
        </w:r>
        <w:r>
          <w:rPr>
            <w:webHidden/>
          </w:rPr>
          <w:instrText xml:space="preserve"> PAGEREF _Toc482003902 \h </w:instrText>
        </w:r>
        <w:r>
          <w:rPr>
            <w:webHidden/>
          </w:rPr>
        </w:r>
        <w:r>
          <w:rPr>
            <w:webHidden/>
          </w:rPr>
          <w:fldChar w:fldCharType="separate"/>
        </w:r>
        <w:r>
          <w:rPr>
            <w:webHidden/>
          </w:rPr>
          <w:t>99</w:t>
        </w:r>
        <w:r>
          <w:rPr>
            <w:webHidden/>
          </w:rPr>
          <w:fldChar w:fldCharType="end"/>
        </w:r>
      </w:hyperlink>
    </w:p>
    <w:p w14:paraId="6D3E9FCE" w14:textId="7746F275" w:rsidR="0071604C" w:rsidRDefault="0071604C">
      <w:pPr>
        <w:pStyle w:val="TOC2"/>
        <w:rPr>
          <w:rFonts w:asciiTheme="minorHAnsi" w:eastAsiaTheme="minorEastAsia" w:hAnsiTheme="minorHAnsi" w:cstheme="minorBidi"/>
          <w:sz w:val="22"/>
          <w:szCs w:val="22"/>
          <w:lang w:val="en-US" w:eastAsia="en-US"/>
        </w:rPr>
      </w:pPr>
      <w:hyperlink w:anchor="_Toc482003903" w:history="1">
        <w:r w:rsidRPr="00F11BA8">
          <w:rPr>
            <w:rStyle w:val="Hyperlink"/>
          </w:rPr>
          <w:t>4.2</w:t>
        </w:r>
        <w:r>
          <w:rPr>
            <w:rFonts w:asciiTheme="minorHAnsi" w:eastAsiaTheme="minorEastAsia" w:hAnsiTheme="minorHAnsi" w:cstheme="minorBidi"/>
            <w:sz w:val="22"/>
            <w:szCs w:val="22"/>
            <w:lang w:val="en-US" w:eastAsia="en-US"/>
          </w:rPr>
          <w:tab/>
        </w:r>
        <w:r w:rsidRPr="00F11BA8">
          <w:rPr>
            <w:rStyle w:val="Hyperlink"/>
          </w:rPr>
          <w:t>Avoiding double counting with other sectors</w:t>
        </w:r>
        <w:r>
          <w:rPr>
            <w:webHidden/>
          </w:rPr>
          <w:tab/>
        </w:r>
        <w:r>
          <w:rPr>
            <w:webHidden/>
          </w:rPr>
          <w:fldChar w:fldCharType="begin"/>
        </w:r>
        <w:r>
          <w:rPr>
            <w:webHidden/>
          </w:rPr>
          <w:instrText xml:space="preserve"> PAGEREF _Toc482003903 \h </w:instrText>
        </w:r>
        <w:r>
          <w:rPr>
            <w:webHidden/>
          </w:rPr>
        </w:r>
        <w:r>
          <w:rPr>
            <w:webHidden/>
          </w:rPr>
          <w:fldChar w:fldCharType="separate"/>
        </w:r>
        <w:r>
          <w:rPr>
            <w:webHidden/>
          </w:rPr>
          <w:t>99</w:t>
        </w:r>
        <w:r>
          <w:rPr>
            <w:webHidden/>
          </w:rPr>
          <w:fldChar w:fldCharType="end"/>
        </w:r>
      </w:hyperlink>
    </w:p>
    <w:p w14:paraId="16858844" w14:textId="13022495" w:rsidR="0071604C" w:rsidRDefault="0071604C">
      <w:pPr>
        <w:pStyle w:val="TOC2"/>
        <w:rPr>
          <w:rFonts w:asciiTheme="minorHAnsi" w:eastAsiaTheme="minorEastAsia" w:hAnsiTheme="minorHAnsi" w:cstheme="minorBidi"/>
          <w:sz w:val="22"/>
          <w:szCs w:val="22"/>
          <w:lang w:val="en-US" w:eastAsia="en-US"/>
        </w:rPr>
      </w:pPr>
      <w:hyperlink w:anchor="_Toc482003904" w:history="1">
        <w:r w:rsidRPr="00F11BA8">
          <w:rPr>
            <w:rStyle w:val="Hyperlink"/>
          </w:rPr>
          <w:t>4.3</w:t>
        </w:r>
        <w:r>
          <w:rPr>
            <w:rFonts w:asciiTheme="minorHAnsi" w:eastAsiaTheme="minorEastAsia" w:hAnsiTheme="minorHAnsi" w:cstheme="minorBidi"/>
            <w:sz w:val="22"/>
            <w:szCs w:val="22"/>
            <w:lang w:val="en-US" w:eastAsia="en-US"/>
          </w:rPr>
          <w:tab/>
        </w:r>
        <w:r w:rsidRPr="00F11BA8">
          <w:rPr>
            <w:rStyle w:val="Hyperlink"/>
          </w:rPr>
          <w:t>Verification</w:t>
        </w:r>
        <w:r>
          <w:rPr>
            <w:webHidden/>
          </w:rPr>
          <w:tab/>
        </w:r>
        <w:r>
          <w:rPr>
            <w:webHidden/>
          </w:rPr>
          <w:fldChar w:fldCharType="begin"/>
        </w:r>
        <w:r>
          <w:rPr>
            <w:webHidden/>
          </w:rPr>
          <w:instrText xml:space="preserve"> PAGEREF _Toc482003904 \h </w:instrText>
        </w:r>
        <w:r>
          <w:rPr>
            <w:webHidden/>
          </w:rPr>
        </w:r>
        <w:r>
          <w:rPr>
            <w:webHidden/>
          </w:rPr>
          <w:fldChar w:fldCharType="separate"/>
        </w:r>
        <w:r>
          <w:rPr>
            <w:webHidden/>
          </w:rPr>
          <w:t>99</w:t>
        </w:r>
        <w:r>
          <w:rPr>
            <w:webHidden/>
          </w:rPr>
          <w:fldChar w:fldCharType="end"/>
        </w:r>
      </w:hyperlink>
    </w:p>
    <w:p w14:paraId="1BC957DF" w14:textId="2FB4D3C7" w:rsidR="0071604C" w:rsidRDefault="0071604C">
      <w:pPr>
        <w:pStyle w:val="TOC2"/>
        <w:rPr>
          <w:rFonts w:asciiTheme="minorHAnsi" w:eastAsiaTheme="minorEastAsia" w:hAnsiTheme="minorHAnsi" w:cstheme="minorBidi"/>
          <w:sz w:val="22"/>
          <w:szCs w:val="22"/>
          <w:lang w:val="en-US" w:eastAsia="en-US"/>
        </w:rPr>
      </w:pPr>
      <w:hyperlink w:anchor="_Toc482003905" w:history="1">
        <w:r w:rsidRPr="00F11BA8">
          <w:rPr>
            <w:rStyle w:val="Hyperlink"/>
          </w:rPr>
          <w:t>4.4</w:t>
        </w:r>
        <w:r>
          <w:rPr>
            <w:rFonts w:asciiTheme="minorHAnsi" w:eastAsiaTheme="minorEastAsia" w:hAnsiTheme="minorHAnsi" w:cstheme="minorBidi"/>
            <w:sz w:val="22"/>
            <w:szCs w:val="22"/>
            <w:lang w:val="en-US" w:eastAsia="en-US"/>
          </w:rPr>
          <w:tab/>
        </w:r>
        <w:r w:rsidRPr="00F11BA8">
          <w:rPr>
            <w:rStyle w:val="Hyperlink"/>
          </w:rPr>
          <w:t>Bottom-up vs. top-down inventories</w:t>
        </w:r>
        <w:r>
          <w:rPr>
            <w:webHidden/>
          </w:rPr>
          <w:tab/>
        </w:r>
        <w:r>
          <w:rPr>
            <w:webHidden/>
          </w:rPr>
          <w:fldChar w:fldCharType="begin"/>
        </w:r>
        <w:r>
          <w:rPr>
            <w:webHidden/>
          </w:rPr>
          <w:instrText xml:space="preserve"> PAGEREF _Toc482003905 \h </w:instrText>
        </w:r>
        <w:r>
          <w:rPr>
            <w:webHidden/>
          </w:rPr>
        </w:r>
        <w:r>
          <w:rPr>
            <w:webHidden/>
          </w:rPr>
          <w:fldChar w:fldCharType="separate"/>
        </w:r>
        <w:r>
          <w:rPr>
            <w:webHidden/>
          </w:rPr>
          <w:t>101</w:t>
        </w:r>
        <w:r>
          <w:rPr>
            <w:webHidden/>
          </w:rPr>
          <w:fldChar w:fldCharType="end"/>
        </w:r>
      </w:hyperlink>
    </w:p>
    <w:p w14:paraId="163CBE36" w14:textId="1393D27E" w:rsidR="0071604C" w:rsidRDefault="0071604C">
      <w:pPr>
        <w:pStyle w:val="TOC2"/>
        <w:rPr>
          <w:rFonts w:asciiTheme="minorHAnsi" w:eastAsiaTheme="minorEastAsia" w:hAnsiTheme="minorHAnsi" w:cstheme="minorBidi"/>
          <w:sz w:val="22"/>
          <w:szCs w:val="22"/>
          <w:lang w:val="en-US" w:eastAsia="en-US"/>
        </w:rPr>
      </w:pPr>
      <w:hyperlink w:anchor="_Toc482003906" w:history="1">
        <w:r w:rsidRPr="00F11BA8">
          <w:rPr>
            <w:rStyle w:val="Hyperlink"/>
          </w:rPr>
          <w:t>4.5</w:t>
        </w:r>
        <w:r>
          <w:rPr>
            <w:rFonts w:asciiTheme="minorHAnsi" w:eastAsiaTheme="minorEastAsia" w:hAnsiTheme="minorHAnsi" w:cstheme="minorBidi"/>
            <w:sz w:val="22"/>
            <w:szCs w:val="22"/>
            <w:lang w:val="en-US" w:eastAsia="en-US"/>
          </w:rPr>
          <w:tab/>
        </w:r>
        <w:r w:rsidRPr="00F11BA8">
          <w:rPr>
            <w:rStyle w:val="Hyperlink"/>
          </w:rPr>
          <w:t>Uncertainty assessment</w:t>
        </w:r>
        <w:r>
          <w:rPr>
            <w:webHidden/>
          </w:rPr>
          <w:tab/>
        </w:r>
        <w:r>
          <w:rPr>
            <w:webHidden/>
          </w:rPr>
          <w:fldChar w:fldCharType="begin"/>
        </w:r>
        <w:r>
          <w:rPr>
            <w:webHidden/>
          </w:rPr>
          <w:instrText xml:space="preserve"> PAGEREF _Toc482003906 \h </w:instrText>
        </w:r>
        <w:r>
          <w:rPr>
            <w:webHidden/>
          </w:rPr>
        </w:r>
        <w:r>
          <w:rPr>
            <w:webHidden/>
          </w:rPr>
          <w:fldChar w:fldCharType="separate"/>
        </w:r>
        <w:r>
          <w:rPr>
            <w:webHidden/>
          </w:rPr>
          <w:t>103</w:t>
        </w:r>
        <w:r>
          <w:rPr>
            <w:webHidden/>
          </w:rPr>
          <w:fldChar w:fldCharType="end"/>
        </w:r>
      </w:hyperlink>
    </w:p>
    <w:p w14:paraId="3359D9F0" w14:textId="637605E8" w:rsidR="0071604C" w:rsidRDefault="0071604C">
      <w:pPr>
        <w:pStyle w:val="TOC2"/>
        <w:rPr>
          <w:rFonts w:asciiTheme="minorHAnsi" w:eastAsiaTheme="minorEastAsia" w:hAnsiTheme="minorHAnsi" w:cstheme="minorBidi"/>
          <w:sz w:val="22"/>
          <w:szCs w:val="22"/>
          <w:lang w:val="en-US" w:eastAsia="en-US"/>
        </w:rPr>
      </w:pPr>
      <w:hyperlink w:anchor="_Toc482003907" w:history="1">
        <w:r w:rsidRPr="00F11BA8">
          <w:rPr>
            <w:rStyle w:val="Hyperlink"/>
          </w:rPr>
          <w:t>4.6</w:t>
        </w:r>
        <w:r>
          <w:rPr>
            <w:rFonts w:asciiTheme="minorHAnsi" w:eastAsiaTheme="minorEastAsia" w:hAnsiTheme="minorHAnsi" w:cstheme="minorBidi"/>
            <w:sz w:val="22"/>
            <w:szCs w:val="22"/>
            <w:lang w:val="en-US" w:eastAsia="en-US"/>
          </w:rPr>
          <w:tab/>
        </w:r>
        <w:r w:rsidRPr="00F11BA8">
          <w:rPr>
            <w:rStyle w:val="Hyperlink"/>
          </w:rPr>
          <w:t>Gridding</w:t>
        </w:r>
        <w:r>
          <w:rPr>
            <w:webHidden/>
          </w:rPr>
          <w:tab/>
        </w:r>
        <w:r>
          <w:rPr>
            <w:webHidden/>
          </w:rPr>
          <w:fldChar w:fldCharType="begin"/>
        </w:r>
        <w:r>
          <w:rPr>
            <w:webHidden/>
          </w:rPr>
          <w:instrText xml:space="preserve"> PAGEREF _Toc482003907 \h </w:instrText>
        </w:r>
        <w:r>
          <w:rPr>
            <w:webHidden/>
          </w:rPr>
        </w:r>
        <w:r>
          <w:rPr>
            <w:webHidden/>
          </w:rPr>
          <w:fldChar w:fldCharType="separate"/>
        </w:r>
        <w:r>
          <w:rPr>
            <w:webHidden/>
          </w:rPr>
          <w:t>109</w:t>
        </w:r>
        <w:r>
          <w:rPr>
            <w:webHidden/>
          </w:rPr>
          <w:fldChar w:fldCharType="end"/>
        </w:r>
      </w:hyperlink>
    </w:p>
    <w:p w14:paraId="190A8822" w14:textId="0CBB5C9A" w:rsidR="0071604C" w:rsidRDefault="0071604C">
      <w:pPr>
        <w:pStyle w:val="TOC2"/>
        <w:rPr>
          <w:rFonts w:asciiTheme="minorHAnsi" w:eastAsiaTheme="minorEastAsia" w:hAnsiTheme="minorHAnsi" w:cstheme="minorBidi"/>
          <w:sz w:val="22"/>
          <w:szCs w:val="22"/>
          <w:lang w:val="en-US" w:eastAsia="en-US"/>
        </w:rPr>
      </w:pPr>
      <w:hyperlink w:anchor="_Toc482003908" w:history="1">
        <w:r w:rsidRPr="00F11BA8">
          <w:rPr>
            <w:rStyle w:val="Hyperlink"/>
          </w:rPr>
          <w:t>4.7</w:t>
        </w:r>
        <w:r>
          <w:rPr>
            <w:rFonts w:asciiTheme="minorHAnsi" w:eastAsiaTheme="minorEastAsia" w:hAnsiTheme="minorHAnsi" w:cstheme="minorBidi"/>
            <w:sz w:val="22"/>
            <w:szCs w:val="22"/>
            <w:lang w:val="en-US" w:eastAsia="en-US"/>
          </w:rPr>
          <w:tab/>
        </w:r>
        <w:r w:rsidRPr="00F11BA8">
          <w:rPr>
            <w:rStyle w:val="Hyperlink"/>
          </w:rPr>
          <w:t>Weakest aspects/priority area for improvement in current methodology</w:t>
        </w:r>
        <w:r>
          <w:rPr>
            <w:webHidden/>
          </w:rPr>
          <w:tab/>
        </w:r>
        <w:r>
          <w:rPr>
            <w:webHidden/>
          </w:rPr>
          <w:fldChar w:fldCharType="begin"/>
        </w:r>
        <w:r>
          <w:rPr>
            <w:webHidden/>
          </w:rPr>
          <w:instrText xml:space="preserve"> PAGEREF _Toc482003908 \h </w:instrText>
        </w:r>
        <w:r>
          <w:rPr>
            <w:webHidden/>
          </w:rPr>
        </w:r>
        <w:r>
          <w:rPr>
            <w:webHidden/>
          </w:rPr>
          <w:fldChar w:fldCharType="separate"/>
        </w:r>
        <w:r>
          <w:rPr>
            <w:webHidden/>
          </w:rPr>
          <w:t>109</w:t>
        </w:r>
        <w:r>
          <w:rPr>
            <w:webHidden/>
          </w:rPr>
          <w:fldChar w:fldCharType="end"/>
        </w:r>
      </w:hyperlink>
    </w:p>
    <w:p w14:paraId="44153FD1" w14:textId="67FD3802" w:rsidR="0071604C" w:rsidRDefault="0071604C">
      <w:pPr>
        <w:pStyle w:val="TOC1"/>
        <w:rPr>
          <w:rFonts w:asciiTheme="minorHAnsi" w:eastAsiaTheme="minorEastAsia" w:hAnsiTheme="minorHAnsi" w:cstheme="minorBidi"/>
          <w:b w:val="0"/>
          <w:szCs w:val="22"/>
          <w:lang w:val="en-US" w:eastAsia="en-US"/>
        </w:rPr>
      </w:pPr>
      <w:hyperlink w:anchor="_Toc482003909" w:history="1">
        <w:r w:rsidRPr="00F11BA8">
          <w:rPr>
            <w:rStyle w:val="Hyperlink"/>
          </w:rPr>
          <w:t>5</w:t>
        </w:r>
        <w:r>
          <w:rPr>
            <w:rFonts w:asciiTheme="minorHAnsi" w:eastAsiaTheme="minorEastAsia" w:hAnsiTheme="minorHAnsi" w:cstheme="minorBidi"/>
            <w:b w:val="0"/>
            <w:szCs w:val="22"/>
            <w:lang w:val="en-US" w:eastAsia="en-US"/>
          </w:rPr>
          <w:tab/>
        </w:r>
        <w:r w:rsidRPr="00F11BA8">
          <w:rPr>
            <w:rStyle w:val="Hyperlink"/>
          </w:rPr>
          <w:t>Glossary</w:t>
        </w:r>
        <w:r>
          <w:rPr>
            <w:webHidden/>
          </w:rPr>
          <w:tab/>
        </w:r>
        <w:r>
          <w:rPr>
            <w:webHidden/>
          </w:rPr>
          <w:fldChar w:fldCharType="begin"/>
        </w:r>
        <w:r>
          <w:rPr>
            <w:webHidden/>
          </w:rPr>
          <w:instrText xml:space="preserve"> PAGEREF _Toc482003909 \h </w:instrText>
        </w:r>
        <w:r>
          <w:rPr>
            <w:webHidden/>
          </w:rPr>
        </w:r>
        <w:r>
          <w:rPr>
            <w:webHidden/>
          </w:rPr>
          <w:fldChar w:fldCharType="separate"/>
        </w:r>
        <w:r>
          <w:rPr>
            <w:webHidden/>
          </w:rPr>
          <w:t>110</w:t>
        </w:r>
        <w:r>
          <w:rPr>
            <w:webHidden/>
          </w:rPr>
          <w:fldChar w:fldCharType="end"/>
        </w:r>
      </w:hyperlink>
    </w:p>
    <w:p w14:paraId="7E3E08FE" w14:textId="6299E6D3" w:rsidR="0071604C" w:rsidRDefault="0071604C">
      <w:pPr>
        <w:pStyle w:val="TOC2"/>
        <w:rPr>
          <w:rFonts w:asciiTheme="minorHAnsi" w:eastAsiaTheme="minorEastAsia" w:hAnsiTheme="minorHAnsi" w:cstheme="minorBidi"/>
          <w:sz w:val="22"/>
          <w:szCs w:val="22"/>
          <w:lang w:val="en-US" w:eastAsia="en-US"/>
        </w:rPr>
      </w:pPr>
      <w:hyperlink w:anchor="_Toc482003910" w:history="1">
        <w:r w:rsidRPr="00F11BA8">
          <w:rPr>
            <w:rStyle w:val="Hyperlink"/>
          </w:rPr>
          <w:t>5.1</w:t>
        </w:r>
        <w:r>
          <w:rPr>
            <w:rFonts w:asciiTheme="minorHAnsi" w:eastAsiaTheme="minorEastAsia" w:hAnsiTheme="minorHAnsi" w:cstheme="minorBidi"/>
            <w:sz w:val="22"/>
            <w:szCs w:val="22"/>
            <w:lang w:val="en-US" w:eastAsia="en-US"/>
          </w:rPr>
          <w:tab/>
        </w:r>
        <w:r w:rsidRPr="00F11BA8">
          <w:rPr>
            <w:rStyle w:val="Hyperlink"/>
          </w:rPr>
          <w:t>List of abbreviations</w:t>
        </w:r>
        <w:r>
          <w:rPr>
            <w:webHidden/>
          </w:rPr>
          <w:tab/>
        </w:r>
        <w:r>
          <w:rPr>
            <w:webHidden/>
          </w:rPr>
          <w:fldChar w:fldCharType="begin"/>
        </w:r>
        <w:r>
          <w:rPr>
            <w:webHidden/>
          </w:rPr>
          <w:instrText xml:space="preserve"> PAGEREF _Toc482003910 \h </w:instrText>
        </w:r>
        <w:r>
          <w:rPr>
            <w:webHidden/>
          </w:rPr>
        </w:r>
        <w:r>
          <w:rPr>
            <w:webHidden/>
          </w:rPr>
          <w:fldChar w:fldCharType="separate"/>
        </w:r>
        <w:r>
          <w:rPr>
            <w:webHidden/>
          </w:rPr>
          <w:t>110</w:t>
        </w:r>
        <w:r>
          <w:rPr>
            <w:webHidden/>
          </w:rPr>
          <w:fldChar w:fldCharType="end"/>
        </w:r>
      </w:hyperlink>
    </w:p>
    <w:p w14:paraId="2CEBF0D6" w14:textId="2CA86EB6" w:rsidR="0071604C" w:rsidRDefault="0071604C">
      <w:pPr>
        <w:pStyle w:val="TOC2"/>
        <w:rPr>
          <w:rFonts w:asciiTheme="minorHAnsi" w:eastAsiaTheme="minorEastAsia" w:hAnsiTheme="minorHAnsi" w:cstheme="minorBidi"/>
          <w:sz w:val="22"/>
          <w:szCs w:val="22"/>
          <w:lang w:val="en-US" w:eastAsia="en-US"/>
        </w:rPr>
      </w:pPr>
      <w:hyperlink w:anchor="_Toc482003911" w:history="1">
        <w:r w:rsidRPr="00F11BA8">
          <w:rPr>
            <w:rStyle w:val="Hyperlink"/>
          </w:rPr>
          <w:t>5.2</w:t>
        </w:r>
        <w:r>
          <w:rPr>
            <w:rFonts w:asciiTheme="minorHAnsi" w:eastAsiaTheme="minorEastAsia" w:hAnsiTheme="minorHAnsi" w:cstheme="minorBidi"/>
            <w:sz w:val="22"/>
            <w:szCs w:val="22"/>
            <w:lang w:val="en-US" w:eastAsia="en-US"/>
          </w:rPr>
          <w:tab/>
        </w:r>
        <w:r w:rsidRPr="00F11BA8">
          <w:rPr>
            <w:rStyle w:val="Hyperlink"/>
          </w:rPr>
          <w:t>List of symbols</w:t>
        </w:r>
        <w:r>
          <w:rPr>
            <w:webHidden/>
          </w:rPr>
          <w:tab/>
        </w:r>
        <w:r>
          <w:rPr>
            <w:webHidden/>
          </w:rPr>
          <w:fldChar w:fldCharType="begin"/>
        </w:r>
        <w:r>
          <w:rPr>
            <w:webHidden/>
          </w:rPr>
          <w:instrText xml:space="preserve"> PAGEREF _Toc482003911 \h </w:instrText>
        </w:r>
        <w:r>
          <w:rPr>
            <w:webHidden/>
          </w:rPr>
        </w:r>
        <w:r>
          <w:rPr>
            <w:webHidden/>
          </w:rPr>
          <w:fldChar w:fldCharType="separate"/>
        </w:r>
        <w:r>
          <w:rPr>
            <w:webHidden/>
          </w:rPr>
          <w:t>112</w:t>
        </w:r>
        <w:r>
          <w:rPr>
            <w:webHidden/>
          </w:rPr>
          <w:fldChar w:fldCharType="end"/>
        </w:r>
      </w:hyperlink>
    </w:p>
    <w:p w14:paraId="7282FF41" w14:textId="5FAE81B1" w:rsidR="0071604C" w:rsidRDefault="0071604C">
      <w:pPr>
        <w:pStyle w:val="TOC2"/>
        <w:rPr>
          <w:rFonts w:asciiTheme="minorHAnsi" w:eastAsiaTheme="minorEastAsia" w:hAnsiTheme="minorHAnsi" w:cstheme="minorBidi"/>
          <w:sz w:val="22"/>
          <w:szCs w:val="22"/>
          <w:lang w:val="en-US" w:eastAsia="en-US"/>
        </w:rPr>
      </w:pPr>
      <w:hyperlink w:anchor="_Toc482003912" w:history="1">
        <w:r w:rsidRPr="00F11BA8">
          <w:rPr>
            <w:rStyle w:val="Hyperlink"/>
          </w:rPr>
          <w:t>5.3</w:t>
        </w:r>
        <w:r>
          <w:rPr>
            <w:rFonts w:asciiTheme="minorHAnsi" w:eastAsiaTheme="minorEastAsia" w:hAnsiTheme="minorHAnsi" w:cstheme="minorBidi"/>
            <w:sz w:val="22"/>
            <w:szCs w:val="22"/>
            <w:lang w:val="en-US" w:eastAsia="en-US"/>
          </w:rPr>
          <w:tab/>
        </w:r>
        <w:r w:rsidRPr="00F11BA8">
          <w:rPr>
            <w:rStyle w:val="Hyperlink"/>
          </w:rPr>
          <w:t>List of indices</w:t>
        </w:r>
        <w:r>
          <w:rPr>
            <w:webHidden/>
          </w:rPr>
          <w:tab/>
        </w:r>
        <w:r>
          <w:rPr>
            <w:webHidden/>
          </w:rPr>
          <w:fldChar w:fldCharType="begin"/>
        </w:r>
        <w:r>
          <w:rPr>
            <w:webHidden/>
          </w:rPr>
          <w:instrText xml:space="preserve"> PAGEREF _Toc482003912 \h </w:instrText>
        </w:r>
        <w:r>
          <w:rPr>
            <w:webHidden/>
          </w:rPr>
        </w:r>
        <w:r>
          <w:rPr>
            <w:webHidden/>
          </w:rPr>
          <w:fldChar w:fldCharType="separate"/>
        </w:r>
        <w:r>
          <w:rPr>
            <w:webHidden/>
          </w:rPr>
          <w:t>113</w:t>
        </w:r>
        <w:r>
          <w:rPr>
            <w:webHidden/>
          </w:rPr>
          <w:fldChar w:fldCharType="end"/>
        </w:r>
      </w:hyperlink>
    </w:p>
    <w:p w14:paraId="268765B0" w14:textId="1AF4432D" w:rsidR="0071604C" w:rsidRDefault="0071604C">
      <w:pPr>
        <w:pStyle w:val="TOC1"/>
        <w:rPr>
          <w:rFonts w:asciiTheme="minorHAnsi" w:eastAsiaTheme="minorEastAsia" w:hAnsiTheme="minorHAnsi" w:cstheme="minorBidi"/>
          <w:b w:val="0"/>
          <w:szCs w:val="22"/>
          <w:lang w:val="en-US" w:eastAsia="en-US"/>
        </w:rPr>
      </w:pPr>
      <w:hyperlink w:anchor="_Toc482003913" w:history="1">
        <w:r w:rsidRPr="00F11BA8">
          <w:rPr>
            <w:rStyle w:val="Hyperlink"/>
          </w:rPr>
          <w:t>6</w:t>
        </w:r>
        <w:r>
          <w:rPr>
            <w:rFonts w:asciiTheme="minorHAnsi" w:eastAsiaTheme="minorEastAsia" w:hAnsiTheme="minorHAnsi" w:cstheme="minorBidi"/>
            <w:b w:val="0"/>
            <w:szCs w:val="22"/>
            <w:lang w:val="en-US" w:eastAsia="en-US"/>
          </w:rPr>
          <w:tab/>
        </w:r>
        <w:r w:rsidRPr="00F11BA8">
          <w:rPr>
            <w:rStyle w:val="Hyperlink"/>
          </w:rPr>
          <w:t>Supplementary documents, references and bibliography</w:t>
        </w:r>
        <w:r>
          <w:rPr>
            <w:webHidden/>
          </w:rPr>
          <w:tab/>
        </w:r>
        <w:r>
          <w:rPr>
            <w:webHidden/>
          </w:rPr>
          <w:fldChar w:fldCharType="begin"/>
        </w:r>
        <w:r>
          <w:rPr>
            <w:webHidden/>
          </w:rPr>
          <w:instrText xml:space="preserve"> PAGEREF _Toc482003913 \h </w:instrText>
        </w:r>
        <w:r>
          <w:rPr>
            <w:webHidden/>
          </w:rPr>
        </w:r>
        <w:r>
          <w:rPr>
            <w:webHidden/>
          </w:rPr>
          <w:fldChar w:fldCharType="separate"/>
        </w:r>
        <w:r>
          <w:rPr>
            <w:webHidden/>
          </w:rPr>
          <w:t>114</w:t>
        </w:r>
        <w:r>
          <w:rPr>
            <w:webHidden/>
          </w:rPr>
          <w:fldChar w:fldCharType="end"/>
        </w:r>
      </w:hyperlink>
    </w:p>
    <w:p w14:paraId="3354DB31" w14:textId="25F29A9E" w:rsidR="0071604C" w:rsidRDefault="0071604C">
      <w:pPr>
        <w:pStyle w:val="TOC2"/>
        <w:rPr>
          <w:rFonts w:asciiTheme="minorHAnsi" w:eastAsiaTheme="minorEastAsia" w:hAnsiTheme="minorHAnsi" w:cstheme="minorBidi"/>
          <w:sz w:val="22"/>
          <w:szCs w:val="22"/>
          <w:lang w:val="en-US" w:eastAsia="en-US"/>
        </w:rPr>
      </w:pPr>
      <w:hyperlink w:anchor="_Toc482003914" w:history="1">
        <w:r w:rsidRPr="00F11BA8">
          <w:rPr>
            <w:rStyle w:val="Hyperlink"/>
          </w:rPr>
          <w:t>6.1</w:t>
        </w:r>
        <w:r>
          <w:rPr>
            <w:rFonts w:asciiTheme="minorHAnsi" w:eastAsiaTheme="minorEastAsia" w:hAnsiTheme="minorHAnsi" w:cstheme="minorBidi"/>
            <w:sz w:val="22"/>
            <w:szCs w:val="22"/>
            <w:lang w:val="en-US" w:eastAsia="en-US"/>
          </w:rPr>
          <w:tab/>
        </w:r>
        <w:r w:rsidRPr="00F11BA8">
          <w:rPr>
            <w:rStyle w:val="Hyperlink"/>
          </w:rPr>
          <w:t>Supplementary documents</w:t>
        </w:r>
        <w:r>
          <w:rPr>
            <w:webHidden/>
          </w:rPr>
          <w:tab/>
        </w:r>
        <w:r>
          <w:rPr>
            <w:webHidden/>
          </w:rPr>
          <w:fldChar w:fldCharType="begin"/>
        </w:r>
        <w:r>
          <w:rPr>
            <w:webHidden/>
          </w:rPr>
          <w:instrText xml:space="preserve"> PAGEREF _Toc482003914 \h </w:instrText>
        </w:r>
        <w:r>
          <w:rPr>
            <w:webHidden/>
          </w:rPr>
        </w:r>
        <w:r>
          <w:rPr>
            <w:webHidden/>
          </w:rPr>
          <w:fldChar w:fldCharType="separate"/>
        </w:r>
        <w:r>
          <w:rPr>
            <w:webHidden/>
          </w:rPr>
          <w:t>114</w:t>
        </w:r>
        <w:r>
          <w:rPr>
            <w:webHidden/>
          </w:rPr>
          <w:fldChar w:fldCharType="end"/>
        </w:r>
      </w:hyperlink>
    </w:p>
    <w:p w14:paraId="5969C0DD" w14:textId="419E9632" w:rsidR="0071604C" w:rsidRDefault="0071604C">
      <w:pPr>
        <w:pStyle w:val="TOC2"/>
        <w:rPr>
          <w:rFonts w:asciiTheme="minorHAnsi" w:eastAsiaTheme="minorEastAsia" w:hAnsiTheme="minorHAnsi" w:cstheme="minorBidi"/>
          <w:sz w:val="22"/>
          <w:szCs w:val="22"/>
          <w:lang w:val="en-US" w:eastAsia="en-US"/>
        </w:rPr>
      </w:pPr>
      <w:hyperlink w:anchor="_Toc482003915" w:history="1">
        <w:r w:rsidRPr="00F11BA8">
          <w:rPr>
            <w:rStyle w:val="Hyperlink"/>
          </w:rPr>
          <w:t>6.2</w:t>
        </w:r>
        <w:r>
          <w:rPr>
            <w:rFonts w:asciiTheme="minorHAnsi" w:eastAsiaTheme="minorEastAsia" w:hAnsiTheme="minorHAnsi" w:cstheme="minorBidi"/>
            <w:sz w:val="22"/>
            <w:szCs w:val="22"/>
            <w:lang w:val="en-US" w:eastAsia="en-US"/>
          </w:rPr>
          <w:tab/>
        </w:r>
        <w:r w:rsidRPr="00F11BA8">
          <w:rPr>
            <w:rStyle w:val="Hyperlink"/>
          </w:rPr>
          <w:t>References</w:t>
        </w:r>
        <w:r>
          <w:rPr>
            <w:webHidden/>
          </w:rPr>
          <w:tab/>
        </w:r>
        <w:r>
          <w:rPr>
            <w:webHidden/>
          </w:rPr>
          <w:fldChar w:fldCharType="begin"/>
        </w:r>
        <w:r>
          <w:rPr>
            <w:webHidden/>
          </w:rPr>
          <w:instrText xml:space="preserve"> PAGEREF _Toc482003915 \h </w:instrText>
        </w:r>
        <w:r>
          <w:rPr>
            <w:webHidden/>
          </w:rPr>
        </w:r>
        <w:r>
          <w:rPr>
            <w:webHidden/>
          </w:rPr>
          <w:fldChar w:fldCharType="separate"/>
        </w:r>
        <w:r>
          <w:rPr>
            <w:webHidden/>
          </w:rPr>
          <w:t>114</w:t>
        </w:r>
        <w:r>
          <w:rPr>
            <w:webHidden/>
          </w:rPr>
          <w:fldChar w:fldCharType="end"/>
        </w:r>
      </w:hyperlink>
    </w:p>
    <w:p w14:paraId="4918C4DD" w14:textId="671B0F50" w:rsidR="0071604C" w:rsidRDefault="0071604C">
      <w:pPr>
        <w:pStyle w:val="TOC2"/>
        <w:rPr>
          <w:rFonts w:asciiTheme="minorHAnsi" w:eastAsiaTheme="minorEastAsia" w:hAnsiTheme="minorHAnsi" w:cstheme="minorBidi"/>
          <w:sz w:val="22"/>
          <w:szCs w:val="22"/>
          <w:lang w:val="en-US" w:eastAsia="en-US"/>
        </w:rPr>
      </w:pPr>
      <w:hyperlink w:anchor="_Toc482003916" w:history="1">
        <w:r w:rsidRPr="00F11BA8">
          <w:rPr>
            <w:rStyle w:val="Hyperlink"/>
          </w:rPr>
          <w:t>6.3</w:t>
        </w:r>
        <w:r>
          <w:rPr>
            <w:rFonts w:asciiTheme="minorHAnsi" w:eastAsiaTheme="minorEastAsia" w:hAnsiTheme="minorHAnsi" w:cstheme="minorBidi"/>
            <w:sz w:val="22"/>
            <w:szCs w:val="22"/>
            <w:lang w:val="en-US" w:eastAsia="en-US"/>
          </w:rPr>
          <w:tab/>
        </w:r>
        <w:r w:rsidRPr="00F11BA8">
          <w:rPr>
            <w:rStyle w:val="Hyperlink"/>
          </w:rPr>
          <w:t>Bibliography</w:t>
        </w:r>
        <w:r>
          <w:rPr>
            <w:webHidden/>
          </w:rPr>
          <w:tab/>
        </w:r>
        <w:r>
          <w:rPr>
            <w:webHidden/>
          </w:rPr>
          <w:fldChar w:fldCharType="begin"/>
        </w:r>
        <w:r>
          <w:rPr>
            <w:webHidden/>
          </w:rPr>
          <w:instrText xml:space="preserve"> PAGEREF _Toc482003916 \h </w:instrText>
        </w:r>
        <w:r>
          <w:rPr>
            <w:webHidden/>
          </w:rPr>
        </w:r>
        <w:r>
          <w:rPr>
            <w:webHidden/>
          </w:rPr>
          <w:fldChar w:fldCharType="separate"/>
        </w:r>
        <w:r>
          <w:rPr>
            <w:webHidden/>
          </w:rPr>
          <w:t>119</w:t>
        </w:r>
        <w:r>
          <w:rPr>
            <w:webHidden/>
          </w:rPr>
          <w:fldChar w:fldCharType="end"/>
        </w:r>
      </w:hyperlink>
    </w:p>
    <w:p w14:paraId="56451F4F" w14:textId="46D93535" w:rsidR="0071604C" w:rsidRDefault="0071604C">
      <w:pPr>
        <w:pStyle w:val="TOC1"/>
        <w:rPr>
          <w:rFonts w:asciiTheme="minorHAnsi" w:eastAsiaTheme="minorEastAsia" w:hAnsiTheme="minorHAnsi" w:cstheme="minorBidi"/>
          <w:b w:val="0"/>
          <w:szCs w:val="22"/>
          <w:lang w:val="en-US" w:eastAsia="en-US"/>
        </w:rPr>
      </w:pPr>
      <w:hyperlink w:anchor="_Toc482003917" w:history="1">
        <w:r w:rsidRPr="00F11BA8">
          <w:rPr>
            <w:rStyle w:val="Hyperlink"/>
          </w:rPr>
          <w:t>7</w:t>
        </w:r>
        <w:r>
          <w:rPr>
            <w:rFonts w:asciiTheme="minorHAnsi" w:eastAsiaTheme="minorEastAsia" w:hAnsiTheme="minorHAnsi" w:cstheme="minorBidi"/>
            <w:b w:val="0"/>
            <w:szCs w:val="22"/>
            <w:lang w:val="en-US" w:eastAsia="en-US"/>
          </w:rPr>
          <w:tab/>
        </w:r>
        <w:r w:rsidRPr="00F11BA8">
          <w:rPr>
            <w:rStyle w:val="Hyperlink"/>
          </w:rPr>
          <w:t>Point of enquiry</w:t>
        </w:r>
        <w:r>
          <w:rPr>
            <w:webHidden/>
          </w:rPr>
          <w:tab/>
        </w:r>
        <w:r>
          <w:rPr>
            <w:webHidden/>
          </w:rPr>
          <w:fldChar w:fldCharType="begin"/>
        </w:r>
        <w:r>
          <w:rPr>
            <w:webHidden/>
          </w:rPr>
          <w:instrText xml:space="preserve"> PAGEREF _Toc482003917 \h </w:instrText>
        </w:r>
        <w:r>
          <w:rPr>
            <w:webHidden/>
          </w:rPr>
        </w:r>
        <w:r>
          <w:rPr>
            <w:webHidden/>
          </w:rPr>
          <w:fldChar w:fldCharType="separate"/>
        </w:r>
        <w:r>
          <w:rPr>
            <w:webHidden/>
          </w:rPr>
          <w:t>119</w:t>
        </w:r>
        <w:r>
          <w:rPr>
            <w:webHidden/>
          </w:rPr>
          <w:fldChar w:fldCharType="end"/>
        </w:r>
      </w:hyperlink>
    </w:p>
    <w:p w14:paraId="34CF0F6A" w14:textId="2C7DAD2B" w:rsidR="0071604C" w:rsidRDefault="0071604C">
      <w:pPr>
        <w:pStyle w:val="TOC1"/>
        <w:tabs>
          <w:tab w:val="left" w:pos="1540"/>
        </w:tabs>
        <w:rPr>
          <w:rFonts w:asciiTheme="minorHAnsi" w:eastAsiaTheme="minorEastAsia" w:hAnsiTheme="minorHAnsi" w:cstheme="minorBidi"/>
          <w:b w:val="0"/>
          <w:szCs w:val="22"/>
          <w:lang w:val="en-US" w:eastAsia="en-US"/>
        </w:rPr>
      </w:pPr>
      <w:hyperlink w:anchor="_Toc482003918" w:history="1">
        <w:r w:rsidRPr="00F11BA8">
          <w:rPr>
            <w:rStyle w:val="Hyperlink"/>
          </w:rPr>
          <w:t>Appendix 1</w:t>
        </w:r>
        <w:r>
          <w:rPr>
            <w:rFonts w:asciiTheme="minorHAnsi" w:eastAsiaTheme="minorEastAsia" w:hAnsiTheme="minorHAnsi" w:cstheme="minorBidi"/>
            <w:b w:val="0"/>
            <w:szCs w:val="22"/>
            <w:lang w:val="en-US" w:eastAsia="en-US"/>
          </w:rPr>
          <w:tab/>
        </w:r>
        <w:r w:rsidRPr="00F11BA8">
          <w:rPr>
            <w:rStyle w:val="Hyperlink"/>
          </w:rPr>
          <w:t>Bulk Tier 1 emission factors for selected European countries</w:t>
        </w:r>
        <w:r>
          <w:rPr>
            <w:webHidden/>
          </w:rPr>
          <w:tab/>
        </w:r>
        <w:r>
          <w:rPr>
            <w:webHidden/>
          </w:rPr>
          <w:fldChar w:fldCharType="begin"/>
        </w:r>
        <w:r>
          <w:rPr>
            <w:webHidden/>
          </w:rPr>
          <w:instrText xml:space="preserve"> PAGEREF _Toc482003918 \h </w:instrText>
        </w:r>
        <w:r>
          <w:rPr>
            <w:webHidden/>
          </w:rPr>
        </w:r>
        <w:r>
          <w:rPr>
            <w:webHidden/>
          </w:rPr>
          <w:fldChar w:fldCharType="separate"/>
        </w:r>
        <w:r>
          <w:rPr>
            <w:webHidden/>
          </w:rPr>
          <w:t>120</w:t>
        </w:r>
        <w:r>
          <w:rPr>
            <w:webHidden/>
          </w:rPr>
          <w:fldChar w:fldCharType="end"/>
        </w:r>
      </w:hyperlink>
    </w:p>
    <w:p w14:paraId="068F16B3" w14:textId="55F6A51E" w:rsidR="0071604C" w:rsidRDefault="0071604C">
      <w:pPr>
        <w:pStyle w:val="TOC1"/>
        <w:tabs>
          <w:tab w:val="left" w:pos="1540"/>
        </w:tabs>
        <w:rPr>
          <w:rFonts w:asciiTheme="minorHAnsi" w:eastAsiaTheme="minorEastAsia" w:hAnsiTheme="minorHAnsi" w:cstheme="minorBidi"/>
          <w:b w:val="0"/>
          <w:szCs w:val="22"/>
          <w:lang w:val="en-US" w:eastAsia="en-US"/>
        </w:rPr>
      </w:pPr>
      <w:hyperlink w:anchor="_Toc482003919" w:history="1">
        <w:r w:rsidRPr="00F11BA8">
          <w:rPr>
            <w:rStyle w:val="Hyperlink"/>
          </w:rPr>
          <w:t>Appendix 2</w:t>
        </w:r>
        <w:r>
          <w:rPr>
            <w:rFonts w:asciiTheme="minorHAnsi" w:eastAsiaTheme="minorEastAsia" w:hAnsiTheme="minorHAnsi" w:cstheme="minorBidi"/>
            <w:b w:val="0"/>
            <w:szCs w:val="22"/>
            <w:lang w:val="en-US" w:eastAsia="en-US"/>
          </w:rPr>
          <w:tab/>
        </w:r>
        <w:r w:rsidRPr="00F11BA8">
          <w:rPr>
            <w:rStyle w:val="Hyperlink"/>
          </w:rPr>
          <w:t>History of the development of the road transport chapter</w:t>
        </w:r>
        <w:r>
          <w:rPr>
            <w:webHidden/>
          </w:rPr>
          <w:tab/>
        </w:r>
        <w:r>
          <w:rPr>
            <w:webHidden/>
          </w:rPr>
          <w:fldChar w:fldCharType="begin"/>
        </w:r>
        <w:r>
          <w:rPr>
            <w:webHidden/>
          </w:rPr>
          <w:instrText xml:space="preserve"> PAGEREF _Toc482003919 \h </w:instrText>
        </w:r>
        <w:r>
          <w:rPr>
            <w:webHidden/>
          </w:rPr>
        </w:r>
        <w:r>
          <w:rPr>
            <w:webHidden/>
          </w:rPr>
          <w:fldChar w:fldCharType="separate"/>
        </w:r>
        <w:r>
          <w:rPr>
            <w:webHidden/>
          </w:rPr>
          <w:t>131</w:t>
        </w:r>
        <w:r>
          <w:rPr>
            <w:webHidden/>
          </w:rPr>
          <w:fldChar w:fldCharType="end"/>
        </w:r>
      </w:hyperlink>
    </w:p>
    <w:p w14:paraId="3A66858E" w14:textId="41DF13CD" w:rsidR="0071604C" w:rsidRDefault="0071604C">
      <w:pPr>
        <w:pStyle w:val="TOC1"/>
        <w:tabs>
          <w:tab w:val="left" w:pos="1540"/>
        </w:tabs>
        <w:rPr>
          <w:rFonts w:asciiTheme="minorHAnsi" w:eastAsiaTheme="minorEastAsia" w:hAnsiTheme="minorHAnsi" w:cstheme="minorBidi"/>
          <w:b w:val="0"/>
          <w:szCs w:val="22"/>
          <w:lang w:val="en-US" w:eastAsia="en-US"/>
        </w:rPr>
      </w:pPr>
      <w:hyperlink w:anchor="_Toc482003920" w:history="1">
        <w:r w:rsidRPr="00F11BA8">
          <w:rPr>
            <w:rStyle w:val="Hyperlink"/>
          </w:rPr>
          <w:t>Appendix 3</w:t>
        </w:r>
        <w:r>
          <w:rPr>
            <w:rFonts w:asciiTheme="minorHAnsi" w:eastAsiaTheme="minorEastAsia" w:hAnsiTheme="minorHAnsi" w:cstheme="minorBidi"/>
            <w:b w:val="0"/>
            <w:szCs w:val="22"/>
            <w:lang w:val="en-US" w:eastAsia="en-US"/>
          </w:rPr>
          <w:tab/>
        </w:r>
        <w:r w:rsidRPr="00F11BA8">
          <w:rPr>
            <w:rStyle w:val="Hyperlink"/>
          </w:rPr>
          <w:t>Accompanying files</w:t>
        </w:r>
        <w:r>
          <w:rPr>
            <w:webHidden/>
          </w:rPr>
          <w:tab/>
        </w:r>
        <w:r>
          <w:rPr>
            <w:webHidden/>
          </w:rPr>
          <w:fldChar w:fldCharType="begin"/>
        </w:r>
        <w:r>
          <w:rPr>
            <w:webHidden/>
          </w:rPr>
          <w:instrText xml:space="preserve"> PAGEREF _Toc482003920 \h </w:instrText>
        </w:r>
        <w:r>
          <w:rPr>
            <w:webHidden/>
          </w:rPr>
        </w:r>
        <w:r>
          <w:rPr>
            <w:webHidden/>
          </w:rPr>
          <w:fldChar w:fldCharType="separate"/>
        </w:r>
        <w:r>
          <w:rPr>
            <w:webHidden/>
          </w:rPr>
          <w:t>132</w:t>
        </w:r>
        <w:r>
          <w:rPr>
            <w:webHidden/>
          </w:rPr>
          <w:fldChar w:fldCharType="end"/>
        </w:r>
      </w:hyperlink>
    </w:p>
    <w:p w14:paraId="0A1E58BA" w14:textId="7ACB1ED3" w:rsidR="0071604C" w:rsidRDefault="0071604C">
      <w:pPr>
        <w:pStyle w:val="TOC1"/>
        <w:tabs>
          <w:tab w:val="left" w:pos="1540"/>
        </w:tabs>
        <w:rPr>
          <w:rFonts w:asciiTheme="minorHAnsi" w:eastAsiaTheme="minorEastAsia" w:hAnsiTheme="minorHAnsi" w:cstheme="minorBidi"/>
          <w:b w:val="0"/>
          <w:szCs w:val="22"/>
          <w:lang w:val="en-US" w:eastAsia="en-US"/>
        </w:rPr>
      </w:pPr>
      <w:hyperlink w:anchor="_Toc482003921" w:history="1">
        <w:r w:rsidRPr="00F11BA8">
          <w:rPr>
            <w:rStyle w:val="Hyperlink"/>
          </w:rPr>
          <w:t>Appendix 4</w:t>
        </w:r>
        <w:r>
          <w:rPr>
            <w:rFonts w:asciiTheme="minorHAnsi" w:eastAsiaTheme="minorEastAsia" w:hAnsiTheme="minorHAnsi" w:cstheme="minorBidi"/>
            <w:b w:val="0"/>
            <w:szCs w:val="22"/>
            <w:lang w:val="en-US" w:eastAsia="en-US"/>
          </w:rPr>
          <w:tab/>
        </w:r>
        <w:r w:rsidRPr="00F11BA8">
          <w:rPr>
            <w:rStyle w:val="Hyperlink"/>
          </w:rPr>
          <w:t>HDV correspondence</w:t>
        </w:r>
        <w:r>
          <w:rPr>
            <w:webHidden/>
          </w:rPr>
          <w:tab/>
        </w:r>
        <w:r>
          <w:rPr>
            <w:webHidden/>
          </w:rPr>
          <w:fldChar w:fldCharType="begin"/>
        </w:r>
        <w:r>
          <w:rPr>
            <w:webHidden/>
          </w:rPr>
          <w:instrText xml:space="preserve"> PAGEREF _Toc482003921 \h </w:instrText>
        </w:r>
        <w:r>
          <w:rPr>
            <w:webHidden/>
          </w:rPr>
        </w:r>
        <w:r>
          <w:rPr>
            <w:webHidden/>
          </w:rPr>
          <w:fldChar w:fldCharType="separate"/>
        </w:r>
        <w:r>
          <w:rPr>
            <w:webHidden/>
          </w:rPr>
          <w:t>132</w:t>
        </w:r>
        <w:r>
          <w:rPr>
            <w:webHidden/>
          </w:rPr>
          <w:fldChar w:fldCharType="end"/>
        </w:r>
      </w:hyperlink>
    </w:p>
    <w:p w14:paraId="0EF25803" w14:textId="0316AD99" w:rsidR="00AE5A33" w:rsidRPr="000855B2" w:rsidRDefault="00E17971" w:rsidP="00AE5A33">
      <w:pPr>
        <w:pStyle w:val="ContentsHeader"/>
        <w:tabs>
          <w:tab w:val="left" w:pos="360"/>
        </w:tabs>
        <w:rPr>
          <w:rFonts w:ascii="Times New Roman" w:hAnsi="Times New Roman" w:cs="Times New Roman"/>
          <w:b w:val="0"/>
          <w:sz w:val="21"/>
          <w:szCs w:val="24"/>
          <w:lang w:val="en-GB"/>
        </w:rPr>
      </w:pPr>
      <w:r w:rsidRPr="000855B2">
        <w:rPr>
          <w:rFonts w:ascii="Times New Roman" w:hAnsi="Times New Roman" w:cs="Times New Roman"/>
          <w:b w:val="0"/>
          <w:sz w:val="21"/>
          <w:szCs w:val="24"/>
          <w:lang w:val="en-GB"/>
        </w:rPr>
        <w:fldChar w:fldCharType="end"/>
      </w:r>
    </w:p>
    <w:p w14:paraId="02271CD9" w14:textId="77777777" w:rsidR="00AE5A33" w:rsidRPr="000855B2" w:rsidRDefault="00AE5A33" w:rsidP="00AE5A33">
      <w:pPr>
        <w:pStyle w:val="ContentsHeader"/>
        <w:tabs>
          <w:tab w:val="left" w:pos="360"/>
        </w:tabs>
        <w:rPr>
          <w:rFonts w:ascii="Times New Roman" w:hAnsi="Times New Roman" w:cs="Times New Roman"/>
          <w:b w:val="0"/>
          <w:sz w:val="21"/>
          <w:szCs w:val="24"/>
          <w:lang w:val="en-GB"/>
        </w:rPr>
        <w:sectPr w:rsidR="00AE5A33" w:rsidRPr="000855B2" w:rsidSect="001D6A6E">
          <w:headerReference w:type="default" r:id="rId8"/>
          <w:footerReference w:type="default" r:id="rId9"/>
          <w:headerReference w:type="first" r:id="rId10"/>
          <w:footerReference w:type="first" r:id="rId11"/>
          <w:type w:val="continuous"/>
          <w:pgSz w:w="11907" w:h="16840" w:code="9"/>
          <w:pgMar w:top="1440" w:right="1647" w:bottom="1440" w:left="1797" w:header="720" w:footer="720" w:gutter="0"/>
          <w:cols w:space="720"/>
          <w:noEndnote/>
          <w:titlePg/>
          <w:docGrid w:linePitch="286"/>
        </w:sectPr>
      </w:pPr>
    </w:p>
    <w:p w14:paraId="318A5553" w14:textId="77777777" w:rsidR="001D2587" w:rsidRPr="000855B2" w:rsidRDefault="001D2587" w:rsidP="00EA3292">
      <w:pPr>
        <w:pStyle w:val="Heading1"/>
      </w:pPr>
      <w:bookmarkStart w:id="1" w:name="_Ref197484319"/>
      <w:bookmarkStart w:id="2" w:name="_Toc200272601"/>
      <w:bookmarkStart w:id="3" w:name="_Toc482003889"/>
      <w:r w:rsidRPr="000855B2">
        <w:lastRenderedPageBreak/>
        <w:t>Overview</w:t>
      </w:r>
      <w:bookmarkEnd w:id="1"/>
      <w:bookmarkEnd w:id="2"/>
      <w:bookmarkEnd w:id="3"/>
    </w:p>
    <w:p w14:paraId="22F8163E" w14:textId="77777777" w:rsidR="001D2587" w:rsidRPr="000855B2" w:rsidRDefault="001D2587" w:rsidP="00F516D0">
      <w:pPr>
        <w:pStyle w:val="Heading2"/>
      </w:pPr>
      <w:bookmarkStart w:id="4" w:name="_Toc200272602"/>
      <w:bookmarkStart w:id="5" w:name="_Toc482003890"/>
      <w:r w:rsidRPr="000855B2">
        <w:t>General description</w:t>
      </w:r>
      <w:bookmarkEnd w:id="4"/>
      <w:bookmarkEnd w:id="5"/>
    </w:p>
    <w:p w14:paraId="2279FEC6" w14:textId="77777777" w:rsidR="009307BB" w:rsidRPr="000855B2" w:rsidRDefault="001D2587" w:rsidP="00804335">
      <w:pPr>
        <w:pStyle w:val="BodyText"/>
      </w:pPr>
      <w:r w:rsidRPr="000855B2">
        <w:t xml:space="preserve">This </w:t>
      </w:r>
      <w:r w:rsidR="00BA6BBF" w:rsidRPr="000855B2">
        <w:t>c</w:t>
      </w:r>
      <w:r w:rsidRPr="000855B2">
        <w:t xml:space="preserve">hapter provides the methodology, emission factors and relevant activity data to </w:t>
      </w:r>
      <w:r w:rsidR="009307BB" w:rsidRPr="000855B2">
        <w:t>enable</w:t>
      </w:r>
      <w:r w:rsidRPr="000855B2">
        <w:t xml:space="preserve"> </w:t>
      </w:r>
      <w:r w:rsidR="009307BB" w:rsidRPr="000855B2">
        <w:t xml:space="preserve">exhaust </w:t>
      </w:r>
      <w:r w:rsidRPr="000855B2">
        <w:t xml:space="preserve">emissions </w:t>
      </w:r>
      <w:r w:rsidR="009307BB" w:rsidRPr="000855B2">
        <w:t xml:space="preserve">to be </w:t>
      </w:r>
      <w:r w:rsidR="009307BB" w:rsidRPr="00804335">
        <w:t>calculated</w:t>
      </w:r>
      <w:r w:rsidR="009307BB" w:rsidRPr="000855B2">
        <w:t xml:space="preserve"> for</w:t>
      </w:r>
      <w:r w:rsidRPr="000855B2">
        <w:t xml:space="preserve"> </w:t>
      </w:r>
      <w:r w:rsidR="009307BB" w:rsidRPr="000855B2">
        <w:t xml:space="preserve">the following categories of </w:t>
      </w:r>
      <w:r w:rsidRPr="000855B2">
        <w:t>road vehicle</w:t>
      </w:r>
      <w:r w:rsidR="00A10217" w:rsidRPr="000855B2">
        <w:t>s</w:t>
      </w:r>
      <w:r w:rsidR="009307BB" w:rsidRPr="000855B2">
        <w:t>:</w:t>
      </w:r>
    </w:p>
    <w:p w14:paraId="3D2FB8E3" w14:textId="77777777" w:rsidR="009307BB" w:rsidRPr="000855B2" w:rsidRDefault="00F16BAF" w:rsidP="009D781A">
      <w:pPr>
        <w:pStyle w:val="BodyText"/>
        <w:numPr>
          <w:ilvl w:val="0"/>
          <w:numId w:val="10"/>
        </w:numPr>
        <w:spacing w:before="60" w:after="60"/>
      </w:pPr>
      <w:r w:rsidRPr="000855B2">
        <w:t>p</w:t>
      </w:r>
      <w:r w:rsidR="001D2587" w:rsidRPr="000855B2">
        <w:t>assenger cars</w:t>
      </w:r>
      <w:r w:rsidR="009307BB" w:rsidRPr="000855B2">
        <w:tab/>
      </w:r>
      <w:r w:rsidR="009307BB" w:rsidRPr="000855B2">
        <w:tab/>
      </w:r>
      <w:r w:rsidR="009307BB" w:rsidRPr="000855B2">
        <w:tab/>
      </w:r>
      <w:r w:rsidR="00DA700E" w:rsidRPr="000855B2">
        <w:tab/>
      </w:r>
      <w:r w:rsidR="009307BB" w:rsidRPr="000855B2">
        <w:tab/>
        <w:t>(NFR code 1.A.3.b.i)</w:t>
      </w:r>
    </w:p>
    <w:p w14:paraId="6AD4B6D3" w14:textId="77777777" w:rsidR="009307BB" w:rsidRPr="00DC626D" w:rsidRDefault="00CF67A4" w:rsidP="009D781A">
      <w:pPr>
        <w:pStyle w:val="BodyText"/>
        <w:numPr>
          <w:ilvl w:val="0"/>
          <w:numId w:val="10"/>
        </w:numPr>
        <w:spacing w:before="60" w:after="60"/>
        <w:rPr>
          <w:lang w:val="fr-FR"/>
        </w:rPr>
      </w:pPr>
      <w:r w:rsidRPr="00DC626D">
        <w:rPr>
          <w:szCs w:val="24"/>
          <w:lang w:val="nl-NL" w:eastAsia="nl-NL"/>
        </w:rPr>
        <w:t>light commercial</w:t>
      </w:r>
      <w:r w:rsidR="001D2587" w:rsidRPr="00DC626D">
        <w:rPr>
          <w:szCs w:val="24"/>
          <w:lang w:val="nl-NL" w:eastAsia="nl-NL"/>
        </w:rPr>
        <w:t xml:space="preserve"> vehicles</w:t>
      </w:r>
      <w:r w:rsidR="00F516D0" w:rsidRPr="00DC626D">
        <w:rPr>
          <w:szCs w:val="24"/>
          <w:lang w:val="nl-NL" w:eastAsia="nl-NL"/>
        </w:rPr>
        <w:t> (</w:t>
      </w:r>
      <w:r w:rsidR="001D2587" w:rsidRPr="000855B2">
        <w:rPr>
          <w:rStyle w:val="FootnoteReference"/>
        </w:rPr>
        <w:footnoteReference w:id="1"/>
      </w:r>
      <w:r w:rsidR="00F516D0" w:rsidRPr="00DC626D">
        <w:rPr>
          <w:szCs w:val="24"/>
          <w:lang w:val="nl-NL" w:eastAsia="nl-NL"/>
        </w:rPr>
        <w:t>)</w:t>
      </w:r>
      <w:r w:rsidR="001D2587" w:rsidRPr="00DC626D">
        <w:rPr>
          <w:szCs w:val="24"/>
          <w:lang w:val="nl-NL" w:eastAsia="nl-NL"/>
        </w:rPr>
        <w:t xml:space="preserve"> (&lt;</w:t>
      </w:r>
      <w:r w:rsidR="00F516D0" w:rsidRPr="00DC626D">
        <w:rPr>
          <w:szCs w:val="24"/>
          <w:lang w:val="nl-NL" w:eastAsia="nl-NL"/>
        </w:rPr>
        <w:t> </w:t>
      </w:r>
      <w:r w:rsidR="001D2587" w:rsidRPr="00DC626D">
        <w:rPr>
          <w:szCs w:val="24"/>
          <w:lang w:val="nl-NL" w:eastAsia="nl-NL"/>
        </w:rPr>
        <w:t>3.5</w:t>
      </w:r>
      <w:r w:rsidR="00DA700E" w:rsidRPr="00DC626D">
        <w:rPr>
          <w:szCs w:val="24"/>
          <w:lang w:val="nl-NL" w:eastAsia="nl-NL"/>
        </w:rPr>
        <w:t> </w:t>
      </w:r>
      <w:r w:rsidR="001D2587" w:rsidRPr="00DC626D">
        <w:rPr>
          <w:szCs w:val="24"/>
          <w:lang w:val="nl-NL" w:eastAsia="nl-NL"/>
        </w:rPr>
        <w:t>t)</w:t>
      </w:r>
      <w:r w:rsidR="009307BB" w:rsidRPr="00DC626D">
        <w:rPr>
          <w:szCs w:val="24"/>
          <w:lang w:val="nl-NL" w:eastAsia="nl-NL"/>
        </w:rPr>
        <w:tab/>
      </w:r>
      <w:r w:rsidR="006D3DAB" w:rsidRPr="00DC626D">
        <w:rPr>
          <w:szCs w:val="24"/>
          <w:lang w:val="nl-NL" w:eastAsia="nl-NL"/>
        </w:rPr>
        <w:tab/>
      </w:r>
      <w:r w:rsidR="006D3DAB" w:rsidRPr="00DC626D">
        <w:rPr>
          <w:szCs w:val="24"/>
          <w:lang w:val="nl-NL" w:eastAsia="nl-NL"/>
        </w:rPr>
        <w:tab/>
      </w:r>
      <w:r w:rsidR="009307BB" w:rsidRPr="00DC626D">
        <w:rPr>
          <w:szCs w:val="24"/>
          <w:lang w:val="nl-NL" w:eastAsia="nl-NL"/>
        </w:rPr>
        <w:t>(NFR code 1.A.3.b.ii)</w:t>
      </w:r>
    </w:p>
    <w:p w14:paraId="7D76BF19" w14:textId="77777777" w:rsidR="009307BB" w:rsidRPr="000855B2" w:rsidRDefault="00F16BAF" w:rsidP="009D781A">
      <w:pPr>
        <w:pStyle w:val="BodyText"/>
        <w:numPr>
          <w:ilvl w:val="0"/>
          <w:numId w:val="10"/>
        </w:numPr>
        <w:spacing w:before="60" w:after="60"/>
      </w:pPr>
      <w:r w:rsidRPr="000855B2">
        <w:t>h</w:t>
      </w:r>
      <w:r w:rsidR="001D2587" w:rsidRPr="000855B2">
        <w:t>eavy-duty vehicles</w:t>
      </w:r>
      <w:r w:rsidR="00F516D0" w:rsidRPr="000855B2">
        <w:t> (</w:t>
      </w:r>
      <w:r w:rsidR="001D2587" w:rsidRPr="000855B2">
        <w:rPr>
          <w:rStyle w:val="FootnoteReference"/>
        </w:rPr>
        <w:footnoteReference w:id="2"/>
      </w:r>
      <w:r w:rsidR="00F516D0" w:rsidRPr="000855B2">
        <w:t>)</w:t>
      </w:r>
      <w:r w:rsidR="001D2587" w:rsidRPr="000855B2">
        <w:t xml:space="preserve"> (&gt;</w:t>
      </w:r>
      <w:r w:rsidR="00F516D0" w:rsidRPr="000855B2">
        <w:t> </w:t>
      </w:r>
      <w:r w:rsidR="001D2587" w:rsidRPr="000855B2">
        <w:t>3.5</w:t>
      </w:r>
      <w:r w:rsidR="00DA700E" w:rsidRPr="000855B2">
        <w:t> </w:t>
      </w:r>
      <w:r w:rsidR="001D2587" w:rsidRPr="000855B2">
        <w:t>t) and buses</w:t>
      </w:r>
      <w:r w:rsidR="009307BB" w:rsidRPr="000855B2">
        <w:tab/>
      </w:r>
      <w:r w:rsidR="005579A3" w:rsidRPr="000855B2">
        <w:tab/>
      </w:r>
      <w:r w:rsidR="009307BB" w:rsidRPr="000855B2">
        <w:t>(NFR code 1.A.3.b.iii)</w:t>
      </w:r>
    </w:p>
    <w:p w14:paraId="4F8E2B6D" w14:textId="77777777" w:rsidR="009307BB" w:rsidRPr="000855B2" w:rsidRDefault="00F16BAF" w:rsidP="009D781A">
      <w:pPr>
        <w:pStyle w:val="BodyText"/>
        <w:numPr>
          <w:ilvl w:val="0"/>
          <w:numId w:val="10"/>
        </w:numPr>
        <w:spacing w:before="60" w:after="60"/>
      </w:pPr>
      <w:r w:rsidRPr="000855B2">
        <w:t>m</w:t>
      </w:r>
      <w:r w:rsidR="001D2587" w:rsidRPr="000855B2">
        <w:t>opeds and motorcycles</w:t>
      </w:r>
      <w:r w:rsidR="009307BB" w:rsidRPr="000855B2">
        <w:tab/>
      </w:r>
      <w:r w:rsidR="009307BB" w:rsidRPr="000855B2">
        <w:tab/>
      </w:r>
      <w:r w:rsidR="00DA700E" w:rsidRPr="000855B2">
        <w:tab/>
      </w:r>
      <w:r w:rsidR="009307BB" w:rsidRPr="000855B2">
        <w:tab/>
        <w:t>(NFR code 1.A.3.b.iv)</w:t>
      </w:r>
    </w:p>
    <w:p w14:paraId="1C24CC7E" w14:textId="77777777" w:rsidR="001D2587" w:rsidRPr="000855B2" w:rsidRDefault="001D2587" w:rsidP="000251B5">
      <w:pPr>
        <w:pStyle w:val="BodyText"/>
      </w:pPr>
      <w:r w:rsidRPr="000855B2">
        <w:t xml:space="preserve">It does not cover non-exhaust emissions such as fuel evaporation from vehicles (NFR code </w:t>
      </w:r>
      <w:r w:rsidR="00E604DE" w:rsidRPr="000855B2">
        <w:t>1.A.3.b.v</w:t>
      </w:r>
      <w:r w:rsidRPr="000855B2">
        <w:t xml:space="preserve">), </w:t>
      </w:r>
      <w:r w:rsidR="009307BB" w:rsidRPr="000855B2">
        <w:t>tyre wear and brake wear</w:t>
      </w:r>
      <w:r w:rsidRPr="000855B2">
        <w:t xml:space="preserve"> (NFR code </w:t>
      </w:r>
      <w:r w:rsidR="00E604DE" w:rsidRPr="000855B2">
        <w:t>1.A.3.b.v</w:t>
      </w:r>
      <w:r w:rsidRPr="000855B2">
        <w:t>i)</w:t>
      </w:r>
      <w:r w:rsidR="009307BB" w:rsidRPr="000855B2">
        <w:t>,</w:t>
      </w:r>
      <w:r w:rsidRPr="000855B2">
        <w:t xml:space="preserve"> or road wear (NFR code </w:t>
      </w:r>
      <w:r w:rsidR="00E604DE" w:rsidRPr="000855B2">
        <w:t>1.A.3.b.v</w:t>
      </w:r>
      <w:r w:rsidRPr="000855B2">
        <w:t>i</w:t>
      </w:r>
      <w:r w:rsidR="0096245B" w:rsidRPr="000855B2">
        <w:t>i</w:t>
      </w:r>
      <w:r w:rsidRPr="000855B2">
        <w:t>).</w:t>
      </w:r>
    </w:p>
    <w:p w14:paraId="4AC5B3B9" w14:textId="77777777" w:rsidR="00296E89" w:rsidRPr="000855B2" w:rsidRDefault="00296E89" w:rsidP="000251B5">
      <w:pPr>
        <w:pStyle w:val="BodyText"/>
      </w:pPr>
      <w:r w:rsidRPr="000855B2">
        <w:t>The most important p</w:t>
      </w:r>
      <w:r w:rsidR="001D2587" w:rsidRPr="000855B2">
        <w:t>ollutants</w:t>
      </w:r>
      <w:r w:rsidRPr="000855B2">
        <w:t xml:space="preserve"> emitted by</w:t>
      </w:r>
      <w:r w:rsidR="001D2587" w:rsidRPr="000855B2">
        <w:t xml:space="preserve"> road </w:t>
      </w:r>
      <w:r w:rsidRPr="000855B2">
        <w:t xml:space="preserve">vehicles </w:t>
      </w:r>
      <w:r w:rsidR="00F516D0" w:rsidRPr="000855B2">
        <w:t>include</w:t>
      </w:r>
      <w:r w:rsidR="001D2587" w:rsidRPr="000855B2">
        <w:t xml:space="preserve">: </w:t>
      </w:r>
    </w:p>
    <w:p w14:paraId="1D8C91A8" w14:textId="77777777" w:rsidR="00296E89" w:rsidRPr="000855B2" w:rsidRDefault="00F516D0" w:rsidP="009D781A">
      <w:pPr>
        <w:pStyle w:val="BodyText"/>
        <w:numPr>
          <w:ilvl w:val="0"/>
          <w:numId w:val="11"/>
        </w:numPr>
        <w:spacing w:before="60" w:after="60"/>
      </w:pPr>
      <w:r w:rsidRPr="000855B2">
        <w:t>o</w:t>
      </w:r>
      <w:r w:rsidR="001D2587" w:rsidRPr="000855B2">
        <w:t>zone precursors (CO, NO</w:t>
      </w:r>
      <w:r w:rsidR="001D2587" w:rsidRPr="000855B2">
        <w:rPr>
          <w:vertAlign w:val="subscript"/>
        </w:rPr>
        <w:t>x</w:t>
      </w:r>
      <w:r w:rsidR="001D2587" w:rsidRPr="000855B2">
        <w:t xml:space="preserve">, </w:t>
      </w:r>
      <w:r w:rsidR="00BA6BBF" w:rsidRPr="000855B2">
        <w:t>NMVO</w:t>
      </w:r>
      <w:r w:rsidR="000B229C" w:rsidRPr="000855B2">
        <w:t>C</w:t>
      </w:r>
      <w:r w:rsidR="00BA6BBF" w:rsidRPr="000855B2">
        <w:t>s</w:t>
      </w:r>
      <w:r w:rsidRPr="000855B2">
        <w:t> (</w:t>
      </w:r>
      <w:r w:rsidR="00296E89" w:rsidRPr="000855B2">
        <w:rPr>
          <w:rStyle w:val="FootnoteReference"/>
        </w:rPr>
        <w:footnoteReference w:id="3"/>
      </w:r>
      <w:r w:rsidR="001D2587" w:rsidRPr="000855B2">
        <w:t>)</w:t>
      </w:r>
      <w:r w:rsidR="00A7018D">
        <w:t>)</w:t>
      </w:r>
      <w:r w:rsidRPr="000855B2">
        <w:t>;</w:t>
      </w:r>
    </w:p>
    <w:p w14:paraId="34BC9E84" w14:textId="77777777" w:rsidR="00296E89" w:rsidRPr="000855B2" w:rsidRDefault="00F516D0" w:rsidP="009D781A">
      <w:pPr>
        <w:pStyle w:val="BodyText"/>
        <w:numPr>
          <w:ilvl w:val="0"/>
          <w:numId w:val="11"/>
        </w:numPr>
        <w:spacing w:before="60" w:after="60"/>
      </w:pPr>
      <w:r w:rsidRPr="000855B2">
        <w:t>g</w:t>
      </w:r>
      <w:r w:rsidR="001D2587" w:rsidRPr="000855B2">
        <w:t>reenhouse gases (CO</w:t>
      </w:r>
      <w:r w:rsidR="001D2587" w:rsidRPr="000855B2">
        <w:rPr>
          <w:vertAlign w:val="subscript"/>
        </w:rPr>
        <w:t>2</w:t>
      </w:r>
      <w:r w:rsidR="001D2587" w:rsidRPr="000855B2">
        <w:t>, CH</w:t>
      </w:r>
      <w:r w:rsidR="001D2587" w:rsidRPr="000855B2">
        <w:rPr>
          <w:vertAlign w:val="subscript"/>
        </w:rPr>
        <w:t>4</w:t>
      </w:r>
      <w:r w:rsidR="001D2587" w:rsidRPr="000855B2">
        <w:t>, N</w:t>
      </w:r>
      <w:r w:rsidR="001D2587" w:rsidRPr="000855B2">
        <w:rPr>
          <w:vertAlign w:val="subscript"/>
        </w:rPr>
        <w:t>2</w:t>
      </w:r>
      <w:r w:rsidR="001D2587" w:rsidRPr="000855B2">
        <w:t>O)</w:t>
      </w:r>
      <w:r w:rsidRPr="000855B2">
        <w:t>;</w:t>
      </w:r>
    </w:p>
    <w:p w14:paraId="431A088B" w14:textId="77777777" w:rsidR="00296E89" w:rsidRPr="000855B2" w:rsidRDefault="00F516D0" w:rsidP="009D781A">
      <w:pPr>
        <w:pStyle w:val="BodyText"/>
        <w:numPr>
          <w:ilvl w:val="0"/>
          <w:numId w:val="11"/>
        </w:numPr>
        <w:spacing w:before="60" w:after="60"/>
      </w:pPr>
      <w:r w:rsidRPr="000855B2">
        <w:t>a</w:t>
      </w:r>
      <w:r w:rsidR="001D2587" w:rsidRPr="000855B2">
        <w:t>cidifying substances (NH</w:t>
      </w:r>
      <w:r w:rsidR="001D2587" w:rsidRPr="000855B2">
        <w:rPr>
          <w:vertAlign w:val="subscript"/>
        </w:rPr>
        <w:t>3</w:t>
      </w:r>
      <w:r w:rsidR="001D2587" w:rsidRPr="000855B2">
        <w:t>, SO</w:t>
      </w:r>
      <w:r w:rsidR="001D2587" w:rsidRPr="000855B2">
        <w:rPr>
          <w:vertAlign w:val="subscript"/>
        </w:rPr>
        <w:t>2</w:t>
      </w:r>
      <w:r w:rsidR="001D2587" w:rsidRPr="000855B2">
        <w:t>)</w:t>
      </w:r>
      <w:r w:rsidRPr="000855B2">
        <w:t>;</w:t>
      </w:r>
    </w:p>
    <w:p w14:paraId="58C68720" w14:textId="77777777" w:rsidR="00296E89" w:rsidRPr="000855B2" w:rsidRDefault="00F516D0" w:rsidP="009D781A">
      <w:pPr>
        <w:pStyle w:val="BodyText"/>
        <w:numPr>
          <w:ilvl w:val="0"/>
          <w:numId w:val="11"/>
        </w:numPr>
        <w:spacing w:before="60" w:after="60"/>
      </w:pPr>
      <w:r w:rsidRPr="000855B2">
        <w:t>p</w:t>
      </w:r>
      <w:r w:rsidR="001D2587" w:rsidRPr="000855B2">
        <w:t xml:space="preserve">articulate matter </w:t>
      </w:r>
      <w:r w:rsidR="00296E89" w:rsidRPr="000855B2">
        <w:t xml:space="preserve">mass </w:t>
      </w:r>
      <w:r w:rsidR="001D2587" w:rsidRPr="000855B2">
        <w:t>(PM)</w:t>
      </w:r>
      <w:r w:rsidR="008A3990" w:rsidRPr="000855B2">
        <w:t xml:space="preserve"> including black carbon (BC)</w:t>
      </w:r>
      <w:r w:rsidR="006D3DAB" w:rsidRPr="000855B2">
        <w:t xml:space="preserve"> and organic carbon (OC)</w:t>
      </w:r>
      <w:r w:rsidRPr="000855B2">
        <w:t>;</w:t>
      </w:r>
    </w:p>
    <w:p w14:paraId="533AAD2B" w14:textId="77777777" w:rsidR="00296E89" w:rsidRPr="000855B2" w:rsidRDefault="00F516D0" w:rsidP="009D781A">
      <w:pPr>
        <w:pStyle w:val="BodyText"/>
        <w:numPr>
          <w:ilvl w:val="0"/>
          <w:numId w:val="11"/>
        </w:numPr>
        <w:spacing w:before="60" w:after="60"/>
      </w:pPr>
      <w:r w:rsidRPr="000855B2">
        <w:t>c</w:t>
      </w:r>
      <w:r w:rsidR="001D2587" w:rsidRPr="000855B2">
        <w:t>arcinogenic species (PAHs</w:t>
      </w:r>
      <w:r w:rsidRPr="000855B2">
        <w:t> (</w:t>
      </w:r>
      <w:r w:rsidR="00296E89" w:rsidRPr="000855B2">
        <w:rPr>
          <w:rStyle w:val="FootnoteReference"/>
        </w:rPr>
        <w:footnoteReference w:id="4"/>
      </w:r>
      <w:r w:rsidRPr="000855B2">
        <w:t>)</w:t>
      </w:r>
      <w:r w:rsidR="001D2587" w:rsidRPr="000855B2">
        <w:t xml:space="preserve"> </w:t>
      </w:r>
      <w:r w:rsidRPr="000855B2">
        <w:t>and</w:t>
      </w:r>
      <w:r w:rsidR="001D2587" w:rsidRPr="000855B2">
        <w:t xml:space="preserve"> POPs</w:t>
      </w:r>
      <w:r w:rsidRPr="000855B2">
        <w:t> (</w:t>
      </w:r>
      <w:r w:rsidR="00296E89" w:rsidRPr="000855B2">
        <w:rPr>
          <w:rStyle w:val="FootnoteReference"/>
        </w:rPr>
        <w:footnoteReference w:id="5"/>
      </w:r>
      <w:r w:rsidR="001D2587" w:rsidRPr="000855B2">
        <w:t>)</w:t>
      </w:r>
      <w:r w:rsidR="00A7018D">
        <w:t>)</w:t>
      </w:r>
      <w:r w:rsidRPr="000855B2">
        <w:t>;</w:t>
      </w:r>
    </w:p>
    <w:p w14:paraId="0D121C99" w14:textId="77777777" w:rsidR="00296E89" w:rsidRPr="000855B2" w:rsidRDefault="00F516D0" w:rsidP="009D781A">
      <w:pPr>
        <w:pStyle w:val="BodyText"/>
        <w:numPr>
          <w:ilvl w:val="0"/>
          <w:numId w:val="11"/>
        </w:numPr>
        <w:spacing w:before="60" w:after="60"/>
      </w:pPr>
      <w:r w:rsidRPr="000855B2">
        <w:t>t</w:t>
      </w:r>
      <w:r w:rsidR="001D2587" w:rsidRPr="000855B2">
        <w:t>oxic substances (dioxins and furans</w:t>
      </w:r>
      <w:r w:rsidR="00296E89" w:rsidRPr="000855B2">
        <w:t>)</w:t>
      </w:r>
      <w:r w:rsidR="00D73F59" w:rsidRPr="000855B2">
        <w:t>;</w:t>
      </w:r>
    </w:p>
    <w:p w14:paraId="47E72DD3" w14:textId="77777777" w:rsidR="00FF7E83" w:rsidRDefault="00FF7E83" w:rsidP="009D781A">
      <w:pPr>
        <w:pStyle w:val="BodyText"/>
        <w:numPr>
          <w:ilvl w:val="0"/>
          <w:numId w:val="11"/>
        </w:numPr>
        <w:spacing w:before="60" w:after="60"/>
      </w:pPr>
      <w:r>
        <w:t>46</w:t>
      </w:r>
    </w:p>
    <w:p w14:paraId="0ADFC21F" w14:textId="599518D9" w:rsidR="00296E89" w:rsidRPr="000855B2" w:rsidRDefault="00D73F59" w:rsidP="009D781A">
      <w:pPr>
        <w:pStyle w:val="BodyText"/>
        <w:numPr>
          <w:ilvl w:val="0"/>
          <w:numId w:val="11"/>
        </w:numPr>
        <w:spacing w:before="60" w:after="60"/>
      </w:pPr>
      <w:r w:rsidRPr="000855B2">
        <w:t>h</w:t>
      </w:r>
      <w:r w:rsidR="001D2587" w:rsidRPr="000855B2">
        <w:t xml:space="preserve">eavy metals. </w:t>
      </w:r>
    </w:p>
    <w:p w14:paraId="4526DD01" w14:textId="77777777" w:rsidR="00AE5A33" w:rsidRPr="000855B2" w:rsidRDefault="001D2587" w:rsidP="000251B5">
      <w:pPr>
        <w:pStyle w:val="BodyText"/>
      </w:pPr>
      <w:r w:rsidRPr="000855B2">
        <w:t xml:space="preserve">All PM </w:t>
      </w:r>
      <w:r w:rsidR="00BA6BBF" w:rsidRPr="000855B2">
        <w:t xml:space="preserve">mass </w:t>
      </w:r>
      <w:r w:rsidRPr="000855B2">
        <w:t>emission factors reported in this chapter refer to PM</w:t>
      </w:r>
      <w:r w:rsidRPr="000855B2">
        <w:rPr>
          <w:vertAlign w:val="subscript"/>
        </w:rPr>
        <w:t>2.5</w:t>
      </w:r>
      <w:r w:rsidRPr="000855B2">
        <w:t>, as the coarse fraction</w:t>
      </w:r>
      <w:r w:rsidR="00D73F59" w:rsidRPr="000855B2">
        <w:t xml:space="preserve"> </w:t>
      </w:r>
      <w:r w:rsidRPr="000855B2">
        <w:t>(PM</w:t>
      </w:r>
      <w:r w:rsidRPr="000855B2">
        <w:rPr>
          <w:vertAlign w:val="subscript"/>
        </w:rPr>
        <w:t>2.5-10</w:t>
      </w:r>
      <w:r w:rsidRPr="000855B2">
        <w:t>) is negligible in vehicle exhaust</w:t>
      </w:r>
      <w:r w:rsidR="006C572F" w:rsidRPr="000855B2">
        <w:t>s</w:t>
      </w:r>
      <w:r w:rsidRPr="000855B2">
        <w:t xml:space="preserve">. </w:t>
      </w:r>
      <w:r w:rsidR="00BA6BBF" w:rsidRPr="000855B2">
        <w:t xml:space="preserve">Emission factors for </w:t>
      </w:r>
      <w:r w:rsidR="0096245B" w:rsidRPr="000855B2">
        <w:t>particulate matter</w:t>
      </w:r>
      <w:r w:rsidR="00BA6BBF" w:rsidRPr="000855B2">
        <w:t xml:space="preserve"> are presented in terms of particle number and surface area for different size ranges.</w:t>
      </w:r>
      <w:r w:rsidR="00AE5A33" w:rsidRPr="000855B2">
        <w:t xml:space="preserve"> PM </w:t>
      </w:r>
      <w:r w:rsidR="00161AA2" w:rsidRPr="000855B2">
        <w:t xml:space="preserve">mass </w:t>
      </w:r>
      <w:r w:rsidR="00AE5A33" w:rsidRPr="000855B2">
        <w:t xml:space="preserve">emission factors correspond to primary emissions from road traffic and not formation of secondary aerosol from chemical reactions in the atmosphere </w:t>
      </w:r>
      <w:r w:rsidR="00707CB1" w:rsidRPr="000855B2">
        <w:t xml:space="preserve">minutes or hours </w:t>
      </w:r>
      <w:r w:rsidR="00AE5A33" w:rsidRPr="000855B2">
        <w:t>after release.</w:t>
      </w:r>
      <w:r w:rsidR="00161AA2" w:rsidRPr="000855B2">
        <w:t xml:space="preserve"> It should be further clarified that the </w:t>
      </w:r>
      <w:r w:rsidR="008E5CBB" w:rsidRPr="000855B2">
        <w:t>measurement procedure regulated</w:t>
      </w:r>
      <w:r w:rsidR="00161AA2" w:rsidRPr="000855B2">
        <w:t xml:space="preserve"> for vehicle exhaust PM mass characteri</w:t>
      </w:r>
      <w:r w:rsidR="00EB15EF" w:rsidRPr="000855B2">
        <w:t>s</w:t>
      </w:r>
      <w:r w:rsidR="00161AA2" w:rsidRPr="000855B2">
        <w:t xml:space="preserve">ation </w:t>
      </w:r>
      <w:r w:rsidR="008E5CBB" w:rsidRPr="000855B2">
        <w:t>requires that samples are taken at a temperature lower than</w:t>
      </w:r>
      <w:r w:rsidR="006D3DAB" w:rsidRPr="000855B2">
        <w:t xml:space="preserve"> 52º</w:t>
      </w:r>
      <w:r w:rsidR="00161AA2" w:rsidRPr="000855B2">
        <w:t>C. A</w:t>
      </w:r>
      <w:r w:rsidR="00DF45ED" w:rsidRPr="000855B2">
        <w:t>t this temperature</w:t>
      </w:r>
      <w:r w:rsidR="00EB15EF" w:rsidRPr="000855B2">
        <w:t>,</w:t>
      </w:r>
      <w:r w:rsidR="00DF45ED" w:rsidRPr="000855B2">
        <w:t xml:space="preserve"> PM contains a large fraction of condensable species. Hence, PM mass emission factors in this chapter are considered to include both filterable and condensable material.</w:t>
      </w:r>
    </w:p>
    <w:p w14:paraId="7EF93C9C" w14:textId="588D4275" w:rsidR="001D2587" w:rsidRPr="000855B2" w:rsidRDefault="001D2587" w:rsidP="000251B5">
      <w:pPr>
        <w:pStyle w:val="BodyText"/>
      </w:pPr>
      <w:r w:rsidRPr="000855B2">
        <w:t>Also, fuel</w:t>
      </w:r>
      <w:r w:rsidR="00C02BA0">
        <w:t>/</w:t>
      </w:r>
      <w:r w:rsidRPr="000855B2">
        <w:t>energy consumption figures can be calculated. For NMVOC</w:t>
      </w:r>
      <w:r w:rsidR="00BA6BBF" w:rsidRPr="000855B2">
        <w:t>s</w:t>
      </w:r>
      <w:r w:rsidRPr="000855B2">
        <w:t xml:space="preserve">, </w:t>
      </w:r>
      <w:r w:rsidR="00BA6BBF" w:rsidRPr="000855B2">
        <w:t xml:space="preserve">emission factors for </w:t>
      </w:r>
      <w:r w:rsidRPr="000855B2">
        <w:t xml:space="preserve">68 </w:t>
      </w:r>
      <w:r w:rsidR="00BA6BBF" w:rsidRPr="000855B2">
        <w:t xml:space="preserve">separate </w:t>
      </w:r>
      <w:r w:rsidRPr="000855B2">
        <w:t xml:space="preserve">substances </w:t>
      </w:r>
      <w:r w:rsidR="00BA6BBF" w:rsidRPr="000855B2">
        <w:t>are</w:t>
      </w:r>
      <w:r w:rsidRPr="000855B2">
        <w:t xml:space="preserve"> provided.</w:t>
      </w:r>
    </w:p>
    <w:p w14:paraId="3A97374A" w14:textId="77777777" w:rsidR="001D2587" w:rsidRPr="000855B2" w:rsidRDefault="001D2587" w:rsidP="00F516D0">
      <w:pPr>
        <w:pStyle w:val="Heading2"/>
      </w:pPr>
      <w:bookmarkStart w:id="6" w:name="_Toc200272603"/>
      <w:bookmarkStart w:id="7" w:name="_Toc482003891"/>
      <w:r w:rsidRPr="000855B2">
        <w:t>Structure and origins of this chapter</w:t>
      </w:r>
      <w:bookmarkEnd w:id="6"/>
      <w:bookmarkEnd w:id="7"/>
    </w:p>
    <w:p w14:paraId="5630ED38" w14:textId="77777777" w:rsidR="001D2587" w:rsidRPr="000855B2" w:rsidRDefault="001D2587" w:rsidP="000251B5">
      <w:pPr>
        <w:pStyle w:val="BodyText"/>
      </w:pPr>
      <w:r w:rsidRPr="000855B2">
        <w:t>The original C</w:t>
      </w:r>
      <w:r w:rsidR="00F16BAF" w:rsidRPr="000855B2">
        <w:t>orinair</w:t>
      </w:r>
      <w:r w:rsidRPr="000855B2">
        <w:t xml:space="preserve"> 1985 </w:t>
      </w:r>
      <w:r w:rsidR="00BA6BBF" w:rsidRPr="000855B2">
        <w:t>e</w:t>
      </w:r>
      <w:r w:rsidRPr="000855B2">
        <w:t xml:space="preserve">missions </w:t>
      </w:r>
      <w:r w:rsidR="00BA6BBF" w:rsidRPr="000855B2">
        <w:t>i</w:t>
      </w:r>
      <w:r w:rsidRPr="000855B2">
        <w:t xml:space="preserve">nventory (Eggleston </w:t>
      </w:r>
      <w:r w:rsidR="00D73F59" w:rsidRPr="000855B2">
        <w:rPr>
          <w:iCs/>
        </w:rPr>
        <w:t>et al</w:t>
      </w:r>
      <w:r w:rsidRPr="000855B2">
        <w:t xml:space="preserve">, 1989) has been updated </w:t>
      </w:r>
      <w:r w:rsidR="00707CB1" w:rsidRPr="000855B2">
        <w:t>a number</w:t>
      </w:r>
      <w:r w:rsidR="00A7018D">
        <w:t xml:space="preserve"> of</w:t>
      </w:r>
      <w:r w:rsidRPr="000855B2">
        <w:t xml:space="preserve"> times</w:t>
      </w:r>
      <w:r w:rsidR="00707CB1" w:rsidRPr="000855B2">
        <w:t>.</w:t>
      </w:r>
      <w:r w:rsidRPr="000855B2">
        <w:t xml:space="preserve"> </w:t>
      </w:r>
      <w:r w:rsidR="004F43C5" w:rsidRPr="000855B2">
        <w:t>The</w:t>
      </w:r>
      <w:r w:rsidRPr="000855B2">
        <w:t xml:space="preserve"> Tie</w:t>
      </w:r>
      <w:r w:rsidR="00D73F59" w:rsidRPr="000855B2">
        <w:t>r 1</w:t>
      </w:r>
      <w:r w:rsidRPr="000855B2">
        <w:t xml:space="preserve"> and </w:t>
      </w:r>
      <w:r w:rsidR="00BA6BBF" w:rsidRPr="000855B2">
        <w:t>Tie</w:t>
      </w:r>
      <w:r w:rsidR="00E0302E" w:rsidRPr="000855B2">
        <w:t>r 2</w:t>
      </w:r>
      <w:r w:rsidRPr="000855B2">
        <w:t xml:space="preserve"> emission factors </w:t>
      </w:r>
      <w:r w:rsidR="004F43C5" w:rsidRPr="000855B2">
        <w:t xml:space="preserve">included in this chapter </w:t>
      </w:r>
      <w:r w:rsidRPr="000855B2">
        <w:t xml:space="preserve">were calculated </w:t>
      </w:r>
      <w:r w:rsidR="002578C9" w:rsidRPr="000855B2">
        <w:t>on the basis of the Tie</w:t>
      </w:r>
      <w:r w:rsidR="00E0302E" w:rsidRPr="000855B2">
        <w:t>r 3</w:t>
      </w:r>
      <w:r w:rsidR="002578C9" w:rsidRPr="000855B2">
        <w:t xml:space="preserve"> </w:t>
      </w:r>
      <w:r w:rsidR="002578C9" w:rsidRPr="000855B2">
        <w:lastRenderedPageBreak/>
        <w:t xml:space="preserve">methodology, by applying some default values, </w:t>
      </w:r>
      <w:r w:rsidRPr="000855B2">
        <w:t>by the team at Aristotle University, Thessaloniki</w:t>
      </w:r>
      <w:r w:rsidR="004F43C5" w:rsidRPr="000855B2">
        <w:t xml:space="preserve"> and later by EMISIA SA</w:t>
      </w:r>
      <w:r w:rsidR="002578C9" w:rsidRPr="000855B2">
        <w:t xml:space="preserve">. </w:t>
      </w:r>
      <w:r w:rsidRPr="000855B2">
        <w:t>Annex</w:t>
      </w:r>
      <w:r w:rsidR="00D73F59" w:rsidRPr="000855B2">
        <w:t> </w:t>
      </w:r>
      <w:r w:rsidRPr="000855B2">
        <w:t xml:space="preserve">2 provides </w:t>
      </w:r>
      <w:r w:rsidR="00BA6BBF" w:rsidRPr="000855B2">
        <w:t>a brief</w:t>
      </w:r>
      <w:r w:rsidRPr="000855B2">
        <w:t xml:space="preserve"> history of the pre</w:t>
      </w:r>
      <w:r w:rsidR="00BA6BBF" w:rsidRPr="000855B2">
        <w:t xml:space="preserve">vious versions of this </w:t>
      </w:r>
      <w:r w:rsidRPr="000855B2">
        <w:t>chapter.</w:t>
      </w:r>
    </w:p>
    <w:p w14:paraId="2E09674B" w14:textId="77777777" w:rsidR="001D2587" w:rsidRPr="000855B2" w:rsidRDefault="001D2587" w:rsidP="00EA3292">
      <w:pPr>
        <w:pStyle w:val="Heading1"/>
      </w:pPr>
      <w:bookmarkStart w:id="8" w:name="_Toc200272604"/>
      <w:bookmarkStart w:id="9" w:name="_Toc482003892"/>
      <w:r w:rsidRPr="000855B2">
        <w:t>Description of sources</w:t>
      </w:r>
      <w:bookmarkEnd w:id="8"/>
      <w:bookmarkEnd w:id="9"/>
    </w:p>
    <w:p w14:paraId="39CC7BF1" w14:textId="77777777" w:rsidR="001D2587" w:rsidRPr="000855B2" w:rsidRDefault="001D2587" w:rsidP="00F516D0">
      <w:pPr>
        <w:pStyle w:val="Heading2"/>
      </w:pPr>
      <w:bookmarkStart w:id="10" w:name="_Ref165273474"/>
      <w:bookmarkStart w:id="11" w:name="_Toc200272605"/>
      <w:bookmarkStart w:id="12" w:name="_Toc482003893"/>
      <w:r w:rsidRPr="000855B2">
        <w:t>Process description</w:t>
      </w:r>
      <w:bookmarkEnd w:id="10"/>
      <w:bookmarkEnd w:id="11"/>
      <w:bookmarkEnd w:id="12"/>
    </w:p>
    <w:p w14:paraId="74BBA244" w14:textId="77777777" w:rsidR="001D2587" w:rsidRPr="000855B2" w:rsidRDefault="001D2587" w:rsidP="00AC1E78">
      <w:pPr>
        <w:pStyle w:val="Heading3"/>
      </w:pPr>
      <w:r w:rsidRPr="000855B2">
        <w:t>Overview</w:t>
      </w:r>
    </w:p>
    <w:p w14:paraId="5D4D031D" w14:textId="08C8703E" w:rsidR="001D2587" w:rsidRPr="000855B2" w:rsidRDefault="001D2587" w:rsidP="000251B5">
      <w:pPr>
        <w:pStyle w:val="BodyText"/>
      </w:pPr>
      <w:r w:rsidRPr="000855B2">
        <w:t xml:space="preserve">Exhaust emissions from road transport arise from the combustion of fuels such as </w:t>
      </w:r>
      <w:r w:rsidR="005E4DC4">
        <w:t>petrol</w:t>
      </w:r>
      <w:r w:rsidRPr="000855B2">
        <w:t xml:space="preserve">, diesel, </w:t>
      </w:r>
      <w:r w:rsidR="0097758A" w:rsidRPr="000855B2">
        <w:t>l</w:t>
      </w:r>
      <w:r w:rsidRPr="000855B2">
        <w:t>iqu</w:t>
      </w:r>
      <w:r w:rsidR="0097758A" w:rsidRPr="000855B2">
        <w:t>efied</w:t>
      </w:r>
      <w:r w:rsidRPr="000855B2">
        <w:t xml:space="preserve"> </w:t>
      </w:r>
      <w:r w:rsidR="0097758A" w:rsidRPr="000855B2">
        <w:t>p</w:t>
      </w:r>
      <w:r w:rsidRPr="000855B2">
        <w:t xml:space="preserve">etroleum </w:t>
      </w:r>
      <w:r w:rsidR="0097758A" w:rsidRPr="000855B2">
        <w:t>g</w:t>
      </w:r>
      <w:r w:rsidRPr="000855B2">
        <w:t>as</w:t>
      </w:r>
      <w:r w:rsidR="0097758A" w:rsidRPr="000855B2">
        <w:t xml:space="preserve"> (LPG</w:t>
      </w:r>
      <w:r w:rsidRPr="000855B2">
        <w:t xml:space="preserve">), </w:t>
      </w:r>
      <w:r w:rsidR="00A10217" w:rsidRPr="000855B2">
        <w:t>and natural gas</w:t>
      </w:r>
      <w:r w:rsidRPr="000855B2">
        <w:t xml:space="preserve"> in internal combustion engines. The air/fuel charge may be ignited </w:t>
      </w:r>
      <w:r w:rsidR="00ED47E0" w:rsidRPr="000855B2">
        <w:t xml:space="preserve">by a spark </w:t>
      </w:r>
      <w:r w:rsidRPr="000855B2">
        <w:t>(</w:t>
      </w:r>
      <w:r w:rsidR="00ED47E0" w:rsidRPr="000855B2">
        <w:t>‘</w:t>
      </w:r>
      <w:r w:rsidRPr="000855B2">
        <w:t>spark</w:t>
      </w:r>
      <w:r w:rsidR="00ED47E0" w:rsidRPr="000855B2">
        <w:t>-</w:t>
      </w:r>
      <w:r w:rsidRPr="000855B2">
        <w:t>ignition</w:t>
      </w:r>
      <w:r w:rsidR="00ED47E0" w:rsidRPr="000855B2">
        <w:t>’ or ‘positive-ignition’</w:t>
      </w:r>
      <w:r w:rsidRPr="000855B2">
        <w:t xml:space="preserve"> engines)</w:t>
      </w:r>
      <w:r w:rsidR="00ED47E0" w:rsidRPr="000855B2">
        <w:t>,</w:t>
      </w:r>
      <w:r w:rsidRPr="000855B2">
        <w:t xml:space="preserve"> or </w:t>
      </w:r>
      <w:r w:rsidR="00ED47E0" w:rsidRPr="000855B2">
        <w:t xml:space="preserve">it </w:t>
      </w:r>
      <w:r w:rsidRPr="000855B2">
        <w:t>may ignite spontaneously when compressed (</w:t>
      </w:r>
      <w:r w:rsidR="00ED47E0" w:rsidRPr="000855B2">
        <w:t>‘</w:t>
      </w:r>
      <w:r w:rsidRPr="000855B2">
        <w:t>compression</w:t>
      </w:r>
      <w:r w:rsidR="00ED47E0" w:rsidRPr="000855B2">
        <w:t>-</w:t>
      </w:r>
      <w:r w:rsidRPr="000855B2">
        <w:t>ignition</w:t>
      </w:r>
      <w:r w:rsidR="00ED47E0" w:rsidRPr="000855B2">
        <w:t>’</w:t>
      </w:r>
      <w:r w:rsidRPr="000855B2">
        <w:t xml:space="preserve"> engines). The emissions from road vehicles are illustrated schematically in </w:t>
      </w:r>
      <w:r w:rsidR="00FB454C">
        <w:fldChar w:fldCharType="begin"/>
      </w:r>
      <w:r w:rsidR="00FB454C">
        <w:instrText xml:space="preserve"> REF _Ref165261284 \h  \* MERGEFORMAT </w:instrText>
      </w:r>
      <w:r w:rsidR="00FB454C">
        <w:fldChar w:fldCharType="separate"/>
      </w:r>
      <w:r w:rsidR="0071604C" w:rsidRPr="000855B2">
        <w:t>Figure </w:t>
      </w:r>
      <w:r w:rsidR="0071604C">
        <w:t>2</w:t>
      </w:r>
      <w:r w:rsidR="0071604C" w:rsidRPr="000855B2">
        <w:noBreakHyphen/>
      </w:r>
      <w:r w:rsidR="0071604C">
        <w:t>1</w:t>
      </w:r>
      <w:r w:rsidR="00FB454C">
        <w:fldChar w:fldCharType="end"/>
      </w:r>
      <w:r w:rsidRPr="000855B2">
        <w:t>, with red,</w:t>
      </w:r>
      <w:r w:rsidR="00750E5B" w:rsidRPr="000855B2">
        <w:t xml:space="preserve"> the</w:t>
      </w:r>
      <w:r w:rsidRPr="000855B2">
        <w:t xml:space="preserve"> exhaust emissions being those covered in this chapter, whilst the other </w:t>
      </w:r>
      <w:r w:rsidR="00EB542C" w:rsidRPr="000855B2">
        <w:t xml:space="preserve">emission processes </w:t>
      </w:r>
      <w:r w:rsidRPr="000855B2">
        <w:t>are covered in other chapters.</w:t>
      </w:r>
    </w:p>
    <w:p w14:paraId="6E7D457A" w14:textId="7F55628C" w:rsidR="00AC1E78" w:rsidRPr="000855B2" w:rsidRDefault="00AC1E78" w:rsidP="00E43131">
      <w:pPr>
        <w:pStyle w:val="Caption"/>
      </w:pPr>
      <w:bookmarkStart w:id="13" w:name="_Ref165261284"/>
      <w:bookmarkStart w:id="14" w:name="_Ref197484415"/>
      <w:r w:rsidRPr="000855B2">
        <w:t>Figure </w:t>
      </w:r>
      <w:r w:rsidR="00E17971" w:rsidRPr="000855B2">
        <w:fldChar w:fldCharType="begin"/>
      </w:r>
      <w:r w:rsidRPr="000855B2">
        <w:instrText xml:space="preserve"> STYLEREF 1 \s </w:instrText>
      </w:r>
      <w:r w:rsidR="00E17971" w:rsidRPr="000855B2">
        <w:fldChar w:fldCharType="separate"/>
      </w:r>
      <w:r w:rsidR="0071604C">
        <w:rPr>
          <w:noProof/>
        </w:rPr>
        <w:t>2</w:t>
      </w:r>
      <w:r w:rsidR="00E17971" w:rsidRPr="000855B2">
        <w:rPr>
          <w:noProof/>
        </w:rPr>
        <w:fldChar w:fldCharType="end"/>
      </w:r>
      <w:r w:rsidRPr="000855B2">
        <w:noBreakHyphen/>
      </w:r>
      <w:r w:rsidR="00E17971" w:rsidRPr="000855B2">
        <w:fldChar w:fldCharType="begin"/>
      </w:r>
      <w:r w:rsidRPr="000855B2">
        <w:instrText xml:space="preserve"> SEQ Figure \* ARABIC \s 1 </w:instrText>
      </w:r>
      <w:r w:rsidR="00E17971" w:rsidRPr="000855B2">
        <w:fldChar w:fldCharType="separate"/>
      </w:r>
      <w:r w:rsidR="0071604C">
        <w:rPr>
          <w:noProof/>
        </w:rPr>
        <w:t>1</w:t>
      </w:r>
      <w:r w:rsidR="00E17971" w:rsidRPr="000855B2">
        <w:rPr>
          <w:noProof/>
        </w:rPr>
        <w:fldChar w:fldCharType="end"/>
      </w:r>
      <w:bookmarkEnd w:id="13"/>
      <w:r w:rsidR="004D13A5">
        <w:rPr>
          <w:noProof/>
        </w:rPr>
        <w:t>: F</w:t>
      </w:r>
      <w:r w:rsidRPr="000855B2">
        <w:t>low diagram emissions from road transport.</w:t>
      </w:r>
      <w:bookmarkEnd w:id="14"/>
    </w:p>
    <w:p w14:paraId="56DF4045" w14:textId="734F1D22" w:rsidR="001D2587" w:rsidRPr="000855B2" w:rsidRDefault="00741FF2" w:rsidP="00ED27AC">
      <w:pPr>
        <w:pStyle w:val="Figure"/>
      </w:pPr>
      <w:r>
        <w:rPr>
          <w:noProof/>
          <w:lang w:val="en-US" w:eastAsia="en-US"/>
        </w:rPr>
        <mc:AlternateContent>
          <mc:Choice Requires="wpc">
            <w:drawing>
              <wp:inline distT="0" distB="0" distL="0" distR="0" wp14:anchorId="711944EA" wp14:editId="06367C67">
                <wp:extent cx="5554980" cy="3615690"/>
                <wp:effectExtent l="7620" t="0" r="0" b="0"/>
                <wp:docPr id="306" name="Canvas 3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 name="Rectangle 307"/>
                        <wps:cNvSpPr>
                          <a:spLocks noChangeArrowheads="1"/>
                        </wps:cNvSpPr>
                        <wps:spPr bwMode="auto">
                          <a:xfrm>
                            <a:off x="2022475" y="1400810"/>
                            <a:ext cx="2287270" cy="1022350"/>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08"/>
                        <wps:cNvSpPr>
                          <a:spLocks noChangeArrowheads="1"/>
                        </wps:cNvSpPr>
                        <wps:spPr bwMode="auto">
                          <a:xfrm>
                            <a:off x="2022475" y="1400810"/>
                            <a:ext cx="2287270" cy="1022350"/>
                          </a:xfrm>
                          <a:prstGeom prst="rect">
                            <a:avLst/>
                          </a:prstGeom>
                          <a:noFill/>
                          <a:ln w="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09"/>
                        <wps:cNvSpPr>
                          <a:spLocks noChangeArrowheads="1"/>
                        </wps:cNvSpPr>
                        <wps:spPr bwMode="auto">
                          <a:xfrm>
                            <a:off x="2195830" y="1675130"/>
                            <a:ext cx="19196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096E1" w14:textId="77777777" w:rsidR="00185BB9" w:rsidRDefault="00185BB9">
                              <w:r>
                                <w:rPr>
                                  <w:rFonts w:ascii="Arial" w:hAnsi="Arial" w:cs="Arial"/>
                                  <w:b/>
                                  <w:bCs/>
                                  <w:color w:val="FFFFFF"/>
                                  <w:sz w:val="32"/>
                                  <w:szCs w:val="32"/>
                                </w:rPr>
                                <w:t>Movement of goods</w:t>
                              </w:r>
                            </w:p>
                          </w:txbxContent>
                        </wps:txbx>
                        <wps:bodyPr rot="0" vert="horz" wrap="none" lIns="0" tIns="0" rIns="0" bIns="0" anchor="t" anchorCtr="0" upright="1">
                          <a:spAutoFit/>
                        </wps:bodyPr>
                      </wps:wsp>
                      <wps:wsp>
                        <wps:cNvPr id="39" name="Rectangle 310"/>
                        <wps:cNvSpPr>
                          <a:spLocks noChangeArrowheads="1"/>
                        </wps:cNvSpPr>
                        <wps:spPr bwMode="auto">
                          <a:xfrm>
                            <a:off x="2252345" y="1921510"/>
                            <a:ext cx="18072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9080" w14:textId="77777777" w:rsidR="00185BB9" w:rsidRDefault="00185BB9">
                              <w:r>
                                <w:rPr>
                                  <w:rFonts w:ascii="Arial" w:hAnsi="Arial" w:cs="Arial"/>
                                  <w:b/>
                                  <w:bCs/>
                                  <w:color w:val="FFFFFF"/>
                                  <w:sz w:val="32"/>
                                  <w:szCs w:val="32"/>
                                </w:rPr>
                                <w:t>and/or passengers</w:t>
                              </w:r>
                            </w:p>
                          </w:txbxContent>
                        </wps:txbx>
                        <wps:bodyPr rot="0" vert="horz" wrap="none" lIns="0" tIns="0" rIns="0" bIns="0" anchor="t" anchorCtr="0" upright="1">
                          <a:spAutoFit/>
                        </wps:bodyPr>
                      </wps:wsp>
                      <wps:wsp>
                        <wps:cNvPr id="40" name="Freeform 311"/>
                        <wps:cNvSpPr>
                          <a:spLocks/>
                        </wps:cNvSpPr>
                        <wps:spPr bwMode="auto">
                          <a:xfrm>
                            <a:off x="1460500" y="1270000"/>
                            <a:ext cx="561975" cy="1352550"/>
                          </a:xfrm>
                          <a:custGeom>
                            <a:avLst/>
                            <a:gdLst>
                              <a:gd name="T0" fmla="*/ 400 w 885"/>
                              <a:gd name="T1" fmla="*/ 0 h 2130"/>
                              <a:gd name="T2" fmla="*/ 400 w 885"/>
                              <a:gd name="T3" fmla="*/ 547 h 2130"/>
                              <a:gd name="T4" fmla="*/ 0 w 885"/>
                              <a:gd name="T5" fmla="*/ 547 h 2130"/>
                              <a:gd name="T6" fmla="*/ 0 w 885"/>
                              <a:gd name="T7" fmla="*/ 1583 h 2130"/>
                              <a:gd name="T8" fmla="*/ 400 w 885"/>
                              <a:gd name="T9" fmla="*/ 1583 h 2130"/>
                              <a:gd name="T10" fmla="*/ 400 w 885"/>
                              <a:gd name="T11" fmla="*/ 2130 h 2130"/>
                              <a:gd name="T12" fmla="*/ 885 w 885"/>
                              <a:gd name="T13" fmla="*/ 1064 h 2130"/>
                              <a:gd name="T14" fmla="*/ 400 w 885"/>
                              <a:gd name="T15" fmla="*/ 0 h 21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85" h="2130">
                                <a:moveTo>
                                  <a:pt x="400" y="0"/>
                                </a:moveTo>
                                <a:lnTo>
                                  <a:pt x="400" y="547"/>
                                </a:lnTo>
                                <a:lnTo>
                                  <a:pt x="0" y="547"/>
                                </a:lnTo>
                                <a:lnTo>
                                  <a:pt x="0" y="1583"/>
                                </a:lnTo>
                                <a:lnTo>
                                  <a:pt x="400" y="1583"/>
                                </a:lnTo>
                                <a:lnTo>
                                  <a:pt x="400" y="2130"/>
                                </a:lnTo>
                                <a:lnTo>
                                  <a:pt x="885" y="1064"/>
                                </a:lnTo>
                                <a:lnTo>
                                  <a:pt x="400" y="0"/>
                                </a:lnTo>
                                <a:close/>
                              </a:path>
                            </a:pathLst>
                          </a:custGeom>
                          <a:solidFill>
                            <a:srgbClr val="C3E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12"/>
                        <wps:cNvSpPr>
                          <a:spLocks/>
                        </wps:cNvSpPr>
                        <wps:spPr bwMode="auto">
                          <a:xfrm>
                            <a:off x="1460500" y="1270000"/>
                            <a:ext cx="561975" cy="1352550"/>
                          </a:xfrm>
                          <a:custGeom>
                            <a:avLst/>
                            <a:gdLst>
                              <a:gd name="T0" fmla="*/ 400 w 885"/>
                              <a:gd name="T1" fmla="*/ 0 h 2130"/>
                              <a:gd name="T2" fmla="*/ 400 w 885"/>
                              <a:gd name="T3" fmla="*/ 547 h 2130"/>
                              <a:gd name="T4" fmla="*/ 0 w 885"/>
                              <a:gd name="T5" fmla="*/ 547 h 2130"/>
                              <a:gd name="T6" fmla="*/ 0 w 885"/>
                              <a:gd name="T7" fmla="*/ 1583 h 2130"/>
                              <a:gd name="T8" fmla="*/ 400 w 885"/>
                              <a:gd name="T9" fmla="*/ 1583 h 2130"/>
                              <a:gd name="T10" fmla="*/ 400 w 885"/>
                              <a:gd name="T11" fmla="*/ 2130 h 2130"/>
                              <a:gd name="T12" fmla="*/ 885 w 885"/>
                              <a:gd name="T13" fmla="*/ 1064 h 2130"/>
                              <a:gd name="T14" fmla="*/ 400 w 885"/>
                              <a:gd name="T15" fmla="*/ 0 h 21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85" h="2130">
                                <a:moveTo>
                                  <a:pt x="400" y="0"/>
                                </a:moveTo>
                                <a:lnTo>
                                  <a:pt x="400" y="547"/>
                                </a:lnTo>
                                <a:lnTo>
                                  <a:pt x="0" y="547"/>
                                </a:lnTo>
                                <a:lnTo>
                                  <a:pt x="0" y="1583"/>
                                </a:lnTo>
                                <a:lnTo>
                                  <a:pt x="400" y="1583"/>
                                </a:lnTo>
                                <a:lnTo>
                                  <a:pt x="400" y="2130"/>
                                </a:lnTo>
                                <a:lnTo>
                                  <a:pt x="885" y="1064"/>
                                </a:lnTo>
                                <a:lnTo>
                                  <a:pt x="400" y="0"/>
                                </a:lnTo>
                                <a:close/>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13"/>
                        <wps:cNvSpPr>
                          <a:spLocks noChangeArrowheads="1"/>
                        </wps:cNvSpPr>
                        <wps:spPr bwMode="auto">
                          <a:xfrm>
                            <a:off x="1905" y="1443990"/>
                            <a:ext cx="1458595" cy="1038860"/>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14"/>
                        <wps:cNvSpPr>
                          <a:spLocks noChangeArrowheads="1"/>
                        </wps:cNvSpPr>
                        <wps:spPr bwMode="auto">
                          <a:xfrm>
                            <a:off x="1905" y="1443990"/>
                            <a:ext cx="1458595" cy="1038860"/>
                          </a:xfrm>
                          <a:prstGeom prst="rect">
                            <a:avLst/>
                          </a:prstGeom>
                          <a:noFill/>
                          <a:ln w="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15"/>
                        <wps:cNvSpPr>
                          <a:spLocks noChangeArrowheads="1"/>
                        </wps:cNvSpPr>
                        <wps:spPr bwMode="auto">
                          <a:xfrm>
                            <a:off x="455930" y="1708785"/>
                            <a:ext cx="5403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DC89" w14:textId="77777777" w:rsidR="00185BB9" w:rsidRDefault="00185BB9">
                              <w:r>
                                <w:rPr>
                                  <w:rFonts w:ascii="Arial" w:hAnsi="Arial" w:cs="Arial"/>
                                  <w:b/>
                                  <w:bCs/>
                                  <w:color w:val="FFFFFF"/>
                                  <w:sz w:val="34"/>
                                  <w:szCs w:val="34"/>
                                </w:rPr>
                                <w:t>Road</w:t>
                              </w:r>
                            </w:p>
                          </w:txbxContent>
                        </wps:txbx>
                        <wps:bodyPr rot="0" vert="horz" wrap="none" lIns="0" tIns="0" rIns="0" bIns="0" anchor="t" anchorCtr="0" upright="1">
                          <a:spAutoFit/>
                        </wps:bodyPr>
                      </wps:wsp>
                      <wps:wsp>
                        <wps:cNvPr id="45" name="Rectangle 316"/>
                        <wps:cNvSpPr>
                          <a:spLocks noChangeArrowheads="1"/>
                        </wps:cNvSpPr>
                        <wps:spPr bwMode="auto">
                          <a:xfrm>
                            <a:off x="297180" y="1973580"/>
                            <a:ext cx="8528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FC9E" w14:textId="77777777" w:rsidR="00185BB9" w:rsidRDefault="00185BB9">
                              <w:r>
                                <w:rPr>
                                  <w:rFonts w:ascii="Arial" w:hAnsi="Arial" w:cs="Arial"/>
                                  <w:b/>
                                  <w:bCs/>
                                  <w:color w:val="FFFFFF"/>
                                  <w:sz w:val="34"/>
                                  <w:szCs w:val="34"/>
                                </w:rPr>
                                <w:t>vehicles</w:t>
                              </w:r>
                            </w:p>
                          </w:txbxContent>
                        </wps:txbx>
                        <wps:bodyPr rot="0" vert="horz" wrap="none" lIns="0" tIns="0" rIns="0" bIns="0" anchor="t" anchorCtr="0" upright="1">
                          <a:spAutoFit/>
                        </wps:bodyPr>
                      </wps:wsp>
                      <wps:wsp>
                        <wps:cNvPr id="46" name="Freeform 317"/>
                        <wps:cNvSpPr>
                          <a:spLocks noEditPoints="1"/>
                        </wps:cNvSpPr>
                        <wps:spPr bwMode="auto">
                          <a:xfrm>
                            <a:off x="1677035" y="396240"/>
                            <a:ext cx="662305" cy="1004570"/>
                          </a:xfrm>
                          <a:custGeom>
                            <a:avLst/>
                            <a:gdLst>
                              <a:gd name="T0" fmla="*/ 471 w 1043"/>
                              <a:gd name="T1" fmla="*/ 146 h 1582"/>
                              <a:gd name="T2" fmla="*/ 580 w 1043"/>
                              <a:gd name="T3" fmla="*/ 199 h 1582"/>
                              <a:gd name="T4" fmla="*/ 587 w 1043"/>
                              <a:gd name="T5" fmla="*/ 203 h 1582"/>
                              <a:gd name="T6" fmla="*/ 594 w 1043"/>
                              <a:gd name="T7" fmla="*/ 209 h 1582"/>
                              <a:gd name="T8" fmla="*/ 602 w 1043"/>
                              <a:gd name="T9" fmla="*/ 215 h 1582"/>
                              <a:gd name="T10" fmla="*/ 607 w 1043"/>
                              <a:gd name="T11" fmla="*/ 220 h 1582"/>
                              <a:gd name="T12" fmla="*/ 642 w 1043"/>
                              <a:gd name="T13" fmla="*/ 259 h 1582"/>
                              <a:gd name="T14" fmla="*/ 679 w 1043"/>
                              <a:gd name="T15" fmla="*/ 305 h 1582"/>
                              <a:gd name="T16" fmla="*/ 714 w 1043"/>
                              <a:gd name="T17" fmla="*/ 353 h 1582"/>
                              <a:gd name="T18" fmla="*/ 747 w 1043"/>
                              <a:gd name="T19" fmla="*/ 403 h 1582"/>
                              <a:gd name="T20" fmla="*/ 778 w 1043"/>
                              <a:gd name="T21" fmla="*/ 456 h 1582"/>
                              <a:gd name="T22" fmla="*/ 809 w 1043"/>
                              <a:gd name="T23" fmla="*/ 512 h 1582"/>
                              <a:gd name="T24" fmla="*/ 837 w 1043"/>
                              <a:gd name="T25" fmla="*/ 570 h 1582"/>
                              <a:gd name="T26" fmla="*/ 865 w 1043"/>
                              <a:gd name="T27" fmla="*/ 630 h 1582"/>
                              <a:gd name="T28" fmla="*/ 889 w 1043"/>
                              <a:gd name="T29" fmla="*/ 692 h 1582"/>
                              <a:gd name="T30" fmla="*/ 914 w 1043"/>
                              <a:gd name="T31" fmla="*/ 755 h 1582"/>
                              <a:gd name="T32" fmla="*/ 935 w 1043"/>
                              <a:gd name="T33" fmla="*/ 821 h 1582"/>
                              <a:gd name="T34" fmla="*/ 955 w 1043"/>
                              <a:gd name="T35" fmla="*/ 889 h 1582"/>
                              <a:gd name="T36" fmla="*/ 973 w 1043"/>
                              <a:gd name="T37" fmla="*/ 958 h 1582"/>
                              <a:gd name="T38" fmla="*/ 988 w 1043"/>
                              <a:gd name="T39" fmla="*/ 1030 h 1582"/>
                              <a:gd name="T40" fmla="*/ 1003 w 1043"/>
                              <a:gd name="T41" fmla="*/ 1102 h 1582"/>
                              <a:gd name="T42" fmla="*/ 1014 w 1043"/>
                              <a:gd name="T43" fmla="*/ 1177 h 1582"/>
                              <a:gd name="T44" fmla="*/ 1024 w 1043"/>
                              <a:gd name="T45" fmla="*/ 1251 h 1582"/>
                              <a:gd name="T46" fmla="*/ 1033 w 1043"/>
                              <a:gd name="T47" fmla="*/ 1327 h 1582"/>
                              <a:gd name="T48" fmla="*/ 1037 w 1043"/>
                              <a:gd name="T49" fmla="*/ 1407 h 1582"/>
                              <a:gd name="T50" fmla="*/ 1042 w 1043"/>
                              <a:gd name="T51" fmla="*/ 1484 h 1582"/>
                              <a:gd name="T52" fmla="*/ 1043 w 1043"/>
                              <a:gd name="T53" fmla="*/ 1565 h 1582"/>
                              <a:gd name="T54" fmla="*/ 1043 w 1043"/>
                              <a:gd name="T55" fmla="*/ 1582 h 1582"/>
                              <a:gd name="T56" fmla="*/ 860 w 1043"/>
                              <a:gd name="T57" fmla="*/ 1582 h 1582"/>
                              <a:gd name="T58" fmla="*/ 860 w 1043"/>
                              <a:gd name="T59" fmla="*/ 1568 h 1582"/>
                              <a:gd name="T60" fmla="*/ 859 w 1043"/>
                              <a:gd name="T61" fmla="*/ 1493 h 1582"/>
                              <a:gd name="T62" fmla="*/ 856 w 1043"/>
                              <a:gd name="T63" fmla="*/ 1419 h 1582"/>
                              <a:gd name="T64" fmla="*/ 850 w 1043"/>
                              <a:gd name="T65" fmla="*/ 1346 h 1582"/>
                              <a:gd name="T66" fmla="*/ 843 w 1043"/>
                              <a:gd name="T67" fmla="*/ 1276 h 1582"/>
                              <a:gd name="T68" fmla="*/ 835 w 1043"/>
                              <a:gd name="T69" fmla="*/ 1205 h 1582"/>
                              <a:gd name="T70" fmla="*/ 823 w 1043"/>
                              <a:gd name="T71" fmla="*/ 1136 h 1582"/>
                              <a:gd name="T72" fmla="*/ 810 w 1043"/>
                              <a:gd name="T73" fmla="*/ 1070 h 1582"/>
                              <a:gd name="T74" fmla="*/ 796 w 1043"/>
                              <a:gd name="T75" fmla="*/ 1004 h 1582"/>
                              <a:gd name="T76" fmla="*/ 778 w 1043"/>
                              <a:gd name="T77" fmla="*/ 941 h 1582"/>
                              <a:gd name="T78" fmla="*/ 761 w 1043"/>
                              <a:gd name="T79" fmla="*/ 879 h 1582"/>
                              <a:gd name="T80" fmla="*/ 741 w 1043"/>
                              <a:gd name="T81" fmla="*/ 818 h 1582"/>
                              <a:gd name="T82" fmla="*/ 721 w 1043"/>
                              <a:gd name="T83" fmla="*/ 761 h 1582"/>
                              <a:gd name="T84" fmla="*/ 698 w 1043"/>
                              <a:gd name="T85" fmla="*/ 705 h 1582"/>
                              <a:gd name="T86" fmla="*/ 673 w 1043"/>
                              <a:gd name="T87" fmla="*/ 650 h 1582"/>
                              <a:gd name="T88" fmla="*/ 649 w 1043"/>
                              <a:gd name="T89" fmla="*/ 600 h 1582"/>
                              <a:gd name="T90" fmla="*/ 622 w 1043"/>
                              <a:gd name="T91" fmla="*/ 551 h 1582"/>
                              <a:gd name="T92" fmla="*/ 594 w 1043"/>
                              <a:gd name="T93" fmla="*/ 504 h 1582"/>
                              <a:gd name="T94" fmla="*/ 566 w 1043"/>
                              <a:gd name="T95" fmla="*/ 460 h 1582"/>
                              <a:gd name="T96" fmla="*/ 537 w 1043"/>
                              <a:gd name="T97" fmla="*/ 419 h 1582"/>
                              <a:gd name="T98" fmla="*/ 505 w 1043"/>
                              <a:gd name="T99" fmla="*/ 381 h 1582"/>
                              <a:gd name="T100" fmla="*/ 471 w 1043"/>
                              <a:gd name="T101" fmla="*/ 341 h 1582"/>
                              <a:gd name="T102" fmla="*/ 498 w 1043"/>
                              <a:gd name="T103" fmla="*/ 363 h 1582"/>
                              <a:gd name="T104" fmla="*/ 390 w 1043"/>
                              <a:gd name="T105" fmla="*/ 310 h 1582"/>
                              <a:gd name="T106" fmla="*/ 471 w 1043"/>
                              <a:gd name="T107" fmla="*/ 146 h 1582"/>
                              <a:gd name="T108" fmla="*/ 423 w 1043"/>
                              <a:gd name="T109" fmla="*/ 515 h 1582"/>
                              <a:gd name="T110" fmla="*/ 0 w 1043"/>
                              <a:gd name="T111" fmla="*/ 72 h 1582"/>
                              <a:gd name="T112" fmla="*/ 609 w 1043"/>
                              <a:gd name="T113" fmla="*/ 0 h 1582"/>
                              <a:gd name="T114" fmla="*/ 423 w 1043"/>
                              <a:gd name="T115" fmla="*/ 515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3" h="1582">
                                <a:moveTo>
                                  <a:pt x="471" y="146"/>
                                </a:moveTo>
                                <a:lnTo>
                                  <a:pt x="580" y="199"/>
                                </a:lnTo>
                                <a:lnTo>
                                  <a:pt x="587" y="203"/>
                                </a:lnTo>
                                <a:lnTo>
                                  <a:pt x="594" y="209"/>
                                </a:lnTo>
                                <a:lnTo>
                                  <a:pt x="602" y="215"/>
                                </a:lnTo>
                                <a:lnTo>
                                  <a:pt x="607" y="220"/>
                                </a:lnTo>
                                <a:lnTo>
                                  <a:pt x="642" y="259"/>
                                </a:lnTo>
                                <a:lnTo>
                                  <a:pt x="679" y="305"/>
                                </a:lnTo>
                                <a:lnTo>
                                  <a:pt x="714" y="353"/>
                                </a:lnTo>
                                <a:lnTo>
                                  <a:pt x="747" y="403"/>
                                </a:lnTo>
                                <a:lnTo>
                                  <a:pt x="778" y="456"/>
                                </a:lnTo>
                                <a:lnTo>
                                  <a:pt x="809" y="512"/>
                                </a:lnTo>
                                <a:lnTo>
                                  <a:pt x="837" y="570"/>
                                </a:lnTo>
                                <a:lnTo>
                                  <a:pt x="865" y="630"/>
                                </a:lnTo>
                                <a:lnTo>
                                  <a:pt x="889" y="692"/>
                                </a:lnTo>
                                <a:lnTo>
                                  <a:pt x="914" y="755"/>
                                </a:lnTo>
                                <a:lnTo>
                                  <a:pt x="935" y="821"/>
                                </a:lnTo>
                                <a:lnTo>
                                  <a:pt x="955" y="889"/>
                                </a:lnTo>
                                <a:lnTo>
                                  <a:pt x="973" y="958"/>
                                </a:lnTo>
                                <a:lnTo>
                                  <a:pt x="988" y="1030"/>
                                </a:lnTo>
                                <a:lnTo>
                                  <a:pt x="1003" y="1102"/>
                                </a:lnTo>
                                <a:lnTo>
                                  <a:pt x="1014" y="1177"/>
                                </a:lnTo>
                                <a:lnTo>
                                  <a:pt x="1024" y="1251"/>
                                </a:lnTo>
                                <a:lnTo>
                                  <a:pt x="1033" y="1327"/>
                                </a:lnTo>
                                <a:lnTo>
                                  <a:pt x="1037" y="1407"/>
                                </a:lnTo>
                                <a:lnTo>
                                  <a:pt x="1042" y="1484"/>
                                </a:lnTo>
                                <a:lnTo>
                                  <a:pt x="1043" y="1565"/>
                                </a:lnTo>
                                <a:lnTo>
                                  <a:pt x="1043" y="1582"/>
                                </a:lnTo>
                                <a:lnTo>
                                  <a:pt x="860" y="1582"/>
                                </a:lnTo>
                                <a:lnTo>
                                  <a:pt x="860" y="1568"/>
                                </a:lnTo>
                                <a:lnTo>
                                  <a:pt x="859" y="1493"/>
                                </a:lnTo>
                                <a:lnTo>
                                  <a:pt x="856" y="1419"/>
                                </a:lnTo>
                                <a:lnTo>
                                  <a:pt x="850" y="1346"/>
                                </a:lnTo>
                                <a:lnTo>
                                  <a:pt x="843" y="1276"/>
                                </a:lnTo>
                                <a:lnTo>
                                  <a:pt x="835" y="1205"/>
                                </a:lnTo>
                                <a:lnTo>
                                  <a:pt x="823" y="1136"/>
                                </a:lnTo>
                                <a:lnTo>
                                  <a:pt x="810" y="1070"/>
                                </a:lnTo>
                                <a:lnTo>
                                  <a:pt x="796" y="1004"/>
                                </a:lnTo>
                                <a:lnTo>
                                  <a:pt x="778" y="941"/>
                                </a:lnTo>
                                <a:lnTo>
                                  <a:pt x="761" y="879"/>
                                </a:lnTo>
                                <a:lnTo>
                                  <a:pt x="741" y="818"/>
                                </a:lnTo>
                                <a:lnTo>
                                  <a:pt x="721" y="761"/>
                                </a:lnTo>
                                <a:lnTo>
                                  <a:pt x="698" y="705"/>
                                </a:lnTo>
                                <a:lnTo>
                                  <a:pt x="673" y="650"/>
                                </a:lnTo>
                                <a:lnTo>
                                  <a:pt x="649" y="600"/>
                                </a:lnTo>
                                <a:lnTo>
                                  <a:pt x="622" y="551"/>
                                </a:lnTo>
                                <a:lnTo>
                                  <a:pt x="594" y="504"/>
                                </a:lnTo>
                                <a:lnTo>
                                  <a:pt x="566" y="460"/>
                                </a:lnTo>
                                <a:lnTo>
                                  <a:pt x="537" y="419"/>
                                </a:lnTo>
                                <a:lnTo>
                                  <a:pt x="505" y="381"/>
                                </a:lnTo>
                                <a:lnTo>
                                  <a:pt x="471" y="341"/>
                                </a:lnTo>
                                <a:lnTo>
                                  <a:pt x="498" y="363"/>
                                </a:lnTo>
                                <a:lnTo>
                                  <a:pt x="390" y="310"/>
                                </a:lnTo>
                                <a:lnTo>
                                  <a:pt x="471" y="146"/>
                                </a:lnTo>
                                <a:close/>
                                <a:moveTo>
                                  <a:pt x="423" y="515"/>
                                </a:moveTo>
                                <a:lnTo>
                                  <a:pt x="0" y="72"/>
                                </a:lnTo>
                                <a:lnTo>
                                  <a:pt x="609" y="0"/>
                                </a:lnTo>
                                <a:lnTo>
                                  <a:pt x="423" y="515"/>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47" name="Freeform 318"/>
                        <wps:cNvSpPr>
                          <a:spLocks noEditPoints="1"/>
                        </wps:cNvSpPr>
                        <wps:spPr bwMode="auto">
                          <a:xfrm>
                            <a:off x="4036060" y="2425065"/>
                            <a:ext cx="403225" cy="701040"/>
                          </a:xfrm>
                          <a:custGeom>
                            <a:avLst/>
                            <a:gdLst>
                              <a:gd name="T0" fmla="*/ 356 w 635"/>
                              <a:gd name="T1" fmla="*/ 355 h 1104"/>
                              <a:gd name="T2" fmla="*/ 271 w 635"/>
                              <a:gd name="T3" fmla="*/ 453 h 1104"/>
                              <a:gd name="T4" fmla="*/ 289 w 635"/>
                              <a:gd name="T5" fmla="*/ 423 h 1104"/>
                              <a:gd name="T6" fmla="*/ 274 w 635"/>
                              <a:gd name="T7" fmla="*/ 465 h 1104"/>
                              <a:gd name="T8" fmla="*/ 261 w 635"/>
                              <a:gd name="T9" fmla="*/ 505 h 1104"/>
                              <a:gd name="T10" fmla="*/ 250 w 635"/>
                              <a:gd name="T11" fmla="*/ 547 h 1104"/>
                              <a:gd name="T12" fmla="*/ 238 w 635"/>
                              <a:gd name="T13" fmla="*/ 591 h 1104"/>
                              <a:gd name="T14" fmla="*/ 228 w 635"/>
                              <a:gd name="T15" fmla="*/ 636 h 1104"/>
                              <a:gd name="T16" fmla="*/ 220 w 635"/>
                              <a:gd name="T17" fmla="*/ 682 h 1104"/>
                              <a:gd name="T18" fmla="*/ 211 w 635"/>
                              <a:gd name="T19" fmla="*/ 731 h 1104"/>
                              <a:gd name="T20" fmla="*/ 204 w 635"/>
                              <a:gd name="T21" fmla="*/ 779 h 1104"/>
                              <a:gd name="T22" fmla="*/ 197 w 635"/>
                              <a:gd name="T23" fmla="*/ 828 h 1104"/>
                              <a:gd name="T24" fmla="*/ 192 w 635"/>
                              <a:gd name="T25" fmla="*/ 880 h 1104"/>
                              <a:gd name="T26" fmla="*/ 188 w 635"/>
                              <a:gd name="T27" fmla="*/ 932 h 1104"/>
                              <a:gd name="T28" fmla="*/ 185 w 635"/>
                              <a:gd name="T29" fmla="*/ 985 h 1104"/>
                              <a:gd name="T30" fmla="*/ 184 w 635"/>
                              <a:gd name="T31" fmla="*/ 1038 h 1104"/>
                              <a:gd name="T32" fmla="*/ 182 w 635"/>
                              <a:gd name="T33" fmla="*/ 1093 h 1104"/>
                              <a:gd name="T34" fmla="*/ 182 w 635"/>
                              <a:gd name="T35" fmla="*/ 1103 h 1104"/>
                              <a:gd name="T36" fmla="*/ 0 w 635"/>
                              <a:gd name="T37" fmla="*/ 1104 h 1104"/>
                              <a:gd name="T38" fmla="*/ 0 w 635"/>
                              <a:gd name="T39" fmla="*/ 1091 h 1104"/>
                              <a:gd name="T40" fmla="*/ 1 w 635"/>
                              <a:gd name="T41" fmla="*/ 1032 h 1104"/>
                              <a:gd name="T42" fmla="*/ 2 w 635"/>
                              <a:gd name="T43" fmla="*/ 975 h 1104"/>
                              <a:gd name="T44" fmla="*/ 5 w 635"/>
                              <a:gd name="T45" fmla="*/ 917 h 1104"/>
                              <a:gd name="T46" fmla="*/ 10 w 635"/>
                              <a:gd name="T47" fmla="*/ 861 h 1104"/>
                              <a:gd name="T48" fmla="*/ 15 w 635"/>
                              <a:gd name="T49" fmla="*/ 807 h 1104"/>
                              <a:gd name="T50" fmla="*/ 23 w 635"/>
                              <a:gd name="T51" fmla="*/ 752 h 1104"/>
                              <a:gd name="T52" fmla="*/ 31 w 635"/>
                              <a:gd name="T53" fmla="*/ 699 h 1104"/>
                              <a:gd name="T54" fmla="*/ 40 w 635"/>
                              <a:gd name="T55" fmla="*/ 646 h 1104"/>
                              <a:gd name="T56" fmla="*/ 50 w 635"/>
                              <a:gd name="T57" fmla="*/ 595 h 1104"/>
                              <a:gd name="T58" fmla="*/ 61 w 635"/>
                              <a:gd name="T59" fmla="*/ 545 h 1104"/>
                              <a:gd name="T60" fmla="*/ 74 w 635"/>
                              <a:gd name="T61" fmla="*/ 498 h 1104"/>
                              <a:gd name="T62" fmla="*/ 87 w 635"/>
                              <a:gd name="T63" fmla="*/ 450 h 1104"/>
                              <a:gd name="T64" fmla="*/ 102 w 635"/>
                              <a:gd name="T65" fmla="*/ 404 h 1104"/>
                              <a:gd name="T66" fmla="*/ 116 w 635"/>
                              <a:gd name="T67" fmla="*/ 362 h 1104"/>
                              <a:gd name="T68" fmla="*/ 120 w 635"/>
                              <a:gd name="T69" fmla="*/ 354 h 1104"/>
                              <a:gd name="T70" fmla="*/ 123 w 635"/>
                              <a:gd name="T71" fmla="*/ 347 h 1104"/>
                              <a:gd name="T72" fmla="*/ 129 w 635"/>
                              <a:gd name="T73" fmla="*/ 339 h 1104"/>
                              <a:gd name="T74" fmla="*/ 133 w 635"/>
                              <a:gd name="T75" fmla="*/ 334 h 1104"/>
                              <a:gd name="T76" fmla="*/ 218 w 635"/>
                              <a:gd name="T77" fmla="*/ 236 h 1104"/>
                              <a:gd name="T78" fmla="*/ 356 w 635"/>
                              <a:gd name="T79" fmla="*/ 355 h 1104"/>
                              <a:gd name="T80" fmla="*/ 40 w 635"/>
                              <a:gd name="T81" fmla="*/ 147 h 1104"/>
                              <a:gd name="T82" fmla="*/ 635 w 635"/>
                              <a:gd name="T83" fmla="*/ 0 h 1104"/>
                              <a:gd name="T84" fmla="*/ 395 w 635"/>
                              <a:gd name="T85" fmla="*/ 564 h 1104"/>
                              <a:gd name="T86" fmla="*/ 40 w 635"/>
                              <a:gd name="T87" fmla="*/ 147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35" h="1104">
                                <a:moveTo>
                                  <a:pt x="356" y="355"/>
                                </a:moveTo>
                                <a:lnTo>
                                  <a:pt x="271" y="453"/>
                                </a:lnTo>
                                <a:lnTo>
                                  <a:pt x="289" y="423"/>
                                </a:lnTo>
                                <a:lnTo>
                                  <a:pt x="274" y="465"/>
                                </a:lnTo>
                                <a:lnTo>
                                  <a:pt x="261" y="505"/>
                                </a:lnTo>
                                <a:lnTo>
                                  <a:pt x="250" y="547"/>
                                </a:lnTo>
                                <a:lnTo>
                                  <a:pt x="238" y="591"/>
                                </a:lnTo>
                                <a:lnTo>
                                  <a:pt x="228" y="636"/>
                                </a:lnTo>
                                <a:lnTo>
                                  <a:pt x="220" y="682"/>
                                </a:lnTo>
                                <a:lnTo>
                                  <a:pt x="211" y="731"/>
                                </a:lnTo>
                                <a:lnTo>
                                  <a:pt x="204" y="779"/>
                                </a:lnTo>
                                <a:lnTo>
                                  <a:pt x="197" y="828"/>
                                </a:lnTo>
                                <a:lnTo>
                                  <a:pt x="192" y="880"/>
                                </a:lnTo>
                                <a:lnTo>
                                  <a:pt x="188" y="932"/>
                                </a:lnTo>
                                <a:lnTo>
                                  <a:pt x="185" y="985"/>
                                </a:lnTo>
                                <a:lnTo>
                                  <a:pt x="184" y="1038"/>
                                </a:lnTo>
                                <a:lnTo>
                                  <a:pt x="182" y="1093"/>
                                </a:lnTo>
                                <a:lnTo>
                                  <a:pt x="182" y="1103"/>
                                </a:lnTo>
                                <a:lnTo>
                                  <a:pt x="0" y="1104"/>
                                </a:lnTo>
                                <a:lnTo>
                                  <a:pt x="0" y="1091"/>
                                </a:lnTo>
                                <a:lnTo>
                                  <a:pt x="1" y="1032"/>
                                </a:lnTo>
                                <a:lnTo>
                                  <a:pt x="2" y="975"/>
                                </a:lnTo>
                                <a:lnTo>
                                  <a:pt x="5" y="917"/>
                                </a:lnTo>
                                <a:lnTo>
                                  <a:pt x="10" y="861"/>
                                </a:lnTo>
                                <a:lnTo>
                                  <a:pt x="15" y="807"/>
                                </a:lnTo>
                                <a:lnTo>
                                  <a:pt x="23" y="752"/>
                                </a:lnTo>
                                <a:lnTo>
                                  <a:pt x="31" y="699"/>
                                </a:lnTo>
                                <a:lnTo>
                                  <a:pt x="40" y="646"/>
                                </a:lnTo>
                                <a:lnTo>
                                  <a:pt x="50" y="595"/>
                                </a:lnTo>
                                <a:lnTo>
                                  <a:pt x="61" y="545"/>
                                </a:lnTo>
                                <a:lnTo>
                                  <a:pt x="74" y="498"/>
                                </a:lnTo>
                                <a:lnTo>
                                  <a:pt x="87" y="450"/>
                                </a:lnTo>
                                <a:lnTo>
                                  <a:pt x="102" y="404"/>
                                </a:lnTo>
                                <a:lnTo>
                                  <a:pt x="116" y="362"/>
                                </a:lnTo>
                                <a:lnTo>
                                  <a:pt x="120" y="354"/>
                                </a:lnTo>
                                <a:lnTo>
                                  <a:pt x="123" y="347"/>
                                </a:lnTo>
                                <a:lnTo>
                                  <a:pt x="129" y="339"/>
                                </a:lnTo>
                                <a:lnTo>
                                  <a:pt x="133" y="334"/>
                                </a:lnTo>
                                <a:lnTo>
                                  <a:pt x="218" y="236"/>
                                </a:lnTo>
                                <a:lnTo>
                                  <a:pt x="356" y="355"/>
                                </a:lnTo>
                                <a:close/>
                                <a:moveTo>
                                  <a:pt x="40" y="147"/>
                                </a:moveTo>
                                <a:lnTo>
                                  <a:pt x="635" y="0"/>
                                </a:lnTo>
                                <a:lnTo>
                                  <a:pt x="395" y="564"/>
                                </a:lnTo>
                                <a:lnTo>
                                  <a:pt x="40" y="147"/>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48" name="Rectangle 319"/>
                        <wps:cNvSpPr>
                          <a:spLocks noChangeArrowheads="1"/>
                        </wps:cNvSpPr>
                        <wps:spPr bwMode="auto">
                          <a:xfrm>
                            <a:off x="2509520" y="2517140"/>
                            <a:ext cx="1581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4265" w14:textId="77777777" w:rsidR="00185BB9" w:rsidRDefault="00185BB9">
                              <w:r>
                                <w:rPr>
                                  <w:rFonts w:ascii="Arial" w:hAnsi="Arial" w:cs="Arial"/>
                                  <w:color w:val="000000"/>
                                  <w:sz w:val="20"/>
                                  <w:szCs w:val="20"/>
                                </w:rPr>
                                <w:t>Road vehicle tyre and brake</w:t>
                              </w:r>
                            </w:p>
                          </w:txbxContent>
                        </wps:txbx>
                        <wps:bodyPr rot="0" vert="horz" wrap="none" lIns="0" tIns="0" rIns="0" bIns="0" anchor="t" anchorCtr="0" upright="1">
                          <a:spAutoFit/>
                        </wps:bodyPr>
                      </wps:wsp>
                      <wps:wsp>
                        <wps:cNvPr id="49" name="Rectangle 320"/>
                        <wps:cNvSpPr>
                          <a:spLocks noChangeArrowheads="1"/>
                        </wps:cNvSpPr>
                        <wps:spPr bwMode="auto">
                          <a:xfrm>
                            <a:off x="2509520" y="2664460"/>
                            <a:ext cx="1517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AAF1" w14:textId="77777777" w:rsidR="00185BB9" w:rsidRDefault="00185BB9">
                              <w:r>
                                <w:rPr>
                                  <w:rFonts w:ascii="Arial" w:hAnsi="Arial" w:cs="Arial"/>
                                  <w:color w:val="000000"/>
                                  <w:sz w:val="20"/>
                                  <w:szCs w:val="20"/>
                                </w:rPr>
                                <w:t>wear (see chapter 1.A.3.vi)</w:t>
                              </w:r>
                            </w:p>
                          </w:txbxContent>
                        </wps:txbx>
                        <wps:bodyPr rot="0" vert="horz" wrap="none" lIns="0" tIns="0" rIns="0" bIns="0" anchor="t" anchorCtr="0" upright="1">
                          <a:spAutoFit/>
                        </wps:bodyPr>
                      </wps:wsp>
                      <wps:wsp>
                        <wps:cNvPr id="50" name="Rectangle 321"/>
                        <wps:cNvSpPr>
                          <a:spLocks noChangeArrowheads="1"/>
                        </wps:cNvSpPr>
                        <wps:spPr bwMode="auto">
                          <a:xfrm>
                            <a:off x="4319270" y="2756535"/>
                            <a:ext cx="1059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A3B4" w14:textId="77777777" w:rsidR="00185BB9" w:rsidRDefault="00185BB9">
                              <w:r>
                                <w:rPr>
                                  <w:rFonts w:ascii="Arial" w:hAnsi="Arial" w:cs="Arial"/>
                                  <w:color w:val="000000"/>
                                  <w:sz w:val="20"/>
                                  <w:szCs w:val="20"/>
                                </w:rPr>
                                <w:t>Road wear caused</w:t>
                              </w:r>
                            </w:p>
                          </w:txbxContent>
                        </wps:txbx>
                        <wps:bodyPr rot="0" vert="horz" wrap="none" lIns="0" tIns="0" rIns="0" bIns="0" anchor="t" anchorCtr="0" upright="1">
                          <a:spAutoFit/>
                        </wps:bodyPr>
                      </wps:wsp>
                      <wps:wsp>
                        <wps:cNvPr id="51" name="Rectangle 322"/>
                        <wps:cNvSpPr>
                          <a:spLocks noChangeArrowheads="1"/>
                        </wps:cNvSpPr>
                        <wps:spPr bwMode="auto">
                          <a:xfrm>
                            <a:off x="4319270" y="2902585"/>
                            <a:ext cx="1073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CB9F" w14:textId="77777777" w:rsidR="00185BB9" w:rsidRDefault="00185BB9">
                              <w:r>
                                <w:rPr>
                                  <w:rFonts w:ascii="Arial" w:hAnsi="Arial" w:cs="Arial"/>
                                  <w:color w:val="000000"/>
                                  <w:sz w:val="20"/>
                                  <w:szCs w:val="20"/>
                                </w:rPr>
                                <w:t>by vehicles’ motion</w:t>
                              </w:r>
                            </w:p>
                          </w:txbxContent>
                        </wps:txbx>
                        <wps:bodyPr rot="0" vert="horz" wrap="none" lIns="0" tIns="0" rIns="0" bIns="0" anchor="t" anchorCtr="0" upright="1">
                          <a:spAutoFit/>
                        </wps:bodyPr>
                      </wps:wsp>
                      <wps:wsp>
                        <wps:cNvPr id="52" name="Rectangle 323"/>
                        <wps:cNvSpPr>
                          <a:spLocks noChangeArrowheads="1"/>
                        </wps:cNvSpPr>
                        <wps:spPr bwMode="auto">
                          <a:xfrm>
                            <a:off x="4253230" y="3049905"/>
                            <a:ext cx="1235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05B0" w14:textId="77777777" w:rsidR="00185BB9" w:rsidRDefault="00185BB9">
                              <w:r>
                                <w:rPr>
                                  <w:rFonts w:ascii="Arial" w:hAnsi="Arial" w:cs="Arial"/>
                                  <w:color w:val="000000"/>
                                  <w:sz w:val="20"/>
                                  <w:szCs w:val="20"/>
                                </w:rPr>
                                <w:t>(see chapter 1.A.3.vii)</w:t>
                              </w:r>
                            </w:p>
                          </w:txbxContent>
                        </wps:txbx>
                        <wps:bodyPr rot="0" vert="horz" wrap="none" lIns="0" tIns="0" rIns="0" bIns="0" anchor="t" anchorCtr="0" upright="1">
                          <a:spAutoFit/>
                        </wps:bodyPr>
                      </wps:wsp>
                      <wps:wsp>
                        <wps:cNvPr id="53" name="Freeform 324"/>
                        <wps:cNvSpPr>
                          <a:spLocks/>
                        </wps:cNvSpPr>
                        <wps:spPr bwMode="auto">
                          <a:xfrm>
                            <a:off x="381635" y="2491105"/>
                            <a:ext cx="713740" cy="981075"/>
                          </a:xfrm>
                          <a:custGeom>
                            <a:avLst/>
                            <a:gdLst>
                              <a:gd name="T0" fmla="*/ 0 w 1124"/>
                              <a:gd name="T1" fmla="*/ 386 h 1545"/>
                              <a:gd name="T2" fmla="*/ 281 w 1124"/>
                              <a:gd name="T3" fmla="*/ 386 h 1545"/>
                              <a:gd name="T4" fmla="*/ 281 w 1124"/>
                              <a:gd name="T5" fmla="*/ 1545 h 1545"/>
                              <a:gd name="T6" fmla="*/ 843 w 1124"/>
                              <a:gd name="T7" fmla="*/ 1545 h 1545"/>
                              <a:gd name="T8" fmla="*/ 843 w 1124"/>
                              <a:gd name="T9" fmla="*/ 386 h 1545"/>
                              <a:gd name="T10" fmla="*/ 1124 w 1124"/>
                              <a:gd name="T11" fmla="*/ 386 h 1545"/>
                              <a:gd name="T12" fmla="*/ 563 w 1124"/>
                              <a:gd name="T13" fmla="*/ 0 h 1545"/>
                              <a:gd name="T14" fmla="*/ 0 w 1124"/>
                              <a:gd name="T15" fmla="*/ 386 h 15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4" h="1545">
                                <a:moveTo>
                                  <a:pt x="0" y="386"/>
                                </a:moveTo>
                                <a:lnTo>
                                  <a:pt x="281" y="386"/>
                                </a:lnTo>
                                <a:lnTo>
                                  <a:pt x="281" y="1545"/>
                                </a:lnTo>
                                <a:lnTo>
                                  <a:pt x="843" y="1545"/>
                                </a:lnTo>
                                <a:lnTo>
                                  <a:pt x="843" y="386"/>
                                </a:lnTo>
                                <a:lnTo>
                                  <a:pt x="1124" y="386"/>
                                </a:lnTo>
                                <a:lnTo>
                                  <a:pt x="563" y="0"/>
                                </a:lnTo>
                                <a:lnTo>
                                  <a:pt x="0" y="386"/>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5"/>
                        <wps:cNvSpPr>
                          <a:spLocks/>
                        </wps:cNvSpPr>
                        <wps:spPr bwMode="auto">
                          <a:xfrm>
                            <a:off x="381635" y="2491105"/>
                            <a:ext cx="713740" cy="981075"/>
                          </a:xfrm>
                          <a:custGeom>
                            <a:avLst/>
                            <a:gdLst>
                              <a:gd name="T0" fmla="*/ 0 w 1124"/>
                              <a:gd name="T1" fmla="*/ 386 h 1545"/>
                              <a:gd name="T2" fmla="*/ 281 w 1124"/>
                              <a:gd name="T3" fmla="*/ 386 h 1545"/>
                              <a:gd name="T4" fmla="*/ 281 w 1124"/>
                              <a:gd name="T5" fmla="*/ 1545 h 1545"/>
                              <a:gd name="T6" fmla="*/ 843 w 1124"/>
                              <a:gd name="T7" fmla="*/ 1545 h 1545"/>
                              <a:gd name="T8" fmla="*/ 843 w 1124"/>
                              <a:gd name="T9" fmla="*/ 386 h 1545"/>
                              <a:gd name="T10" fmla="*/ 1124 w 1124"/>
                              <a:gd name="T11" fmla="*/ 386 h 1545"/>
                              <a:gd name="T12" fmla="*/ 563 w 1124"/>
                              <a:gd name="T13" fmla="*/ 0 h 1545"/>
                              <a:gd name="T14" fmla="*/ 0 w 1124"/>
                              <a:gd name="T15" fmla="*/ 386 h 15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4" h="1545">
                                <a:moveTo>
                                  <a:pt x="0" y="386"/>
                                </a:moveTo>
                                <a:lnTo>
                                  <a:pt x="281" y="386"/>
                                </a:lnTo>
                                <a:lnTo>
                                  <a:pt x="281" y="1545"/>
                                </a:lnTo>
                                <a:lnTo>
                                  <a:pt x="843" y="1545"/>
                                </a:lnTo>
                                <a:lnTo>
                                  <a:pt x="843" y="386"/>
                                </a:lnTo>
                                <a:lnTo>
                                  <a:pt x="1124" y="386"/>
                                </a:lnTo>
                                <a:lnTo>
                                  <a:pt x="563" y="0"/>
                                </a:lnTo>
                                <a:lnTo>
                                  <a:pt x="0" y="386"/>
                                </a:lnTo>
                                <a:close/>
                              </a:path>
                            </a:pathLst>
                          </a:custGeom>
                          <a:noFill/>
                          <a:ln w="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27"/>
                        <wps:cNvSpPr>
                          <a:spLocks noEditPoints="1"/>
                        </wps:cNvSpPr>
                        <wps:spPr bwMode="auto">
                          <a:xfrm>
                            <a:off x="468630" y="435610"/>
                            <a:ext cx="662305" cy="1005205"/>
                          </a:xfrm>
                          <a:custGeom>
                            <a:avLst/>
                            <a:gdLst>
                              <a:gd name="T0" fmla="*/ 470 w 1043"/>
                              <a:gd name="T1" fmla="*/ 145 h 1583"/>
                              <a:gd name="T2" fmla="*/ 580 w 1043"/>
                              <a:gd name="T3" fmla="*/ 200 h 1583"/>
                              <a:gd name="T4" fmla="*/ 587 w 1043"/>
                              <a:gd name="T5" fmla="*/ 204 h 1583"/>
                              <a:gd name="T6" fmla="*/ 594 w 1043"/>
                              <a:gd name="T7" fmla="*/ 209 h 1583"/>
                              <a:gd name="T8" fmla="*/ 601 w 1043"/>
                              <a:gd name="T9" fmla="*/ 214 h 1583"/>
                              <a:gd name="T10" fmla="*/ 607 w 1043"/>
                              <a:gd name="T11" fmla="*/ 222 h 1583"/>
                              <a:gd name="T12" fmla="*/ 642 w 1043"/>
                              <a:gd name="T13" fmla="*/ 260 h 1583"/>
                              <a:gd name="T14" fmla="*/ 679 w 1043"/>
                              <a:gd name="T15" fmla="*/ 306 h 1583"/>
                              <a:gd name="T16" fmla="*/ 714 w 1043"/>
                              <a:gd name="T17" fmla="*/ 354 h 1583"/>
                              <a:gd name="T18" fmla="*/ 747 w 1043"/>
                              <a:gd name="T19" fmla="*/ 404 h 1583"/>
                              <a:gd name="T20" fmla="*/ 780 w 1043"/>
                              <a:gd name="T21" fmla="*/ 457 h 1583"/>
                              <a:gd name="T22" fmla="*/ 810 w 1043"/>
                              <a:gd name="T23" fmla="*/ 514 h 1583"/>
                              <a:gd name="T24" fmla="*/ 837 w 1043"/>
                              <a:gd name="T25" fmla="*/ 571 h 1583"/>
                              <a:gd name="T26" fmla="*/ 865 w 1043"/>
                              <a:gd name="T27" fmla="*/ 630 h 1583"/>
                              <a:gd name="T28" fmla="*/ 890 w 1043"/>
                              <a:gd name="T29" fmla="*/ 693 h 1583"/>
                              <a:gd name="T30" fmla="*/ 913 w 1043"/>
                              <a:gd name="T31" fmla="*/ 756 h 1583"/>
                              <a:gd name="T32" fmla="*/ 935 w 1043"/>
                              <a:gd name="T33" fmla="*/ 823 h 1583"/>
                              <a:gd name="T34" fmla="*/ 955 w 1043"/>
                              <a:gd name="T35" fmla="*/ 890 h 1583"/>
                              <a:gd name="T36" fmla="*/ 972 w 1043"/>
                              <a:gd name="T37" fmla="*/ 959 h 1583"/>
                              <a:gd name="T38" fmla="*/ 988 w 1043"/>
                              <a:gd name="T39" fmla="*/ 1031 h 1583"/>
                              <a:gd name="T40" fmla="*/ 1003 w 1043"/>
                              <a:gd name="T41" fmla="*/ 1103 h 1583"/>
                              <a:gd name="T42" fmla="*/ 1014 w 1043"/>
                              <a:gd name="T43" fmla="*/ 1178 h 1583"/>
                              <a:gd name="T44" fmla="*/ 1024 w 1043"/>
                              <a:gd name="T45" fmla="*/ 1253 h 1583"/>
                              <a:gd name="T46" fmla="*/ 1033 w 1043"/>
                              <a:gd name="T47" fmla="*/ 1329 h 1583"/>
                              <a:gd name="T48" fmla="*/ 1039 w 1043"/>
                              <a:gd name="T49" fmla="*/ 1406 h 1583"/>
                              <a:gd name="T50" fmla="*/ 1042 w 1043"/>
                              <a:gd name="T51" fmla="*/ 1485 h 1583"/>
                              <a:gd name="T52" fmla="*/ 1043 w 1043"/>
                              <a:gd name="T53" fmla="*/ 1566 h 1583"/>
                              <a:gd name="T54" fmla="*/ 1043 w 1043"/>
                              <a:gd name="T55" fmla="*/ 1583 h 1583"/>
                              <a:gd name="T56" fmla="*/ 860 w 1043"/>
                              <a:gd name="T57" fmla="*/ 1583 h 1583"/>
                              <a:gd name="T58" fmla="*/ 860 w 1043"/>
                              <a:gd name="T59" fmla="*/ 1569 h 1583"/>
                              <a:gd name="T60" fmla="*/ 859 w 1043"/>
                              <a:gd name="T61" fmla="*/ 1494 h 1583"/>
                              <a:gd name="T62" fmla="*/ 856 w 1043"/>
                              <a:gd name="T63" fmla="*/ 1421 h 1583"/>
                              <a:gd name="T64" fmla="*/ 850 w 1043"/>
                              <a:gd name="T65" fmla="*/ 1347 h 1583"/>
                              <a:gd name="T66" fmla="*/ 843 w 1043"/>
                              <a:gd name="T67" fmla="*/ 1277 h 1583"/>
                              <a:gd name="T68" fmla="*/ 834 w 1043"/>
                              <a:gd name="T69" fmla="*/ 1207 h 1583"/>
                              <a:gd name="T70" fmla="*/ 823 w 1043"/>
                              <a:gd name="T71" fmla="*/ 1138 h 1583"/>
                              <a:gd name="T72" fmla="*/ 810 w 1043"/>
                              <a:gd name="T73" fmla="*/ 1070 h 1583"/>
                              <a:gd name="T74" fmla="*/ 796 w 1043"/>
                              <a:gd name="T75" fmla="*/ 1005 h 1583"/>
                              <a:gd name="T76" fmla="*/ 780 w 1043"/>
                              <a:gd name="T77" fmla="*/ 941 h 1583"/>
                              <a:gd name="T78" fmla="*/ 761 w 1043"/>
                              <a:gd name="T79" fmla="*/ 879 h 1583"/>
                              <a:gd name="T80" fmla="*/ 741 w 1043"/>
                              <a:gd name="T81" fmla="*/ 820 h 1583"/>
                              <a:gd name="T82" fmla="*/ 721 w 1043"/>
                              <a:gd name="T83" fmla="*/ 761 h 1583"/>
                              <a:gd name="T84" fmla="*/ 698 w 1043"/>
                              <a:gd name="T85" fmla="*/ 705 h 1583"/>
                              <a:gd name="T86" fmla="*/ 673 w 1043"/>
                              <a:gd name="T87" fmla="*/ 652 h 1583"/>
                              <a:gd name="T88" fmla="*/ 649 w 1043"/>
                              <a:gd name="T89" fmla="*/ 600 h 1583"/>
                              <a:gd name="T90" fmla="*/ 621 w 1043"/>
                              <a:gd name="T91" fmla="*/ 551 h 1583"/>
                              <a:gd name="T92" fmla="*/ 594 w 1043"/>
                              <a:gd name="T93" fmla="*/ 505 h 1583"/>
                              <a:gd name="T94" fmla="*/ 565 w 1043"/>
                              <a:gd name="T95" fmla="*/ 462 h 1583"/>
                              <a:gd name="T96" fmla="*/ 537 w 1043"/>
                              <a:gd name="T97" fmla="*/ 420 h 1583"/>
                              <a:gd name="T98" fmla="*/ 505 w 1043"/>
                              <a:gd name="T99" fmla="*/ 381 h 1583"/>
                              <a:gd name="T100" fmla="*/ 470 w 1043"/>
                              <a:gd name="T101" fmla="*/ 342 h 1583"/>
                              <a:gd name="T102" fmla="*/ 499 w 1043"/>
                              <a:gd name="T103" fmla="*/ 364 h 1583"/>
                              <a:gd name="T104" fmla="*/ 390 w 1043"/>
                              <a:gd name="T105" fmla="*/ 309 h 1583"/>
                              <a:gd name="T106" fmla="*/ 470 w 1043"/>
                              <a:gd name="T107" fmla="*/ 145 h 1583"/>
                              <a:gd name="T108" fmla="*/ 423 w 1043"/>
                              <a:gd name="T109" fmla="*/ 516 h 1583"/>
                              <a:gd name="T110" fmla="*/ 0 w 1043"/>
                              <a:gd name="T111" fmla="*/ 74 h 1583"/>
                              <a:gd name="T112" fmla="*/ 608 w 1043"/>
                              <a:gd name="T113" fmla="*/ 0 h 1583"/>
                              <a:gd name="T114" fmla="*/ 423 w 1043"/>
                              <a:gd name="T115" fmla="*/ 516 h 1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3" h="1583">
                                <a:moveTo>
                                  <a:pt x="470" y="145"/>
                                </a:moveTo>
                                <a:lnTo>
                                  <a:pt x="580" y="200"/>
                                </a:lnTo>
                                <a:lnTo>
                                  <a:pt x="587" y="204"/>
                                </a:lnTo>
                                <a:lnTo>
                                  <a:pt x="594" y="209"/>
                                </a:lnTo>
                                <a:lnTo>
                                  <a:pt x="601" y="214"/>
                                </a:lnTo>
                                <a:lnTo>
                                  <a:pt x="607" y="222"/>
                                </a:lnTo>
                                <a:lnTo>
                                  <a:pt x="642" y="260"/>
                                </a:lnTo>
                                <a:lnTo>
                                  <a:pt x="679" y="306"/>
                                </a:lnTo>
                                <a:lnTo>
                                  <a:pt x="714" y="354"/>
                                </a:lnTo>
                                <a:lnTo>
                                  <a:pt x="747" y="404"/>
                                </a:lnTo>
                                <a:lnTo>
                                  <a:pt x="780" y="457"/>
                                </a:lnTo>
                                <a:lnTo>
                                  <a:pt x="810" y="514"/>
                                </a:lnTo>
                                <a:lnTo>
                                  <a:pt x="837" y="571"/>
                                </a:lnTo>
                                <a:lnTo>
                                  <a:pt x="865" y="630"/>
                                </a:lnTo>
                                <a:lnTo>
                                  <a:pt x="890" y="693"/>
                                </a:lnTo>
                                <a:lnTo>
                                  <a:pt x="913" y="756"/>
                                </a:lnTo>
                                <a:lnTo>
                                  <a:pt x="935" y="823"/>
                                </a:lnTo>
                                <a:lnTo>
                                  <a:pt x="955" y="890"/>
                                </a:lnTo>
                                <a:lnTo>
                                  <a:pt x="972" y="959"/>
                                </a:lnTo>
                                <a:lnTo>
                                  <a:pt x="988" y="1031"/>
                                </a:lnTo>
                                <a:lnTo>
                                  <a:pt x="1003" y="1103"/>
                                </a:lnTo>
                                <a:lnTo>
                                  <a:pt x="1014" y="1178"/>
                                </a:lnTo>
                                <a:lnTo>
                                  <a:pt x="1024" y="1253"/>
                                </a:lnTo>
                                <a:lnTo>
                                  <a:pt x="1033" y="1329"/>
                                </a:lnTo>
                                <a:lnTo>
                                  <a:pt x="1039" y="1406"/>
                                </a:lnTo>
                                <a:lnTo>
                                  <a:pt x="1042" y="1485"/>
                                </a:lnTo>
                                <a:lnTo>
                                  <a:pt x="1043" y="1566"/>
                                </a:lnTo>
                                <a:lnTo>
                                  <a:pt x="1043" y="1583"/>
                                </a:lnTo>
                                <a:lnTo>
                                  <a:pt x="860" y="1583"/>
                                </a:lnTo>
                                <a:lnTo>
                                  <a:pt x="860" y="1569"/>
                                </a:lnTo>
                                <a:lnTo>
                                  <a:pt x="859" y="1494"/>
                                </a:lnTo>
                                <a:lnTo>
                                  <a:pt x="856" y="1421"/>
                                </a:lnTo>
                                <a:lnTo>
                                  <a:pt x="850" y="1347"/>
                                </a:lnTo>
                                <a:lnTo>
                                  <a:pt x="843" y="1277"/>
                                </a:lnTo>
                                <a:lnTo>
                                  <a:pt x="834" y="1207"/>
                                </a:lnTo>
                                <a:lnTo>
                                  <a:pt x="823" y="1138"/>
                                </a:lnTo>
                                <a:lnTo>
                                  <a:pt x="810" y="1070"/>
                                </a:lnTo>
                                <a:lnTo>
                                  <a:pt x="796" y="1005"/>
                                </a:lnTo>
                                <a:lnTo>
                                  <a:pt x="780" y="941"/>
                                </a:lnTo>
                                <a:lnTo>
                                  <a:pt x="761" y="879"/>
                                </a:lnTo>
                                <a:lnTo>
                                  <a:pt x="741" y="820"/>
                                </a:lnTo>
                                <a:lnTo>
                                  <a:pt x="721" y="761"/>
                                </a:lnTo>
                                <a:lnTo>
                                  <a:pt x="698" y="705"/>
                                </a:lnTo>
                                <a:lnTo>
                                  <a:pt x="673" y="652"/>
                                </a:lnTo>
                                <a:lnTo>
                                  <a:pt x="649" y="600"/>
                                </a:lnTo>
                                <a:lnTo>
                                  <a:pt x="621" y="551"/>
                                </a:lnTo>
                                <a:lnTo>
                                  <a:pt x="594" y="505"/>
                                </a:lnTo>
                                <a:lnTo>
                                  <a:pt x="565" y="462"/>
                                </a:lnTo>
                                <a:lnTo>
                                  <a:pt x="537" y="420"/>
                                </a:lnTo>
                                <a:lnTo>
                                  <a:pt x="505" y="381"/>
                                </a:lnTo>
                                <a:lnTo>
                                  <a:pt x="470" y="342"/>
                                </a:lnTo>
                                <a:lnTo>
                                  <a:pt x="499" y="364"/>
                                </a:lnTo>
                                <a:lnTo>
                                  <a:pt x="390" y="309"/>
                                </a:lnTo>
                                <a:lnTo>
                                  <a:pt x="470" y="145"/>
                                </a:lnTo>
                                <a:close/>
                                <a:moveTo>
                                  <a:pt x="423" y="516"/>
                                </a:moveTo>
                                <a:lnTo>
                                  <a:pt x="0" y="74"/>
                                </a:lnTo>
                                <a:lnTo>
                                  <a:pt x="608" y="0"/>
                                </a:lnTo>
                                <a:lnTo>
                                  <a:pt x="423" y="516"/>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56" name="Rectangle 328"/>
                        <wps:cNvSpPr>
                          <a:spLocks noChangeArrowheads="1"/>
                        </wps:cNvSpPr>
                        <wps:spPr bwMode="auto">
                          <a:xfrm>
                            <a:off x="566420" y="0"/>
                            <a:ext cx="1270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11625" w14:textId="77777777" w:rsidR="00185BB9" w:rsidRDefault="00185BB9">
                              <w:r>
                                <w:rPr>
                                  <w:rFonts w:ascii="Arial" w:hAnsi="Arial" w:cs="Arial"/>
                                  <w:color w:val="000000"/>
                                  <w:sz w:val="20"/>
                                  <w:szCs w:val="20"/>
                                </w:rPr>
                                <w:t>Evaporative emissions</w:t>
                              </w:r>
                            </w:p>
                          </w:txbxContent>
                        </wps:txbx>
                        <wps:bodyPr rot="0" vert="horz" wrap="none" lIns="0" tIns="0" rIns="0" bIns="0" anchor="t" anchorCtr="0" upright="1">
                          <a:spAutoFit/>
                        </wps:bodyPr>
                      </wps:wsp>
                      <wps:wsp>
                        <wps:cNvPr id="57" name="Rectangle 329"/>
                        <wps:cNvSpPr>
                          <a:spLocks noChangeArrowheads="1"/>
                        </wps:cNvSpPr>
                        <wps:spPr bwMode="auto">
                          <a:xfrm>
                            <a:off x="566420" y="146685"/>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ABC5" w14:textId="77777777" w:rsidR="00185BB9" w:rsidRDefault="00185BB9">
                              <w:r>
                                <w:rPr>
                                  <w:rFonts w:ascii="Arial" w:hAnsi="Arial" w:cs="Arial"/>
                                  <w:color w:val="000000"/>
                                  <w:sz w:val="20"/>
                                  <w:szCs w:val="20"/>
                                </w:rPr>
                                <w:t>(see chapter 1.A.3.v)</w:t>
                              </w:r>
                            </w:p>
                          </w:txbxContent>
                        </wps:txbx>
                        <wps:bodyPr rot="0" vert="horz" wrap="none" lIns="0" tIns="0" rIns="0" bIns="0" anchor="t" anchorCtr="0" upright="1">
                          <a:spAutoFit/>
                        </wps:bodyPr>
                      </wps:wsp>
                      <wps:wsp>
                        <wps:cNvPr id="58" name="Freeform 330"/>
                        <wps:cNvSpPr>
                          <a:spLocks noEditPoints="1"/>
                        </wps:cNvSpPr>
                        <wps:spPr bwMode="auto">
                          <a:xfrm>
                            <a:off x="2265680" y="2421255"/>
                            <a:ext cx="577215" cy="762635"/>
                          </a:xfrm>
                          <a:custGeom>
                            <a:avLst/>
                            <a:gdLst>
                              <a:gd name="T0" fmla="*/ 444 w 909"/>
                              <a:gd name="T1" fmla="*/ 1063 h 1201"/>
                              <a:gd name="T2" fmla="*/ 346 w 909"/>
                              <a:gd name="T3" fmla="*/ 1014 h 1201"/>
                              <a:gd name="T4" fmla="*/ 338 w 909"/>
                              <a:gd name="T5" fmla="*/ 1010 h 1201"/>
                              <a:gd name="T6" fmla="*/ 331 w 909"/>
                              <a:gd name="T7" fmla="*/ 1004 h 1201"/>
                              <a:gd name="T8" fmla="*/ 323 w 909"/>
                              <a:gd name="T9" fmla="*/ 997 h 1201"/>
                              <a:gd name="T10" fmla="*/ 316 w 909"/>
                              <a:gd name="T11" fmla="*/ 990 h 1201"/>
                              <a:gd name="T12" fmla="*/ 289 w 909"/>
                              <a:gd name="T13" fmla="*/ 957 h 1201"/>
                              <a:gd name="T14" fmla="*/ 260 w 909"/>
                              <a:gd name="T15" fmla="*/ 918 h 1201"/>
                              <a:gd name="T16" fmla="*/ 231 w 909"/>
                              <a:gd name="T17" fmla="*/ 876 h 1201"/>
                              <a:gd name="T18" fmla="*/ 205 w 909"/>
                              <a:gd name="T19" fmla="*/ 833 h 1201"/>
                              <a:gd name="T20" fmla="*/ 179 w 909"/>
                              <a:gd name="T21" fmla="*/ 788 h 1201"/>
                              <a:gd name="T22" fmla="*/ 156 w 909"/>
                              <a:gd name="T23" fmla="*/ 741 h 1201"/>
                              <a:gd name="T24" fmla="*/ 135 w 909"/>
                              <a:gd name="T25" fmla="*/ 693 h 1201"/>
                              <a:gd name="T26" fmla="*/ 113 w 909"/>
                              <a:gd name="T27" fmla="*/ 645 h 1201"/>
                              <a:gd name="T28" fmla="*/ 95 w 909"/>
                              <a:gd name="T29" fmla="*/ 593 h 1201"/>
                              <a:gd name="T30" fmla="*/ 77 w 909"/>
                              <a:gd name="T31" fmla="*/ 541 h 1201"/>
                              <a:gd name="T32" fmla="*/ 61 w 909"/>
                              <a:gd name="T33" fmla="*/ 488 h 1201"/>
                              <a:gd name="T34" fmla="*/ 47 w 909"/>
                              <a:gd name="T35" fmla="*/ 432 h 1201"/>
                              <a:gd name="T36" fmla="*/ 36 w 909"/>
                              <a:gd name="T37" fmla="*/ 376 h 1201"/>
                              <a:gd name="T38" fmla="*/ 26 w 909"/>
                              <a:gd name="T39" fmla="*/ 320 h 1201"/>
                              <a:gd name="T40" fmla="*/ 17 w 909"/>
                              <a:gd name="T41" fmla="*/ 261 h 1201"/>
                              <a:gd name="T42" fmla="*/ 10 w 909"/>
                              <a:gd name="T43" fmla="*/ 202 h 1201"/>
                              <a:gd name="T44" fmla="*/ 4 w 909"/>
                              <a:gd name="T45" fmla="*/ 141 h 1201"/>
                              <a:gd name="T46" fmla="*/ 1 w 909"/>
                              <a:gd name="T47" fmla="*/ 79 h 1201"/>
                              <a:gd name="T48" fmla="*/ 0 w 909"/>
                              <a:gd name="T49" fmla="*/ 18 h 1201"/>
                              <a:gd name="T50" fmla="*/ 1 w 909"/>
                              <a:gd name="T51" fmla="*/ 0 h 1201"/>
                              <a:gd name="T52" fmla="*/ 184 w 909"/>
                              <a:gd name="T53" fmla="*/ 9 h 1201"/>
                              <a:gd name="T54" fmla="*/ 182 w 909"/>
                              <a:gd name="T55" fmla="*/ 15 h 1201"/>
                              <a:gd name="T56" fmla="*/ 184 w 909"/>
                              <a:gd name="T57" fmla="*/ 71 h 1201"/>
                              <a:gd name="T58" fmla="*/ 187 w 909"/>
                              <a:gd name="T59" fmla="*/ 127 h 1201"/>
                              <a:gd name="T60" fmla="*/ 191 w 909"/>
                              <a:gd name="T61" fmla="*/ 180 h 1201"/>
                              <a:gd name="T62" fmla="*/ 197 w 909"/>
                              <a:gd name="T63" fmla="*/ 233 h 1201"/>
                              <a:gd name="T64" fmla="*/ 205 w 909"/>
                              <a:gd name="T65" fmla="*/ 287 h 1201"/>
                              <a:gd name="T66" fmla="*/ 214 w 909"/>
                              <a:gd name="T67" fmla="*/ 337 h 1201"/>
                              <a:gd name="T68" fmla="*/ 225 w 909"/>
                              <a:gd name="T69" fmla="*/ 387 h 1201"/>
                              <a:gd name="T70" fmla="*/ 237 w 909"/>
                              <a:gd name="T71" fmla="*/ 436 h 1201"/>
                              <a:gd name="T72" fmla="*/ 251 w 909"/>
                              <a:gd name="T73" fmla="*/ 484 h 1201"/>
                              <a:gd name="T74" fmla="*/ 266 w 909"/>
                              <a:gd name="T75" fmla="*/ 530 h 1201"/>
                              <a:gd name="T76" fmla="*/ 283 w 909"/>
                              <a:gd name="T77" fmla="*/ 574 h 1201"/>
                              <a:gd name="T78" fmla="*/ 300 w 909"/>
                              <a:gd name="T79" fmla="*/ 617 h 1201"/>
                              <a:gd name="T80" fmla="*/ 319 w 909"/>
                              <a:gd name="T81" fmla="*/ 659 h 1201"/>
                              <a:gd name="T82" fmla="*/ 339 w 909"/>
                              <a:gd name="T83" fmla="*/ 699 h 1201"/>
                              <a:gd name="T84" fmla="*/ 361 w 909"/>
                              <a:gd name="T85" fmla="*/ 738 h 1201"/>
                              <a:gd name="T86" fmla="*/ 382 w 909"/>
                              <a:gd name="T87" fmla="*/ 774 h 1201"/>
                              <a:gd name="T88" fmla="*/ 405 w 909"/>
                              <a:gd name="T89" fmla="*/ 808 h 1201"/>
                              <a:gd name="T90" fmla="*/ 430 w 909"/>
                              <a:gd name="T91" fmla="*/ 842 h 1201"/>
                              <a:gd name="T92" fmla="*/ 459 w 909"/>
                              <a:gd name="T93" fmla="*/ 875 h 1201"/>
                              <a:gd name="T94" fmla="*/ 428 w 909"/>
                              <a:gd name="T95" fmla="*/ 850 h 1201"/>
                              <a:gd name="T96" fmla="*/ 526 w 909"/>
                              <a:gd name="T97" fmla="*/ 899 h 1201"/>
                              <a:gd name="T98" fmla="*/ 444 w 909"/>
                              <a:gd name="T99" fmla="*/ 1063 h 1201"/>
                              <a:gd name="T100" fmla="*/ 503 w 909"/>
                              <a:gd name="T101" fmla="*/ 693 h 1201"/>
                              <a:gd name="T102" fmla="*/ 909 w 909"/>
                              <a:gd name="T103" fmla="*/ 1152 h 1201"/>
                              <a:gd name="T104" fmla="*/ 297 w 909"/>
                              <a:gd name="T105" fmla="*/ 1201 h 1201"/>
                              <a:gd name="T106" fmla="*/ 503 w 909"/>
                              <a:gd name="T107" fmla="*/ 693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9" h="1201">
                                <a:moveTo>
                                  <a:pt x="444" y="1063"/>
                                </a:moveTo>
                                <a:lnTo>
                                  <a:pt x="346" y="1014"/>
                                </a:lnTo>
                                <a:lnTo>
                                  <a:pt x="338" y="1010"/>
                                </a:lnTo>
                                <a:lnTo>
                                  <a:pt x="331" y="1004"/>
                                </a:lnTo>
                                <a:lnTo>
                                  <a:pt x="323" y="997"/>
                                </a:lnTo>
                                <a:lnTo>
                                  <a:pt x="316" y="990"/>
                                </a:lnTo>
                                <a:lnTo>
                                  <a:pt x="289" y="957"/>
                                </a:lnTo>
                                <a:lnTo>
                                  <a:pt x="260" y="918"/>
                                </a:lnTo>
                                <a:lnTo>
                                  <a:pt x="231" y="876"/>
                                </a:lnTo>
                                <a:lnTo>
                                  <a:pt x="205" y="833"/>
                                </a:lnTo>
                                <a:lnTo>
                                  <a:pt x="179" y="788"/>
                                </a:lnTo>
                                <a:lnTo>
                                  <a:pt x="156" y="741"/>
                                </a:lnTo>
                                <a:lnTo>
                                  <a:pt x="135" y="693"/>
                                </a:lnTo>
                                <a:lnTo>
                                  <a:pt x="113" y="645"/>
                                </a:lnTo>
                                <a:lnTo>
                                  <a:pt x="95" y="593"/>
                                </a:lnTo>
                                <a:lnTo>
                                  <a:pt x="77" y="541"/>
                                </a:lnTo>
                                <a:lnTo>
                                  <a:pt x="61" y="488"/>
                                </a:lnTo>
                                <a:lnTo>
                                  <a:pt x="47" y="432"/>
                                </a:lnTo>
                                <a:lnTo>
                                  <a:pt x="36" y="376"/>
                                </a:lnTo>
                                <a:lnTo>
                                  <a:pt x="26" y="320"/>
                                </a:lnTo>
                                <a:lnTo>
                                  <a:pt x="17" y="261"/>
                                </a:lnTo>
                                <a:lnTo>
                                  <a:pt x="10" y="202"/>
                                </a:lnTo>
                                <a:lnTo>
                                  <a:pt x="4" y="141"/>
                                </a:lnTo>
                                <a:lnTo>
                                  <a:pt x="1" y="79"/>
                                </a:lnTo>
                                <a:lnTo>
                                  <a:pt x="0" y="18"/>
                                </a:lnTo>
                                <a:lnTo>
                                  <a:pt x="1" y="0"/>
                                </a:lnTo>
                                <a:lnTo>
                                  <a:pt x="184" y="9"/>
                                </a:lnTo>
                                <a:lnTo>
                                  <a:pt x="182" y="15"/>
                                </a:lnTo>
                                <a:lnTo>
                                  <a:pt x="184" y="71"/>
                                </a:lnTo>
                                <a:lnTo>
                                  <a:pt x="187" y="127"/>
                                </a:lnTo>
                                <a:lnTo>
                                  <a:pt x="191" y="180"/>
                                </a:lnTo>
                                <a:lnTo>
                                  <a:pt x="197" y="233"/>
                                </a:lnTo>
                                <a:lnTo>
                                  <a:pt x="205" y="287"/>
                                </a:lnTo>
                                <a:lnTo>
                                  <a:pt x="214" y="337"/>
                                </a:lnTo>
                                <a:lnTo>
                                  <a:pt x="225" y="387"/>
                                </a:lnTo>
                                <a:lnTo>
                                  <a:pt x="237" y="436"/>
                                </a:lnTo>
                                <a:lnTo>
                                  <a:pt x="251" y="484"/>
                                </a:lnTo>
                                <a:lnTo>
                                  <a:pt x="266" y="530"/>
                                </a:lnTo>
                                <a:lnTo>
                                  <a:pt x="283" y="574"/>
                                </a:lnTo>
                                <a:lnTo>
                                  <a:pt x="300" y="617"/>
                                </a:lnTo>
                                <a:lnTo>
                                  <a:pt x="319" y="659"/>
                                </a:lnTo>
                                <a:lnTo>
                                  <a:pt x="339" y="699"/>
                                </a:lnTo>
                                <a:lnTo>
                                  <a:pt x="361" y="738"/>
                                </a:lnTo>
                                <a:lnTo>
                                  <a:pt x="382" y="774"/>
                                </a:lnTo>
                                <a:lnTo>
                                  <a:pt x="405" y="808"/>
                                </a:lnTo>
                                <a:lnTo>
                                  <a:pt x="430" y="842"/>
                                </a:lnTo>
                                <a:lnTo>
                                  <a:pt x="459" y="875"/>
                                </a:lnTo>
                                <a:lnTo>
                                  <a:pt x="428" y="850"/>
                                </a:lnTo>
                                <a:lnTo>
                                  <a:pt x="526" y="899"/>
                                </a:lnTo>
                                <a:lnTo>
                                  <a:pt x="444" y="1063"/>
                                </a:lnTo>
                                <a:close/>
                                <a:moveTo>
                                  <a:pt x="503" y="693"/>
                                </a:moveTo>
                                <a:lnTo>
                                  <a:pt x="909" y="1152"/>
                                </a:lnTo>
                                <a:lnTo>
                                  <a:pt x="297" y="1201"/>
                                </a:lnTo>
                                <a:lnTo>
                                  <a:pt x="503" y="693"/>
                                </a:lnTo>
                                <a:close/>
                              </a:path>
                            </a:pathLst>
                          </a:custGeom>
                          <a:solidFill>
                            <a:srgbClr val="0000FF"/>
                          </a:solidFill>
                          <a:ln w="1">
                            <a:solidFill>
                              <a:srgbClr val="0000FF"/>
                            </a:solidFill>
                            <a:round/>
                            <a:headEnd/>
                            <a:tailEnd/>
                          </a:ln>
                        </wps:spPr>
                        <wps:bodyPr rot="0" vert="horz" wrap="square" lIns="91440" tIns="45720" rIns="91440" bIns="45720" anchor="t" anchorCtr="0" upright="1">
                          <a:noAutofit/>
                        </wps:bodyPr>
                      </wps:wsp>
                      <wps:wsp>
                        <wps:cNvPr id="59" name="Freeform 331"/>
                        <wps:cNvSpPr>
                          <a:spLocks noEditPoints="1"/>
                        </wps:cNvSpPr>
                        <wps:spPr bwMode="auto">
                          <a:xfrm>
                            <a:off x="3215640" y="396240"/>
                            <a:ext cx="662305" cy="1005205"/>
                          </a:xfrm>
                          <a:custGeom>
                            <a:avLst/>
                            <a:gdLst>
                              <a:gd name="T0" fmla="*/ 653 w 1043"/>
                              <a:gd name="T1" fmla="*/ 310 h 1583"/>
                              <a:gd name="T2" fmla="*/ 544 w 1043"/>
                              <a:gd name="T3" fmla="*/ 363 h 1583"/>
                              <a:gd name="T4" fmla="*/ 572 w 1043"/>
                              <a:gd name="T5" fmla="*/ 341 h 1583"/>
                              <a:gd name="T6" fmla="*/ 538 w 1043"/>
                              <a:gd name="T7" fmla="*/ 381 h 1583"/>
                              <a:gd name="T8" fmla="*/ 506 w 1043"/>
                              <a:gd name="T9" fmla="*/ 419 h 1583"/>
                              <a:gd name="T10" fmla="*/ 477 w 1043"/>
                              <a:gd name="T11" fmla="*/ 460 h 1583"/>
                              <a:gd name="T12" fmla="*/ 449 w 1043"/>
                              <a:gd name="T13" fmla="*/ 504 h 1583"/>
                              <a:gd name="T14" fmla="*/ 421 w 1043"/>
                              <a:gd name="T15" fmla="*/ 551 h 1583"/>
                              <a:gd name="T16" fmla="*/ 394 w 1043"/>
                              <a:gd name="T17" fmla="*/ 600 h 1583"/>
                              <a:gd name="T18" fmla="*/ 369 w 1043"/>
                              <a:gd name="T19" fmla="*/ 652 h 1583"/>
                              <a:gd name="T20" fmla="*/ 345 w 1043"/>
                              <a:gd name="T21" fmla="*/ 705 h 1583"/>
                              <a:gd name="T22" fmla="*/ 322 w 1043"/>
                              <a:gd name="T23" fmla="*/ 761 h 1583"/>
                              <a:gd name="T24" fmla="*/ 302 w 1043"/>
                              <a:gd name="T25" fmla="*/ 818 h 1583"/>
                              <a:gd name="T26" fmla="*/ 282 w 1043"/>
                              <a:gd name="T27" fmla="*/ 879 h 1583"/>
                              <a:gd name="T28" fmla="*/ 263 w 1043"/>
                              <a:gd name="T29" fmla="*/ 941 h 1583"/>
                              <a:gd name="T30" fmla="*/ 247 w 1043"/>
                              <a:gd name="T31" fmla="*/ 1004 h 1583"/>
                              <a:gd name="T32" fmla="*/ 233 w 1043"/>
                              <a:gd name="T33" fmla="*/ 1070 h 1583"/>
                              <a:gd name="T34" fmla="*/ 220 w 1043"/>
                              <a:gd name="T35" fmla="*/ 1136 h 1583"/>
                              <a:gd name="T36" fmla="*/ 208 w 1043"/>
                              <a:gd name="T37" fmla="*/ 1205 h 1583"/>
                              <a:gd name="T38" fmla="*/ 200 w 1043"/>
                              <a:gd name="T39" fmla="*/ 1276 h 1583"/>
                              <a:gd name="T40" fmla="*/ 193 w 1043"/>
                              <a:gd name="T41" fmla="*/ 1346 h 1583"/>
                              <a:gd name="T42" fmla="*/ 187 w 1043"/>
                              <a:gd name="T43" fmla="*/ 1419 h 1583"/>
                              <a:gd name="T44" fmla="*/ 184 w 1043"/>
                              <a:gd name="T45" fmla="*/ 1493 h 1583"/>
                              <a:gd name="T46" fmla="*/ 182 w 1043"/>
                              <a:gd name="T47" fmla="*/ 1568 h 1583"/>
                              <a:gd name="T48" fmla="*/ 182 w 1043"/>
                              <a:gd name="T49" fmla="*/ 1582 h 1583"/>
                              <a:gd name="T50" fmla="*/ 0 w 1043"/>
                              <a:gd name="T51" fmla="*/ 1583 h 1583"/>
                              <a:gd name="T52" fmla="*/ 0 w 1043"/>
                              <a:gd name="T53" fmla="*/ 1565 h 1583"/>
                              <a:gd name="T54" fmla="*/ 1 w 1043"/>
                              <a:gd name="T55" fmla="*/ 1486 h 1583"/>
                              <a:gd name="T56" fmla="*/ 4 w 1043"/>
                              <a:gd name="T57" fmla="*/ 1407 h 1583"/>
                              <a:gd name="T58" fmla="*/ 10 w 1043"/>
                              <a:gd name="T59" fmla="*/ 1329 h 1583"/>
                              <a:gd name="T60" fmla="*/ 18 w 1043"/>
                              <a:gd name="T61" fmla="*/ 1251 h 1583"/>
                              <a:gd name="T62" fmla="*/ 29 w 1043"/>
                              <a:gd name="T63" fmla="*/ 1177 h 1583"/>
                              <a:gd name="T64" fmla="*/ 40 w 1043"/>
                              <a:gd name="T65" fmla="*/ 1102 h 1583"/>
                              <a:gd name="T66" fmla="*/ 54 w 1043"/>
                              <a:gd name="T67" fmla="*/ 1030 h 1583"/>
                              <a:gd name="T68" fmla="*/ 70 w 1043"/>
                              <a:gd name="T69" fmla="*/ 959 h 1583"/>
                              <a:gd name="T70" fmla="*/ 87 w 1043"/>
                              <a:gd name="T71" fmla="*/ 889 h 1583"/>
                              <a:gd name="T72" fmla="*/ 108 w 1043"/>
                              <a:gd name="T73" fmla="*/ 821 h 1583"/>
                              <a:gd name="T74" fmla="*/ 129 w 1043"/>
                              <a:gd name="T75" fmla="*/ 755 h 1583"/>
                              <a:gd name="T76" fmla="*/ 152 w 1043"/>
                              <a:gd name="T77" fmla="*/ 692 h 1583"/>
                              <a:gd name="T78" fmla="*/ 178 w 1043"/>
                              <a:gd name="T79" fmla="*/ 630 h 1583"/>
                              <a:gd name="T80" fmla="*/ 205 w 1043"/>
                              <a:gd name="T81" fmla="*/ 570 h 1583"/>
                              <a:gd name="T82" fmla="*/ 234 w 1043"/>
                              <a:gd name="T83" fmla="*/ 512 h 1583"/>
                              <a:gd name="T84" fmla="*/ 264 w 1043"/>
                              <a:gd name="T85" fmla="*/ 458 h 1583"/>
                              <a:gd name="T86" fmla="*/ 296 w 1043"/>
                              <a:gd name="T87" fmla="*/ 404 h 1583"/>
                              <a:gd name="T88" fmla="*/ 329 w 1043"/>
                              <a:gd name="T89" fmla="*/ 353 h 1583"/>
                              <a:gd name="T90" fmla="*/ 364 w 1043"/>
                              <a:gd name="T91" fmla="*/ 305 h 1583"/>
                              <a:gd name="T92" fmla="*/ 401 w 1043"/>
                              <a:gd name="T93" fmla="*/ 259 h 1583"/>
                              <a:gd name="T94" fmla="*/ 436 w 1043"/>
                              <a:gd name="T95" fmla="*/ 220 h 1583"/>
                              <a:gd name="T96" fmla="*/ 441 w 1043"/>
                              <a:gd name="T97" fmla="*/ 215 h 1583"/>
                              <a:gd name="T98" fmla="*/ 449 w 1043"/>
                              <a:gd name="T99" fmla="*/ 209 h 1583"/>
                              <a:gd name="T100" fmla="*/ 456 w 1043"/>
                              <a:gd name="T101" fmla="*/ 203 h 1583"/>
                              <a:gd name="T102" fmla="*/ 463 w 1043"/>
                              <a:gd name="T103" fmla="*/ 199 h 1583"/>
                              <a:gd name="T104" fmla="*/ 572 w 1043"/>
                              <a:gd name="T105" fmla="*/ 146 h 1583"/>
                              <a:gd name="T106" fmla="*/ 653 w 1043"/>
                              <a:gd name="T107" fmla="*/ 310 h 1583"/>
                              <a:gd name="T108" fmla="*/ 434 w 1043"/>
                              <a:gd name="T109" fmla="*/ 0 h 1583"/>
                              <a:gd name="T110" fmla="*/ 1043 w 1043"/>
                              <a:gd name="T111" fmla="*/ 72 h 1583"/>
                              <a:gd name="T112" fmla="*/ 620 w 1043"/>
                              <a:gd name="T113" fmla="*/ 517 h 1583"/>
                              <a:gd name="T114" fmla="*/ 434 w 1043"/>
                              <a:gd name="T115" fmla="*/ 0 h 1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3" h="1583">
                                <a:moveTo>
                                  <a:pt x="653" y="310"/>
                                </a:moveTo>
                                <a:lnTo>
                                  <a:pt x="544" y="363"/>
                                </a:lnTo>
                                <a:lnTo>
                                  <a:pt x="572" y="341"/>
                                </a:lnTo>
                                <a:lnTo>
                                  <a:pt x="538" y="381"/>
                                </a:lnTo>
                                <a:lnTo>
                                  <a:pt x="506" y="419"/>
                                </a:lnTo>
                                <a:lnTo>
                                  <a:pt x="477" y="460"/>
                                </a:lnTo>
                                <a:lnTo>
                                  <a:pt x="449" y="504"/>
                                </a:lnTo>
                                <a:lnTo>
                                  <a:pt x="421" y="551"/>
                                </a:lnTo>
                                <a:lnTo>
                                  <a:pt x="394" y="600"/>
                                </a:lnTo>
                                <a:lnTo>
                                  <a:pt x="369" y="652"/>
                                </a:lnTo>
                                <a:lnTo>
                                  <a:pt x="345" y="705"/>
                                </a:lnTo>
                                <a:lnTo>
                                  <a:pt x="322" y="761"/>
                                </a:lnTo>
                                <a:lnTo>
                                  <a:pt x="302" y="818"/>
                                </a:lnTo>
                                <a:lnTo>
                                  <a:pt x="282" y="879"/>
                                </a:lnTo>
                                <a:lnTo>
                                  <a:pt x="263" y="941"/>
                                </a:lnTo>
                                <a:lnTo>
                                  <a:pt x="247" y="1004"/>
                                </a:lnTo>
                                <a:lnTo>
                                  <a:pt x="233" y="1070"/>
                                </a:lnTo>
                                <a:lnTo>
                                  <a:pt x="220" y="1136"/>
                                </a:lnTo>
                                <a:lnTo>
                                  <a:pt x="208" y="1205"/>
                                </a:lnTo>
                                <a:lnTo>
                                  <a:pt x="200" y="1276"/>
                                </a:lnTo>
                                <a:lnTo>
                                  <a:pt x="193" y="1346"/>
                                </a:lnTo>
                                <a:lnTo>
                                  <a:pt x="187" y="1419"/>
                                </a:lnTo>
                                <a:lnTo>
                                  <a:pt x="184" y="1493"/>
                                </a:lnTo>
                                <a:lnTo>
                                  <a:pt x="182" y="1568"/>
                                </a:lnTo>
                                <a:lnTo>
                                  <a:pt x="182" y="1582"/>
                                </a:lnTo>
                                <a:lnTo>
                                  <a:pt x="0" y="1583"/>
                                </a:lnTo>
                                <a:lnTo>
                                  <a:pt x="0" y="1565"/>
                                </a:lnTo>
                                <a:lnTo>
                                  <a:pt x="1" y="1486"/>
                                </a:lnTo>
                                <a:lnTo>
                                  <a:pt x="4" y="1407"/>
                                </a:lnTo>
                                <a:lnTo>
                                  <a:pt x="10" y="1329"/>
                                </a:lnTo>
                                <a:lnTo>
                                  <a:pt x="18" y="1251"/>
                                </a:lnTo>
                                <a:lnTo>
                                  <a:pt x="29" y="1177"/>
                                </a:lnTo>
                                <a:lnTo>
                                  <a:pt x="40" y="1102"/>
                                </a:lnTo>
                                <a:lnTo>
                                  <a:pt x="54" y="1030"/>
                                </a:lnTo>
                                <a:lnTo>
                                  <a:pt x="70" y="959"/>
                                </a:lnTo>
                                <a:lnTo>
                                  <a:pt x="87" y="889"/>
                                </a:lnTo>
                                <a:lnTo>
                                  <a:pt x="108" y="821"/>
                                </a:lnTo>
                                <a:lnTo>
                                  <a:pt x="129" y="755"/>
                                </a:lnTo>
                                <a:lnTo>
                                  <a:pt x="152" y="692"/>
                                </a:lnTo>
                                <a:lnTo>
                                  <a:pt x="178" y="630"/>
                                </a:lnTo>
                                <a:lnTo>
                                  <a:pt x="205" y="570"/>
                                </a:lnTo>
                                <a:lnTo>
                                  <a:pt x="234" y="512"/>
                                </a:lnTo>
                                <a:lnTo>
                                  <a:pt x="264" y="458"/>
                                </a:lnTo>
                                <a:lnTo>
                                  <a:pt x="296" y="404"/>
                                </a:lnTo>
                                <a:lnTo>
                                  <a:pt x="329" y="353"/>
                                </a:lnTo>
                                <a:lnTo>
                                  <a:pt x="364" y="305"/>
                                </a:lnTo>
                                <a:lnTo>
                                  <a:pt x="401" y="259"/>
                                </a:lnTo>
                                <a:lnTo>
                                  <a:pt x="436" y="220"/>
                                </a:lnTo>
                                <a:lnTo>
                                  <a:pt x="441" y="215"/>
                                </a:lnTo>
                                <a:lnTo>
                                  <a:pt x="449" y="209"/>
                                </a:lnTo>
                                <a:lnTo>
                                  <a:pt x="456" y="203"/>
                                </a:lnTo>
                                <a:lnTo>
                                  <a:pt x="463" y="199"/>
                                </a:lnTo>
                                <a:lnTo>
                                  <a:pt x="572" y="146"/>
                                </a:lnTo>
                                <a:lnTo>
                                  <a:pt x="653" y="310"/>
                                </a:lnTo>
                                <a:close/>
                                <a:moveTo>
                                  <a:pt x="434" y="0"/>
                                </a:moveTo>
                                <a:lnTo>
                                  <a:pt x="1043" y="72"/>
                                </a:lnTo>
                                <a:lnTo>
                                  <a:pt x="620" y="517"/>
                                </a:lnTo>
                                <a:lnTo>
                                  <a:pt x="434" y="0"/>
                                </a:lnTo>
                                <a:close/>
                              </a:path>
                            </a:pathLst>
                          </a:custGeom>
                          <a:solidFill>
                            <a:srgbClr val="FF0000"/>
                          </a:solidFill>
                          <a:ln w="1">
                            <a:solidFill>
                              <a:srgbClr val="FF0000"/>
                            </a:solidFill>
                            <a:round/>
                            <a:headEnd/>
                            <a:tailEnd/>
                          </a:ln>
                        </wps:spPr>
                        <wps:bodyPr rot="0" vert="horz" wrap="square" lIns="91440" tIns="45720" rIns="91440" bIns="45720" anchor="t" anchorCtr="0" upright="1">
                          <a:noAutofit/>
                        </wps:bodyPr>
                      </wps:wsp>
                      <wps:wsp>
                        <wps:cNvPr id="60" name="Rectangle 332"/>
                        <wps:cNvSpPr>
                          <a:spLocks noChangeArrowheads="1"/>
                        </wps:cNvSpPr>
                        <wps:spPr bwMode="auto">
                          <a:xfrm>
                            <a:off x="3910330" y="93980"/>
                            <a:ext cx="1376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5093E" w14:textId="77777777" w:rsidR="00185BB9" w:rsidRDefault="00185BB9">
                              <w:r>
                                <w:rPr>
                                  <w:rFonts w:ascii="Arial" w:hAnsi="Arial" w:cs="Arial"/>
                                  <w:color w:val="000000"/>
                                  <w:sz w:val="26"/>
                                  <w:szCs w:val="26"/>
                                </w:rPr>
                                <w:t>Exhaust emissions</w:t>
                              </w:r>
                            </w:p>
                          </w:txbxContent>
                        </wps:txbx>
                        <wps:bodyPr rot="0" vert="horz" wrap="none" lIns="0" tIns="0" rIns="0" bIns="0" anchor="t" anchorCtr="0" upright="1">
                          <a:spAutoFit/>
                        </wps:bodyPr>
                      </wps:wsp>
                      <wps:wsp>
                        <wps:cNvPr id="61" name="Rectangle 333"/>
                        <wps:cNvSpPr>
                          <a:spLocks noChangeArrowheads="1"/>
                        </wps:cNvSpPr>
                        <wps:spPr bwMode="auto">
                          <a:xfrm>
                            <a:off x="3910330" y="287020"/>
                            <a:ext cx="9086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6C26" w14:textId="77777777" w:rsidR="00185BB9" w:rsidRDefault="00185BB9">
                              <w:r>
                                <w:rPr>
                                  <w:rFonts w:ascii="Arial" w:hAnsi="Arial" w:cs="Arial"/>
                                  <w:color w:val="000000"/>
                                  <w:sz w:val="26"/>
                                  <w:szCs w:val="26"/>
                                </w:rPr>
                                <w:t>This chapter</w:t>
                              </w:r>
                            </w:p>
                          </w:txbxContent>
                        </wps:txbx>
                        <wps:bodyPr rot="0" vert="horz" wrap="none" lIns="0" tIns="0" rIns="0" bIns="0" anchor="t" anchorCtr="0" upright="1">
                          <a:spAutoFit/>
                        </wps:bodyPr>
                      </wps:wsp>
                      <wps:wsp>
                        <wps:cNvPr id="62" name="Text Box 334"/>
                        <wps:cNvSpPr txBox="1">
                          <a:spLocks noChangeArrowheads="1"/>
                        </wps:cNvSpPr>
                        <wps:spPr bwMode="auto">
                          <a:xfrm>
                            <a:off x="480695" y="2670175"/>
                            <a:ext cx="465455" cy="803275"/>
                          </a:xfrm>
                          <a:prstGeom prst="rect">
                            <a:avLst/>
                          </a:prstGeom>
                          <a:noFill/>
                          <a:ln>
                            <a:noFill/>
                          </a:ln>
                          <a:extLst>
                            <a:ext uri="{909E8E84-426E-40DD-AFC4-6F175D3DCCD1}">
                              <a14:hiddenFill xmlns:a14="http://schemas.microsoft.com/office/drawing/2010/main">
                                <a:solidFill>
                                  <a:srgbClr val="99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297E" w14:textId="77777777" w:rsidR="00185BB9" w:rsidRPr="004A077B" w:rsidRDefault="00185BB9" w:rsidP="004A077B">
                              <w:pPr>
                                <w:jc w:val="center"/>
                                <w:rPr>
                                  <w:rFonts w:ascii="Arial" w:hAnsi="Arial" w:cs="Arial"/>
                                  <w:b/>
                                  <w:color w:val="FFFFFF" w:themeColor="background1"/>
                                  <w:sz w:val="34"/>
                                  <w:szCs w:val="34"/>
                                  <w:lang w:val="en-US"/>
                                </w:rPr>
                              </w:pPr>
                              <w:r w:rsidRPr="004A077B">
                                <w:rPr>
                                  <w:rFonts w:ascii="Arial" w:hAnsi="Arial" w:cs="Arial"/>
                                  <w:b/>
                                  <w:color w:val="FFFFFF" w:themeColor="background1"/>
                                  <w:sz w:val="34"/>
                                  <w:szCs w:val="34"/>
                                  <w:lang w:val="en-US"/>
                                </w:rPr>
                                <w:t>FUEL</w:t>
                              </w:r>
                            </w:p>
                          </w:txbxContent>
                        </wps:txbx>
                        <wps:bodyPr rot="0" vert="vert" wrap="square" lIns="91440" tIns="45720" rIns="91440" bIns="45720" anchor="t" anchorCtr="0" upright="1">
                          <a:noAutofit/>
                        </wps:bodyPr>
                      </wps:wsp>
                    </wpc:wpc>
                  </a:graphicData>
                </a:graphic>
              </wp:inline>
            </w:drawing>
          </mc:Choice>
          <mc:Fallback>
            <w:pict>
              <v:group w14:anchorId="711944EA" id="Canvas 306" o:spid="_x0000_s1026" editas="canvas" style="width:437.4pt;height:284.7pt;mso-position-horizontal-relative:char;mso-position-vertical-relative:line" coordsize="55549,3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36156;visibility:visible;mso-wrap-style:square">
                  <v:fill o:detectmouseclick="t"/>
                  <v:path o:connecttype="none"/>
                </v:shape>
                <v:rect id="Rectangle 307" o:spid="_x0000_s1028" style="position:absolute;left:20224;top:14008;width:22873;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" fillcolor="#066" stroked="f"/>
                <v:rect id="Rectangle 308" o:spid="_x0000_s1029" style="position:absolute;left:20224;top:14008;width:22873;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" filled="f" strokeweight=".00025mm"/>
                <v:rect id="Rectangle 309" o:spid="_x0000_s1030" style="position:absolute;left:21958;top:16751;width:1919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BB096E1" w14:textId="77777777" w:rsidR="00185BB9" w:rsidRDefault="00185BB9">
                        <w:r>
                          <w:rPr>
                            <w:rFonts w:ascii="Arial" w:hAnsi="Arial" w:cs="Arial"/>
                            <w:b/>
                            <w:bCs/>
                            <w:color w:val="FFFFFF"/>
                            <w:sz w:val="32"/>
                            <w:szCs w:val="32"/>
                          </w:rPr>
                          <w:t>Movement of goods</w:t>
                        </w:r>
                      </w:p>
                    </w:txbxContent>
                  </v:textbox>
                </v:rect>
                <v:rect id="Rectangle 310" o:spid="_x0000_s1031" style="position:absolute;left:22523;top:19215;width:18072;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B229080" w14:textId="77777777" w:rsidR="00185BB9" w:rsidRDefault="00185BB9">
                        <w:r>
                          <w:rPr>
                            <w:rFonts w:ascii="Arial" w:hAnsi="Arial" w:cs="Arial"/>
                            <w:b/>
                            <w:bCs/>
                            <w:color w:val="FFFFFF"/>
                            <w:sz w:val="32"/>
                            <w:szCs w:val="32"/>
                          </w:rPr>
                          <w:t>and/or passengers</w:t>
                        </w:r>
                      </w:p>
                    </w:txbxContent>
                  </v:textbox>
                </v:rect>
                <v:shape id="Freeform 311" o:spid="_x0000_s1032" style="position:absolute;left:14605;top:12700;width:5619;height:13525;visibility:visible;mso-wrap-style:square;v-text-anchor:top" coordsize="8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" path="m400,r,547l,547,,1583r400,l400,2130,885,1064,400,xe" fillcolor="#c3e4ba" stroked="f">
                  <v:path arrowok="t" o:connecttype="custom" o:connectlocs="254000,0;254000,347345;0,347345;0,1005205;254000,1005205;254000,1352550;561975,675640;254000,0" o:connectangles="0,0,0,0,0,0,0,0"/>
                </v:shape>
                <v:shape id="Freeform 312" o:spid="_x0000_s1033" style="position:absolute;left:14605;top:12700;width:5619;height:13525;visibility:visible;mso-wrap-style:square;v-text-anchor:top" coordsize="8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" path="m400,r,547l,547,,1583r400,l400,2130,885,1064,400,xe" filled="f" strokeweight=".00025mm">
                  <v:path arrowok="t" o:connecttype="custom" o:connectlocs="254000,0;254000,347345;0,347345;0,1005205;254000,1005205;254000,1352550;561975,675640;254000,0" o:connectangles="0,0,0,0,0,0,0,0"/>
                </v:shape>
                <v:rect id="Rectangle 313" o:spid="_x0000_s1034" style="position:absolute;left:19;top:14439;width:14586;height:10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" fillcolor="#066" stroked="f"/>
                <v:rect id="Rectangle 314" o:spid="_x0000_s1035" style="position:absolute;left:19;top:14439;width:14586;height:10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" filled="f" strokeweight=".00025mm"/>
                <v:rect id="Rectangle 315" o:spid="_x0000_s1036" style="position:absolute;left:4559;top:17087;width:5404;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5CADC89" w14:textId="77777777" w:rsidR="00185BB9" w:rsidRDefault="00185BB9">
                        <w:r>
                          <w:rPr>
                            <w:rFonts w:ascii="Arial" w:hAnsi="Arial" w:cs="Arial"/>
                            <w:b/>
                            <w:bCs/>
                            <w:color w:val="FFFFFF"/>
                            <w:sz w:val="34"/>
                            <w:szCs w:val="34"/>
                          </w:rPr>
                          <w:t>Road</w:t>
                        </w:r>
                      </w:p>
                    </w:txbxContent>
                  </v:textbox>
                </v:rect>
                <v:rect id="Rectangle 316" o:spid="_x0000_s1037" style="position:absolute;left:2971;top:19735;width:8528;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B15FC9E" w14:textId="77777777" w:rsidR="00185BB9" w:rsidRDefault="00185BB9">
                        <w:r>
                          <w:rPr>
                            <w:rFonts w:ascii="Arial" w:hAnsi="Arial" w:cs="Arial"/>
                            <w:b/>
                            <w:bCs/>
                            <w:color w:val="FFFFFF"/>
                            <w:sz w:val="34"/>
                            <w:szCs w:val="34"/>
                          </w:rPr>
                          <w:t>vehicles</w:t>
                        </w:r>
                      </w:p>
                    </w:txbxContent>
                  </v:textbox>
                </v:rect>
                <v:shape id="Freeform 317" o:spid="_x0000_s1038" style="position:absolute;left:16770;top:3962;width:6623;height:10046;visibility:visible;mso-wrap-style:square;v-text-anchor:top" coordsize="1043,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" path="m471,146r109,53l587,203r7,6l602,215r5,5l642,259r37,46l714,353r33,50l778,456r31,56l837,570r28,60l889,692r25,63l935,821r20,68l973,958r15,72l1003,1102r11,75l1024,1251r9,76l1037,1407r5,77l1043,1565r,17l860,1582r,-14l859,1493r-3,-74l850,1346r-7,-70l835,1205r-12,-69l810,1070r-14,-66l778,941,761,879,741,818,721,761,698,705,673,650,649,600,622,551,594,504,566,460,537,419,505,381,471,341r27,22l390,310,471,146xm423,515l,72,609,,423,515xe" fillcolor="blue" strokecolor="blue" strokeweight="3e-5mm">
                  <v:path arrowok="t" o:connecttype="custom" o:connectlocs="299085,92710;368300,126365;372745,128905;377190,132715;382270,136525;385445,139700;407670,164465;431165,193675;453390,224155;474345,255905;494030,289560;513715,325120;531495,361950;549275,400050;564515,439420;580390,479425;593725,521335;606425,564515;617855,608330;627380,654050;636905,699770;643890,747395;650240,794385;655955,842645;658495,893445;661670,942340;662305,993775;662305,1004570;546100,1004570;546100,995680;545465,948055;543560,901065;539750,854710;535305,810260;530225,765175;522605,721360;514350,679450;505460,637540;494030,597535;483235,558165;470535,519430;457835,483235;443230,447675;427355,412750;412115,381000;394970,349885;377190,320040;359410,292100;340995,266065;320675,241935;299085,216535;316230,230505;247650,196850;299085,92710;268605,327025;0,45720;386715,0;268605,327025" o:connectangles="0,0,0,0,0,0,0,0,0,0,0,0,0,0,0,0,0,0,0,0,0,0,0,0,0,0,0,0,0,0,0,0,0,0,0,0,0,0,0,0,0,0,0,0,0,0,0,0,0,0,0,0,0,0,0,0,0,0"/>
                  <o:lock v:ext="edit" verticies="t"/>
                </v:shape>
                <v:shape id="Freeform 318" o:spid="_x0000_s1039" style="position:absolute;left:40360;top:24250;width:4032;height:7011;visibility:visible;mso-wrap-style:square;v-text-anchor:top" coordsize="63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" path="m356,355r-85,98l289,423r-15,42l261,505r-11,42l238,591r-10,45l220,682r-9,49l204,779r-7,49l192,880r-4,52l185,985r-1,53l182,1093r,10l,1104r,-13l1,1032,2,975,5,917r5,-56l15,807r8,-55l31,699r9,-53l50,595,61,545,74,498,87,450r15,-46l116,362r4,-8l123,347r6,-8l133,334r85,-98l356,355xm40,147l635,,395,564,40,147xe" fillcolor="blue" strokecolor="blue" strokeweight="3e-5mm">
                  <v:path arrowok="t" o:connecttype="custom" o:connectlocs="226060,225425;172085,287655;183515,268605;173990,295275;165735,320675;158750,347345;151130,375285;144780,403860;139700,433070;133985,464185;129540,494665;125095,525780;121920,558800;119380,591820;117475,625475;116840,659130;115570,694055;115570,700405;0,701040;0,692785;635,655320;1270,619125;3175,582295;6350,546735;9525,512445;14605,477520;19685,443865;25400,410210;31750,377825;38735,346075;46990,316230;55245,285750;64770,256540;73660,229870;76200,224790;78105,220345;81915,215265;84455,212090;138430,149860;226060,225425;25400,93345;403225,0;250825,358140;25400,93345" o:connectangles="0,0,0,0,0,0,0,0,0,0,0,0,0,0,0,0,0,0,0,0,0,0,0,0,0,0,0,0,0,0,0,0,0,0,0,0,0,0,0,0,0,0,0,0"/>
                  <o:lock v:ext="edit" verticies="t"/>
                </v:shape>
                <v:rect id="Rectangle 319" o:spid="_x0000_s1040" style="position:absolute;left:25095;top:25171;width:15818;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6384265" w14:textId="77777777" w:rsidR="00185BB9" w:rsidRDefault="00185BB9">
                        <w:r>
                          <w:rPr>
                            <w:rFonts w:ascii="Arial" w:hAnsi="Arial" w:cs="Arial"/>
                            <w:color w:val="000000"/>
                            <w:sz w:val="20"/>
                            <w:szCs w:val="20"/>
                          </w:rPr>
                          <w:t>Road vehicle tyre and brake</w:t>
                        </w:r>
                      </w:p>
                    </w:txbxContent>
                  </v:textbox>
                </v:rect>
                <v:rect id="Rectangle 320" o:spid="_x0000_s1041" style="position:absolute;left:25095;top:26644;width:15176;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25AAAF1" w14:textId="77777777" w:rsidR="00185BB9" w:rsidRDefault="00185BB9">
                        <w:r>
                          <w:rPr>
                            <w:rFonts w:ascii="Arial" w:hAnsi="Arial" w:cs="Arial"/>
                            <w:color w:val="000000"/>
                            <w:sz w:val="20"/>
                            <w:szCs w:val="20"/>
                          </w:rPr>
                          <w:t>wear (see chapter 1.A.3.vi)</w:t>
                        </w:r>
                      </w:p>
                    </w:txbxContent>
                  </v:textbox>
                </v:rect>
                <v:rect id="Rectangle 321" o:spid="_x0000_s1042" style="position:absolute;left:43192;top:27565;width:10592;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1F8A3B4" w14:textId="77777777" w:rsidR="00185BB9" w:rsidRDefault="00185BB9">
                        <w:r>
                          <w:rPr>
                            <w:rFonts w:ascii="Arial" w:hAnsi="Arial" w:cs="Arial"/>
                            <w:color w:val="000000"/>
                            <w:sz w:val="20"/>
                            <w:szCs w:val="20"/>
                          </w:rPr>
                          <w:t>Road wear caused</w:t>
                        </w:r>
                      </w:p>
                    </w:txbxContent>
                  </v:textbox>
                </v:rect>
                <v:rect id="Rectangle 322" o:spid="_x0000_s1043" style="position:absolute;left:43192;top:29025;width:10732;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B62CB9F" w14:textId="77777777" w:rsidR="00185BB9" w:rsidRDefault="00185BB9">
                        <w:r>
                          <w:rPr>
                            <w:rFonts w:ascii="Arial" w:hAnsi="Arial" w:cs="Arial"/>
                            <w:color w:val="000000"/>
                            <w:sz w:val="20"/>
                            <w:szCs w:val="20"/>
                          </w:rPr>
                          <w:t>by vehicles’ motion</w:t>
                        </w:r>
                      </w:p>
                    </w:txbxContent>
                  </v:textbox>
                </v:rect>
                <v:rect id="Rectangle 323" o:spid="_x0000_s1044" style="position:absolute;left:42532;top:30499;width:12357;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10205B0" w14:textId="77777777" w:rsidR="00185BB9" w:rsidRDefault="00185BB9">
                        <w:r>
                          <w:rPr>
                            <w:rFonts w:ascii="Arial" w:hAnsi="Arial" w:cs="Arial"/>
                            <w:color w:val="000000"/>
                            <w:sz w:val="20"/>
                            <w:szCs w:val="20"/>
                          </w:rPr>
                          <w:t>(see chapter 1.A.3.vii)</w:t>
                        </w:r>
                      </w:p>
                    </w:txbxContent>
                  </v:textbox>
                </v:rect>
                <v:shape id="Freeform 324" o:spid="_x0000_s1045" style="position:absolute;left:3816;top:24911;width:7137;height:9810;visibility:visible;mso-wrap-style:square;v-text-anchor:top" coordsize="112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" path="m,386r281,l281,1545r562,l843,386r281,l563,,,386xe" fillcolor="#900" stroked="f">
                  <v:path arrowok="t" o:connecttype="custom" o:connectlocs="0,245110;178435,245110;178435,981075;535305,981075;535305,245110;713740,245110;357505,0;0,245110" o:connectangles="0,0,0,0,0,0,0,0"/>
                </v:shape>
                <v:shape id="Freeform 325" o:spid="_x0000_s1046" style="position:absolute;left:3816;top:24911;width:7137;height:9810;visibility:visible;mso-wrap-style:square;v-text-anchor:top" coordsize="112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" path="m,386r281,l281,1545r562,l843,386r281,l563,,,386xe" filled="f" strokecolor="#900" strokeweight=".00025mm">
                  <v:path arrowok="t" o:connecttype="custom" o:connectlocs="0,245110;178435,245110;178435,981075;535305,981075;535305,245110;713740,245110;357505,0;0,245110" o:connectangles="0,0,0,0,0,0,0,0"/>
                </v:shape>
                <v:shape id="Freeform 327" o:spid="_x0000_s1047" style="position:absolute;left:4686;top:4356;width:6623;height:10052;visibility:visible;mso-wrap-style:square;v-text-anchor:top" coordsize="1043,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" path="m470,145r110,55l587,204r7,5l601,214r6,8l642,260r37,46l714,354r33,50l780,457r30,57l837,571r28,59l890,693r23,63l935,823r20,67l972,959r16,72l1003,1103r11,75l1024,1253r9,76l1039,1406r3,79l1043,1566r,17l860,1583r,-14l859,1494r-3,-73l850,1347r-7,-70l834,1207r-11,-69l810,1070r-14,-65l780,941,761,879,741,820,721,761,698,705,673,652,649,600,621,551,594,505,565,462,537,420,505,381,470,342r29,22l390,309,470,145xm423,516l,74,608,,423,516xe" fillcolor="blue" strokecolor="blue" strokeweight="3e-5mm">
                  <v:path arrowok="t" o:connecttype="custom" o:connectlocs="298450,92075;368300,127000;372745,129540;377190,132715;381635,135890;385445,140970;407670,165100;431165,194310;453390,224790;474345,256540;495300,290195;514350,326390;531495,362585;549275,400050;565150,440055;579755,480060;593725,522605;606425,565150;617220,608965;627380,654685;636905,700405;643890,748030;650240,795655;655955,843915;659765,892810;661670,942975;662305,994410;662305,1005205;546100,1005205;546100,996315;545465,948690;543560,902335;539750,855345;535305,810895;529590,766445;522605,722630;514350,679450;505460,638175;495300,597535;483235,558165;470535,520700;457835,483235;443230,447675;427355,414020;412115,381000;394335,349885;377190,320675;358775,293370;340995,266700;320675,241935;298450,217170;316865,231140;247650,196215;298450,92075;268605,327660;0,46990;386080,0;268605,327660" o:connectangles="0,0,0,0,0,0,0,0,0,0,0,0,0,0,0,0,0,0,0,0,0,0,0,0,0,0,0,0,0,0,0,0,0,0,0,0,0,0,0,0,0,0,0,0,0,0,0,0,0,0,0,0,0,0,0,0,0,0"/>
                  <o:lock v:ext="edit" verticies="t"/>
                </v:shape>
                <v:rect id="Rectangle 328" o:spid="_x0000_s1048" style="position:absolute;left:5664;width:12706;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7311625" w14:textId="77777777" w:rsidR="00185BB9" w:rsidRDefault="00185BB9">
                        <w:r>
                          <w:rPr>
                            <w:rFonts w:ascii="Arial" w:hAnsi="Arial" w:cs="Arial"/>
                            <w:color w:val="000000"/>
                            <w:sz w:val="20"/>
                            <w:szCs w:val="20"/>
                          </w:rPr>
                          <w:t>Evaporative emissions</w:t>
                        </w:r>
                      </w:p>
                    </w:txbxContent>
                  </v:textbox>
                </v:rect>
                <v:rect id="Rectangle 329" o:spid="_x0000_s1049" style="position:absolute;left:5664;top:1466;width:11792;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BF0ABC5" w14:textId="77777777" w:rsidR="00185BB9" w:rsidRDefault="00185BB9">
                        <w:r>
                          <w:rPr>
                            <w:rFonts w:ascii="Arial" w:hAnsi="Arial" w:cs="Arial"/>
                            <w:color w:val="000000"/>
                            <w:sz w:val="20"/>
                            <w:szCs w:val="20"/>
                          </w:rPr>
                          <w:t>(see chapter 1.A.3.v)</w:t>
                        </w:r>
                      </w:p>
                    </w:txbxContent>
                  </v:textbox>
                </v:rect>
                <v:shape id="Freeform 330" o:spid="_x0000_s1050" style="position:absolute;left:22656;top:24212;width:5772;height:7626;visibility:visible;mso-wrap-style:square;v-text-anchor:top" coordsize="909,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" path="m444,1063r-98,-49l338,1010r-7,-6l323,997r-7,-7l289,957,260,918,231,876,205,833,179,788,156,741,135,693,113,645,95,593,77,541,61,488,47,432,36,376,26,320,17,261,10,202,4,141,1,79,,18,1,,184,9r-2,6l184,71r3,56l191,180r6,53l205,287r9,50l225,387r12,49l251,484r15,46l283,574r17,43l319,659r20,40l361,738r21,36l405,808r25,34l459,875,428,850r98,49l444,1063xm503,693r406,459l297,1201,503,693xe" fillcolor="blue" strokecolor="blue" strokeweight="3e-5mm">
                  <v:path arrowok="t" o:connecttype="custom" o:connectlocs="281940,675005;219710,643890;214630,641350;210185,637540;205105,633095;200660,628650;183515,607695;165100,582930;146685,556260;130175,528955;113665,500380;99060,470535;85725,440055;71755,409575;60325,376555;48895,343535;38735,309880;29845,274320;22860,238760;16510,203200;10795,165735;6350,128270;2540,89535;635,50165;0,11430;635,0;116840,5715;115570,9525;116840,45085;118745,80645;121285,114300;125095,147955;130175,182245;135890,213995;142875,245745;150495,276860;159385,307340;168910,336550;179705,364490;190500,391795;202565,418465;215265,443865;229235,468630;242570,491490;257175,513080;273050,534670;291465,555625;271780,539750;334010,570865;281940,675005;319405,440055;577215,731520;188595,762635;319405,440055" o:connectangles="0,0,0,0,0,0,0,0,0,0,0,0,0,0,0,0,0,0,0,0,0,0,0,0,0,0,0,0,0,0,0,0,0,0,0,0,0,0,0,0,0,0,0,0,0,0,0,0,0,0,0,0,0,0"/>
                  <o:lock v:ext="edit" verticies="t"/>
                </v:shape>
                <v:shape id="Freeform 331" o:spid="_x0000_s1051" style="position:absolute;left:32156;top:3962;width:6623;height:10052;visibility:visible;mso-wrap-style:square;v-text-anchor:top" coordsize="1043,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" path="m653,310l544,363r28,-22l538,381r-32,38l477,460r-28,44l421,551r-27,49l369,652r-24,53l322,761r-20,57l282,879r-19,62l247,1004r-14,66l220,1136r-12,69l200,1276r-7,70l187,1419r-3,74l182,1568r,14l,1583r,-18l1,1486r3,-79l10,1329r8,-78l29,1177r11,-75l54,1030,70,959,87,889r21,-68l129,755r23,-63l178,630r27,-60l234,512r30,-54l296,404r33,-51l364,305r37,-46l436,220r5,-5l449,209r7,-6l463,199,572,146r81,164xm434,r609,72l620,517,434,xe" fillcolor="red" strokecolor="red" strokeweight="3e-5mm">
                  <v:path arrowok="t" o:connecttype="custom" o:connectlocs="414655,196850;345440,230505;363220,216535;341630,241935;321310,266065;302895,292100;285115,320040;267335,349885;250190,381000;234315,414020;219075,447675;204470,483235;191770,519430;179070,558165;167005,597535;156845,637540;147955,679450;139700,721360;132080,765175;127000,810260;122555,854710;118745,901065;116840,948055;115570,995680;115570,1004570;0,1005205;0,993775;635,943610;2540,893445;6350,843915;11430,794385;18415,747395;25400,699770;34290,654050;44450,608965;55245,564515;68580,521335;81915,479425;96520,439420;113030,400050;130175,361950;148590,325120;167640,290830;187960,256540;208915,224155;231140,193675;254635,164465;276860,139700;280035,136525;285115,132715;289560,128905;294005,126365;363220,92710;414655,196850;275590,0;662305,45720;393700,328295;275590,0" o:connectangles="0,0,0,0,0,0,0,0,0,0,0,0,0,0,0,0,0,0,0,0,0,0,0,0,0,0,0,0,0,0,0,0,0,0,0,0,0,0,0,0,0,0,0,0,0,0,0,0,0,0,0,0,0,0,0,0,0,0"/>
                  <o:lock v:ext="edit" verticies="t"/>
                </v:shape>
                <v:rect id="Rectangle 332" o:spid="_x0000_s1052" style="position:absolute;left:39103;top:939;width:1376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9F5093E" w14:textId="77777777" w:rsidR="00185BB9" w:rsidRDefault="00185BB9">
                        <w:r>
                          <w:rPr>
                            <w:rFonts w:ascii="Arial" w:hAnsi="Arial" w:cs="Arial"/>
                            <w:color w:val="000000"/>
                            <w:sz w:val="26"/>
                            <w:szCs w:val="26"/>
                          </w:rPr>
                          <w:t>Exhaust emissions</w:t>
                        </w:r>
                      </w:p>
                    </w:txbxContent>
                  </v:textbox>
                </v:rect>
                <v:rect id="Rectangle 333" o:spid="_x0000_s1053" style="position:absolute;left:39103;top:2870;width:908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B086C26" w14:textId="77777777" w:rsidR="00185BB9" w:rsidRDefault="00185BB9">
                        <w:r>
                          <w:rPr>
                            <w:rFonts w:ascii="Arial" w:hAnsi="Arial" w:cs="Arial"/>
                            <w:color w:val="000000"/>
                            <w:sz w:val="26"/>
                            <w:szCs w:val="26"/>
                          </w:rPr>
                          <w:t>This chapter</w:t>
                        </w:r>
                      </w:p>
                    </w:txbxContent>
                  </v:textbox>
                </v:rect>
                <v:shapetype id="_x0000_t202" coordsize="21600,21600" o:spt="202" path="m,l,21600r21600,l21600,xe">
                  <v:stroke joinstyle="miter"/>
                  <v:path gradientshapeok="t" o:connecttype="rect"/>
                </v:shapetype>
                <v:shape id="Text Box 334" o:spid="_x0000_s1054" type="#_x0000_t202" style="position:absolute;left:4806;top:26701;width:4655;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" filled="f" fillcolor="#900" stroked="f">
                  <v:textbox style="layout-flow:vertical">
                    <w:txbxContent>
                      <w:p w14:paraId="6539297E" w14:textId="77777777" w:rsidR="00185BB9" w:rsidRPr="004A077B" w:rsidRDefault="00185BB9" w:rsidP="004A077B">
                        <w:pPr>
                          <w:jc w:val="center"/>
                          <w:rPr>
                            <w:rFonts w:ascii="Arial" w:hAnsi="Arial" w:cs="Arial"/>
                            <w:b/>
                            <w:color w:val="FFFFFF" w:themeColor="background1"/>
                            <w:sz w:val="34"/>
                            <w:szCs w:val="34"/>
                            <w:lang w:val="en-US"/>
                          </w:rPr>
                        </w:pPr>
                        <w:r w:rsidRPr="004A077B">
                          <w:rPr>
                            <w:rFonts w:ascii="Arial" w:hAnsi="Arial" w:cs="Arial"/>
                            <w:b/>
                            <w:color w:val="FFFFFF" w:themeColor="background1"/>
                            <w:sz w:val="34"/>
                            <w:szCs w:val="34"/>
                            <w:lang w:val="en-US"/>
                          </w:rPr>
                          <w:t>FUEL</w:t>
                        </w:r>
                      </w:p>
                    </w:txbxContent>
                  </v:textbox>
                </v:shape>
                <w10:anchorlock/>
              </v:group>
            </w:pict>
          </mc:Fallback>
        </mc:AlternateContent>
      </w:r>
    </w:p>
    <w:p w14:paraId="4DB18715" w14:textId="77777777" w:rsidR="001D2587" w:rsidRPr="000855B2" w:rsidRDefault="001D2587" w:rsidP="00AC1E78">
      <w:pPr>
        <w:pStyle w:val="Heading3"/>
      </w:pPr>
      <w:r w:rsidRPr="000855B2">
        <w:t>Summary of activities covered</w:t>
      </w:r>
    </w:p>
    <w:p w14:paraId="2E981FAD" w14:textId="4412F3C4" w:rsidR="00131917" w:rsidRDefault="001D2587" w:rsidP="00131917">
      <w:pPr>
        <w:pStyle w:val="BodyText"/>
      </w:pPr>
      <w:r w:rsidRPr="000855B2">
        <w:t xml:space="preserve">Exhaust emissions from road transport are reported </w:t>
      </w:r>
      <w:r w:rsidR="00175658" w:rsidRPr="000855B2">
        <w:t xml:space="preserve">according to the </w:t>
      </w:r>
      <w:r w:rsidRPr="000855B2">
        <w:t>four different NFR codes</w:t>
      </w:r>
      <w:r w:rsidR="00175658" w:rsidRPr="000855B2">
        <w:t xml:space="preserve"> listed in </w:t>
      </w:r>
      <w:r w:rsidR="00A040D1" w:rsidRPr="000855B2">
        <w:t>sub</w:t>
      </w:r>
      <w:r w:rsidR="00175658" w:rsidRPr="000855B2">
        <w:t>section 1.1. The correspondence between these</w:t>
      </w:r>
      <w:r w:rsidR="00C137CB" w:rsidRPr="000855B2">
        <w:t xml:space="preserve"> </w:t>
      </w:r>
      <w:r w:rsidR="00175658" w:rsidRPr="000855B2">
        <w:t xml:space="preserve">NFR codes and the </w:t>
      </w:r>
      <w:r w:rsidRPr="000855B2">
        <w:t>vehicle ca</w:t>
      </w:r>
      <w:r w:rsidR="00175658" w:rsidRPr="000855B2">
        <w:t>t</w:t>
      </w:r>
      <w:r w:rsidRPr="000855B2">
        <w:t>egories</w:t>
      </w:r>
      <w:r w:rsidR="00175658" w:rsidRPr="000855B2">
        <w:t xml:space="preserve"> specified by </w:t>
      </w:r>
      <w:r w:rsidR="008509E6" w:rsidRPr="000855B2">
        <w:t>the United Nations Economic Commission for Europe (</w:t>
      </w:r>
      <w:r w:rsidR="00175658" w:rsidRPr="000855B2">
        <w:t>UNECE</w:t>
      </w:r>
      <w:r w:rsidR="008509E6" w:rsidRPr="000855B2">
        <w:t>)</w:t>
      </w:r>
      <w:r w:rsidR="00175658" w:rsidRPr="000855B2">
        <w:t xml:space="preserve"> is explained in</w:t>
      </w:r>
      <w:r w:rsidR="00131917">
        <w:t xml:space="preserve"> </w:t>
      </w:r>
      <w:r w:rsidR="00E17971">
        <w:fldChar w:fldCharType="begin"/>
      </w:r>
      <w:r w:rsidR="00131917">
        <w:instrText xml:space="preserve"> REF _Ref476575706 \h </w:instrText>
      </w:r>
      <w:r w:rsidR="00E17971">
        <w:fldChar w:fldCharType="separate"/>
      </w:r>
      <w:r w:rsidR="0071604C">
        <w:t xml:space="preserve">Table </w:t>
      </w:r>
      <w:r w:rsidR="0071604C">
        <w:rPr>
          <w:noProof/>
        </w:rPr>
        <w:t>2</w:t>
      </w:r>
      <w:r w:rsidR="0071604C">
        <w:t>.</w:t>
      </w:r>
      <w:r w:rsidR="0071604C">
        <w:rPr>
          <w:noProof/>
        </w:rPr>
        <w:t>1</w:t>
      </w:r>
      <w:r w:rsidR="00E17971">
        <w:fldChar w:fldCharType="end"/>
      </w:r>
      <w:r w:rsidR="00131917">
        <w:t xml:space="preserve">. </w:t>
      </w:r>
      <w:r w:rsidRPr="000855B2">
        <w:rPr>
          <w:szCs w:val="21"/>
        </w:rPr>
        <w:t>For more detailed emission estimation methods these four categories are often sub-</w:t>
      </w:r>
      <w:r w:rsidRPr="000855B2">
        <w:t>divided</w:t>
      </w:r>
      <w:r w:rsidR="00175658" w:rsidRPr="000855B2">
        <w:t xml:space="preserve"> according to</w:t>
      </w:r>
      <w:r w:rsidRPr="000855B2">
        <w:t xml:space="preserve"> the</w:t>
      </w:r>
      <w:r w:rsidR="00175658" w:rsidRPr="000855B2">
        <w:t xml:space="preserve"> </w:t>
      </w:r>
      <w:r w:rsidRPr="000855B2">
        <w:t>fuel</w:t>
      </w:r>
      <w:r w:rsidR="00175658" w:rsidRPr="000855B2">
        <w:t xml:space="preserve"> used</w:t>
      </w:r>
      <w:r w:rsidRPr="000855B2">
        <w:t xml:space="preserve">, </w:t>
      </w:r>
      <w:r w:rsidR="00175658" w:rsidRPr="000855B2">
        <w:t xml:space="preserve">and by </w:t>
      </w:r>
      <w:r w:rsidRPr="000855B2">
        <w:t>engine size</w:t>
      </w:r>
      <w:r w:rsidR="00175658" w:rsidRPr="000855B2">
        <w:t xml:space="preserve">, </w:t>
      </w:r>
      <w:r w:rsidRPr="000855B2">
        <w:t>weight or technology</w:t>
      </w:r>
      <w:r w:rsidR="00175658" w:rsidRPr="000855B2">
        <w:t xml:space="preserve"> level of the vehicle</w:t>
      </w:r>
      <w:r w:rsidRPr="000855B2">
        <w:t xml:space="preserve">. </w:t>
      </w:r>
      <w:r w:rsidR="00175658" w:rsidRPr="000855B2">
        <w:t xml:space="preserve">For certain pollutants, the emission factors </w:t>
      </w:r>
      <w:r w:rsidRPr="000855B2">
        <w:t xml:space="preserve">can be </w:t>
      </w:r>
      <w:r w:rsidR="00175658" w:rsidRPr="000855B2">
        <w:t xml:space="preserve">further </w:t>
      </w:r>
      <w:r w:rsidRPr="000855B2">
        <w:t xml:space="preserve">sub-divided </w:t>
      </w:r>
      <w:r w:rsidR="00175658" w:rsidRPr="000855B2">
        <w:t>according to</w:t>
      </w:r>
      <w:r w:rsidRPr="000855B2">
        <w:t xml:space="preserve"> three types of driving: </w:t>
      </w:r>
      <w:r w:rsidR="00175658" w:rsidRPr="000855B2">
        <w:t>‘</w:t>
      </w:r>
      <w:r w:rsidRPr="000855B2">
        <w:t>highway</w:t>
      </w:r>
      <w:r w:rsidR="00175658" w:rsidRPr="000855B2">
        <w:t>’</w:t>
      </w:r>
      <w:r w:rsidRPr="000855B2">
        <w:t xml:space="preserve">, </w:t>
      </w:r>
      <w:r w:rsidR="00175658" w:rsidRPr="000855B2">
        <w:t>‘</w:t>
      </w:r>
      <w:r w:rsidRPr="000855B2">
        <w:t>rural</w:t>
      </w:r>
      <w:r w:rsidR="00175658" w:rsidRPr="000855B2">
        <w:t>’</w:t>
      </w:r>
      <w:r w:rsidRPr="000855B2">
        <w:t xml:space="preserve"> and </w:t>
      </w:r>
      <w:r w:rsidR="00175658" w:rsidRPr="000855B2">
        <w:t>‘</w:t>
      </w:r>
      <w:r w:rsidRPr="000855B2">
        <w:t>urban</w:t>
      </w:r>
      <w:r w:rsidR="00175658" w:rsidRPr="000855B2">
        <w:t>’</w:t>
      </w:r>
      <w:r w:rsidRPr="000855B2">
        <w:t>.</w:t>
      </w:r>
      <w:bookmarkStart w:id="15" w:name="_Ref394993563"/>
      <w:bookmarkStart w:id="16" w:name="_Ref461359945"/>
      <w:bookmarkStart w:id="17" w:name="_Ref197484845"/>
      <w:bookmarkStart w:id="18" w:name="_Ref140399244"/>
    </w:p>
    <w:p w14:paraId="6DB21E40" w14:textId="77777777" w:rsidR="00167D6A" w:rsidRDefault="00167D6A" w:rsidP="00131917">
      <w:pPr>
        <w:pStyle w:val="BodyText"/>
      </w:pPr>
    </w:p>
    <w:p w14:paraId="1D03EAAB" w14:textId="0DEA9CEA" w:rsidR="00F72AFB" w:rsidRPr="00E43131" w:rsidRDefault="00131917" w:rsidP="00131917">
      <w:pPr>
        <w:pStyle w:val="Caption"/>
      </w:pPr>
      <w:bookmarkStart w:id="19" w:name="_Ref476575706"/>
      <w:bookmarkEnd w:id="15"/>
      <w:bookmarkEnd w:id="16"/>
      <w:r>
        <w:t xml:space="preserve">Table </w:t>
      </w:r>
      <w:r w:rsidR="00FB454C">
        <w:fldChar w:fldCharType="begin"/>
      </w:r>
      <w:r w:rsidR="00FB454C">
        <w:instrText xml:space="preserve"> STYLEREF 1 \s </w:instrText>
      </w:r>
      <w:r w:rsidR="00FB454C">
        <w:fldChar w:fldCharType="separate"/>
      </w:r>
      <w:r w:rsidR="0071604C">
        <w:rPr>
          <w:noProof/>
        </w:rPr>
        <w:t>2</w:t>
      </w:r>
      <w:r w:rsidR="00FB454C">
        <w:rPr>
          <w:noProof/>
        </w:rPr>
        <w:fldChar w:fldCharType="end"/>
      </w:r>
      <w:r>
        <w:t>.</w:t>
      </w:r>
      <w:r w:rsidR="00FB454C">
        <w:fldChar w:fldCharType="begin"/>
      </w:r>
      <w:r w:rsidR="00FB454C">
        <w:instrText xml:space="preserve"> SEQ Table \* ARABIC \s 1 </w:instrText>
      </w:r>
      <w:r w:rsidR="00FB454C">
        <w:fldChar w:fldCharType="separate"/>
      </w:r>
      <w:r w:rsidR="0071604C">
        <w:rPr>
          <w:noProof/>
        </w:rPr>
        <w:t>1</w:t>
      </w:r>
      <w:r w:rsidR="00FB454C">
        <w:rPr>
          <w:noProof/>
        </w:rPr>
        <w:fldChar w:fldCharType="end"/>
      </w:r>
      <w:bookmarkEnd w:id="19"/>
      <w:r>
        <w:t xml:space="preserve">: </w:t>
      </w:r>
      <w:r w:rsidR="00F72AFB" w:rsidRPr="00E43131">
        <w:t>Definition of road vehicle categories</w:t>
      </w:r>
    </w:p>
    <w:tbl>
      <w:tblPr>
        <w:tblW w:w="8519" w:type="dxa"/>
        <w:tblLook w:val="04A0" w:firstRow="1" w:lastRow="0" w:firstColumn="1" w:lastColumn="0" w:noHBand="0" w:noVBand="1"/>
      </w:tblPr>
      <w:tblGrid>
        <w:gridCol w:w="1020"/>
        <w:gridCol w:w="1640"/>
        <w:gridCol w:w="2457"/>
        <w:gridCol w:w="3402"/>
      </w:tblGrid>
      <w:tr w:rsidR="005942B3" w:rsidRPr="00B11673" w14:paraId="4669BCC5" w14:textId="77777777" w:rsidTr="00246BA6">
        <w:trPr>
          <w:trHeight w:val="300"/>
        </w:trPr>
        <w:tc>
          <w:tcPr>
            <w:tcW w:w="1020" w:type="dxa"/>
            <w:tcBorders>
              <w:top w:val="double" w:sz="4" w:space="0" w:color="auto"/>
              <w:left w:val="double" w:sz="4" w:space="0" w:color="auto"/>
              <w:bottom w:val="single" w:sz="12" w:space="0" w:color="auto"/>
              <w:right w:val="single" w:sz="4" w:space="0" w:color="auto"/>
            </w:tcBorders>
            <w:shd w:val="clear" w:color="auto" w:fill="auto"/>
            <w:noWrap/>
            <w:vAlign w:val="center"/>
            <w:hideMark/>
          </w:tcPr>
          <w:bookmarkEnd w:id="17"/>
          <w:bookmarkEnd w:id="18"/>
          <w:p w14:paraId="3A4E6C27" w14:textId="77777777" w:rsidR="005942B3" w:rsidRPr="00B11673" w:rsidRDefault="005942B3" w:rsidP="00B11673">
            <w:pPr>
              <w:spacing w:line="240" w:lineRule="auto"/>
              <w:jc w:val="center"/>
              <w:rPr>
                <w:rFonts w:cs="Open Sans"/>
                <w:b/>
                <w:szCs w:val="18"/>
                <w:lang w:val="en-GB"/>
              </w:rPr>
            </w:pPr>
            <w:r w:rsidRPr="00B11673">
              <w:rPr>
                <w:rFonts w:cs="Open Sans"/>
                <w:b/>
                <w:szCs w:val="18"/>
                <w:lang w:val="en-GB"/>
              </w:rPr>
              <w:t>NFR Code</w:t>
            </w:r>
          </w:p>
        </w:tc>
        <w:tc>
          <w:tcPr>
            <w:tcW w:w="4097" w:type="dxa"/>
            <w:gridSpan w:val="2"/>
            <w:tcBorders>
              <w:top w:val="double" w:sz="4" w:space="0" w:color="auto"/>
              <w:left w:val="nil"/>
              <w:bottom w:val="single" w:sz="12" w:space="0" w:color="auto"/>
              <w:right w:val="single" w:sz="4" w:space="0" w:color="auto"/>
            </w:tcBorders>
            <w:shd w:val="clear" w:color="auto" w:fill="auto"/>
            <w:noWrap/>
            <w:vAlign w:val="center"/>
            <w:hideMark/>
          </w:tcPr>
          <w:p w14:paraId="6D97D953" w14:textId="77777777" w:rsidR="005942B3" w:rsidRPr="00B11673" w:rsidRDefault="005942B3" w:rsidP="00B11673">
            <w:pPr>
              <w:spacing w:line="240" w:lineRule="auto"/>
              <w:jc w:val="center"/>
              <w:rPr>
                <w:rFonts w:cs="Open Sans"/>
                <w:b/>
                <w:szCs w:val="18"/>
                <w:lang w:val="en-GB"/>
              </w:rPr>
            </w:pPr>
            <w:r w:rsidRPr="00B11673">
              <w:rPr>
                <w:rFonts w:cs="Open Sans"/>
                <w:b/>
                <w:szCs w:val="18"/>
                <w:lang w:val="en-GB"/>
              </w:rPr>
              <w:t>Vehicle category</w:t>
            </w:r>
          </w:p>
        </w:tc>
        <w:tc>
          <w:tcPr>
            <w:tcW w:w="3402" w:type="dxa"/>
            <w:tcBorders>
              <w:top w:val="double" w:sz="4" w:space="0" w:color="auto"/>
              <w:left w:val="nil"/>
              <w:bottom w:val="single" w:sz="12" w:space="0" w:color="auto"/>
              <w:right w:val="double" w:sz="4" w:space="0" w:color="auto"/>
            </w:tcBorders>
            <w:shd w:val="clear" w:color="auto" w:fill="auto"/>
            <w:noWrap/>
            <w:vAlign w:val="center"/>
            <w:hideMark/>
          </w:tcPr>
          <w:p w14:paraId="75793817" w14:textId="77777777" w:rsidR="005942B3" w:rsidRPr="00B11673" w:rsidRDefault="005942B3" w:rsidP="00B11673">
            <w:pPr>
              <w:spacing w:line="240" w:lineRule="auto"/>
              <w:jc w:val="center"/>
              <w:rPr>
                <w:rFonts w:cs="Open Sans"/>
                <w:b/>
                <w:szCs w:val="18"/>
                <w:lang w:val="en-GB"/>
              </w:rPr>
            </w:pPr>
            <w:r w:rsidRPr="00B11673">
              <w:rPr>
                <w:rFonts w:cs="Open Sans"/>
                <w:b/>
                <w:szCs w:val="18"/>
                <w:lang w:val="en-GB"/>
              </w:rPr>
              <w:t>Official Classification</w:t>
            </w:r>
          </w:p>
        </w:tc>
      </w:tr>
      <w:tr w:rsidR="005942B3" w:rsidRPr="00B11673" w14:paraId="6E43BAC0" w14:textId="77777777" w:rsidTr="00246BA6">
        <w:trPr>
          <w:trHeight w:val="300"/>
        </w:trPr>
        <w:tc>
          <w:tcPr>
            <w:tcW w:w="1020" w:type="dxa"/>
            <w:vMerge w:val="restart"/>
            <w:tcBorders>
              <w:top w:val="single" w:sz="12" w:space="0" w:color="auto"/>
              <w:left w:val="double" w:sz="4" w:space="0" w:color="auto"/>
              <w:bottom w:val="single" w:sz="4" w:space="0" w:color="auto"/>
              <w:right w:val="single" w:sz="4" w:space="0" w:color="auto"/>
            </w:tcBorders>
            <w:shd w:val="clear" w:color="auto" w:fill="auto"/>
            <w:noWrap/>
            <w:vAlign w:val="center"/>
            <w:hideMark/>
          </w:tcPr>
          <w:p w14:paraId="617BB97D" w14:textId="77777777" w:rsidR="005942B3" w:rsidRPr="00B11673" w:rsidRDefault="005942B3" w:rsidP="00410789">
            <w:pPr>
              <w:spacing w:line="240" w:lineRule="auto"/>
              <w:rPr>
                <w:rFonts w:cs="Open Sans"/>
                <w:szCs w:val="18"/>
                <w:lang w:val="en-GB"/>
              </w:rPr>
            </w:pPr>
            <w:r w:rsidRPr="00B11673">
              <w:rPr>
                <w:rFonts w:cs="Open Sans"/>
                <w:szCs w:val="18"/>
                <w:lang w:val="en-GB"/>
              </w:rPr>
              <w:t>1.A.3.b.i</w:t>
            </w:r>
          </w:p>
        </w:tc>
        <w:tc>
          <w:tcPr>
            <w:tcW w:w="4097" w:type="dxa"/>
            <w:gridSpan w:val="2"/>
            <w:tcBorders>
              <w:top w:val="single" w:sz="12" w:space="0" w:color="auto"/>
              <w:left w:val="nil"/>
              <w:bottom w:val="single" w:sz="4" w:space="0" w:color="auto"/>
              <w:right w:val="single" w:sz="4" w:space="0" w:color="auto"/>
            </w:tcBorders>
            <w:shd w:val="clear" w:color="auto" w:fill="auto"/>
            <w:noWrap/>
            <w:vAlign w:val="center"/>
            <w:hideMark/>
          </w:tcPr>
          <w:p w14:paraId="6287EE23" w14:textId="77777777" w:rsidR="005942B3" w:rsidRPr="00B11673" w:rsidRDefault="005942B3" w:rsidP="00410789">
            <w:pPr>
              <w:spacing w:line="240" w:lineRule="auto"/>
              <w:rPr>
                <w:rFonts w:cs="Open Sans"/>
                <w:b/>
                <w:szCs w:val="18"/>
                <w:lang w:val="en-GB"/>
              </w:rPr>
            </w:pPr>
            <w:r w:rsidRPr="00B11673">
              <w:rPr>
                <w:rFonts w:cs="Open Sans"/>
                <w:b/>
                <w:szCs w:val="18"/>
                <w:lang w:val="en-GB"/>
              </w:rPr>
              <w:t>Passenger Cars</w:t>
            </w:r>
          </w:p>
        </w:tc>
        <w:tc>
          <w:tcPr>
            <w:tcW w:w="3402" w:type="dxa"/>
            <w:vMerge w:val="restart"/>
            <w:tcBorders>
              <w:top w:val="single" w:sz="12" w:space="0" w:color="auto"/>
              <w:left w:val="single" w:sz="4" w:space="0" w:color="auto"/>
              <w:bottom w:val="single" w:sz="4" w:space="0" w:color="auto"/>
              <w:right w:val="double" w:sz="4" w:space="0" w:color="auto"/>
            </w:tcBorders>
            <w:shd w:val="clear" w:color="auto" w:fill="auto"/>
            <w:vAlign w:val="center"/>
            <w:hideMark/>
          </w:tcPr>
          <w:p w14:paraId="13C7ACFA"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M1</w:t>
            </w:r>
            <w:r w:rsidRPr="00B11673">
              <w:rPr>
                <w:rFonts w:cs="Open Sans"/>
                <w:szCs w:val="18"/>
                <w:lang w:val="en-GB"/>
              </w:rPr>
              <w:t>: vehicles used for the carriage of passengers and comprising not more than eight seats in addition to the driver's seat.</w:t>
            </w:r>
          </w:p>
        </w:tc>
      </w:tr>
      <w:tr w:rsidR="005942B3" w:rsidRPr="00B11673" w14:paraId="2C1E7A08"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37603FFA"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28326C7"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7C73424F"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6CC3BC5F" w14:textId="77777777" w:rsidR="005942B3" w:rsidRPr="00B11673" w:rsidRDefault="005942B3" w:rsidP="00B11673">
            <w:pPr>
              <w:spacing w:line="240" w:lineRule="auto"/>
              <w:jc w:val="center"/>
              <w:rPr>
                <w:rFonts w:cs="Open Sans"/>
                <w:szCs w:val="18"/>
                <w:lang w:val="en-GB"/>
              </w:rPr>
            </w:pPr>
          </w:p>
        </w:tc>
      </w:tr>
      <w:tr w:rsidR="005942B3" w:rsidRPr="00B11673" w14:paraId="1DBE8822"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83C3F94"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A5FCCDC"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3842E153"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78CAF8FA" w14:textId="77777777" w:rsidR="005942B3" w:rsidRPr="00B11673" w:rsidRDefault="005942B3" w:rsidP="00B11673">
            <w:pPr>
              <w:spacing w:line="240" w:lineRule="auto"/>
              <w:jc w:val="center"/>
              <w:rPr>
                <w:rFonts w:cs="Open Sans"/>
                <w:szCs w:val="18"/>
                <w:lang w:val="en-GB"/>
              </w:rPr>
            </w:pPr>
          </w:p>
        </w:tc>
      </w:tr>
      <w:tr w:rsidR="005942B3" w:rsidRPr="00B11673" w14:paraId="15C3918A"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317936D3"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2391884"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336E4DF4"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29B166DA" w14:textId="77777777" w:rsidR="005942B3" w:rsidRPr="00B11673" w:rsidRDefault="005942B3" w:rsidP="00B11673">
            <w:pPr>
              <w:spacing w:line="240" w:lineRule="auto"/>
              <w:jc w:val="center"/>
              <w:rPr>
                <w:rFonts w:cs="Open Sans"/>
                <w:szCs w:val="18"/>
                <w:lang w:val="en-GB"/>
              </w:rPr>
            </w:pPr>
          </w:p>
        </w:tc>
      </w:tr>
      <w:tr w:rsidR="005942B3" w:rsidRPr="00B11673" w14:paraId="34867635"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0AB3148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3275E21"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6852DEB8"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4E3724AA" w14:textId="77777777" w:rsidR="005942B3" w:rsidRPr="00B11673" w:rsidRDefault="005942B3" w:rsidP="00B11673">
            <w:pPr>
              <w:spacing w:line="240" w:lineRule="auto"/>
              <w:jc w:val="center"/>
              <w:rPr>
                <w:rFonts w:cs="Open Sans"/>
                <w:szCs w:val="18"/>
                <w:lang w:val="en-GB"/>
              </w:rPr>
            </w:pPr>
          </w:p>
        </w:tc>
      </w:tr>
      <w:tr w:rsidR="005942B3" w:rsidRPr="00B11673" w14:paraId="1AC1308F"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571B10A"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5A181AF"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6FF8E120"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39E17E90" w14:textId="77777777" w:rsidR="005942B3" w:rsidRPr="00B11673" w:rsidRDefault="005942B3" w:rsidP="00B11673">
            <w:pPr>
              <w:spacing w:line="240" w:lineRule="auto"/>
              <w:jc w:val="center"/>
              <w:rPr>
                <w:rFonts w:cs="Open Sans"/>
                <w:szCs w:val="18"/>
                <w:lang w:val="en-GB"/>
              </w:rPr>
            </w:pPr>
          </w:p>
        </w:tc>
      </w:tr>
      <w:tr w:rsidR="005942B3" w:rsidRPr="00B11673" w14:paraId="4C9601C2"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0070940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9EC6FBD"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E87AEA0"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36433D5E" w14:textId="77777777" w:rsidR="005942B3" w:rsidRPr="00B11673" w:rsidRDefault="005942B3" w:rsidP="00B11673">
            <w:pPr>
              <w:spacing w:line="240" w:lineRule="auto"/>
              <w:jc w:val="center"/>
              <w:rPr>
                <w:rFonts w:cs="Open Sans"/>
                <w:szCs w:val="18"/>
                <w:lang w:val="en-GB"/>
              </w:rPr>
            </w:pPr>
          </w:p>
        </w:tc>
      </w:tr>
      <w:tr w:rsidR="005942B3" w:rsidRPr="00B11673" w14:paraId="0BCBDE3C"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31CE5BA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49FBA69"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0EBF41B0"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5A47B3DC" w14:textId="77777777" w:rsidR="005942B3" w:rsidRPr="00B11673" w:rsidRDefault="005942B3" w:rsidP="00B11673">
            <w:pPr>
              <w:spacing w:line="240" w:lineRule="auto"/>
              <w:jc w:val="center"/>
              <w:rPr>
                <w:rFonts w:cs="Open Sans"/>
                <w:szCs w:val="18"/>
                <w:lang w:val="en-GB"/>
              </w:rPr>
            </w:pPr>
          </w:p>
        </w:tc>
      </w:tr>
      <w:tr w:rsidR="005942B3" w:rsidRPr="00B11673" w14:paraId="78F5E9B3"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7195913"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27AE700"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0FFCAE37"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6BB424D5" w14:textId="77777777" w:rsidR="005942B3" w:rsidRPr="00B11673" w:rsidRDefault="005942B3" w:rsidP="00B11673">
            <w:pPr>
              <w:spacing w:line="240" w:lineRule="auto"/>
              <w:jc w:val="center"/>
              <w:rPr>
                <w:rFonts w:cs="Open Sans"/>
                <w:szCs w:val="18"/>
                <w:lang w:val="en-GB"/>
              </w:rPr>
            </w:pPr>
          </w:p>
        </w:tc>
      </w:tr>
      <w:tr w:rsidR="005942B3" w:rsidRPr="00B11673" w14:paraId="0259D4D7"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0D136EA4"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D8851BC"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31B47011"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723BFCB0" w14:textId="77777777" w:rsidR="005942B3" w:rsidRPr="00B11673" w:rsidRDefault="005942B3" w:rsidP="00B11673">
            <w:pPr>
              <w:spacing w:line="240" w:lineRule="auto"/>
              <w:jc w:val="center"/>
              <w:rPr>
                <w:rFonts w:cs="Open Sans"/>
                <w:szCs w:val="18"/>
                <w:lang w:val="en-GB"/>
              </w:rPr>
            </w:pPr>
          </w:p>
        </w:tc>
      </w:tr>
      <w:tr w:rsidR="005942B3" w:rsidRPr="00B11673" w14:paraId="02B3B6F1"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4B46FAF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D16E524"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7261A03E"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264D68A1" w14:textId="77777777" w:rsidR="005942B3" w:rsidRPr="00B11673" w:rsidRDefault="005942B3" w:rsidP="00B11673">
            <w:pPr>
              <w:spacing w:line="240" w:lineRule="auto"/>
              <w:jc w:val="center"/>
              <w:rPr>
                <w:rFonts w:cs="Open Sans"/>
                <w:szCs w:val="18"/>
                <w:lang w:val="en-GB"/>
              </w:rPr>
            </w:pPr>
          </w:p>
        </w:tc>
      </w:tr>
      <w:tr w:rsidR="005942B3" w:rsidRPr="00B11673" w14:paraId="0B4DCF94"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437DF5D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24D4573"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796E1F6C"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10B8597D" w14:textId="77777777" w:rsidR="005942B3" w:rsidRPr="00B11673" w:rsidRDefault="005942B3" w:rsidP="00B11673">
            <w:pPr>
              <w:spacing w:line="240" w:lineRule="auto"/>
              <w:jc w:val="center"/>
              <w:rPr>
                <w:rFonts w:cs="Open Sans"/>
                <w:szCs w:val="18"/>
                <w:lang w:val="en-GB"/>
              </w:rPr>
            </w:pPr>
          </w:p>
        </w:tc>
      </w:tr>
      <w:tr w:rsidR="005942B3" w:rsidRPr="00B11673" w14:paraId="55CFC790"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432118F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7C7780C" w14:textId="77777777" w:rsidR="005942B3" w:rsidRPr="00B11673" w:rsidRDefault="005942B3" w:rsidP="00410789">
            <w:pPr>
              <w:spacing w:line="240" w:lineRule="auto"/>
              <w:rPr>
                <w:rFonts w:cs="Open Sans"/>
                <w:szCs w:val="18"/>
                <w:lang w:val="en-GB"/>
              </w:rPr>
            </w:pPr>
            <w:r w:rsidRPr="00B11673">
              <w:rPr>
                <w:rFonts w:cs="Open Sans"/>
                <w:szCs w:val="18"/>
                <w:lang w:val="en-GB"/>
              </w:rPr>
              <w:t>Petrol Hybrid</w:t>
            </w:r>
          </w:p>
        </w:tc>
        <w:tc>
          <w:tcPr>
            <w:tcW w:w="2457" w:type="dxa"/>
            <w:tcBorders>
              <w:top w:val="nil"/>
              <w:left w:val="nil"/>
              <w:bottom w:val="single" w:sz="4" w:space="0" w:color="auto"/>
              <w:right w:val="single" w:sz="4" w:space="0" w:color="auto"/>
            </w:tcBorders>
            <w:shd w:val="clear" w:color="auto" w:fill="auto"/>
            <w:noWrap/>
            <w:vAlign w:val="center"/>
            <w:hideMark/>
          </w:tcPr>
          <w:p w14:paraId="6A5546AA"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6484CD95" w14:textId="77777777" w:rsidR="005942B3" w:rsidRPr="00B11673" w:rsidRDefault="005942B3" w:rsidP="00B11673">
            <w:pPr>
              <w:spacing w:line="240" w:lineRule="auto"/>
              <w:jc w:val="center"/>
              <w:rPr>
                <w:rFonts w:cs="Open Sans"/>
                <w:szCs w:val="18"/>
                <w:lang w:val="en-GB"/>
              </w:rPr>
            </w:pPr>
          </w:p>
        </w:tc>
      </w:tr>
      <w:tr w:rsidR="005942B3" w:rsidRPr="00B11673" w14:paraId="478B58E6"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1F27B183"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0D1AC08"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16C186A6"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19575CAF" w14:textId="77777777" w:rsidR="005942B3" w:rsidRPr="00B11673" w:rsidRDefault="005942B3" w:rsidP="00B11673">
            <w:pPr>
              <w:spacing w:line="240" w:lineRule="auto"/>
              <w:jc w:val="center"/>
              <w:rPr>
                <w:rFonts w:cs="Open Sans"/>
                <w:szCs w:val="18"/>
                <w:lang w:val="en-GB"/>
              </w:rPr>
            </w:pPr>
          </w:p>
        </w:tc>
      </w:tr>
      <w:tr w:rsidR="005942B3" w:rsidRPr="00B11673" w14:paraId="31CC6C3A"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47DE59A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8223D4D"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14968074"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6CCA8E92" w14:textId="77777777" w:rsidR="005942B3" w:rsidRPr="00B11673" w:rsidRDefault="005942B3" w:rsidP="00B11673">
            <w:pPr>
              <w:spacing w:line="240" w:lineRule="auto"/>
              <w:jc w:val="center"/>
              <w:rPr>
                <w:rFonts w:cs="Open Sans"/>
                <w:szCs w:val="18"/>
                <w:lang w:val="en-GB"/>
              </w:rPr>
            </w:pPr>
          </w:p>
        </w:tc>
      </w:tr>
      <w:tr w:rsidR="005942B3" w:rsidRPr="00B11673" w14:paraId="56A37628"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0A60CA3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E3A24A0"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579BF201"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149FEF13" w14:textId="77777777" w:rsidR="005942B3" w:rsidRPr="00B11673" w:rsidRDefault="005942B3" w:rsidP="00B11673">
            <w:pPr>
              <w:spacing w:line="240" w:lineRule="auto"/>
              <w:jc w:val="center"/>
              <w:rPr>
                <w:rFonts w:cs="Open Sans"/>
                <w:szCs w:val="18"/>
                <w:lang w:val="en-GB"/>
              </w:rPr>
            </w:pPr>
          </w:p>
        </w:tc>
      </w:tr>
      <w:tr w:rsidR="005942B3" w:rsidRPr="00B11673" w14:paraId="7B03F15C"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57F8B69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B81CBCB" w14:textId="77777777" w:rsidR="005942B3" w:rsidRPr="00B11673" w:rsidRDefault="005942B3" w:rsidP="00410789">
            <w:pPr>
              <w:spacing w:line="240" w:lineRule="auto"/>
              <w:rPr>
                <w:rFonts w:cs="Open Sans"/>
                <w:szCs w:val="18"/>
                <w:lang w:val="en-GB"/>
              </w:rPr>
            </w:pPr>
            <w:r w:rsidRPr="00B11673">
              <w:rPr>
                <w:rFonts w:cs="Open Sans"/>
                <w:szCs w:val="18"/>
                <w:lang w:val="en-GB"/>
              </w:rPr>
              <w:t>LPG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3D741E23"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2AB4F411" w14:textId="77777777" w:rsidR="005942B3" w:rsidRPr="00B11673" w:rsidRDefault="005942B3" w:rsidP="00B11673">
            <w:pPr>
              <w:spacing w:line="240" w:lineRule="auto"/>
              <w:jc w:val="center"/>
              <w:rPr>
                <w:rFonts w:cs="Open Sans"/>
                <w:szCs w:val="18"/>
                <w:lang w:val="en-GB"/>
              </w:rPr>
            </w:pPr>
          </w:p>
        </w:tc>
      </w:tr>
      <w:tr w:rsidR="005942B3" w:rsidRPr="00B11673" w14:paraId="020C7EB2"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614F57A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BE34810"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19505AD7" w14:textId="77777777" w:rsidR="005942B3" w:rsidRPr="00B11673" w:rsidRDefault="005942B3" w:rsidP="00410789">
            <w:pPr>
              <w:spacing w:line="240" w:lineRule="auto"/>
              <w:rPr>
                <w:rFonts w:cs="Open Sans"/>
                <w:szCs w:val="18"/>
                <w:lang w:val="en-GB"/>
              </w:rPr>
            </w:pPr>
            <w:r w:rsidRPr="00B11673">
              <w:rPr>
                <w:rFonts w:cs="Open Sans"/>
                <w:szCs w:val="18"/>
                <w:lang w:val="en-GB"/>
              </w:rPr>
              <w:t>Mini</w:t>
            </w:r>
          </w:p>
        </w:tc>
        <w:tc>
          <w:tcPr>
            <w:tcW w:w="3402" w:type="dxa"/>
            <w:vMerge/>
            <w:tcBorders>
              <w:top w:val="nil"/>
              <w:left w:val="single" w:sz="4" w:space="0" w:color="auto"/>
              <w:bottom w:val="single" w:sz="4" w:space="0" w:color="auto"/>
              <w:right w:val="double" w:sz="4" w:space="0" w:color="auto"/>
            </w:tcBorders>
            <w:vAlign w:val="center"/>
            <w:hideMark/>
          </w:tcPr>
          <w:p w14:paraId="3AB9B975" w14:textId="77777777" w:rsidR="005942B3" w:rsidRPr="00B11673" w:rsidRDefault="005942B3" w:rsidP="00B11673">
            <w:pPr>
              <w:spacing w:line="240" w:lineRule="auto"/>
              <w:jc w:val="center"/>
              <w:rPr>
                <w:rFonts w:cs="Open Sans"/>
                <w:szCs w:val="18"/>
                <w:lang w:val="en-GB"/>
              </w:rPr>
            </w:pPr>
          </w:p>
        </w:tc>
      </w:tr>
      <w:tr w:rsidR="005942B3" w:rsidRPr="00B11673" w14:paraId="6AFDB1B0"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34652731"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79D42F2"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571DF49C" w14:textId="77777777" w:rsidR="005942B3" w:rsidRPr="00B11673" w:rsidRDefault="005942B3" w:rsidP="00410789">
            <w:pPr>
              <w:spacing w:line="240" w:lineRule="auto"/>
              <w:rPr>
                <w:rFonts w:cs="Open Sans"/>
                <w:szCs w:val="18"/>
                <w:lang w:val="en-GB"/>
              </w:rPr>
            </w:pPr>
            <w:r w:rsidRPr="00B11673">
              <w:rPr>
                <w:rFonts w:cs="Open Sans"/>
                <w:szCs w:val="18"/>
                <w:lang w:val="en-GB"/>
              </w:rPr>
              <w:t>Small</w:t>
            </w:r>
          </w:p>
        </w:tc>
        <w:tc>
          <w:tcPr>
            <w:tcW w:w="3402" w:type="dxa"/>
            <w:vMerge/>
            <w:tcBorders>
              <w:top w:val="nil"/>
              <w:left w:val="single" w:sz="4" w:space="0" w:color="auto"/>
              <w:bottom w:val="single" w:sz="4" w:space="0" w:color="auto"/>
              <w:right w:val="double" w:sz="4" w:space="0" w:color="auto"/>
            </w:tcBorders>
            <w:vAlign w:val="center"/>
            <w:hideMark/>
          </w:tcPr>
          <w:p w14:paraId="333DF571" w14:textId="77777777" w:rsidR="005942B3" w:rsidRPr="00B11673" w:rsidRDefault="005942B3" w:rsidP="00B11673">
            <w:pPr>
              <w:spacing w:line="240" w:lineRule="auto"/>
              <w:jc w:val="center"/>
              <w:rPr>
                <w:rFonts w:cs="Open Sans"/>
                <w:szCs w:val="18"/>
                <w:lang w:val="en-GB"/>
              </w:rPr>
            </w:pPr>
          </w:p>
        </w:tc>
      </w:tr>
      <w:tr w:rsidR="005942B3" w:rsidRPr="00B11673" w14:paraId="11D13282"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1968B4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769CA48"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2081FB6F" w14:textId="77777777" w:rsidR="005942B3" w:rsidRPr="00B11673" w:rsidRDefault="005942B3" w:rsidP="00410789">
            <w:pPr>
              <w:spacing w:line="240" w:lineRule="auto"/>
              <w:rPr>
                <w:rFonts w:cs="Open Sans"/>
                <w:szCs w:val="18"/>
                <w:lang w:val="en-GB"/>
              </w:rPr>
            </w:pPr>
            <w:r w:rsidRPr="00B11673">
              <w:rPr>
                <w:rFonts w:cs="Open Sans"/>
                <w:szCs w:val="18"/>
                <w:lang w:val="en-GB"/>
              </w:rPr>
              <w:t>Medium</w:t>
            </w:r>
          </w:p>
        </w:tc>
        <w:tc>
          <w:tcPr>
            <w:tcW w:w="3402" w:type="dxa"/>
            <w:vMerge/>
            <w:tcBorders>
              <w:top w:val="nil"/>
              <w:left w:val="single" w:sz="4" w:space="0" w:color="auto"/>
              <w:bottom w:val="single" w:sz="4" w:space="0" w:color="auto"/>
              <w:right w:val="double" w:sz="4" w:space="0" w:color="auto"/>
            </w:tcBorders>
            <w:vAlign w:val="center"/>
            <w:hideMark/>
          </w:tcPr>
          <w:p w14:paraId="35978B8B" w14:textId="77777777" w:rsidR="005942B3" w:rsidRPr="00B11673" w:rsidRDefault="005942B3" w:rsidP="00B11673">
            <w:pPr>
              <w:spacing w:line="240" w:lineRule="auto"/>
              <w:jc w:val="center"/>
              <w:rPr>
                <w:rFonts w:cs="Open Sans"/>
                <w:szCs w:val="18"/>
                <w:lang w:val="en-GB"/>
              </w:rPr>
            </w:pPr>
          </w:p>
        </w:tc>
      </w:tr>
      <w:tr w:rsidR="005942B3" w:rsidRPr="00B11673" w14:paraId="2354FE0A"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18B64FE"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BAE2DDA" w14:textId="77777777" w:rsidR="005942B3" w:rsidRPr="00B11673" w:rsidRDefault="005942B3" w:rsidP="00410789">
            <w:pPr>
              <w:spacing w:line="240" w:lineRule="auto"/>
              <w:rPr>
                <w:rFonts w:cs="Open Sans"/>
                <w:szCs w:val="18"/>
                <w:lang w:val="en-GB"/>
              </w:rPr>
            </w:pPr>
            <w:r w:rsidRPr="00B11673">
              <w:rPr>
                <w:rFonts w:cs="Open Sans"/>
                <w:szCs w:val="18"/>
                <w:lang w:val="en-GB"/>
              </w:rPr>
              <w:t>CNG Bi</w:t>
            </w:r>
            <w:r w:rsidR="00B92368">
              <w:rPr>
                <w:rFonts w:cs="Open Sans"/>
                <w:szCs w:val="18"/>
                <w:lang w:val="en-GB"/>
              </w:rPr>
              <w:t>-</w:t>
            </w:r>
            <w:r w:rsidRPr="00B11673">
              <w:rPr>
                <w:rFonts w:cs="Open Sans"/>
                <w:szCs w:val="18"/>
                <w:lang w:val="en-GB"/>
              </w:rPr>
              <w:t>fuel</w:t>
            </w:r>
          </w:p>
        </w:tc>
        <w:tc>
          <w:tcPr>
            <w:tcW w:w="2457" w:type="dxa"/>
            <w:tcBorders>
              <w:top w:val="nil"/>
              <w:left w:val="nil"/>
              <w:bottom w:val="single" w:sz="4" w:space="0" w:color="auto"/>
              <w:right w:val="single" w:sz="4" w:space="0" w:color="auto"/>
            </w:tcBorders>
            <w:shd w:val="clear" w:color="auto" w:fill="auto"/>
            <w:noWrap/>
            <w:vAlign w:val="center"/>
            <w:hideMark/>
          </w:tcPr>
          <w:p w14:paraId="6421EC45" w14:textId="77777777" w:rsidR="005942B3" w:rsidRPr="00B11673" w:rsidRDefault="005942B3" w:rsidP="00410789">
            <w:pPr>
              <w:spacing w:line="240" w:lineRule="auto"/>
              <w:rPr>
                <w:rFonts w:cs="Open Sans"/>
                <w:szCs w:val="18"/>
                <w:lang w:val="en-GB"/>
              </w:rPr>
            </w:pPr>
            <w:r w:rsidRPr="00B11673">
              <w:rPr>
                <w:rFonts w:cs="Open Sans"/>
                <w:szCs w:val="18"/>
                <w:lang w:val="en-GB"/>
              </w:rPr>
              <w:t>Large-SUV-Executive</w:t>
            </w:r>
          </w:p>
        </w:tc>
        <w:tc>
          <w:tcPr>
            <w:tcW w:w="3402" w:type="dxa"/>
            <w:vMerge/>
            <w:tcBorders>
              <w:top w:val="nil"/>
              <w:left w:val="single" w:sz="4" w:space="0" w:color="auto"/>
              <w:bottom w:val="single" w:sz="4" w:space="0" w:color="auto"/>
              <w:right w:val="double" w:sz="4" w:space="0" w:color="auto"/>
            </w:tcBorders>
            <w:vAlign w:val="center"/>
            <w:hideMark/>
          </w:tcPr>
          <w:p w14:paraId="0471F873" w14:textId="77777777" w:rsidR="005942B3" w:rsidRPr="00B11673" w:rsidRDefault="005942B3" w:rsidP="00B11673">
            <w:pPr>
              <w:spacing w:line="240" w:lineRule="auto"/>
              <w:jc w:val="center"/>
              <w:rPr>
                <w:rFonts w:cs="Open Sans"/>
                <w:szCs w:val="18"/>
                <w:lang w:val="en-GB"/>
              </w:rPr>
            </w:pPr>
          </w:p>
        </w:tc>
      </w:tr>
      <w:tr w:rsidR="005942B3" w:rsidRPr="00B11673" w14:paraId="2002E761" w14:textId="77777777" w:rsidTr="00887829">
        <w:trPr>
          <w:trHeight w:val="300"/>
        </w:trPr>
        <w:tc>
          <w:tcPr>
            <w:tcW w:w="1020"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0EA28A32" w14:textId="77777777" w:rsidR="005942B3" w:rsidRPr="00B11673" w:rsidRDefault="005942B3" w:rsidP="00410789">
            <w:pPr>
              <w:spacing w:line="240" w:lineRule="auto"/>
              <w:rPr>
                <w:rFonts w:cs="Open Sans"/>
                <w:szCs w:val="18"/>
                <w:lang w:val="en-GB"/>
              </w:rPr>
            </w:pPr>
            <w:r w:rsidRPr="00B11673">
              <w:rPr>
                <w:rFonts w:cs="Open Sans"/>
                <w:szCs w:val="18"/>
                <w:lang w:val="en-GB"/>
              </w:rPr>
              <w:t>1.A.3.b.ii</w:t>
            </w:r>
          </w:p>
        </w:tc>
        <w:tc>
          <w:tcPr>
            <w:tcW w:w="40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9C5B5C" w14:textId="77777777" w:rsidR="005942B3" w:rsidRPr="00B11673" w:rsidRDefault="005942B3" w:rsidP="00410789">
            <w:pPr>
              <w:spacing w:line="240" w:lineRule="auto"/>
              <w:rPr>
                <w:rFonts w:cs="Open Sans"/>
                <w:b/>
                <w:szCs w:val="18"/>
                <w:lang w:val="en-GB"/>
              </w:rPr>
            </w:pPr>
            <w:r w:rsidRPr="00B11673">
              <w:rPr>
                <w:rFonts w:cs="Open Sans"/>
                <w:b/>
                <w:szCs w:val="18"/>
                <w:lang w:val="en-GB"/>
              </w:rPr>
              <w:t>Light Commercial Vehicles &lt; 3.5 t</w:t>
            </w:r>
          </w:p>
        </w:tc>
        <w:tc>
          <w:tcPr>
            <w:tcW w:w="3402" w:type="dxa"/>
            <w:vMerge w:val="restart"/>
            <w:tcBorders>
              <w:top w:val="nil"/>
              <w:left w:val="single" w:sz="4" w:space="0" w:color="auto"/>
              <w:bottom w:val="single" w:sz="4" w:space="0" w:color="auto"/>
              <w:right w:val="double" w:sz="4" w:space="0" w:color="auto"/>
            </w:tcBorders>
            <w:shd w:val="clear" w:color="auto" w:fill="auto"/>
            <w:vAlign w:val="center"/>
            <w:hideMark/>
          </w:tcPr>
          <w:p w14:paraId="65699EED"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N1</w:t>
            </w:r>
            <w:r w:rsidRPr="00B11673">
              <w:rPr>
                <w:rFonts w:cs="Open Sans"/>
                <w:szCs w:val="18"/>
                <w:lang w:val="en-GB"/>
              </w:rPr>
              <w:t>: vehicles used for the carriage of goods and having a maximum weight not exceeding 3.5 tonnes.</w:t>
            </w:r>
          </w:p>
        </w:tc>
      </w:tr>
      <w:tr w:rsidR="005942B3" w:rsidRPr="00B11673" w14:paraId="69E138F0"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A7342B1"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2D23A99"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761EBF31" w14:textId="77777777" w:rsidR="005942B3" w:rsidRPr="00B11673" w:rsidRDefault="005942B3" w:rsidP="00410789">
            <w:pPr>
              <w:spacing w:line="240" w:lineRule="auto"/>
              <w:rPr>
                <w:rFonts w:cs="Open Sans"/>
                <w:szCs w:val="18"/>
                <w:lang w:val="en-GB"/>
              </w:rPr>
            </w:pPr>
            <w:r w:rsidRPr="00B11673">
              <w:rPr>
                <w:rFonts w:cs="Open Sans"/>
                <w:szCs w:val="18"/>
                <w:lang w:val="en-GB"/>
              </w:rPr>
              <w:t>N1-I</w:t>
            </w:r>
          </w:p>
        </w:tc>
        <w:tc>
          <w:tcPr>
            <w:tcW w:w="3402" w:type="dxa"/>
            <w:vMerge/>
            <w:tcBorders>
              <w:top w:val="nil"/>
              <w:left w:val="single" w:sz="4" w:space="0" w:color="auto"/>
              <w:bottom w:val="single" w:sz="4" w:space="0" w:color="auto"/>
              <w:right w:val="double" w:sz="4" w:space="0" w:color="auto"/>
            </w:tcBorders>
            <w:vAlign w:val="center"/>
            <w:hideMark/>
          </w:tcPr>
          <w:p w14:paraId="1499C32C" w14:textId="77777777" w:rsidR="005942B3" w:rsidRPr="00B11673" w:rsidRDefault="005942B3" w:rsidP="00B11673">
            <w:pPr>
              <w:spacing w:line="240" w:lineRule="auto"/>
              <w:jc w:val="center"/>
              <w:rPr>
                <w:rFonts w:cs="Open Sans"/>
                <w:szCs w:val="18"/>
                <w:lang w:val="en-GB"/>
              </w:rPr>
            </w:pPr>
          </w:p>
        </w:tc>
      </w:tr>
      <w:tr w:rsidR="005942B3" w:rsidRPr="00B11673" w14:paraId="7449D358"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005233BF"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C97D0B8"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172F14BD" w14:textId="77777777" w:rsidR="005942B3" w:rsidRPr="00B11673" w:rsidRDefault="005942B3" w:rsidP="00410789">
            <w:pPr>
              <w:spacing w:line="240" w:lineRule="auto"/>
              <w:rPr>
                <w:rFonts w:cs="Open Sans"/>
                <w:szCs w:val="18"/>
                <w:lang w:val="en-GB"/>
              </w:rPr>
            </w:pPr>
            <w:r w:rsidRPr="00B11673">
              <w:rPr>
                <w:rFonts w:cs="Open Sans"/>
                <w:szCs w:val="18"/>
                <w:lang w:val="en-GB"/>
              </w:rPr>
              <w:t>N1-II</w:t>
            </w:r>
          </w:p>
        </w:tc>
        <w:tc>
          <w:tcPr>
            <w:tcW w:w="3402" w:type="dxa"/>
            <w:vMerge/>
            <w:tcBorders>
              <w:top w:val="nil"/>
              <w:left w:val="single" w:sz="4" w:space="0" w:color="auto"/>
              <w:bottom w:val="single" w:sz="4" w:space="0" w:color="auto"/>
              <w:right w:val="double" w:sz="4" w:space="0" w:color="auto"/>
            </w:tcBorders>
            <w:vAlign w:val="center"/>
            <w:hideMark/>
          </w:tcPr>
          <w:p w14:paraId="043B5C1F" w14:textId="77777777" w:rsidR="005942B3" w:rsidRPr="00B11673" w:rsidRDefault="005942B3" w:rsidP="00B11673">
            <w:pPr>
              <w:spacing w:line="240" w:lineRule="auto"/>
              <w:jc w:val="center"/>
              <w:rPr>
                <w:rFonts w:cs="Open Sans"/>
                <w:szCs w:val="18"/>
                <w:lang w:val="en-GB"/>
              </w:rPr>
            </w:pPr>
          </w:p>
        </w:tc>
      </w:tr>
      <w:tr w:rsidR="005942B3" w:rsidRPr="00B11673" w14:paraId="10C92AF0"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4F3DDF1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3A53707"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443CB2B4" w14:textId="77777777" w:rsidR="005942B3" w:rsidRPr="00B11673" w:rsidRDefault="005942B3" w:rsidP="00410789">
            <w:pPr>
              <w:spacing w:line="240" w:lineRule="auto"/>
              <w:rPr>
                <w:rFonts w:cs="Open Sans"/>
                <w:szCs w:val="18"/>
                <w:lang w:val="en-GB"/>
              </w:rPr>
            </w:pPr>
            <w:r w:rsidRPr="00B11673">
              <w:rPr>
                <w:rFonts w:cs="Open Sans"/>
                <w:szCs w:val="18"/>
                <w:lang w:val="en-GB"/>
              </w:rPr>
              <w:t>N1-III</w:t>
            </w:r>
          </w:p>
        </w:tc>
        <w:tc>
          <w:tcPr>
            <w:tcW w:w="3402" w:type="dxa"/>
            <w:vMerge/>
            <w:tcBorders>
              <w:top w:val="nil"/>
              <w:left w:val="single" w:sz="4" w:space="0" w:color="auto"/>
              <w:bottom w:val="single" w:sz="4" w:space="0" w:color="auto"/>
              <w:right w:val="double" w:sz="4" w:space="0" w:color="auto"/>
            </w:tcBorders>
            <w:vAlign w:val="center"/>
            <w:hideMark/>
          </w:tcPr>
          <w:p w14:paraId="67A06ED7" w14:textId="77777777" w:rsidR="005942B3" w:rsidRPr="00B11673" w:rsidRDefault="005942B3" w:rsidP="00B11673">
            <w:pPr>
              <w:spacing w:line="240" w:lineRule="auto"/>
              <w:jc w:val="center"/>
              <w:rPr>
                <w:rFonts w:cs="Open Sans"/>
                <w:szCs w:val="18"/>
                <w:lang w:val="en-GB"/>
              </w:rPr>
            </w:pPr>
          </w:p>
        </w:tc>
      </w:tr>
      <w:tr w:rsidR="005942B3" w:rsidRPr="00B11673" w14:paraId="74561559"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10810432"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408A9ED2"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20FBC205" w14:textId="77777777" w:rsidR="005942B3" w:rsidRPr="00B11673" w:rsidRDefault="005942B3" w:rsidP="00410789">
            <w:pPr>
              <w:spacing w:line="240" w:lineRule="auto"/>
              <w:rPr>
                <w:rFonts w:cs="Open Sans"/>
                <w:szCs w:val="18"/>
                <w:lang w:val="en-GB"/>
              </w:rPr>
            </w:pPr>
            <w:r w:rsidRPr="00B11673">
              <w:rPr>
                <w:rFonts w:cs="Open Sans"/>
                <w:szCs w:val="18"/>
                <w:lang w:val="en-GB"/>
              </w:rPr>
              <w:t>N1-I</w:t>
            </w:r>
          </w:p>
        </w:tc>
        <w:tc>
          <w:tcPr>
            <w:tcW w:w="3402" w:type="dxa"/>
            <w:vMerge/>
            <w:tcBorders>
              <w:top w:val="nil"/>
              <w:left w:val="single" w:sz="4" w:space="0" w:color="auto"/>
              <w:bottom w:val="single" w:sz="4" w:space="0" w:color="auto"/>
              <w:right w:val="double" w:sz="4" w:space="0" w:color="auto"/>
            </w:tcBorders>
            <w:vAlign w:val="center"/>
            <w:hideMark/>
          </w:tcPr>
          <w:p w14:paraId="754F0A96" w14:textId="77777777" w:rsidR="005942B3" w:rsidRPr="00B11673" w:rsidRDefault="005942B3" w:rsidP="00B11673">
            <w:pPr>
              <w:spacing w:line="240" w:lineRule="auto"/>
              <w:jc w:val="center"/>
              <w:rPr>
                <w:rFonts w:cs="Open Sans"/>
                <w:szCs w:val="18"/>
                <w:lang w:val="en-GB"/>
              </w:rPr>
            </w:pPr>
          </w:p>
        </w:tc>
      </w:tr>
      <w:tr w:rsidR="005942B3" w:rsidRPr="00B11673" w14:paraId="53EAC889"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57DF71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C7CD54A"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0C0F70F8" w14:textId="77777777" w:rsidR="005942B3" w:rsidRPr="00B11673" w:rsidRDefault="005942B3" w:rsidP="00410789">
            <w:pPr>
              <w:spacing w:line="240" w:lineRule="auto"/>
              <w:rPr>
                <w:rFonts w:cs="Open Sans"/>
                <w:szCs w:val="18"/>
                <w:lang w:val="en-GB"/>
              </w:rPr>
            </w:pPr>
            <w:r w:rsidRPr="00B11673">
              <w:rPr>
                <w:rFonts w:cs="Open Sans"/>
                <w:szCs w:val="18"/>
                <w:lang w:val="en-GB"/>
              </w:rPr>
              <w:t>N1-II</w:t>
            </w:r>
          </w:p>
        </w:tc>
        <w:tc>
          <w:tcPr>
            <w:tcW w:w="3402" w:type="dxa"/>
            <w:vMerge/>
            <w:tcBorders>
              <w:top w:val="nil"/>
              <w:left w:val="single" w:sz="4" w:space="0" w:color="auto"/>
              <w:bottom w:val="single" w:sz="4" w:space="0" w:color="auto"/>
              <w:right w:val="double" w:sz="4" w:space="0" w:color="auto"/>
            </w:tcBorders>
            <w:vAlign w:val="center"/>
            <w:hideMark/>
          </w:tcPr>
          <w:p w14:paraId="476DA1F3" w14:textId="77777777" w:rsidR="005942B3" w:rsidRPr="00B11673" w:rsidRDefault="005942B3" w:rsidP="00B11673">
            <w:pPr>
              <w:spacing w:line="240" w:lineRule="auto"/>
              <w:jc w:val="center"/>
              <w:rPr>
                <w:rFonts w:cs="Open Sans"/>
                <w:szCs w:val="18"/>
                <w:lang w:val="en-GB"/>
              </w:rPr>
            </w:pPr>
          </w:p>
        </w:tc>
      </w:tr>
      <w:tr w:rsidR="005942B3" w:rsidRPr="00B11673" w14:paraId="5372A584"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711C00C4"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A56469A"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3ADF7543" w14:textId="77777777" w:rsidR="005942B3" w:rsidRPr="00B11673" w:rsidRDefault="005942B3" w:rsidP="00410789">
            <w:pPr>
              <w:spacing w:line="240" w:lineRule="auto"/>
              <w:rPr>
                <w:rFonts w:cs="Open Sans"/>
                <w:szCs w:val="18"/>
                <w:lang w:val="en-GB"/>
              </w:rPr>
            </w:pPr>
            <w:r w:rsidRPr="00B11673">
              <w:rPr>
                <w:rFonts w:cs="Open Sans"/>
                <w:szCs w:val="18"/>
                <w:lang w:val="en-GB"/>
              </w:rPr>
              <w:t>N1-III</w:t>
            </w:r>
          </w:p>
        </w:tc>
        <w:tc>
          <w:tcPr>
            <w:tcW w:w="3402" w:type="dxa"/>
            <w:vMerge/>
            <w:tcBorders>
              <w:top w:val="nil"/>
              <w:left w:val="single" w:sz="4" w:space="0" w:color="auto"/>
              <w:bottom w:val="single" w:sz="4" w:space="0" w:color="auto"/>
              <w:right w:val="double" w:sz="4" w:space="0" w:color="auto"/>
            </w:tcBorders>
            <w:vAlign w:val="center"/>
            <w:hideMark/>
          </w:tcPr>
          <w:p w14:paraId="29A253B9" w14:textId="77777777" w:rsidR="005942B3" w:rsidRPr="00B11673" w:rsidRDefault="005942B3" w:rsidP="00B11673">
            <w:pPr>
              <w:spacing w:line="240" w:lineRule="auto"/>
              <w:jc w:val="center"/>
              <w:rPr>
                <w:rFonts w:cs="Open Sans"/>
                <w:szCs w:val="18"/>
                <w:lang w:val="en-GB"/>
              </w:rPr>
            </w:pPr>
          </w:p>
        </w:tc>
      </w:tr>
      <w:tr w:rsidR="005942B3" w:rsidRPr="00B11673" w14:paraId="39356343" w14:textId="77777777" w:rsidTr="00887829">
        <w:trPr>
          <w:trHeight w:val="300"/>
        </w:trPr>
        <w:tc>
          <w:tcPr>
            <w:tcW w:w="1020"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70449377" w14:textId="77777777" w:rsidR="005942B3" w:rsidRPr="00B11673" w:rsidRDefault="005942B3" w:rsidP="00410789">
            <w:pPr>
              <w:spacing w:line="240" w:lineRule="auto"/>
              <w:rPr>
                <w:rFonts w:cs="Open Sans"/>
                <w:szCs w:val="18"/>
                <w:lang w:val="en-GB"/>
              </w:rPr>
            </w:pPr>
            <w:r w:rsidRPr="00B11673">
              <w:rPr>
                <w:rFonts w:cs="Open Sans"/>
                <w:szCs w:val="18"/>
                <w:lang w:val="en-GB"/>
              </w:rPr>
              <w:t>1.A.3.b.iii</w:t>
            </w:r>
          </w:p>
        </w:tc>
        <w:tc>
          <w:tcPr>
            <w:tcW w:w="40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DA2642" w14:textId="77777777" w:rsidR="005942B3" w:rsidRPr="00B11673" w:rsidRDefault="005942B3" w:rsidP="00410789">
            <w:pPr>
              <w:spacing w:line="240" w:lineRule="auto"/>
              <w:rPr>
                <w:rFonts w:cs="Open Sans"/>
                <w:b/>
                <w:szCs w:val="18"/>
                <w:lang w:val="en-GB"/>
              </w:rPr>
            </w:pPr>
            <w:r w:rsidRPr="00B11673">
              <w:rPr>
                <w:rFonts w:cs="Open Sans"/>
                <w:b/>
                <w:szCs w:val="18"/>
                <w:lang w:val="en-GB"/>
              </w:rPr>
              <w:t>Heavy-Duty Vehicles</w:t>
            </w:r>
          </w:p>
        </w:tc>
        <w:tc>
          <w:tcPr>
            <w:tcW w:w="3402" w:type="dxa"/>
            <w:vMerge w:val="restart"/>
            <w:tcBorders>
              <w:top w:val="nil"/>
              <w:left w:val="single" w:sz="4" w:space="0" w:color="auto"/>
              <w:bottom w:val="single" w:sz="4" w:space="0" w:color="auto"/>
              <w:right w:val="double" w:sz="4" w:space="0" w:color="auto"/>
            </w:tcBorders>
            <w:shd w:val="clear" w:color="auto" w:fill="auto"/>
            <w:vAlign w:val="center"/>
            <w:hideMark/>
          </w:tcPr>
          <w:p w14:paraId="78FA6659"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N2</w:t>
            </w:r>
            <w:r w:rsidRPr="00B11673">
              <w:rPr>
                <w:rFonts w:cs="Open Sans"/>
                <w:szCs w:val="18"/>
                <w:lang w:val="en-GB"/>
              </w:rPr>
              <w:t xml:space="preserve">: vehicles used for the carriage of goods and having a maximum weight exceeding 3.5 tonnes but not exceeding 12 tonnes. </w:t>
            </w:r>
            <w:r w:rsidRPr="00B11673">
              <w:rPr>
                <w:rFonts w:cs="Open Sans"/>
                <w:szCs w:val="18"/>
                <w:lang w:val="en-GB"/>
              </w:rPr>
              <w:br/>
            </w:r>
            <w:r w:rsidRPr="00E61E5C">
              <w:rPr>
                <w:rFonts w:cs="Open Sans"/>
                <w:b/>
                <w:szCs w:val="18"/>
                <w:lang w:val="en-GB"/>
              </w:rPr>
              <w:t>N3</w:t>
            </w:r>
            <w:r w:rsidRPr="00B11673">
              <w:rPr>
                <w:rFonts w:cs="Open Sans"/>
                <w:szCs w:val="18"/>
                <w:lang w:val="en-GB"/>
              </w:rPr>
              <w:t>: vehicles used for the carriage of goods and having a maximum weight exceeding 12 tonnes.</w:t>
            </w:r>
          </w:p>
        </w:tc>
      </w:tr>
      <w:tr w:rsidR="005942B3" w:rsidRPr="00B11673" w14:paraId="6633E12A"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502DCFCA"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889590B"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1829BA9D" w14:textId="77777777" w:rsidR="005942B3" w:rsidRPr="00B11673" w:rsidRDefault="005942B3" w:rsidP="00410789">
            <w:pPr>
              <w:spacing w:line="240" w:lineRule="auto"/>
              <w:rPr>
                <w:rFonts w:cs="Open Sans"/>
                <w:szCs w:val="18"/>
                <w:lang w:val="en-GB"/>
              </w:rPr>
            </w:pPr>
            <w:r w:rsidRPr="00B11673">
              <w:rPr>
                <w:rFonts w:cs="Open Sans"/>
                <w:szCs w:val="18"/>
                <w:lang w:val="en-GB"/>
              </w:rPr>
              <w:t>&gt;3,5 t</w:t>
            </w:r>
          </w:p>
        </w:tc>
        <w:tc>
          <w:tcPr>
            <w:tcW w:w="3402" w:type="dxa"/>
            <w:vMerge/>
            <w:tcBorders>
              <w:top w:val="nil"/>
              <w:left w:val="single" w:sz="4" w:space="0" w:color="auto"/>
              <w:bottom w:val="single" w:sz="4" w:space="0" w:color="auto"/>
              <w:right w:val="double" w:sz="4" w:space="0" w:color="auto"/>
            </w:tcBorders>
            <w:vAlign w:val="center"/>
            <w:hideMark/>
          </w:tcPr>
          <w:p w14:paraId="13E8D4AE" w14:textId="77777777" w:rsidR="005942B3" w:rsidRPr="00B11673" w:rsidRDefault="005942B3" w:rsidP="00B11673">
            <w:pPr>
              <w:spacing w:line="240" w:lineRule="auto"/>
              <w:jc w:val="center"/>
              <w:rPr>
                <w:rFonts w:cs="Open Sans"/>
                <w:szCs w:val="18"/>
                <w:lang w:val="en-GB"/>
              </w:rPr>
            </w:pPr>
          </w:p>
        </w:tc>
      </w:tr>
      <w:tr w:rsidR="005942B3" w:rsidRPr="00B11673" w14:paraId="3DE4ABC4"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6F51ECCF"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4F6B843"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807ADF0" w14:textId="77777777" w:rsidR="005942B3" w:rsidRPr="00B11673" w:rsidRDefault="005942B3" w:rsidP="00410789">
            <w:pPr>
              <w:spacing w:line="240" w:lineRule="auto"/>
              <w:rPr>
                <w:rFonts w:cs="Open Sans"/>
                <w:szCs w:val="18"/>
                <w:lang w:val="en-GB"/>
              </w:rPr>
            </w:pPr>
            <w:r w:rsidRPr="00B11673">
              <w:rPr>
                <w:rFonts w:cs="Open Sans"/>
                <w:szCs w:val="18"/>
                <w:lang w:val="en-GB"/>
              </w:rPr>
              <w:t>Rigid &lt;=7,5 t</w:t>
            </w:r>
          </w:p>
        </w:tc>
        <w:tc>
          <w:tcPr>
            <w:tcW w:w="3402" w:type="dxa"/>
            <w:vMerge/>
            <w:tcBorders>
              <w:top w:val="nil"/>
              <w:left w:val="single" w:sz="4" w:space="0" w:color="auto"/>
              <w:bottom w:val="single" w:sz="4" w:space="0" w:color="auto"/>
              <w:right w:val="double" w:sz="4" w:space="0" w:color="auto"/>
            </w:tcBorders>
            <w:vAlign w:val="center"/>
            <w:hideMark/>
          </w:tcPr>
          <w:p w14:paraId="59A8DAF4" w14:textId="77777777" w:rsidR="005942B3" w:rsidRPr="00B11673" w:rsidRDefault="005942B3" w:rsidP="00B11673">
            <w:pPr>
              <w:spacing w:line="240" w:lineRule="auto"/>
              <w:jc w:val="center"/>
              <w:rPr>
                <w:rFonts w:cs="Open Sans"/>
                <w:szCs w:val="18"/>
                <w:lang w:val="en-GB"/>
              </w:rPr>
            </w:pPr>
          </w:p>
        </w:tc>
      </w:tr>
      <w:tr w:rsidR="005942B3" w:rsidRPr="00B11673" w14:paraId="550277CA"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089E51FA"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CBB9A25"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04154B5F" w14:textId="77777777" w:rsidR="005942B3" w:rsidRPr="00B11673" w:rsidRDefault="005942B3" w:rsidP="00410789">
            <w:pPr>
              <w:spacing w:line="240" w:lineRule="auto"/>
              <w:rPr>
                <w:rFonts w:cs="Open Sans"/>
                <w:szCs w:val="18"/>
                <w:lang w:val="en-GB"/>
              </w:rPr>
            </w:pPr>
            <w:r w:rsidRPr="00B11673">
              <w:rPr>
                <w:rFonts w:cs="Open Sans"/>
                <w:szCs w:val="18"/>
                <w:lang w:val="en-GB"/>
              </w:rPr>
              <w:t>Rigid 7,5 - 12 t</w:t>
            </w:r>
          </w:p>
        </w:tc>
        <w:tc>
          <w:tcPr>
            <w:tcW w:w="3402" w:type="dxa"/>
            <w:vMerge/>
            <w:tcBorders>
              <w:top w:val="nil"/>
              <w:left w:val="single" w:sz="4" w:space="0" w:color="auto"/>
              <w:bottom w:val="single" w:sz="4" w:space="0" w:color="auto"/>
              <w:right w:val="double" w:sz="4" w:space="0" w:color="auto"/>
            </w:tcBorders>
            <w:vAlign w:val="center"/>
            <w:hideMark/>
          </w:tcPr>
          <w:p w14:paraId="3FF92B64" w14:textId="77777777" w:rsidR="005942B3" w:rsidRPr="00B11673" w:rsidRDefault="005942B3" w:rsidP="00B11673">
            <w:pPr>
              <w:spacing w:line="240" w:lineRule="auto"/>
              <w:jc w:val="center"/>
              <w:rPr>
                <w:rFonts w:cs="Open Sans"/>
                <w:szCs w:val="18"/>
                <w:lang w:val="en-GB"/>
              </w:rPr>
            </w:pPr>
          </w:p>
        </w:tc>
      </w:tr>
      <w:tr w:rsidR="005942B3" w:rsidRPr="00B11673" w14:paraId="52E327B0"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5ABA5FC4"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AF8C4CF"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4A31489" w14:textId="77777777" w:rsidR="005942B3" w:rsidRPr="00B11673" w:rsidRDefault="005942B3" w:rsidP="00410789">
            <w:pPr>
              <w:spacing w:line="240" w:lineRule="auto"/>
              <w:rPr>
                <w:rFonts w:cs="Open Sans"/>
                <w:szCs w:val="18"/>
                <w:lang w:val="en-GB"/>
              </w:rPr>
            </w:pPr>
            <w:r w:rsidRPr="00B11673">
              <w:rPr>
                <w:rFonts w:cs="Open Sans"/>
                <w:szCs w:val="18"/>
                <w:lang w:val="en-GB"/>
              </w:rPr>
              <w:t>Rigid 12 - 14 t</w:t>
            </w:r>
          </w:p>
        </w:tc>
        <w:tc>
          <w:tcPr>
            <w:tcW w:w="3402" w:type="dxa"/>
            <w:vMerge/>
            <w:tcBorders>
              <w:top w:val="nil"/>
              <w:left w:val="single" w:sz="4" w:space="0" w:color="auto"/>
              <w:bottom w:val="single" w:sz="4" w:space="0" w:color="auto"/>
              <w:right w:val="double" w:sz="4" w:space="0" w:color="auto"/>
            </w:tcBorders>
            <w:vAlign w:val="center"/>
            <w:hideMark/>
          </w:tcPr>
          <w:p w14:paraId="2F57B5B8" w14:textId="77777777" w:rsidR="005942B3" w:rsidRPr="00B11673" w:rsidRDefault="005942B3" w:rsidP="00B11673">
            <w:pPr>
              <w:spacing w:line="240" w:lineRule="auto"/>
              <w:jc w:val="center"/>
              <w:rPr>
                <w:rFonts w:cs="Open Sans"/>
                <w:szCs w:val="18"/>
                <w:lang w:val="en-GB"/>
              </w:rPr>
            </w:pPr>
          </w:p>
        </w:tc>
      </w:tr>
      <w:tr w:rsidR="005942B3" w:rsidRPr="00B11673" w14:paraId="397D4564"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6F766E9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D7D8706"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3B1C7DF" w14:textId="77777777" w:rsidR="005942B3" w:rsidRPr="00B11673" w:rsidRDefault="005942B3" w:rsidP="00410789">
            <w:pPr>
              <w:spacing w:line="240" w:lineRule="auto"/>
              <w:rPr>
                <w:rFonts w:cs="Open Sans"/>
                <w:szCs w:val="18"/>
                <w:lang w:val="en-GB"/>
              </w:rPr>
            </w:pPr>
            <w:r w:rsidRPr="00B11673">
              <w:rPr>
                <w:rFonts w:cs="Open Sans"/>
                <w:szCs w:val="18"/>
                <w:lang w:val="en-GB"/>
              </w:rPr>
              <w:t>Rigid 14 - 20 t</w:t>
            </w:r>
          </w:p>
        </w:tc>
        <w:tc>
          <w:tcPr>
            <w:tcW w:w="3402" w:type="dxa"/>
            <w:vMerge/>
            <w:tcBorders>
              <w:top w:val="nil"/>
              <w:left w:val="single" w:sz="4" w:space="0" w:color="auto"/>
              <w:bottom w:val="single" w:sz="4" w:space="0" w:color="auto"/>
              <w:right w:val="double" w:sz="4" w:space="0" w:color="auto"/>
            </w:tcBorders>
            <w:vAlign w:val="center"/>
            <w:hideMark/>
          </w:tcPr>
          <w:p w14:paraId="164D95EC" w14:textId="77777777" w:rsidR="005942B3" w:rsidRPr="00B11673" w:rsidRDefault="005942B3" w:rsidP="00B11673">
            <w:pPr>
              <w:spacing w:line="240" w:lineRule="auto"/>
              <w:jc w:val="center"/>
              <w:rPr>
                <w:rFonts w:cs="Open Sans"/>
                <w:szCs w:val="18"/>
                <w:lang w:val="en-GB"/>
              </w:rPr>
            </w:pPr>
          </w:p>
        </w:tc>
      </w:tr>
      <w:tr w:rsidR="005942B3" w:rsidRPr="00B11673" w14:paraId="441A011F"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15DBF22F"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1E6BB49"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BAB9A8F" w14:textId="77777777" w:rsidR="005942B3" w:rsidRPr="00B11673" w:rsidRDefault="005942B3" w:rsidP="00410789">
            <w:pPr>
              <w:spacing w:line="240" w:lineRule="auto"/>
              <w:rPr>
                <w:rFonts w:cs="Open Sans"/>
                <w:szCs w:val="18"/>
                <w:lang w:val="en-GB"/>
              </w:rPr>
            </w:pPr>
            <w:r w:rsidRPr="00B11673">
              <w:rPr>
                <w:rFonts w:cs="Open Sans"/>
                <w:szCs w:val="18"/>
                <w:lang w:val="en-GB"/>
              </w:rPr>
              <w:t>Rigid 20 - 26 t</w:t>
            </w:r>
          </w:p>
        </w:tc>
        <w:tc>
          <w:tcPr>
            <w:tcW w:w="3402" w:type="dxa"/>
            <w:vMerge/>
            <w:tcBorders>
              <w:top w:val="nil"/>
              <w:left w:val="single" w:sz="4" w:space="0" w:color="auto"/>
              <w:bottom w:val="single" w:sz="4" w:space="0" w:color="auto"/>
              <w:right w:val="double" w:sz="4" w:space="0" w:color="auto"/>
            </w:tcBorders>
            <w:vAlign w:val="center"/>
            <w:hideMark/>
          </w:tcPr>
          <w:p w14:paraId="01556540" w14:textId="77777777" w:rsidR="005942B3" w:rsidRPr="00B11673" w:rsidRDefault="005942B3" w:rsidP="00B11673">
            <w:pPr>
              <w:spacing w:line="240" w:lineRule="auto"/>
              <w:jc w:val="center"/>
              <w:rPr>
                <w:rFonts w:cs="Open Sans"/>
                <w:szCs w:val="18"/>
                <w:lang w:val="en-GB"/>
              </w:rPr>
            </w:pPr>
          </w:p>
        </w:tc>
      </w:tr>
      <w:tr w:rsidR="005942B3" w:rsidRPr="00B11673" w14:paraId="2614385C"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34A9D6EF"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2A75780"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8D4D10C" w14:textId="77777777" w:rsidR="005942B3" w:rsidRPr="00B11673" w:rsidRDefault="005942B3" w:rsidP="00410789">
            <w:pPr>
              <w:spacing w:line="240" w:lineRule="auto"/>
              <w:rPr>
                <w:rFonts w:cs="Open Sans"/>
                <w:szCs w:val="18"/>
                <w:lang w:val="en-GB"/>
              </w:rPr>
            </w:pPr>
            <w:r w:rsidRPr="00B11673">
              <w:rPr>
                <w:rFonts w:cs="Open Sans"/>
                <w:szCs w:val="18"/>
                <w:lang w:val="en-GB"/>
              </w:rPr>
              <w:t>Rigid 26 - 28 t</w:t>
            </w:r>
          </w:p>
        </w:tc>
        <w:tc>
          <w:tcPr>
            <w:tcW w:w="3402" w:type="dxa"/>
            <w:vMerge/>
            <w:tcBorders>
              <w:top w:val="nil"/>
              <w:left w:val="single" w:sz="4" w:space="0" w:color="auto"/>
              <w:bottom w:val="single" w:sz="4" w:space="0" w:color="auto"/>
              <w:right w:val="double" w:sz="4" w:space="0" w:color="auto"/>
            </w:tcBorders>
            <w:vAlign w:val="center"/>
            <w:hideMark/>
          </w:tcPr>
          <w:p w14:paraId="37648377" w14:textId="77777777" w:rsidR="005942B3" w:rsidRPr="00B11673" w:rsidRDefault="005942B3" w:rsidP="00B11673">
            <w:pPr>
              <w:spacing w:line="240" w:lineRule="auto"/>
              <w:jc w:val="center"/>
              <w:rPr>
                <w:rFonts w:cs="Open Sans"/>
                <w:szCs w:val="18"/>
                <w:lang w:val="en-GB"/>
              </w:rPr>
            </w:pPr>
          </w:p>
        </w:tc>
      </w:tr>
      <w:tr w:rsidR="005942B3" w:rsidRPr="00B11673" w14:paraId="4F451712"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70C2E9E0"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0932905"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289954FF" w14:textId="77777777" w:rsidR="005942B3" w:rsidRPr="00B11673" w:rsidRDefault="005942B3" w:rsidP="00410789">
            <w:pPr>
              <w:spacing w:line="240" w:lineRule="auto"/>
              <w:rPr>
                <w:rFonts w:cs="Open Sans"/>
                <w:szCs w:val="18"/>
                <w:lang w:val="en-GB"/>
              </w:rPr>
            </w:pPr>
            <w:r w:rsidRPr="00B11673">
              <w:rPr>
                <w:rFonts w:cs="Open Sans"/>
                <w:szCs w:val="18"/>
                <w:lang w:val="en-GB"/>
              </w:rPr>
              <w:t>Rigid 28 - 32 t</w:t>
            </w:r>
          </w:p>
        </w:tc>
        <w:tc>
          <w:tcPr>
            <w:tcW w:w="3402" w:type="dxa"/>
            <w:vMerge/>
            <w:tcBorders>
              <w:top w:val="nil"/>
              <w:left w:val="single" w:sz="4" w:space="0" w:color="auto"/>
              <w:bottom w:val="single" w:sz="4" w:space="0" w:color="auto"/>
              <w:right w:val="double" w:sz="4" w:space="0" w:color="auto"/>
            </w:tcBorders>
            <w:vAlign w:val="center"/>
            <w:hideMark/>
          </w:tcPr>
          <w:p w14:paraId="1D5E8C9D" w14:textId="77777777" w:rsidR="005942B3" w:rsidRPr="00B11673" w:rsidRDefault="005942B3" w:rsidP="00B11673">
            <w:pPr>
              <w:spacing w:line="240" w:lineRule="auto"/>
              <w:jc w:val="center"/>
              <w:rPr>
                <w:rFonts w:cs="Open Sans"/>
                <w:szCs w:val="18"/>
                <w:lang w:val="en-GB"/>
              </w:rPr>
            </w:pPr>
          </w:p>
        </w:tc>
      </w:tr>
      <w:tr w:rsidR="005942B3" w:rsidRPr="00B11673" w14:paraId="6A3CCDFA"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893004B"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A7F0AE0"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66D0EDBE" w14:textId="77777777" w:rsidR="005942B3" w:rsidRPr="00B11673" w:rsidRDefault="005942B3" w:rsidP="00410789">
            <w:pPr>
              <w:spacing w:line="240" w:lineRule="auto"/>
              <w:rPr>
                <w:rFonts w:cs="Open Sans"/>
                <w:szCs w:val="18"/>
                <w:lang w:val="en-GB"/>
              </w:rPr>
            </w:pPr>
            <w:r w:rsidRPr="00B11673">
              <w:rPr>
                <w:rFonts w:cs="Open Sans"/>
                <w:szCs w:val="18"/>
                <w:lang w:val="en-GB"/>
              </w:rPr>
              <w:t>Rigid &gt;32 t</w:t>
            </w:r>
          </w:p>
        </w:tc>
        <w:tc>
          <w:tcPr>
            <w:tcW w:w="3402" w:type="dxa"/>
            <w:vMerge/>
            <w:tcBorders>
              <w:top w:val="nil"/>
              <w:left w:val="single" w:sz="4" w:space="0" w:color="auto"/>
              <w:bottom w:val="single" w:sz="4" w:space="0" w:color="auto"/>
              <w:right w:val="double" w:sz="4" w:space="0" w:color="auto"/>
            </w:tcBorders>
            <w:vAlign w:val="center"/>
            <w:hideMark/>
          </w:tcPr>
          <w:p w14:paraId="783D7EF7" w14:textId="77777777" w:rsidR="005942B3" w:rsidRPr="00B11673" w:rsidRDefault="005942B3" w:rsidP="00B11673">
            <w:pPr>
              <w:spacing w:line="240" w:lineRule="auto"/>
              <w:jc w:val="center"/>
              <w:rPr>
                <w:rFonts w:cs="Open Sans"/>
                <w:szCs w:val="18"/>
                <w:lang w:val="en-GB"/>
              </w:rPr>
            </w:pPr>
          </w:p>
        </w:tc>
      </w:tr>
      <w:tr w:rsidR="005942B3" w:rsidRPr="00B11673" w14:paraId="17935F96"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39B6E09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7D2C27E"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2B7C3A1C"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14 - 20 t</w:t>
            </w:r>
          </w:p>
        </w:tc>
        <w:tc>
          <w:tcPr>
            <w:tcW w:w="3402" w:type="dxa"/>
            <w:vMerge/>
            <w:tcBorders>
              <w:top w:val="nil"/>
              <w:left w:val="single" w:sz="4" w:space="0" w:color="auto"/>
              <w:bottom w:val="single" w:sz="4" w:space="0" w:color="auto"/>
              <w:right w:val="double" w:sz="4" w:space="0" w:color="auto"/>
            </w:tcBorders>
            <w:vAlign w:val="center"/>
            <w:hideMark/>
          </w:tcPr>
          <w:p w14:paraId="57CE11F2" w14:textId="77777777" w:rsidR="005942B3" w:rsidRPr="00B11673" w:rsidRDefault="005942B3" w:rsidP="00B11673">
            <w:pPr>
              <w:spacing w:line="240" w:lineRule="auto"/>
              <w:jc w:val="center"/>
              <w:rPr>
                <w:rFonts w:cs="Open Sans"/>
                <w:szCs w:val="18"/>
                <w:lang w:val="en-GB"/>
              </w:rPr>
            </w:pPr>
          </w:p>
        </w:tc>
      </w:tr>
      <w:tr w:rsidR="005942B3" w:rsidRPr="00B11673" w14:paraId="4AD88DAC"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0BC6BBD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220B903"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C6691BE"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20 - 28 t</w:t>
            </w:r>
          </w:p>
        </w:tc>
        <w:tc>
          <w:tcPr>
            <w:tcW w:w="3402" w:type="dxa"/>
            <w:vMerge/>
            <w:tcBorders>
              <w:top w:val="nil"/>
              <w:left w:val="single" w:sz="4" w:space="0" w:color="auto"/>
              <w:bottom w:val="single" w:sz="4" w:space="0" w:color="auto"/>
              <w:right w:val="double" w:sz="4" w:space="0" w:color="auto"/>
            </w:tcBorders>
            <w:vAlign w:val="center"/>
            <w:hideMark/>
          </w:tcPr>
          <w:p w14:paraId="25F1DDD9" w14:textId="77777777" w:rsidR="005942B3" w:rsidRPr="00B11673" w:rsidRDefault="005942B3" w:rsidP="00B11673">
            <w:pPr>
              <w:spacing w:line="240" w:lineRule="auto"/>
              <w:jc w:val="center"/>
              <w:rPr>
                <w:rFonts w:cs="Open Sans"/>
                <w:szCs w:val="18"/>
                <w:lang w:val="en-GB"/>
              </w:rPr>
            </w:pPr>
          </w:p>
        </w:tc>
      </w:tr>
      <w:tr w:rsidR="005942B3" w:rsidRPr="00B11673" w14:paraId="1FE9A27D"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70BFD00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99CA6DD"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59BA2BC0"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28 - 34 t</w:t>
            </w:r>
          </w:p>
        </w:tc>
        <w:tc>
          <w:tcPr>
            <w:tcW w:w="3402" w:type="dxa"/>
            <w:vMerge/>
            <w:tcBorders>
              <w:top w:val="nil"/>
              <w:left w:val="single" w:sz="4" w:space="0" w:color="auto"/>
              <w:bottom w:val="single" w:sz="4" w:space="0" w:color="auto"/>
              <w:right w:val="double" w:sz="4" w:space="0" w:color="auto"/>
            </w:tcBorders>
            <w:vAlign w:val="center"/>
            <w:hideMark/>
          </w:tcPr>
          <w:p w14:paraId="562D38D2" w14:textId="77777777" w:rsidR="005942B3" w:rsidRPr="00B11673" w:rsidRDefault="005942B3" w:rsidP="00B11673">
            <w:pPr>
              <w:spacing w:line="240" w:lineRule="auto"/>
              <w:jc w:val="center"/>
              <w:rPr>
                <w:rFonts w:cs="Open Sans"/>
                <w:szCs w:val="18"/>
                <w:lang w:val="en-GB"/>
              </w:rPr>
            </w:pPr>
          </w:p>
        </w:tc>
      </w:tr>
      <w:tr w:rsidR="005942B3" w:rsidRPr="00B11673" w14:paraId="2C4E092D"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610B52DA"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A764CF1"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7772618F"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34 - 40 t</w:t>
            </w:r>
          </w:p>
        </w:tc>
        <w:tc>
          <w:tcPr>
            <w:tcW w:w="3402" w:type="dxa"/>
            <w:vMerge/>
            <w:tcBorders>
              <w:top w:val="nil"/>
              <w:left w:val="single" w:sz="4" w:space="0" w:color="auto"/>
              <w:bottom w:val="single" w:sz="4" w:space="0" w:color="auto"/>
              <w:right w:val="double" w:sz="4" w:space="0" w:color="auto"/>
            </w:tcBorders>
            <w:vAlign w:val="center"/>
            <w:hideMark/>
          </w:tcPr>
          <w:p w14:paraId="7A15AB00" w14:textId="77777777" w:rsidR="005942B3" w:rsidRPr="00B11673" w:rsidRDefault="005942B3" w:rsidP="00B11673">
            <w:pPr>
              <w:spacing w:line="240" w:lineRule="auto"/>
              <w:jc w:val="center"/>
              <w:rPr>
                <w:rFonts w:cs="Open Sans"/>
                <w:szCs w:val="18"/>
                <w:lang w:val="en-GB"/>
              </w:rPr>
            </w:pPr>
          </w:p>
        </w:tc>
      </w:tr>
      <w:tr w:rsidR="005942B3" w:rsidRPr="00B11673" w14:paraId="0B23E8E5"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48C2C5A9"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325B4B7"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0892C5E6"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40 - 50 t</w:t>
            </w:r>
          </w:p>
        </w:tc>
        <w:tc>
          <w:tcPr>
            <w:tcW w:w="3402" w:type="dxa"/>
            <w:vMerge/>
            <w:tcBorders>
              <w:top w:val="nil"/>
              <w:left w:val="single" w:sz="4" w:space="0" w:color="auto"/>
              <w:bottom w:val="single" w:sz="4" w:space="0" w:color="auto"/>
              <w:right w:val="double" w:sz="4" w:space="0" w:color="auto"/>
            </w:tcBorders>
            <w:vAlign w:val="center"/>
            <w:hideMark/>
          </w:tcPr>
          <w:p w14:paraId="01BEADF3" w14:textId="77777777" w:rsidR="005942B3" w:rsidRPr="00B11673" w:rsidRDefault="005942B3" w:rsidP="00B11673">
            <w:pPr>
              <w:spacing w:line="240" w:lineRule="auto"/>
              <w:jc w:val="center"/>
              <w:rPr>
                <w:rFonts w:cs="Open Sans"/>
                <w:szCs w:val="18"/>
                <w:lang w:val="en-GB"/>
              </w:rPr>
            </w:pPr>
          </w:p>
        </w:tc>
      </w:tr>
      <w:tr w:rsidR="005942B3" w:rsidRPr="00B11673" w14:paraId="662B6E64"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7BAA53B6"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05A58A1"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3506FC38" w14:textId="77777777" w:rsidR="005942B3" w:rsidRPr="00B11673" w:rsidRDefault="005942B3" w:rsidP="00410789">
            <w:pPr>
              <w:spacing w:line="240" w:lineRule="auto"/>
              <w:rPr>
                <w:rFonts w:cs="Open Sans"/>
                <w:szCs w:val="18"/>
                <w:lang w:val="en-GB"/>
              </w:rPr>
            </w:pPr>
            <w:r w:rsidRPr="00B11673">
              <w:rPr>
                <w:rFonts w:cs="Open Sans"/>
                <w:szCs w:val="18"/>
                <w:lang w:val="en-GB"/>
              </w:rPr>
              <w:t>Articulated 50 - 60 t</w:t>
            </w:r>
          </w:p>
        </w:tc>
        <w:tc>
          <w:tcPr>
            <w:tcW w:w="3402" w:type="dxa"/>
            <w:vMerge/>
            <w:tcBorders>
              <w:top w:val="nil"/>
              <w:left w:val="single" w:sz="4" w:space="0" w:color="auto"/>
              <w:bottom w:val="single" w:sz="4" w:space="0" w:color="auto"/>
              <w:right w:val="double" w:sz="4" w:space="0" w:color="auto"/>
            </w:tcBorders>
            <w:vAlign w:val="center"/>
            <w:hideMark/>
          </w:tcPr>
          <w:p w14:paraId="6806C11D" w14:textId="77777777" w:rsidR="005942B3" w:rsidRPr="00B11673" w:rsidRDefault="005942B3" w:rsidP="00B11673">
            <w:pPr>
              <w:spacing w:line="240" w:lineRule="auto"/>
              <w:jc w:val="center"/>
              <w:rPr>
                <w:rFonts w:cs="Open Sans"/>
                <w:szCs w:val="18"/>
                <w:lang w:val="en-GB"/>
              </w:rPr>
            </w:pPr>
          </w:p>
        </w:tc>
      </w:tr>
      <w:tr w:rsidR="005942B3" w:rsidRPr="00B11673" w14:paraId="2A64E3F7"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2B36F202"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5EEFDFB"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6C927C6B" w14:textId="77777777" w:rsidR="005942B3" w:rsidRPr="00B11673" w:rsidRDefault="005942B3" w:rsidP="00410789">
            <w:pPr>
              <w:spacing w:line="240" w:lineRule="auto"/>
              <w:rPr>
                <w:rFonts w:cs="Open Sans"/>
                <w:szCs w:val="18"/>
                <w:lang w:val="en-GB"/>
              </w:rPr>
            </w:pPr>
            <w:r w:rsidRPr="00B11673">
              <w:rPr>
                <w:rFonts w:cs="Open Sans"/>
                <w:szCs w:val="18"/>
                <w:lang w:val="en-GB"/>
              </w:rPr>
              <w:t>Urban Buses Midi &lt;=15 t</w:t>
            </w:r>
          </w:p>
        </w:tc>
        <w:tc>
          <w:tcPr>
            <w:tcW w:w="3402" w:type="dxa"/>
            <w:vMerge w:val="restart"/>
            <w:tcBorders>
              <w:top w:val="nil"/>
              <w:left w:val="single" w:sz="4" w:space="0" w:color="auto"/>
              <w:bottom w:val="single" w:sz="4" w:space="0" w:color="000000"/>
              <w:right w:val="double" w:sz="4" w:space="0" w:color="auto"/>
            </w:tcBorders>
            <w:shd w:val="clear" w:color="auto" w:fill="auto"/>
            <w:vAlign w:val="center"/>
            <w:hideMark/>
          </w:tcPr>
          <w:p w14:paraId="4ABC06FD"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M2</w:t>
            </w:r>
            <w:r w:rsidRPr="00B11673">
              <w:rPr>
                <w:rFonts w:cs="Open Sans"/>
                <w:szCs w:val="18"/>
                <w:lang w:val="en-GB"/>
              </w:rPr>
              <w:t>: vehicles used for the carriage of passengers and comprising more than eight seats in addition to the driver's seat, and having a maximum weight not exceeding 5 tonnes.</w:t>
            </w:r>
            <w:r w:rsidRPr="00B11673">
              <w:rPr>
                <w:rFonts w:cs="Open Sans"/>
                <w:szCs w:val="18"/>
                <w:lang w:val="en-GB"/>
              </w:rPr>
              <w:br/>
            </w:r>
            <w:r w:rsidRPr="00E61E5C">
              <w:rPr>
                <w:rFonts w:cs="Open Sans"/>
                <w:b/>
                <w:szCs w:val="18"/>
                <w:lang w:val="en-GB"/>
              </w:rPr>
              <w:t>M3</w:t>
            </w:r>
            <w:r w:rsidRPr="00B11673">
              <w:rPr>
                <w:rFonts w:cs="Open Sans"/>
                <w:szCs w:val="18"/>
                <w:lang w:val="en-GB"/>
              </w:rPr>
              <w:t>: vehicles used for the carriage of passengers and comprising more than eight seats in addition to the driver's seat, and having a maximum weight exceeding 5 tonnes.</w:t>
            </w:r>
          </w:p>
        </w:tc>
      </w:tr>
      <w:tr w:rsidR="005942B3" w:rsidRPr="00B11673" w14:paraId="339F2253"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7B8A3C3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013500BF"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696A4F1D" w14:textId="77777777" w:rsidR="005942B3" w:rsidRPr="00B11673" w:rsidRDefault="005942B3" w:rsidP="00410789">
            <w:pPr>
              <w:spacing w:line="240" w:lineRule="auto"/>
              <w:rPr>
                <w:rFonts w:cs="Open Sans"/>
                <w:szCs w:val="18"/>
                <w:lang w:val="en-GB"/>
              </w:rPr>
            </w:pPr>
            <w:r w:rsidRPr="00B11673">
              <w:rPr>
                <w:rFonts w:cs="Open Sans"/>
                <w:szCs w:val="18"/>
                <w:lang w:val="en-GB"/>
              </w:rPr>
              <w:t>Urban Buses Standard 15 - 18 t</w:t>
            </w:r>
          </w:p>
        </w:tc>
        <w:tc>
          <w:tcPr>
            <w:tcW w:w="3402" w:type="dxa"/>
            <w:vMerge/>
            <w:tcBorders>
              <w:top w:val="nil"/>
              <w:left w:val="single" w:sz="4" w:space="0" w:color="auto"/>
              <w:bottom w:val="single" w:sz="4" w:space="0" w:color="000000"/>
              <w:right w:val="double" w:sz="4" w:space="0" w:color="auto"/>
            </w:tcBorders>
            <w:vAlign w:val="center"/>
            <w:hideMark/>
          </w:tcPr>
          <w:p w14:paraId="2E6A006D" w14:textId="77777777" w:rsidR="005942B3" w:rsidRPr="00B11673" w:rsidRDefault="005942B3" w:rsidP="00B11673">
            <w:pPr>
              <w:spacing w:line="240" w:lineRule="auto"/>
              <w:jc w:val="center"/>
              <w:rPr>
                <w:rFonts w:cs="Open Sans"/>
                <w:szCs w:val="18"/>
                <w:lang w:val="en-GB"/>
              </w:rPr>
            </w:pPr>
          </w:p>
        </w:tc>
      </w:tr>
      <w:tr w:rsidR="005942B3" w:rsidRPr="00B11673" w14:paraId="1B5636D9"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7AF4A3FD"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64418F3"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4D7DD574" w14:textId="77777777" w:rsidR="005942B3" w:rsidRPr="00B11673" w:rsidRDefault="005942B3" w:rsidP="00410789">
            <w:pPr>
              <w:spacing w:line="240" w:lineRule="auto"/>
              <w:rPr>
                <w:rFonts w:cs="Open Sans"/>
                <w:szCs w:val="18"/>
                <w:lang w:val="en-GB"/>
              </w:rPr>
            </w:pPr>
            <w:r w:rsidRPr="00B11673">
              <w:rPr>
                <w:rFonts w:cs="Open Sans"/>
                <w:szCs w:val="18"/>
                <w:lang w:val="en-GB"/>
              </w:rPr>
              <w:t>Urban Buses Articulated &gt;18 t</w:t>
            </w:r>
          </w:p>
        </w:tc>
        <w:tc>
          <w:tcPr>
            <w:tcW w:w="3402" w:type="dxa"/>
            <w:vMerge/>
            <w:tcBorders>
              <w:top w:val="nil"/>
              <w:left w:val="single" w:sz="4" w:space="0" w:color="auto"/>
              <w:bottom w:val="single" w:sz="4" w:space="0" w:color="000000"/>
              <w:right w:val="double" w:sz="4" w:space="0" w:color="auto"/>
            </w:tcBorders>
            <w:vAlign w:val="center"/>
            <w:hideMark/>
          </w:tcPr>
          <w:p w14:paraId="6F729F4D" w14:textId="77777777" w:rsidR="005942B3" w:rsidRPr="00B11673" w:rsidRDefault="005942B3" w:rsidP="00B11673">
            <w:pPr>
              <w:spacing w:line="240" w:lineRule="auto"/>
              <w:jc w:val="center"/>
              <w:rPr>
                <w:rFonts w:cs="Open Sans"/>
                <w:szCs w:val="18"/>
                <w:lang w:val="en-GB"/>
              </w:rPr>
            </w:pPr>
          </w:p>
        </w:tc>
      </w:tr>
      <w:tr w:rsidR="005942B3" w:rsidRPr="00B11673" w14:paraId="2E1B68EA"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5582EFA2"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1B2FFAA9"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AAFF2F3" w14:textId="77777777" w:rsidR="005942B3" w:rsidRPr="00B11673" w:rsidRDefault="005942B3" w:rsidP="00410789">
            <w:pPr>
              <w:spacing w:line="240" w:lineRule="auto"/>
              <w:rPr>
                <w:rFonts w:cs="Open Sans"/>
                <w:szCs w:val="18"/>
                <w:lang w:val="en-GB"/>
              </w:rPr>
            </w:pPr>
            <w:r w:rsidRPr="00B11673">
              <w:rPr>
                <w:rFonts w:cs="Open Sans"/>
                <w:szCs w:val="18"/>
                <w:lang w:val="en-GB"/>
              </w:rPr>
              <w:t>Coaches Standard &lt;=18 t</w:t>
            </w:r>
          </w:p>
        </w:tc>
        <w:tc>
          <w:tcPr>
            <w:tcW w:w="3402" w:type="dxa"/>
            <w:vMerge/>
            <w:tcBorders>
              <w:top w:val="nil"/>
              <w:left w:val="single" w:sz="4" w:space="0" w:color="auto"/>
              <w:bottom w:val="single" w:sz="4" w:space="0" w:color="000000"/>
              <w:right w:val="double" w:sz="4" w:space="0" w:color="auto"/>
            </w:tcBorders>
            <w:vAlign w:val="center"/>
            <w:hideMark/>
          </w:tcPr>
          <w:p w14:paraId="6B0807AD" w14:textId="77777777" w:rsidR="005942B3" w:rsidRPr="00B11673" w:rsidRDefault="005942B3" w:rsidP="00B11673">
            <w:pPr>
              <w:spacing w:line="240" w:lineRule="auto"/>
              <w:jc w:val="center"/>
              <w:rPr>
                <w:rFonts w:cs="Open Sans"/>
                <w:szCs w:val="18"/>
                <w:lang w:val="en-GB"/>
              </w:rPr>
            </w:pPr>
          </w:p>
        </w:tc>
      </w:tr>
      <w:tr w:rsidR="005942B3" w:rsidRPr="00B11673" w14:paraId="04B9B150"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6C94B697"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202DBA0A" w14:textId="77777777" w:rsidR="005942B3" w:rsidRPr="00B11673" w:rsidRDefault="005942B3" w:rsidP="00410789">
            <w:pPr>
              <w:spacing w:line="240" w:lineRule="auto"/>
              <w:rPr>
                <w:rFonts w:cs="Open Sans"/>
                <w:szCs w:val="18"/>
                <w:lang w:val="en-GB"/>
              </w:rPr>
            </w:pPr>
            <w:r w:rsidRPr="00B11673">
              <w:rPr>
                <w:rFonts w:cs="Open Sans"/>
                <w:szCs w:val="18"/>
                <w:lang w:val="en-GB"/>
              </w:rPr>
              <w:t>Diesel</w:t>
            </w:r>
          </w:p>
        </w:tc>
        <w:tc>
          <w:tcPr>
            <w:tcW w:w="2457" w:type="dxa"/>
            <w:tcBorders>
              <w:top w:val="nil"/>
              <w:left w:val="nil"/>
              <w:bottom w:val="single" w:sz="4" w:space="0" w:color="auto"/>
              <w:right w:val="single" w:sz="4" w:space="0" w:color="auto"/>
            </w:tcBorders>
            <w:shd w:val="clear" w:color="auto" w:fill="auto"/>
            <w:noWrap/>
            <w:vAlign w:val="center"/>
            <w:hideMark/>
          </w:tcPr>
          <w:p w14:paraId="1546DCCA" w14:textId="77777777" w:rsidR="005942B3" w:rsidRPr="00B11673" w:rsidRDefault="005942B3" w:rsidP="00410789">
            <w:pPr>
              <w:spacing w:line="240" w:lineRule="auto"/>
              <w:rPr>
                <w:rFonts w:cs="Open Sans"/>
                <w:szCs w:val="18"/>
                <w:lang w:val="en-GB"/>
              </w:rPr>
            </w:pPr>
            <w:r w:rsidRPr="00B11673">
              <w:rPr>
                <w:rFonts w:cs="Open Sans"/>
                <w:szCs w:val="18"/>
                <w:lang w:val="en-GB"/>
              </w:rPr>
              <w:t>Coaches Articulated &gt;18 t</w:t>
            </w:r>
          </w:p>
        </w:tc>
        <w:tc>
          <w:tcPr>
            <w:tcW w:w="3402" w:type="dxa"/>
            <w:vMerge/>
            <w:tcBorders>
              <w:top w:val="nil"/>
              <w:left w:val="single" w:sz="4" w:space="0" w:color="auto"/>
              <w:bottom w:val="single" w:sz="4" w:space="0" w:color="000000"/>
              <w:right w:val="double" w:sz="4" w:space="0" w:color="auto"/>
            </w:tcBorders>
            <w:vAlign w:val="center"/>
            <w:hideMark/>
          </w:tcPr>
          <w:p w14:paraId="5A90EBFA" w14:textId="77777777" w:rsidR="005942B3" w:rsidRPr="00B11673" w:rsidRDefault="005942B3" w:rsidP="00B11673">
            <w:pPr>
              <w:spacing w:line="240" w:lineRule="auto"/>
              <w:jc w:val="center"/>
              <w:rPr>
                <w:rFonts w:cs="Open Sans"/>
                <w:szCs w:val="18"/>
                <w:lang w:val="en-GB"/>
              </w:rPr>
            </w:pPr>
          </w:p>
        </w:tc>
      </w:tr>
      <w:tr w:rsidR="005942B3" w:rsidRPr="00B11673" w14:paraId="20F13039"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62D3F538"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8735728" w14:textId="77777777" w:rsidR="005942B3" w:rsidRPr="00B11673" w:rsidRDefault="005942B3" w:rsidP="00410789">
            <w:pPr>
              <w:spacing w:line="240" w:lineRule="auto"/>
              <w:rPr>
                <w:rFonts w:cs="Open Sans"/>
                <w:szCs w:val="18"/>
                <w:lang w:val="en-GB"/>
              </w:rPr>
            </w:pPr>
            <w:r w:rsidRPr="00B11673">
              <w:rPr>
                <w:rFonts w:cs="Open Sans"/>
                <w:szCs w:val="18"/>
                <w:lang w:val="en-GB"/>
              </w:rPr>
              <w:t>CNG</w:t>
            </w:r>
          </w:p>
        </w:tc>
        <w:tc>
          <w:tcPr>
            <w:tcW w:w="2457" w:type="dxa"/>
            <w:tcBorders>
              <w:top w:val="nil"/>
              <w:left w:val="nil"/>
              <w:bottom w:val="single" w:sz="4" w:space="0" w:color="auto"/>
              <w:right w:val="single" w:sz="4" w:space="0" w:color="auto"/>
            </w:tcBorders>
            <w:shd w:val="clear" w:color="auto" w:fill="auto"/>
            <w:noWrap/>
            <w:vAlign w:val="center"/>
            <w:hideMark/>
          </w:tcPr>
          <w:p w14:paraId="7BE3965C" w14:textId="77777777" w:rsidR="005942B3" w:rsidRPr="00B11673" w:rsidRDefault="005942B3" w:rsidP="00410789">
            <w:pPr>
              <w:spacing w:line="240" w:lineRule="auto"/>
              <w:rPr>
                <w:rFonts w:cs="Open Sans"/>
                <w:szCs w:val="18"/>
                <w:lang w:val="en-GB"/>
              </w:rPr>
            </w:pPr>
            <w:r w:rsidRPr="00B11673">
              <w:rPr>
                <w:rFonts w:cs="Open Sans"/>
                <w:szCs w:val="18"/>
                <w:lang w:val="en-GB"/>
              </w:rPr>
              <w:t>Urban CNG Buses</w:t>
            </w:r>
          </w:p>
        </w:tc>
        <w:tc>
          <w:tcPr>
            <w:tcW w:w="3402" w:type="dxa"/>
            <w:vMerge/>
            <w:tcBorders>
              <w:top w:val="nil"/>
              <w:left w:val="single" w:sz="4" w:space="0" w:color="auto"/>
              <w:bottom w:val="single" w:sz="4" w:space="0" w:color="000000"/>
              <w:right w:val="double" w:sz="4" w:space="0" w:color="auto"/>
            </w:tcBorders>
            <w:vAlign w:val="center"/>
            <w:hideMark/>
          </w:tcPr>
          <w:p w14:paraId="650C38F0" w14:textId="77777777" w:rsidR="005942B3" w:rsidRPr="00B11673" w:rsidRDefault="005942B3" w:rsidP="00B11673">
            <w:pPr>
              <w:spacing w:line="240" w:lineRule="auto"/>
              <w:jc w:val="center"/>
              <w:rPr>
                <w:rFonts w:cs="Open Sans"/>
                <w:szCs w:val="18"/>
                <w:lang w:val="en-GB"/>
              </w:rPr>
            </w:pPr>
          </w:p>
        </w:tc>
      </w:tr>
      <w:tr w:rsidR="005942B3" w:rsidRPr="00B11673" w14:paraId="46DB2B81" w14:textId="77777777" w:rsidTr="00167D6A">
        <w:trPr>
          <w:trHeight w:val="300"/>
        </w:trPr>
        <w:tc>
          <w:tcPr>
            <w:tcW w:w="1020" w:type="dxa"/>
            <w:vMerge/>
            <w:tcBorders>
              <w:top w:val="nil"/>
              <w:left w:val="double" w:sz="4" w:space="0" w:color="auto"/>
              <w:bottom w:val="single" w:sz="4" w:space="0" w:color="auto"/>
              <w:right w:val="single" w:sz="4" w:space="0" w:color="auto"/>
            </w:tcBorders>
            <w:vAlign w:val="center"/>
            <w:hideMark/>
          </w:tcPr>
          <w:p w14:paraId="5FD3B6C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818A3DF" w14:textId="77777777" w:rsidR="005942B3" w:rsidRPr="00B11673" w:rsidRDefault="005942B3" w:rsidP="00410789">
            <w:pPr>
              <w:spacing w:line="240" w:lineRule="auto"/>
              <w:rPr>
                <w:rFonts w:cs="Open Sans"/>
                <w:szCs w:val="18"/>
                <w:lang w:val="en-GB"/>
              </w:rPr>
            </w:pPr>
            <w:r w:rsidRPr="00B11673">
              <w:rPr>
                <w:rFonts w:cs="Open Sans"/>
                <w:szCs w:val="18"/>
                <w:lang w:val="en-GB"/>
              </w:rPr>
              <w:t>Biodiesel</w:t>
            </w:r>
          </w:p>
        </w:tc>
        <w:tc>
          <w:tcPr>
            <w:tcW w:w="2457" w:type="dxa"/>
            <w:tcBorders>
              <w:top w:val="nil"/>
              <w:left w:val="nil"/>
              <w:bottom w:val="single" w:sz="4" w:space="0" w:color="auto"/>
              <w:right w:val="single" w:sz="4" w:space="0" w:color="auto"/>
            </w:tcBorders>
            <w:shd w:val="clear" w:color="auto" w:fill="auto"/>
            <w:noWrap/>
            <w:vAlign w:val="center"/>
            <w:hideMark/>
          </w:tcPr>
          <w:p w14:paraId="44539434" w14:textId="77777777" w:rsidR="005942B3" w:rsidRPr="00B11673" w:rsidRDefault="005942B3" w:rsidP="00410789">
            <w:pPr>
              <w:spacing w:line="240" w:lineRule="auto"/>
              <w:rPr>
                <w:rFonts w:cs="Open Sans"/>
                <w:szCs w:val="18"/>
                <w:lang w:val="en-GB"/>
              </w:rPr>
            </w:pPr>
            <w:r w:rsidRPr="00B11673">
              <w:rPr>
                <w:rFonts w:cs="Open Sans"/>
                <w:szCs w:val="18"/>
                <w:lang w:val="en-GB"/>
              </w:rPr>
              <w:t>Urban Biodiesel Buses</w:t>
            </w:r>
          </w:p>
        </w:tc>
        <w:tc>
          <w:tcPr>
            <w:tcW w:w="3402" w:type="dxa"/>
            <w:vMerge/>
            <w:tcBorders>
              <w:top w:val="nil"/>
              <w:left w:val="single" w:sz="4" w:space="0" w:color="auto"/>
              <w:bottom w:val="single" w:sz="4" w:space="0" w:color="000000"/>
              <w:right w:val="double" w:sz="4" w:space="0" w:color="auto"/>
            </w:tcBorders>
            <w:vAlign w:val="center"/>
            <w:hideMark/>
          </w:tcPr>
          <w:p w14:paraId="556961D6" w14:textId="77777777" w:rsidR="005942B3" w:rsidRPr="00B11673" w:rsidRDefault="005942B3" w:rsidP="00B11673">
            <w:pPr>
              <w:spacing w:line="240" w:lineRule="auto"/>
              <w:jc w:val="center"/>
              <w:rPr>
                <w:rFonts w:cs="Open Sans"/>
                <w:szCs w:val="18"/>
                <w:lang w:val="en-GB"/>
              </w:rPr>
            </w:pPr>
          </w:p>
        </w:tc>
      </w:tr>
      <w:tr w:rsidR="005942B3" w:rsidRPr="00B11673" w14:paraId="7E3532BB" w14:textId="77777777" w:rsidTr="00887829">
        <w:trPr>
          <w:trHeight w:val="300"/>
        </w:trPr>
        <w:tc>
          <w:tcPr>
            <w:tcW w:w="1020"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6120C8C1" w14:textId="77777777" w:rsidR="005942B3" w:rsidRPr="00B11673" w:rsidRDefault="005942B3" w:rsidP="00410789">
            <w:pPr>
              <w:spacing w:line="240" w:lineRule="auto"/>
              <w:rPr>
                <w:rFonts w:cs="Open Sans"/>
                <w:szCs w:val="18"/>
                <w:lang w:val="en-GB"/>
              </w:rPr>
            </w:pPr>
            <w:r w:rsidRPr="00B11673">
              <w:rPr>
                <w:rFonts w:cs="Open Sans"/>
                <w:szCs w:val="18"/>
                <w:lang w:val="en-GB"/>
              </w:rPr>
              <w:t>1.A.3.b.iv</w:t>
            </w:r>
          </w:p>
        </w:tc>
        <w:tc>
          <w:tcPr>
            <w:tcW w:w="409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C28C99" w14:textId="77777777" w:rsidR="005942B3" w:rsidRPr="00B11673" w:rsidRDefault="005942B3" w:rsidP="00410789">
            <w:pPr>
              <w:spacing w:line="240" w:lineRule="auto"/>
              <w:rPr>
                <w:rFonts w:cs="Open Sans"/>
                <w:b/>
                <w:szCs w:val="18"/>
                <w:lang w:val="en-GB"/>
              </w:rPr>
            </w:pPr>
            <w:r w:rsidRPr="00B11673">
              <w:rPr>
                <w:rFonts w:cs="Open Sans"/>
                <w:b/>
                <w:szCs w:val="18"/>
                <w:lang w:val="en-GB"/>
              </w:rPr>
              <w:t>L-Category</w:t>
            </w:r>
          </w:p>
        </w:tc>
        <w:tc>
          <w:tcPr>
            <w:tcW w:w="3402" w:type="dxa"/>
            <w:vMerge w:val="restart"/>
            <w:tcBorders>
              <w:top w:val="nil"/>
              <w:left w:val="single" w:sz="4" w:space="0" w:color="auto"/>
              <w:bottom w:val="single" w:sz="4" w:space="0" w:color="000000"/>
              <w:right w:val="double" w:sz="4" w:space="0" w:color="auto"/>
            </w:tcBorders>
            <w:shd w:val="clear" w:color="auto" w:fill="auto"/>
            <w:vAlign w:val="center"/>
            <w:hideMark/>
          </w:tcPr>
          <w:p w14:paraId="5F98A66B"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L1e</w:t>
            </w:r>
            <w:r w:rsidRPr="00B11673">
              <w:rPr>
                <w:rFonts w:cs="Open Sans"/>
                <w:szCs w:val="18"/>
                <w:lang w:val="en-GB"/>
              </w:rPr>
              <w:t>: Light two-wheel powered  vehicles with an engine cylinder capacity not exceeding 50 cm³ , a maximum design speed not exceeding 45 km/h and a maximum continuous or net power ≤ 4000 W</w:t>
            </w:r>
            <w:r w:rsidRPr="00B11673">
              <w:rPr>
                <w:rFonts w:cs="Open Sans"/>
                <w:szCs w:val="18"/>
                <w:lang w:val="en-GB"/>
              </w:rPr>
              <w:br/>
            </w:r>
            <w:r w:rsidRPr="00E61E5C">
              <w:rPr>
                <w:rFonts w:cs="Open Sans"/>
                <w:b/>
                <w:szCs w:val="18"/>
                <w:lang w:val="en-GB"/>
              </w:rPr>
              <w:t>L2e</w:t>
            </w:r>
            <w:r w:rsidRPr="00B11673">
              <w:rPr>
                <w:rFonts w:cs="Open Sans"/>
                <w:szCs w:val="18"/>
                <w:lang w:val="en-GB"/>
              </w:rPr>
              <w:t>: Three-wheel mopeds with a maximum design speed not exceeding 45 km/h, a maximum continuous rated or net power ≤ 4000 W and mass in running order ≤ 270 kg.</w:t>
            </w:r>
          </w:p>
        </w:tc>
      </w:tr>
      <w:tr w:rsidR="005942B3" w:rsidRPr="00B11673" w14:paraId="3C29142D" w14:textId="77777777" w:rsidTr="00167D6A">
        <w:trPr>
          <w:trHeight w:val="1110"/>
        </w:trPr>
        <w:tc>
          <w:tcPr>
            <w:tcW w:w="1020" w:type="dxa"/>
            <w:vMerge/>
            <w:tcBorders>
              <w:top w:val="nil"/>
              <w:left w:val="double" w:sz="4" w:space="0" w:color="auto"/>
              <w:bottom w:val="single" w:sz="4" w:space="0" w:color="auto"/>
              <w:right w:val="single" w:sz="4" w:space="0" w:color="auto"/>
            </w:tcBorders>
            <w:vAlign w:val="center"/>
            <w:hideMark/>
          </w:tcPr>
          <w:p w14:paraId="59E8244C"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39C554E5"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6256B480" w14:textId="77777777" w:rsidR="005942B3" w:rsidRPr="00B11673" w:rsidRDefault="005942B3" w:rsidP="00410789">
            <w:pPr>
              <w:spacing w:line="240" w:lineRule="auto"/>
              <w:rPr>
                <w:rFonts w:cs="Open Sans"/>
                <w:szCs w:val="18"/>
                <w:lang w:val="en-GB"/>
              </w:rPr>
            </w:pPr>
            <w:r w:rsidRPr="00B11673">
              <w:rPr>
                <w:rFonts w:cs="Open Sans"/>
                <w:szCs w:val="18"/>
                <w:lang w:val="en-GB"/>
              </w:rPr>
              <w:t>Mopeds 2-stroke &lt;50 cm³</w:t>
            </w:r>
          </w:p>
        </w:tc>
        <w:tc>
          <w:tcPr>
            <w:tcW w:w="3402" w:type="dxa"/>
            <w:vMerge/>
            <w:tcBorders>
              <w:top w:val="nil"/>
              <w:left w:val="single" w:sz="4" w:space="0" w:color="auto"/>
              <w:bottom w:val="single" w:sz="4" w:space="0" w:color="000000"/>
              <w:right w:val="double" w:sz="4" w:space="0" w:color="auto"/>
            </w:tcBorders>
            <w:vAlign w:val="center"/>
            <w:hideMark/>
          </w:tcPr>
          <w:p w14:paraId="33576E23" w14:textId="77777777" w:rsidR="005942B3" w:rsidRPr="00B11673" w:rsidRDefault="005942B3" w:rsidP="00B11673">
            <w:pPr>
              <w:spacing w:line="240" w:lineRule="auto"/>
              <w:jc w:val="center"/>
              <w:rPr>
                <w:rFonts w:cs="Open Sans"/>
                <w:szCs w:val="18"/>
                <w:lang w:val="en-GB"/>
              </w:rPr>
            </w:pPr>
          </w:p>
        </w:tc>
      </w:tr>
      <w:tr w:rsidR="005942B3" w:rsidRPr="00B11673" w14:paraId="5E885072" w14:textId="77777777" w:rsidTr="00167D6A">
        <w:trPr>
          <w:trHeight w:val="1110"/>
        </w:trPr>
        <w:tc>
          <w:tcPr>
            <w:tcW w:w="1020" w:type="dxa"/>
            <w:vMerge/>
            <w:tcBorders>
              <w:top w:val="nil"/>
              <w:left w:val="double" w:sz="4" w:space="0" w:color="auto"/>
              <w:bottom w:val="single" w:sz="4" w:space="0" w:color="auto"/>
              <w:right w:val="single" w:sz="4" w:space="0" w:color="auto"/>
            </w:tcBorders>
            <w:vAlign w:val="center"/>
            <w:hideMark/>
          </w:tcPr>
          <w:p w14:paraId="0EF7C590"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5262D62A"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34BEF395" w14:textId="77777777" w:rsidR="005942B3" w:rsidRPr="00B11673" w:rsidRDefault="005942B3" w:rsidP="00410789">
            <w:pPr>
              <w:spacing w:line="240" w:lineRule="auto"/>
              <w:rPr>
                <w:rFonts w:cs="Open Sans"/>
                <w:szCs w:val="18"/>
                <w:lang w:val="en-GB"/>
              </w:rPr>
            </w:pPr>
            <w:r w:rsidRPr="00B11673">
              <w:rPr>
                <w:rFonts w:cs="Open Sans"/>
                <w:szCs w:val="18"/>
                <w:lang w:val="en-GB"/>
              </w:rPr>
              <w:t>Mopeds 4-stroke &lt;50 cm³</w:t>
            </w:r>
          </w:p>
        </w:tc>
        <w:tc>
          <w:tcPr>
            <w:tcW w:w="3402" w:type="dxa"/>
            <w:vMerge/>
            <w:tcBorders>
              <w:top w:val="nil"/>
              <w:left w:val="single" w:sz="4" w:space="0" w:color="auto"/>
              <w:bottom w:val="single" w:sz="4" w:space="0" w:color="000000"/>
              <w:right w:val="double" w:sz="4" w:space="0" w:color="auto"/>
            </w:tcBorders>
            <w:vAlign w:val="center"/>
            <w:hideMark/>
          </w:tcPr>
          <w:p w14:paraId="1C936B4E" w14:textId="77777777" w:rsidR="005942B3" w:rsidRPr="00B11673" w:rsidRDefault="005942B3" w:rsidP="00B11673">
            <w:pPr>
              <w:spacing w:line="240" w:lineRule="auto"/>
              <w:jc w:val="center"/>
              <w:rPr>
                <w:rFonts w:cs="Open Sans"/>
                <w:szCs w:val="18"/>
                <w:lang w:val="en-GB"/>
              </w:rPr>
            </w:pPr>
          </w:p>
        </w:tc>
      </w:tr>
      <w:tr w:rsidR="005942B3" w:rsidRPr="00B11673" w14:paraId="24ABE048" w14:textId="77777777" w:rsidTr="00167D6A">
        <w:trPr>
          <w:trHeight w:val="1065"/>
        </w:trPr>
        <w:tc>
          <w:tcPr>
            <w:tcW w:w="1020" w:type="dxa"/>
            <w:vMerge/>
            <w:tcBorders>
              <w:top w:val="nil"/>
              <w:left w:val="double" w:sz="4" w:space="0" w:color="auto"/>
              <w:bottom w:val="single" w:sz="4" w:space="0" w:color="auto"/>
              <w:right w:val="single" w:sz="4" w:space="0" w:color="auto"/>
            </w:tcBorders>
            <w:vAlign w:val="center"/>
            <w:hideMark/>
          </w:tcPr>
          <w:p w14:paraId="2E831FB3"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7763DA49"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4CBA0E91" w14:textId="77777777" w:rsidR="005942B3" w:rsidRPr="00B11673" w:rsidRDefault="005942B3" w:rsidP="00410789">
            <w:pPr>
              <w:spacing w:line="240" w:lineRule="auto"/>
              <w:rPr>
                <w:rFonts w:cs="Open Sans"/>
                <w:szCs w:val="18"/>
                <w:lang w:val="en-GB"/>
              </w:rPr>
            </w:pPr>
            <w:r w:rsidRPr="00B11673">
              <w:rPr>
                <w:rFonts w:cs="Open Sans"/>
                <w:szCs w:val="18"/>
                <w:lang w:val="en-GB"/>
              </w:rPr>
              <w:t>Motorcycles 2-stroke &gt;50 cm³</w:t>
            </w:r>
          </w:p>
        </w:tc>
        <w:tc>
          <w:tcPr>
            <w:tcW w:w="3402" w:type="dxa"/>
            <w:vMerge w:val="restart"/>
            <w:tcBorders>
              <w:top w:val="nil"/>
              <w:left w:val="single" w:sz="4" w:space="0" w:color="auto"/>
              <w:bottom w:val="single" w:sz="4" w:space="0" w:color="000000"/>
              <w:right w:val="double" w:sz="4" w:space="0" w:color="auto"/>
            </w:tcBorders>
            <w:shd w:val="clear" w:color="auto" w:fill="auto"/>
            <w:vAlign w:val="center"/>
            <w:hideMark/>
          </w:tcPr>
          <w:p w14:paraId="18CDA7D2" w14:textId="77777777" w:rsidR="005942B3" w:rsidRPr="00B11673" w:rsidRDefault="005942B3" w:rsidP="00B11673">
            <w:pPr>
              <w:spacing w:line="240" w:lineRule="auto"/>
              <w:jc w:val="center"/>
              <w:rPr>
                <w:rFonts w:cs="Open Sans"/>
                <w:szCs w:val="18"/>
                <w:lang w:val="en-GB"/>
              </w:rPr>
            </w:pPr>
            <w:r w:rsidRPr="00E61E5C">
              <w:rPr>
                <w:rFonts w:cs="Open Sans"/>
                <w:b/>
                <w:szCs w:val="18"/>
                <w:lang w:val="en-GB"/>
              </w:rPr>
              <w:t>L3e</w:t>
            </w:r>
            <w:r w:rsidRPr="00B11673">
              <w:rPr>
                <w:rFonts w:cs="Open Sans"/>
                <w:szCs w:val="18"/>
                <w:lang w:val="en-GB"/>
              </w:rPr>
              <w:t>: Two-wheel motorcycle with an engine cylinder capacity exceeding 50 cm³ or a design speed exceeding 45 km/h, or a maximum continuous or net power exceeding 4000 W.</w:t>
            </w:r>
            <w:r w:rsidRPr="00B11673">
              <w:rPr>
                <w:rFonts w:cs="Open Sans"/>
                <w:szCs w:val="18"/>
                <w:lang w:val="en-GB"/>
              </w:rPr>
              <w:br/>
            </w:r>
            <w:r w:rsidRPr="00E61E5C">
              <w:rPr>
                <w:rFonts w:cs="Open Sans"/>
                <w:b/>
                <w:szCs w:val="18"/>
                <w:lang w:val="en-GB"/>
              </w:rPr>
              <w:t>L4e</w:t>
            </w:r>
            <w:r w:rsidRPr="00B11673">
              <w:rPr>
                <w:rFonts w:cs="Open Sans"/>
                <w:szCs w:val="18"/>
                <w:lang w:val="en-GB"/>
              </w:rPr>
              <w:t>: Two-wheel motorcycle with side-car, with a maximum of four seating positions including the driver on the motorcycle, with side car and a maximum of two seating positions for passengers in the side car.</w:t>
            </w:r>
            <w:r w:rsidRPr="00B11673">
              <w:rPr>
                <w:rFonts w:cs="Open Sans"/>
                <w:szCs w:val="18"/>
                <w:lang w:val="en-GB"/>
              </w:rPr>
              <w:br/>
            </w:r>
            <w:r w:rsidRPr="00E61E5C">
              <w:rPr>
                <w:rFonts w:cs="Open Sans"/>
                <w:b/>
                <w:szCs w:val="18"/>
                <w:lang w:val="en-GB"/>
              </w:rPr>
              <w:t>L5e</w:t>
            </w:r>
            <w:r w:rsidRPr="00B11673">
              <w:rPr>
                <w:rFonts w:cs="Open Sans"/>
                <w:szCs w:val="18"/>
                <w:lang w:val="en-GB"/>
              </w:rPr>
              <w:t>: Powered tricycle with mass in running order ≤ 1000 kg and three-wheel vehicle that cannot be classified as a L2e vehicle.</w:t>
            </w:r>
            <w:r w:rsidRPr="00B11673">
              <w:rPr>
                <w:rFonts w:cs="Open Sans"/>
                <w:szCs w:val="18"/>
                <w:lang w:val="en-GB"/>
              </w:rPr>
              <w:br/>
            </w:r>
            <w:r w:rsidRPr="00E61E5C">
              <w:rPr>
                <w:rFonts w:cs="Open Sans"/>
                <w:b/>
                <w:szCs w:val="18"/>
                <w:lang w:val="en-GB"/>
              </w:rPr>
              <w:t>L6e</w:t>
            </w:r>
            <w:r w:rsidRPr="00B11673">
              <w:rPr>
                <w:rFonts w:cs="Open Sans"/>
                <w:szCs w:val="18"/>
                <w:lang w:val="en-GB"/>
              </w:rPr>
              <w:t>: Light quadricycle with maximum design vehicle speed ≤ 45 km/h and  mass in running order ≤ 425 kg and engine capacity ≤ 50 cm³ if a PI engine, or engine capacity ≤ 500 cm³ if a CI engine.</w:t>
            </w:r>
            <w:r w:rsidRPr="00B11673">
              <w:rPr>
                <w:rFonts w:cs="Open Sans"/>
                <w:szCs w:val="18"/>
                <w:lang w:val="en-GB"/>
              </w:rPr>
              <w:br/>
            </w:r>
            <w:r w:rsidRPr="00E61E5C">
              <w:rPr>
                <w:rFonts w:cs="Open Sans"/>
                <w:b/>
                <w:szCs w:val="18"/>
                <w:lang w:val="en-GB"/>
              </w:rPr>
              <w:t>L7e</w:t>
            </w:r>
            <w:r w:rsidRPr="00B11673">
              <w:rPr>
                <w:rFonts w:cs="Open Sans"/>
                <w:szCs w:val="18"/>
                <w:lang w:val="en-GB"/>
              </w:rPr>
              <w:t>: Heavy quadricycle with mass in running order ≤ 450 kg for the transport of passengers, or ≤ 600 kg for the transport of goods.</w:t>
            </w:r>
          </w:p>
        </w:tc>
      </w:tr>
      <w:tr w:rsidR="005942B3" w:rsidRPr="00B11673" w14:paraId="2A1CE994" w14:textId="77777777" w:rsidTr="00167D6A">
        <w:trPr>
          <w:trHeight w:val="1065"/>
        </w:trPr>
        <w:tc>
          <w:tcPr>
            <w:tcW w:w="1020" w:type="dxa"/>
            <w:vMerge/>
            <w:tcBorders>
              <w:top w:val="nil"/>
              <w:left w:val="double" w:sz="4" w:space="0" w:color="auto"/>
              <w:bottom w:val="single" w:sz="4" w:space="0" w:color="auto"/>
              <w:right w:val="single" w:sz="4" w:space="0" w:color="auto"/>
            </w:tcBorders>
            <w:vAlign w:val="center"/>
            <w:hideMark/>
          </w:tcPr>
          <w:p w14:paraId="70C7FE73"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437968E1"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23B9572F" w14:textId="77777777" w:rsidR="005942B3" w:rsidRPr="00B11673" w:rsidRDefault="005942B3" w:rsidP="00410789">
            <w:pPr>
              <w:spacing w:line="240" w:lineRule="auto"/>
              <w:rPr>
                <w:rFonts w:cs="Open Sans"/>
                <w:szCs w:val="18"/>
                <w:lang w:val="en-GB"/>
              </w:rPr>
            </w:pPr>
            <w:r w:rsidRPr="00B11673">
              <w:rPr>
                <w:rFonts w:cs="Open Sans"/>
                <w:szCs w:val="18"/>
                <w:lang w:val="en-GB"/>
              </w:rPr>
              <w:t>Motorcycles 4-stroke &lt;250 cm³</w:t>
            </w:r>
          </w:p>
        </w:tc>
        <w:tc>
          <w:tcPr>
            <w:tcW w:w="3402" w:type="dxa"/>
            <w:vMerge/>
            <w:tcBorders>
              <w:top w:val="nil"/>
              <w:left w:val="single" w:sz="4" w:space="0" w:color="auto"/>
              <w:bottom w:val="single" w:sz="4" w:space="0" w:color="000000"/>
              <w:right w:val="double" w:sz="4" w:space="0" w:color="auto"/>
            </w:tcBorders>
            <w:vAlign w:val="center"/>
            <w:hideMark/>
          </w:tcPr>
          <w:p w14:paraId="18525894" w14:textId="77777777" w:rsidR="005942B3" w:rsidRPr="00B11673" w:rsidRDefault="005942B3" w:rsidP="00B11673">
            <w:pPr>
              <w:spacing w:line="240" w:lineRule="auto"/>
              <w:jc w:val="center"/>
              <w:rPr>
                <w:rFonts w:ascii="Calibri" w:hAnsi="Calibri" w:cs="Calibri"/>
                <w:color w:val="000000"/>
                <w:szCs w:val="18"/>
                <w:lang w:val="en-US" w:eastAsia="en-US"/>
              </w:rPr>
            </w:pPr>
          </w:p>
        </w:tc>
      </w:tr>
      <w:tr w:rsidR="005942B3" w:rsidRPr="00B11673" w14:paraId="16D39516" w14:textId="77777777" w:rsidTr="00167D6A">
        <w:trPr>
          <w:trHeight w:val="1065"/>
        </w:trPr>
        <w:tc>
          <w:tcPr>
            <w:tcW w:w="1020" w:type="dxa"/>
            <w:vMerge/>
            <w:tcBorders>
              <w:top w:val="nil"/>
              <w:left w:val="double" w:sz="4" w:space="0" w:color="auto"/>
              <w:bottom w:val="single" w:sz="4" w:space="0" w:color="auto"/>
              <w:right w:val="single" w:sz="4" w:space="0" w:color="auto"/>
            </w:tcBorders>
            <w:vAlign w:val="center"/>
            <w:hideMark/>
          </w:tcPr>
          <w:p w14:paraId="32399501" w14:textId="77777777" w:rsidR="005942B3" w:rsidRPr="00B11673" w:rsidRDefault="005942B3" w:rsidP="00410789">
            <w:pPr>
              <w:spacing w:line="240" w:lineRule="auto"/>
              <w:rPr>
                <w:rFonts w:cs="Open Sans"/>
                <w:szCs w:val="18"/>
                <w:lang w:val="en-GB"/>
              </w:rPr>
            </w:pPr>
          </w:p>
        </w:tc>
        <w:tc>
          <w:tcPr>
            <w:tcW w:w="1640" w:type="dxa"/>
            <w:tcBorders>
              <w:top w:val="nil"/>
              <w:left w:val="nil"/>
              <w:bottom w:val="single" w:sz="4" w:space="0" w:color="auto"/>
              <w:right w:val="single" w:sz="4" w:space="0" w:color="auto"/>
            </w:tcBorders>
            <w:shd w:val="clear" w:color="auto" w:fill="auto"/>
            <w:noWrap/>
            <w:vAlign w:val="center"/>
            <w:hideMark/>
          </w:tcPr>
          <w:p w14:paraId="661610B7"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single" w:sz="4" w:space="0" w:color="auto"/>
              <w:right w:val="single" w:sz="4" w:space="0" w:color="auto"/>
            </w:tcBorders>
            <w:shd w:val="clear" w:color="auto" w:fill="auto"/>
            <w:noWrap/>
            <w:vAlign w:val="center"/>
            <w:hideMark/>
          </w:tcPr>
          <w:p w14:paraId="778C3603" w14:textId="77777777" w:rsidR="005942B3" w:rsidRPr="00B11673" w:rsidRDefault="005942B3" w:rsidP="00410789">
            <w:pPr>
              <w:spacing w:line="240" w:lineRule="auto"/>
              <w:rPr>
                <w:rFonts w:cs="Open Sans"/>
                <w:szCs w:val="18"/>
                <w:lang w:val="en-GB"/>
              </w:rPr>
            </w:pPr>
            <w:r w:rsidRPr="00B11673">
              <w:rPr>
                <w:rFonts w:cs="Open Sans"/>
                <w:szCs w:val="18"/>
                <w:lang w:val="en-GB"/>
              </w:rPr>
              <w:t>Motorcycles 4-stroke 250 - 750 cm³</w:t>
            </w:r>
          </w:p>
        </w:tc>
        <w:tc>
          <w:tcPr>
            <w:tcW w:w="3402" w:type="dxa"/>
            <w:vMerge/>
            <w:tcBorders>
              <w:top w:val="nil"/>
              <w:left w:val="single" w:sz="4" w:space="0" w:color="auto"/>
              <w:bottom w:val="single" w:sz="4" w:space="0" w:color="000000"/>
              <w:right w:val="double" w:sz="4" w:space="0" w:color="auto"/>
            </w:tcBorders>
            <w:vAlign w:val="center"/>
            <w:hideMark/>
          </w:tcPr>
          <w:p w14:paraId="590102C1" w14:textId="77777777" w:rsidR="005942B3" w:rsidRPr="00B11673" w:rsidRDefault="005942B3" w:rsidP="00B11673">
            <w:pPr>
              <w:spacing w:line="240" w:lineRule="auto"/>
              <w:jc w:val="center"/>
              <w:rPr>
                <w:rFonts w:ascii="Calibri" w:hAnsi="Calibri" w:cs="Calibri"/>
                <w:color w:val="000000"/>
                <w:szCs w:val="18"/>
                <w:lang w:val="en-US" w:eastAsia="en-US"/>
              </w:rPr>
            </w:pPr>
          </w:p>
        </w:tc>
      </w:tr>
      <w:tr w:rsidR="005942B3" w:rsidRPr="00B11673" w14:paraId="7D9E4D82" w14:textId="77777777" w:rsidTr="00167D6A">
        <w:trPr>
          <w:trHeight w:val="1065"/>
        </w:trPr>
        <w:tc>
          <w:tcPr>
            <w:tcW w:w="1020" w:type="dxa"/>
            <w:vMerge/>
            <w:tcBorders>
              <w:top w:val="nil"/>
              <w:left w:val="double" w:sz="4" w:space="0" w:color="auto"/>
              <w:bottom w:val="double" w:sz="4" w:space="0" w:color="auto"/>
              <w:right w:val="single" w:sz="4" w:space="0" w:color="auto"/>
            </w:tcBorders>
            <w:vAlign w:val="center"/>
            <w:hideMark/>
          </w:tcPr>
          <w:p w14:paraId="4E0B20D8" w14:textId="77777777" w:rsidR="005942B3" w:rsidRPr="00B11673" w:rsidRDefault="005942B3" w:rsidP="00410789">
            <w:pPr>
              <w:spacing w:line="240" w:lineRule="auto"/>
              <w:rPr>
                <w:rFonts w:cs="Open Sans"/>
                <w:szCs w:val="18"/>
                <w:lang w:val="en-GB"/>
              </w:rPr>
            </w:pPr>
          </w:p>
        </w:tc>
        <w:tc>
          <w:tcPr>
            <w:tcW w:w="1640" w:type="dxa"/>
            <w:tcBorders>
              <w:top w:val="nil"/>
              <w:left w:val="nil"/>
              <w:bottom w:val="double" w:sz="4" w:space="0" w:color="auto"/>
              <w:right w:val="single" w:sz="4" w:space="0" w:color="auto"/>
            </w:tcBorders>
            <w:shd w:val="clear" w:color="auto" w:fill="auto"/>
            <w:noWrap/>
            <w:vAlign w:val="center"/>
            <w:hideMark/>
          </w:tcPr>
          <w:p w14:paraId="1BF7CC9F" w14:textId="77777777" w:rsidR="005942B3" w:rsidRPr="00B11673" w:rsidRDefault="005942B3" w:rsidP="00410789">
            <w:pPr>
              <w:spacing w:line="240" w:lineRule="auto"/>
              <w:rPr>
                <w:rFonts w:cs="Open Sans"/>
                <w:szCs w:val="18"/>
                <w:lang w:val="en-GB"/>
              </w:rPr>
            </w:pPr>
            <w:r w:rsidRPr="00B11673">
              <w:rPr>
                <w:rFonts w:cs="Open Sans"/>
                <w:szCs w:val="18"/>
                <w:lang w:val="en-GB"/>
              </w:rPr>
              <w:t>Petrol</w:t>
            </w:r>
          </w:p>
        </w:tc>
        <w:tc>
          <w:tcPr>
            <w:tcW w:w="2457" w:type="dxa"/>
            <w:tcBorders>
              <w:top w:val="nil"/>
              <w:left w:val="nil"/>
              <w:bottom w:val="double" w:sz="4" w:space="0" w:color="auto"/>
              <w:right w:val="single" w:sz="4" w:space="0" w:color="auto"/>
            </w:tcBorders>
            <w:shd w:val="clear" w:color="auto" w:fill="auto"/>
            <w:noWrap/>
            <w:vAlign w:val="center"/>
            <w:hideMark/>
          </w:tcPr>
          <w:p w14:paraId="0C71B48D" w14:textId="77777777" w:rsidR="005942B3" w:rsidRPr="00B11673" w:rsidRDefault="005942B3" w:rsidP="00410789">
            <w:pPr>
              <w:spacing w:line="240" w:lineRule="auto"/>
              <w:rPr>
                <w:rFonts w:cs="Open Sans"/>
                <w:szCs w:val="18"/>
                <w:lang w:val="en-GB"/>
              </w:rPr>
            </w:pPr>
            <w:r w:rsidRPr="00B11673">
              <w:rPr>
                <w:rFonts w:cs="Open Sans"/>
                <w:szCs w:val="18"/>
                <w:lang w:val="en-GB"/>
              </w:rPr>
              <w:t>Motorcycles 4-stroke &gt;750 cm³</w:t>
            </w:r>
          </w:p>
        </w:tc>
        <w:tc>
          <w:tcPr>
            <w:tcW w:w="3402" w:type="dxa"/>
            <w:vMerge/>
            <w:tcBorders>
              <w:top w:val="nil"/>
              <w:left w:val="single" w:sz="4" w:space="0" w:color="auto"/>
              <w:bottom w:val="double" w:sz="4" w:space="0" w:color="auto"/>
              <w:right w:val="double" w:sz="4" w:space="0" w:color="auto"/>
            </w:tcBorders>
            <w:vAlign w:val="center"/>
            <w:hideMark/>
          </w:tcPr>
          <w:p w14:paraId="01282EF6" w14:textId="77777777" w:rsidR="005942B3" w:rsidRPr="00B11673" w:rsidRDefault="005942B3" w:rsidP="00B11673">
            <w:pPr>
              <w:spacing w:line="240" w:lineRule="auto"/>
              <w:jc w:val="center"/>
              <w:rPr>
                <w:rFonts w:ascii="Calibri" w:hAnsi="Calibri" w:cs="Calibri"/>
                <w:color w:val="000000"/>
                <w:szCs w:val="18"/>
                <w:lang w:val="en-US" w:eastAsia="en-US"/>
              </w:rPr>
            </w:pPr>
          </w:p>
        </w:tc>
      </w:tr>
    </w:tbl>
    <w:p w14:paraId="3D1072A2" w14:textId="232AB43F" w:rsidR="00C0504E" w:rsidRPr="000855B2" w:rsidRDefault="004A648E" w:rsidP="00F72AFB">
      <w:pPr>
        <w:pStyle w:val="BodyText"/>
      </w:pPr>
      <w:r w:rsidRPr="000855B2">
        <w:t xml:space="preserve">Emission factors for L-category vehicles in this methodology do not cover all types and sub-types of vehicles in this category. This is a very diverse category of vehicles ranging from small electric bicycles to diesel tractors. However, </w:t>
      </w:r>
      <w:r w:rsidR="00B43575" w:rsidRPr="000855B2">
        <w:t xml:space="preserve">their numbers are still quite small compared to other vehicle types in Europe. Significant growth dynamic seem to exist for some of these types, such as L6e and L7e vehicle types. Hence, new </w:t>
      </w:r>
      <w:r w:rsidR="00B43575" w:rsidRPr="000855B2">
        <w:lastRenderedPageBreak/>
        <w:t xml:space="preserve">emission factors will have to be developed in the future for such vehicles. For the time being, it is recommended to allocate these vehicles either to the moped and motorcycles categories available in this methodology or even in the newly generated small </w:t>
      </w:r>
      <w:r w:rsidR="005E4DC4">
        <w:t>petrol</w:t>
      </w:r>
      <w:r w:rsidR="00B43575" w:rsidRPr="000855B2">
        <w:t xml:space="preserve"> car category (especially the </w:t>
      </w:r>
      <w:r w:rsidR="005E4DC4">
        <w:t>petrol</w:t>
      </w:r>
      <w:r w:rsidR="00B43575" w:rsidRPr="000855B2">
        <w:t xml:space="preserve"> tricycle and quadricycle vehicles). Similarly, diesel quadricycles should be allocated to the smaller category of diesel passenger cars (</w:t>
      </w:r>
      <w:r w:rsidR="00FB454C">
        <w:t>mini</w:t>
      </w:r>
      <w:r w:rsidR="00B43575" w:rsidRPr="000855B2">
        <w:t>), in the absence of better information. The error is considered small due to the small size of the stock.</w:t>
      </w:r>
    </w:p>
    <w:p w14:paraId="3B0A805A" w14:textId="77777777" w:rsidR="00AC1E78" w:rsidRPr="000855B2" w:rsidRDefault="00AC1E78" w:rsidP="00AC1E78">
      <w:pPr>
        <w:pStyle w:val="Heading2"/>
      </w:pPr>
      <w:r w:rsidRPr="000855B2">
        <w:rPr>
          <w:noProof/>
          <w:lang w:eastAsia="en-GB"/>
        </w:rPr>
        <w:br w:type="page"/>
      </w:r>
      <w:bookmarkStart w:id="20" w:name="_Toc200272606"/>
      <w:bookmarkStart w:id="21" w:name="_Toc482003894"/>
      <w:r w:rsidRPr="000855B2">
        <w:lastRenderedPageBreak/>
        <w:t>Techniques</w:t>
      </w:r>
      <w:bookmarkEnd w:id="20"/>
      <w:bookmarkEnd w:id="21"/>
    </w:p>
    <w:p w14:paraId="1CEACBD2" w14:textId="77777777" w:rsidR="001D2587" w:rsidRPr="000855B2" w:rsidRDefault="001D2587" w:rsidP="00F72AFB">
      <w:pPr>
        <w:pStyle w:val="BodyText"/>
      </w:pPr>
      <w:r w:rsidRPr="000855B2">
        <w:t>The co</w:t>
      </w:r>
      <w:r w:rsidR="00AC1E78" w:rsidRPr="000855B2">
        <w:t>m</w:t>
      </w:r>
      <w:r w:rsidRPr="000855B2">
        <w:t>bustion process produces CO</w:t>
      </w:r>
      <w:r w:rsidRPr="000855B2">
        <w:rPr>
          <w:vertAlign w:val="subscript"/>
        </w:rPr>
        <w:t>2</w:t>
      </w:r>
      <w:r w:rsidRPr="000855B2">
        <w:t xml:space="preserve"> and H</w:t>
      </w:r>
      <w:r w:rsidRPr="000855B2">
        <w:rPr>
          <w:vertAlign w:val="subscript"/>
        </w:rPr>
        <w:t>2</w:t>
      </w:r>
      <w:r w:rsidRPr="000855B2">
        <w:t>O as the main products. Unfortunately, combustion also produces several by-products which either originate from incomplete fuel oxidation (CO, hydrocarbons</w:t>
      </w:r>
      <w:r w:rsidR="006C3A2A" w:rsidRPr="000855B2">
        <w:t xml:space="preserve"> </w:t>
      </w:r>
      <w:r w:rsidR="000116F1" w:rsidRPr="000855B2">
        <w:t>(</w:t>
      </w:r>
      <w:smartTag w:uri="urn:schemas-microsoft-com:office:smarttags" w:element="stockticker">
        <w:r w:rsidR="006C3A2A" w:rsidRPr="000855B2">
          <w:t>THC</w:t>
        </w:r>
      </w:smartTag>
      <w:r w:rsidR="000116F1" w:rsidRPr="000855B2">
        <w:t>)</w:t>
      </w:r>
      <w:r w:rsidRPr="000855B2">
        <w:t>, particulate matter</w:t>
      </w:r>
      <w:r w:rsidR="006C3A2A" w:rsidRPr="000855B2">
        <w:t xml:space="preserve"> </w:t>
      </w:r>
      <w:r w:rsidR="000116F1" w:rsidRPr="000855B2">
        <w:t>(</w:t>
      </w:r>
      <w:r w:rsidR="006C3A2A" w:rsidRPr="000855B2">
        <w:t>PM</w:t>
      </w:r>
      <w:r w:rsidR="000116F1" w:rsidRPr="000855B2">
        <w:t>)</w:t>
      </w:r>
      <w:r w:rsidRPr="000855B2">
        <w:t>) or from the oxidation of non-combustible species present in the combustion chamber (NO</w:t>
      </w:r>
      <w:r w:rsidRPr="000855B2">
        <w:rPr>
          <w:vertAlign w:val="subscript"/>
        </w:rPr>
        <w:t>x</w:t>
      </w:r>
      <w:r w:rsidRPr="000855B2">
        <w:t xml:space="preserve"> from N</w:t>
      </w:r>
      <w:r w:rsidRPr="000855B2">
        <w:rPr>
          <w:vertAlign w:val="subscript"/>
        </w:rPr>
        <w:t>2</w:t>
      </w:r>
      <w:r w:rsidRPr="000855B2">
        <w:t xml:space="preserve"> in the air, SO</w:t>
      </w:r>
      <w:r w:rsidRPr="000855B2">
        <w:rPr>
          <w:vertAlign w:val="subscript"/>
        </w:rPr>
        <w:t>x</w:t>
      </w:r>
      <w:r w:rsidRPr="000855B2">
        <w:t xml:space="preserve"> from S in the fuel and lubricant, </w:t>
      </w:r>
      <w:r w:rsidR="00D73F59" w:rsidRPr="000855B2">
        <w:t>etc</w:t>
      </w:r>
      <w:r w:rsidRPr="000855B2">
        <w:rPr>
          <w:i/>
        </w:rPr>
        <w:t>.</w:t>
      </w:r>
      <w:r w:rsidRPr="000855B2">
        <w:t>). In order to comply with emission legislation, vehicle manufacturers have install</w:t>
      </w:r>
      <w:r w:rsidR="00370FE9" w:rsidRPr="000855B2">
        <w:t>ed various</w:t>
      </w:r>
      <w:r w:rsidRPr="000855B2">
        <w:t xml:space="preserve"> aftertreatment devices</w:t>
      </w:r>
      <w:r w:rsidR="00370FE9" w:rsidRPr="000855B2">
        <w:t xml:space="preserve"> </w:t>
      </w:r>
      <w:r w:rsidR="000116F1" w:rsidRPr="000855B2">
        <w:t>—</w:t>
      </w:r>
      <w:r w:rsidRPr="000855B2">
        <w:t xml:space="preserve"> such as catalytic converters and diesel particle filters (DPFs)</w:t>
      </w:r>
      <w:r w:rsidR="00370FE9" w:rsidRPr="000855B2">
        <w:t xml:space="preserve"> </w:t>
      </w:r>
      <w:r w:rsidR="000116F1" w:rsidRPr="000855B2">
        <w:t>—</w:t>
      </w:r>
      <w:r w:rsidRPr="000855B2">
        <w:t xml:space="preserve"> to </w:t>
      </w:r>
      <w:r w:rsidR="00370FE9" w:rsidRPr="000855B2">
        <w:t>reduce pollutant emissions</w:t>
      </w:r>
      <w:r w:rsidRPr="000855B2">
        <w:t>. However, such devices may</w:t>
      </w:r>
      <w:r w:rsidR="00370FE9" w:rsidRPr="000855B2">
        <w:t>, as a result of their action,</w:t>
      </w:r>
      <w:r w:rsidRPr="000855B2">
        <w:t xml:space="preserve"> also produce small quantities of pollutants such as NH</w:t>
      </w:r>
      <w:r w:rsidRPr="000855B2">
        <w:rPr>
          <w:vertAlign w:val="subscript"/>
        </w:rPr>
        <w:t>3</w:t>
      </w:r>
      <w:r w:rsidRPr="000855B2">
        <w:t xml:space="preserve"> and N</w:t>
      </w:r>
      <w:r w:rsidRPr="000855B2">
        <w:rPr>
          <w:vertAlign w:val="subscript"/>
        </w:rPr>
        <w:t>2</w:t>
      </w:r>
      <w:r w:rsidRPr="000855B2">
        <w:t>O.</w:t>
      </w:r>
    </w:p>
    <w:p w14:paraId="769A09EF" w14:textId="77777777" w:rsidR="001D2587" w:rsidRPr="000855B2" w:rsidRDefault="001D2587" w:rsidP="00F72AFB">
      <w:pPr>
        <w:pStyle w:val="BodyText"/>
      </w:pPr>
      <w:r w:rsidRPr="000855B2">
        <w:t>Gasoline (</w:t>
      </w:r>
      <w:r w:rsidR="00370FE9" w:rsidRPr="000855B2">
        <w:t>and other</w:t>
      </w:r>
      <w:r w:rsidRPr="000855B2">
        <w:t xml:space="preserve"> spark-ignition) engines are used in small vehicles of up to 3.5</w:t>
      </w:r>
      <w:r w:rsidR="000116F1" w:rsidRPr="000855B2">
        <w:t> </w:t>
      </w:r>
      <w:r w:rsidRPr="000855B2">
        <w:t xml:space="preserve">t </w:t>
      </w:r>
      <w:r w:rsidR="00370FE9" w:rsidRPr="000855B2">
        <w:t>g</w:t>
      </w:r>
      <w:r w:rsidRPr="000855B2">
        <w:t xml:space="preserve">ross </w:t>
      </w:r>
      <w:r w:rsidR="00370FE9" w:rsidRPr="000855B2">
        <w:t>v</w:t>
      </w:r>
      <w:r w:rsidRPr="000855B2">
        <w:t xml:space="preserve">ehicle </w:t>
      </w:r>
      <w:r w:rsidR="00370FE9" w:rsidRPr="000855B2">
        <w:t>w</w:t>
      </w:r>
      <w:r w:rsidRPr="000855B2">
        <w:t>eight</w:t>
      </w:r>
      <w:r w:rsidR="00370FE9" w:rsidRPr="000855B2">
        <w:t xml:space="preserve"> (GVW</w:t>
      </w:r>
      <w:r w:rsidRPr="000855B2">
        <w:t>)</w:t>
      </w:r>
      <w:r w:rsidR="00370FE9" w:rsidRPr="000855B2">
        <w:t>,</w:t>
      </w:r>
      <w:r w:rsidRPr="000855B2">
        <w:t xml:space="preserve"> </w:t>
      </w:r>
      <w:r w:rsidR="00370FE9" w:rsidRPr="000855B2">
        <w:t xml:space="preserve">primarily </w:t>
      </w:r>
      <w:r w:rsidRPr="000855B2">
        <w:t>because of their superior power</w:t>
      </w:r>
      <w:r w:rsidR="00370FE9" w:rsidRPr="000855B2">
        <w:t>:</w:t>
      </w:r>
      <w:r w:rsidRPr="000855B2">
        <w:t>weight ratio and their wider operation</w:t>
      </w:r>
      <w:r w:rsidR="00370FE9" w:rsidRPr="000855B2">
        <w:t>al</w:t>
      </w:r>
      <w:r w:rsidRPr="000855B2">
        <w:t xml:space="preserve"> range compared </w:t>
      </w:r>
      <w:r w:rsidR="00370FE9" w:rsidRPr="000855B2">
        <w:t>with</w:t>
      </w:r>
      <w:r w:rsidRPr="000855B2">
        <w:t xml:space="preserve"> diesel engines</w:t>
      </w:r>
      <w:r w:rsidR="00370FE9" w:rsidRPr="000855B2">
        <w:t>, but also for</w:t>
      </w:r>
      <w:r w:rsidRPr="000855B2">
        <w:t xml:space="preserve"> reasons such as lower noise and more refined operation. For very small vehicles (mopeds and motorcycles), two</w:t>
      </w:r>
      <w:r w:rsidR="00370FE9" w:rsidRPr="000855B2">
        <w:t>-</w:t>
      </w:r>
      <w:r w:rsidRPr="000855B2">
        <w:t>stroke engines have been favour</w:t>
      </w:r>
      <w:r w:rsidR="00370FE9" w:rsidRPr="000855B2">
        <w:t>ed</w:t>
      </w:r>
      <w:r w:rsidRPr="000855B2">
        <w:t>, especially in the past, because they provide the highest power</w:t>
      </w:r>
      <w:r w:rsidR="00370FE9" w:rsidRPr="000855B2">
        <w:t>:weight</w:t>
      </w:r>
      <w:r w:rsidRPr="000855B2">
        <w:t xml:space="preserve"> ratio of all concepts. </w:t>
      </w:r>
      <w:r w:rsidR="00710CBB" w:rsidRPr="000855B2">
        <w:t xml:space="preserve">However, such engines </w:t>
      </w:r>
      <w:r w:rsidR="009A704B" w:rsidRPr="000855B2">
        <w:t xml:space="preserve">have </w:t>
      </w:r>
      <w:r w:rsidR="00710CBB" w:rsidRPr="000855B2">
        <w:t>become less and less popular in recent years due to the strict emission regulations</w:t>
      </w:r>
      <w:r w:rsidR="006C3A2A" w:rsidRPr="000855B2">
        <w:t>.</w:t>
      </w:r>
      <w:r w:rsidR="00710CBB" w:rsidRPr="000855B2">
        <w:t xml:space="preserve"> </w:t>
      </w:r>
      <w:r w:rsidR="00370FE9" w:rsidRPr="000855B2">
        <w:t>On the other hand, d</w:t>
      </w:r>
      <w:r w:rsidRPr="000855B2">
        <w:t>iesel (</w:t>
      </w:r>
      <w:r w:rsidR="00370FE9" w:rsidRPr="000855B2">
        <w:t>and other</w:t>
      </w:r>
      <w:r w:rsidRPr="000855B2">
        <w:t xml:space="preserve"> compression-ignition) </w:t>
      </w:r>
      <w:r w:rsidR="00370FE9" w:rsidRPr="000855B2">
        <w:t xml:space="preserve">engines </w:t>
      </w:r>
      <w:r w:rsidRPr="000855B2">
        <w:t xml:space="preserve">dominate in </w:t>
      </w:r>
      <w:r w:rsidR="00370FE9" w:rsidRPr="000855B2">
        <w:t>heavy-duty</w:t>
      </w:r>
      <w:r w:rsidRPr="000855B2">
        <w:t xml:space="preserve"> applications because of their</w:t>
      </w:r>
      <w:r w:rsidR="00370FE9" w:rsidRPr="000855B2">
        <w:t xml:space="preserve"> greater</w:t>
      </w:r>
      <w:r w:rsidRPr="000855B2">
        <w:t xml:space="preserve"> fuel efficiency and torque </w:t>
      </w:r>
      <w:r w:rsidR="00370FE9" w:rsidRPr="000855B2">
        <w:t>compared with</w:t>
      </w:r>
      <w:r w:rsidRPr="000855B2">
        <w:t xml:space="preserve"> </w:t>
      </w:r>
      <w:r w:rsidR="005E4DC4">
        <w:t>petrol</w:t>
      </w:r>
      <w:r w:rsidRPr="000855B2">
        <w:t xml:space="preserve"> engines. </w:t>
      </w:r>
      <w:r w:rsidR="00370FE9" w:rsidRPr="000855B2">
        <w:t>How</w:t>
      </w:r>
      <w:r w:rsidR="00370FE9" w:rsidRPr="000855B2">
        <w:rPr>
          <w:szCs w:val="18"/>
        </w:rPr>
        <w:t>ever, in recent years there has been a significant</w:t>
      </w:r>
      <w:r w:rsidRPr="000855B2">
        <w:rPr>
          <w:szCs w:val="18"/>
        </w:rPr>
        <w:t xml:space="preserve"> </w:t>
      </w:r>
      <w:r w:rsidRPr="00B055C8">
        <w:rPr>
          <w:szCs w:val="18"/>
        </w:rPr>
        <w:t>shift to diesel engines i</w:t>
      </w:r>
      <w:r w:rsidR="00370FE9" w:rsidRPr="00B055C8">
        <w:rPr>
          <w:szCs w:val="18"/>
        </w:rPr>
        <w:t>n the</w:t>
      </w:r>
      <w:r w:rsidRPr="00B055C8">
        <w:rPr>
          <w:szCs w:val="18"/>
        </w:rPr>
        <w:t xml:space="preserve"> passenger car</w:t>
      </w:r>
      <w:r w:rsidR="00370FE9" w:rsidRPr="00B055C8">
        <w:rPr>
          <w:szCs w:val="18"/>
        </w:rPr>
        <w:t xml:space="preserve"> market</w:t>
      </w:r>
      <w:r w:rsidRPr="00B055C8">
        <w:rPr>
          <w:szCs w:val="18"/>
        </w:rPr>
        <w:t>,</w:t>
      </w:r>
      <w:r w:rsidR="00370FE9" w:rsidRPr="00B055C8">
        <w:rPr>
          <w:szCs w:val="18"/>
        </w:rPr>
        <w:t xml:space="preserve"> and</w:t>
      </w:r>
      <w:r w:rsidRPr="00B055C8">
        <w:rPr>
          <w:szCs w:val="18"/>
        </w:rPr>
        <w:t xml:space="preserve"> </w:t>
      </w:r>
      <w:r w:rsidR="00370FE9" w:rsidRPr="00B055C8">
        <w:rPr>
          <w:szCs w:val="18"/>
        </w:rPr>
        <w:t>in several European countries diesel cars have the largest</w:t>
      </w:r>
      <w:r w:rsidRPr="00B055C8">
        <w:rPr>
          <w:szCs w:val="18"/>
        </w:rPr>
        <w:t xml:space="preserve"> share of new registrations. </w:t>
      </w:r>
      <w:r w:rsidR="006C2412" w:rsidRPr="00B055C8">
        <w:rPr>
          <w:szCs w:val="18"/>
        </w:rPr>
        <w:t>Member States’ data on passenger car registrations, collected by the European Environment Agency in accordance with Regulation (EC) No 443/2009,</w:t>
      </w:r>
      <w:r w:rsidRPr="00B055C8">
        <w:rPr>
          <w:szCs w:val="18"/>
        </w:rPr>
        <w:t xml:space="preserve"> show </w:t>
      </w:r>
      <w:r w:rsidR="00051085" w:rsidRPr="00B055C8">
        <w:rPr>
          <w:szCs w:val="18"/>
        </w:rPr>
        <w:t xml:space="preserve">that </w:t>
      </w:r>
      <w:r w:rsidR="00B055C8" w:rsidRPr="00B055C8">
        <w:rPr>
          <w:szCs w:val="18"/>
        </w:rPr>
        <w:t>more than 40</w:t>
      </w:r>
      <w:r w:rsidR="00051085" w:rsidRPr="00B055C8">
        <w:rPr>
          <w:szCs w:val="18"/>
        </w:rPr>
        <w:t>% of pass</w:t>
      </w:r>
      <w:r w:rsidR="00051085" w:rsidRPr="00B055C8">
        <w:t>enger cars in Europe in 201</w:t>
      </w:r>
      <w:r w:rsidR="00B055C8" w:rsidRPr="00B055C8">
        <w:t>4</w:t>
      </w:r>
      <w:r w:rsidR="00051085" w:rsidRPr="00B055C8">
        <w:t xml:space="preserve"> were diesel, with shares exceeding </w:t>
      </w:r>
      <w:r w:rsidR="00B055C8" w:rsidRPr="00B055C8">
        <w:t>55</w:t>
      </w:r>
      <w:r w:rsidR="00051085" w:rsidRPr="00B055C8">
        <w:t>% for</w:t>
      </w:r>
      <w:r w:rsidRPr="00B055C8">
        <w:t xml:space="preserve"> countries like Belgium</w:t>
      </w:r>
      <w:r w:rsidR="00315E2C" w:rsidRPr="00B055C8">
        <w:t>,</w:t>
      </w:r>
      <w:r w:rsidRPr="00B055C8">
        <w:t xml:space="preserve"> France</w:t>
      </w:r>
      <w:r w:rsidR="00315E2C" w:rsidRPr="00B055C8">
        <w:t>, Ireland, Luxembourg and Spain</w:t>
      </w:r>
      <w:r w:rsidRPr="00B055C8">
        <w:t>. This is a</w:t>
      </w:r>
      <w:r w:rsidR="00370FE9" w:rsidRPr="00B055C8">
        <w:t xml:space="preserve"> result</w:t>
      </w:r>
      <w:r w:rsidRPr="00B055C8">
        <w:t xml:space="preserve"> of the higher fuel efficiency of diesel engines and technolog</w:t>
      </w:r>
      <w:r w:rsidR="00370FE9" w:rsidRPr="00B055C8">
        <w:t>ical</w:t>
      </w:r>
      <w:r w:rsidRPr="00B055C8">
        <w:t xml:space="preserve"> improvements which </w:t>
      </w:r>
      <w:r w:rsidR="00370FE9" w:rsidRPr="00B055C8">
        <w:t xml:space="preserve">have led to an </w:t>
      </w:r>
      <w:r w:rsidRPr="00B055C8">
        <w:t>increase</w:t>
      </w:r>
      <w:r w:rsidR="00370FE9" w:rsidRPr="00B055C8">
        <w:t>d</w:t>
      </w:r>
      <w:r w:rsidRPr="00B055C8">
        <w:t xml:space="preserve"> power output for</w:t>
      </w:r>
      <w:r w:rsidR="00370FE9" w:rsidRPr="00B055C8">
        <w:t xml:space="preserve"> a</w:t>
      </w:r>
      <w:r w:rsidRPr="00B055C8">
        <w:t xml:space="preserve"> given engine size.</w:t>
      </w:r>
    </w:p>
    <w:p w14:paraId="0E7BFD14" w14:textId="77777777" w:rsidR="00637801" w:rsidRPr="000855B2" w:rsidRDefault="00637801" w:rsidP="00F72AFB">
      <w:pPr>
        <w:pStyle w:val="BodyText"/>
      </w:pPr>
      <w:r w:rsidRPr="000855B2">
        <w:t>A number of</w:t>
      </w:r>
      <w:r w:rsidR="001D2587" w:rsidRPr="000855B2">
        <w:t xml:space="preserve"> new technologies </w:t>
      </w:r>
      <w:r w:rsidRPr="000855B2">
        <w:t>are designed to</w:t>
      </w:r>
      <w:r w:rsidR="001D2587" w:rsidRPr="000855B2">
        <w:t xml:space="preserve"> </w:t>
      </w:r>
      <w:r w:rsidRPr="000855B2">
        <w:t>reduce</w:t>
      </w:r>
      <w:r w:rsidR="001D2587" w:rsidRPr="000855B2">
        <w:t xml:space="preserve"> both energy consumption and pollutant emissions. Th</w:t>
      </w:r>
      <w:r w:rsidRPr="000855B2">
        <w:t>e</w:t>
      </w:r>
      <w:r w:rsidR="001D2587" w:rsidRPr="000855B2">
        <w:t xml:space="preserve">se technologies include </w:t>
      </w:r>
      <w:r w:rsidRPr="000855B2">
        <w:t>the following:</w:t>
      </w:r>
    </w:p>
    <w:p w14:paraId="45A8A76E" w14:textId="77777777" w:rsidR="00637801" w:rsidRPr="000855B2" w:rsidRDefault="00A60695" w:rsidP="009D781A">
      <w:pPr>
        <w:pStyle w:val="BodyText"/>
        <w:numPr>
          <w:ilvl w:val="0"/>
          <w:numId w:val="12"/>
        </w:numPr>
      </w:pPr>
      <w:r w:rsidRPr="000855B2">
        <w:t>n</w:t>
      </w:r>
      <w:r w:rsidR="001D2587" w:rsidRPr="000855B2">
        <w:t xml:space="preserve">ew </w:t>
      </w:r>
      <w:r w:rsidR="00637801" w:rsidRPr="000855B2">
        <w:t xml:space="preserve">types of </w:t>
      </w:r>
      <w:r w:rsidR="001D2587" w:rsidRPr="000855B2">
        <w:t>internal combustion engine</w:t>
      </w:r>
      <w:r w:rsidR="00637801" w:rsidRPr="000855B2">
        <w:t>, such as g</w:t>
      </w:r>
      <w:r w:rsidR="001D2587" w:rsidRPr="000855B2">
        <w:t xml:space="preserve">asoline </w:t>
      </w:r>
      <w:r w:rsidR="00637801" w:rsidRPr="000855B2">
        <w:t>d</w:t>
      </w:r>
      <w:r w:rsidR="001D2587" w:rsidRPr="000855B2">
        <w:t xml:space="preserve">irect </w:t>
      </w:r>
      <w:r w:rsidR="00637801" w:rsidRPr="000855B2">
        <w:t>i</w:t>
      </w:r>
      <w:r w:rsidR="001D2587" w:rsidRPr="000855B2">
        <w:t>njection (</w:t>
      </w:r>
      <w:smartTag w:uri="urn:schemas-microsoft-com:office:smarttags" w:element="stockticker">
        <w:r w:rsidR="001D2587" w:rsidRPr="000855B2">
          <w:t>GDI</w:t>
        </w:r>
      </w:smartTag>
      <w:r w:rsidR="001D2587" w:rsidRPr="000855B2">
        <w:t xml:space="preserve">), </w:t>
      </w:r>
      <w:r w:rsidR="00637801" w:rsidRPr="000855B2">
        <w:t>c</w:t>
      </w:r>
      <w:r w:rsidR="001D2587" w:rsidRPr="000855B2">
        <w:t xml:space="preserve">ontrolled </w:t>
      </w:r>
      <w:r w:rsidR="00637801" w:rsidRPr="000855B2">
        <w:t>a</w:t>
      </w:r>
      <w:r w:rsidR="001D2587" w:rsidRPr="000855B2">
        <w:t>uto-</w:t>
      </w:r>
      <w:r w:rsidR="00637801" w:rsidRPr="000855B2">
        <w:t>i</w:t>
      </w:r>
      <w:r w:rsidR="001D2587" w:rsidRPr="000855B2">
        <w:t>gnition</w:t>
      </w:r>
      <w:r w:rsidR="006C3A2A" w:rsidRPr="000855B2">
        <w:t xml:space="preserve"> (CAI)</w:t>
      </w:r>
      <w:r w:rsidR="001D2587" w:rsidRPr="000855B2">
        <w:t xml:space="preserve">, </w:t>
      </w:r>
      <w:r w:rsidR="00637801" w:rsidRPr="000855B2">
        <w:t>h</w:t>
      </w:r>
      <w:r w:rsidR="001D2587" w:rsidRPr="000855B2">
        <w:t xml:space="preserve">omogeneous </w:t>
      </w:r>
      <w:r w:rsidR="00637801" w:rsidRPr="000855B2">
        <w:t>c</w:t>
      </w:r>
      <w:r w:rsidR="001D2587" w:rsidRPr="000855B2">
        <w:t xml:space="preserve">harge </w:t>
      </w:r>
      <w:r w:rsidR="00637801" w:rsidRPr="000855B2">
        <w:t>c</w:t>
      </w:r>
      <w:r w:rsidR="001D2587" w:rsidRPr="000855B2">
        <w:t xml:space="preserve">ompression </w:t>
      </w:r>
      <w:r w:rsidR="00637801" w:rsidRPr="000855B2">
        <w:t>i</w:t>
      </w:r>
      <w:r w:rsidR="001D2587" w:rsidRPr="000855B2">
        <w:t>gnition</w:t>
      </w:r>
      <w:r w:rsidR="006C3A2A" w:rsidRPr="000855B2">
        <w:t xml:space="preserve"> (HCCI)</w:t>
      </w:r>
      <w:r w:rsidRPr="000855B2">
        <w:t>;</w:t>
      </w:r>
    </w:p>
    <w:p w14:paraId="722C0585" w14:textId="77777777" w:rsidR="00637801" w:rsidRPr="000855B2" w:rsidRDefault="00A60695" w:rsidP="009D781A">
      <w:pPr>
        <w:pStyle w:val="BodyText"/>
        <w:numPr>
          <w:ilvl w:val="0"/>
          <w:numId w:val="12"/>
        </w:numPr>
      </w:pPr>
      <w:r w:rsidRPr="000855B2">
        <w:t>n</w:t>
      </w:r>
      <w:r w:rsidR="001D2587" w:rsidRPr="000855B2">
        <w:t>ew fuel</w:t>
      </w:r>
      <w:r w:rsidR="00637801" w:rsidRPr="000855B2">
        <w:t xml:space="preserve">s, such as </w:t>
      </w:r>
      <w:r w:rsidR="001D2587" w:rsidRPr="000855B2">
        <w:t xml:space="preserve">CNG, </w:t>
      </w:r>
      <w:r w:rsidR="00637801" w:rsidRPr="000855B2">
        <w:t>r</w:t>
      </w:r>
      <w:r w:rsidR="001D2587" w:rsidRPr="000855B2">
        <w:t xml:space="preserve">eformulated grades, </w:t>
      </w:r>
      <w:r w:rsidR="00637801" w:rsidRPr="000855B2">
        <w:t>and hydrogen</w:t>
      </w:r>
      <w:r w:rsidRPr="000855B2">
        <w:t>;</w:t>
      </w:r>
    </w:p>
    <w:p w14:paraId="1DDCA200" w14:textId="77777777" w:rsidR="00637801" w:rsidRPr="000855B2" w:rsidRDefault="00A60695" w:rsidP="009D781A">
      <w:pPr>
        <w:pStyle w:val="BodyText"/>
        <w:numPr>
          <w:ilvl w:val="0"/>
          <w:numId w:val="12"/>
        </w:numPr>
      </w:pPr>
      <w:r w:rsidRPr="000855B2">
        <w:t>a</w:t>
      </w:r>
      <w:r w:rsidR="001D2587" w:rsidRPr="000855B2">
        <w:t>lternative powertrains</w:t>
      </w:r>
      <w:r w:rsidR="00637801" w:rsidRPr="000855B2">
        <w:t>, such as</w:t>
      </w:r>
      <w:r w:rsidR="001D2587" w:rsidRPr="000855B2">
        <w:t xml:space="preserve"> hybrids </w:t>
      </w:r>
      <w:r w:rsidR="00637801" w:rsidRPr="000855B2">
        <w:t xml:space="preserve">(i.e. </w:t>
      </w:r>
      <w:r w:rsidR="001D2587" w:rsidRPr="000855B2">
        <w:t xml:space="preserve">a combination of </w:t>
      </w:r>
      <w:r w:rsidR="00637801" w:rsidRPr="000855B2">
        <w:t xml:space="preserve">an </w:t>
      </w:r>
      <w:r w:rsidR="006C3A2A" w:rsidRPr="000855B2">
        <w:t>internal combustion engine and</w:t>
      </w:r>
      <w:r w:rsidR="00637801" w:rsidRPr="000855B2">
        <w:t xml:space="preserve"> an e</w:t>
      </w:r>
      <w:r w:rsidR="001D2587" w:rsidRPr="000855B2">
        <w:t>lectric motor</w:t>
      </w:r>
      <w:r w:rsidR="00637801" w:rsidRPr="000855B2">
        <w:t>)</w:t>
      </w:r>
      <w:r w:rsidR="001D2587" w:rsidRPr="000855B2">
        <w:t xml:space="preserve">, </w:t>
      </w:r>
      <w:r w:rsidR="00861E83" w:rsidRPr="000855B2">
        <w:t xml:space="preserve">plug-in hybrids that can be recharged from the grid power, </w:t>
      </w:r>
      <w:r w:rsidR="001D2587" w:rsidRPr="000855B2">
        <w:t xml:space="preserve">fuel cell vehicles, </w:t>
      </w:r>
      <w:r w:rsidR="00861E83" w:rsidRPr="000855B2">
        <w:t xml:space="preserve">electric, </w:t>
      </w:r>
      <w:r w:rsidR="00D73F59" w:rsidRPr="000855B2">
        <w:t>etc</w:t>
      </w:r>
      <w:r w:rsidR="001D2587" w:rsidRPr="000855B2">
        <w:rPr>
          <w:i/>
        </w:rPr>
        <w:t>.</w:t>
      </w:r>
    </w:p>
    <w:p w14:paraId="343F9605" w14:textId="77777777" w:rsidR="001D2587" w:rsidRPr="000855B2" w:rsidRDefault="001D2587" w:rsidP="00F72AFB">
      <w:pPr>
        <w:pStyle w:val="BodyText"/>
      </w:pPr>
      <w:r w:rsidRPr="000855B2">
        <w:t>Some of these technologies (</w:t>
      </w:r>
      <w:r w:rsidR="00D73F59" w:rsidRPr="000855B2">
        <w:t>e.g</w:t>
      </w:r>
      <w:r w:rsidRPr="000855B2">
        <w:t xml:space="preserve">. </w:t>
      </w:r>
      <w:smartTag w:uri="urn:schemas-microsoft-com:office:smarttags" w:element="stockticker">
        <w:r w:rsidRPr="000855B2">
          <w:t>GDI</w:t>
        </w:r>
      </w:smartTag>
      <w:r w:rsidRPr="000855B2">
        <w:t xml:space="preserve">, hybrids) </w:t>
      </w:r>
      <w:r w:rsidR="00637801" w:rsidRPr="000855B2">
        <w:t xml:space="preserve">have already </w:t>
      </w:r>
      <w:r w:rsidRPr="000855B2">
        <w:t>become quite popular</w:t>
      </w:r>
      <w:r w:rsidR="00637801" w:rsidRPr="000855B2">
        <w:t>, whereas</w:t>
      </w:r>
      <w:r w:rsidRPr="000855B2">
        <w:t xml:space="preserve"> others </w:t>
      </w:r>
      <w:r w:rsidR="00861E83" w:rsidRPr="000855B2">
        <w:t xml:space="preserve">(such as electric and fuel cells) </w:t>
      </w:r>
      <w:r w:rsidRPr="000855B2">
        <w:t>are still in the development phase.</w:t>
      </w:r>
    </w:p>
    <w:p w14:paraId="066B0441" w14:textId="77777777" w:rsidR="001D2587" w:rsidRPr="000855B2" w:rsidRDefault="001D2587" w:rsidP="00ED27AC">
      <w:pPr>
        <w:pStyle w:val="BodyText"/>
      </w:pPr>
      <w:r w:rsidRPr="000855B2">
        <w:t xml:space="preserve">Given the diversity in propulsion concepts, the calculation of emissions from road vehicles is a complicated and demanding procedure which requires good quality activity data and emission </w:t>
      </w:r>
      <w:r w:rsidR="00637801" w:rsidRPr="000855B2">
        <w:t>factors</w:t>
      </w:r>
      <w:r w:rsidRPr="000855B2">
        <w:t xml:space="preserve">. This </w:t>
      </w:r>
      <w:r w:rsidR="00637801" w:rsidRPr="000855B2">
        <w:t xml:space="preserve">chapter of the Guidebook </w:t>
      </w:r>
      <w:r w:rsidRPr="000855B2">
        <w:t xml:space="preserve">aims </w:t>
      </w:r>
      <w:r w:rsidR="00637801" w:rsidRPr="000855B2">
        <w:t>to</w:t>
      </w:r>
      <w:r w:rsidRPr="000855B2">
        <w:t xml:space="preserve"> cover </w:t>
      </w:r>
      <w:r w:rsidR="00637801" w:rsidRPr="000855B2">
        <w:t xml:space="preserve">the </w:t>
      </w:r>
      <w:r w:rsidRPr="000855B2">
        <w:t xml:space="preserve">emissions from all </w:t>
      </w:r>
      <w:r w:rsidR="00637801" w:rsidRPr="000855B2">
        <w:t>the</w:t>
      </w:r>
      <w:r w:rsidRPr="000855B2">
        <w:t xml:space="preserve"> technologies</w:t>
      </w:r>
      <w:r w:rsidR="00637801" w:rsidRPr="000855B2">
        <w:t xml:space="preserve"> which are currently in widespread use</w:t>
      </w:r>
      <w:r w:rsidR="009A704B" w:rsidRPr="000855B2">
        <w:t>,</w:t>
      </w:r>
      <w:r w:rsidRPr="000855B2">
        <w:t xml:space="preserve"> in a systematic manner that will allow the production of high</w:t>
      </w:r>
      <w:r w:rsidR="00637801" w:rsidRPr="000855B2">
        <w:t>-</w:t>
      </w:r>
      <w:r w:rsidR="006C3A2A" w:rsidRPr="000855B2">
        <w:t>quality emission inventories.</w:t>
      </w:r>
    </w:p>
    <w:p w14:paraId="528EDB33" w14:textId="77777777" w:rsidR="001D2587" w:rsidRPr="000855B2" w:rsidRDefault="001D2587" w:rsidP="00F516D0">
      <w:pPr>
        <w:pStyle w:val="Heading2"/>
      </w:pPr>
      <w:bookmarkStart w:id="22" w:name="_Toc215046438"/>
      <w:bookmarkStart w:id="23" w:name="_Toc215046443"/>
      <w:bookmarkStart w:id="24" w:name="_Toc215046542"/>
      <w:bookmarkStart w:id="25" w:name="_Toc215046543"/>
      <w:bookmarkStart w:id="26" w:name="_Toc215046548"/>
      <w:bookmarkStart w:id="27" w:name="_Toc215046647"/>
      <w:bookmarkStart w:id="28" w:name="_Toc215046649"/>
      <w:bookmarkStart w:id="29" w:name="_Toc215046650"/>
      <w:bookmarkStart w:id="30" w:name="_Toc200272608"/>
      <w:bookmarkStart w:id="31" w:name="_Toc482003895"/>
      <w:bookmarkEnd w:id="22"/>
      <w:bookmarkEnd w:id="23"/>
      <w:bookmarkEnd w:id="24"/>
      <w:bookmarkEnd w:id="25"/>
      <w:bookmarkEnd w:id="26"/>
      <w:bookmarkEnd w:id="27"/>
      <w:bookmarkEnd w:id="28"/>
      <w:bookmarkEnd w:id="29"/>
      <w:r w:rsidRPr="000855B2">
        <w:t>Controls</w:t>
      </w:r>
      <w:bookmarkEnd w:id="30"/>
      <w:bookmarkEnd w:id="31"/>
    </w:p>
    <w:p w14:paraId="4D7C0619" w14:textId="77777777" w:rsidR="00B907E4" w:rsidRPr="000855B2" w:rsidRDefault="00B907E4" w:rsidP="00F72AFB">
      <w:pPr>
        <w:pStyle w:val="BodyText"/>
      </w:pPr>
      <w:r w:rsidRPr="000855B2">
        <w:t>Emissions from road vehicles have been</w:t>
      </w:r>
      <w:r w:rsidR="001D2587" w:rsidRPr="000855B2">
        <w:t xml:space="preserve"> control</w:t>
      </w:r>
      <w:r w:rsidRPr="000855B2">
        <w:t>led</w:t>
      </w:r>
      <w:r w:rsidR="001D2587" w:rsidRPr="000855B2">
        <w:t xml:space="preserve"> </w:t>
      </w:r>
      <w:r w:rsidRPr="000855B2">
        <w:t>by</w:t>
      </w:r>
      <w:r w:rsidR="001D2587" w:rsidRPr="000855B2">
        <w:t xml:space="preserve"> European legislation since the </w:t>
      </w:r>
      <w:r w:rsidRPr="000855B2">
        <w:t>19</w:t>
      </w:r>
      <w:r w:rsidR="001D2587" w:rsidRPr="000855B2">
        <w:t xml:space="preserve">70s. In order to </w:t>
      </w:r>
      <w:r w:rsidRPr="000855B2">
        <w:t>meet</w:t>
      </w:r>
      <w:r w:rsidR="001D2587" w:rsidRPr="000855B2">
        <w:t xml:space="preserve"> the </w:t>
      </w:r>
      <w:r w:rsidRPr="000855B2">
        <w:t xml:space="preserve">increasingly stringent </w:t>
      </w:r>
      <w:r w:rsidR="001D2587" w:rsidRPr="000855B2">
        <w:t>requirements</w:t>
      </w:r>
      <w:r w:rsidRPr="000855B2">
        <w:t xml:space="preserve"> of the legislation</w:t>
      </w:r>
      <w:r w:rsidR="001D2587" w:rsidRPr="000855B2">
        <w:t xml:space="preserve">, vehicle manufacturers have </w:t>
      </w:r>
      <w:r w:rsidRPr="000855B2">
        <w:t xml:space="preserve">continually </w:t>
      </w:r>
      <w:r w:rsidR="001D2587" w:rsidRPr="000855B2">
        <w:t>improv</w:t>
      </w:r>
      <w:r w:rsidRPr="000855B2">
        <w:t>ed</w:t>
      </w:r>
      <w:r w:rsidR="001D2587" w:rsidRPr="000855B2">
        <w:t xml:space="preserve"> </w:t>
      </w:r>
      <w:r w:rsidRPr="000855B2">
        <w:t>engine</w:t>
      </w:r>
      <w:r w:rsidR="001D2587" w:rsidRPr="000855B2">
        <w:t xml:space="preserve"> technolog</w:t>
      </w:r>
      <w:r w:rsidRPr="000855B2">
        <w:t>ies</w:t>
      </w:r>
      <w:r w:rsidR="001D2587" w:rsidRPr="000855B2">
        <w:t xml:space="preserve"> and </w:t>
      </w:r>
      <w:r w:rsidRPr="000855B2">
        <w:t xml:space="preserve">have </w:t>
      </w:r>
      <w:r w:rsidR="001D2587" w:rsidRPr="000855B2">
        <w:t>introduc</w:t>
      </w:r>
      <w:r w:rsidRPr="000855B2">
        <w:t>ed</w:t>
      </w:r>
      <w:r w:rsidR="001D2587" w:rsidRPr="000855B2">
        <w:t xml:space="preserve"> </w:t>
      </w:r>
      <w:r w:rsidRPr="000855B2">
        <w:t xml:space="preserve">various </w:t>
      </w:r>
      <w:r w:rsidR="001D2587" w:rsidRPr="000855B2">
        <w:t>emission</w:t>
      </w:r>
      <w:r w:rsidRPr="000855B2">
        <w:t>-</w:t>
      </w:r>
      <w:r w:rsidR="001D2587" w:rsidRPr="000855B2">
        <w:t xml:space="preserve">control systems. As a result, </w:t>
      </w:r>
      <w:r w:rsidRPr="000855B2">
        <w:t>modern</w:t>
      </w:r>
      <w:r w:rsidR="001D2587" w:rsidRPr="000855B2">
        <w:t xml:space="preserve"> vehicles </w:t>
      </w:r>
      <w:r w:rsidRPr="000855B2">
        <w:t>have emission levels for regulated pollutants (CO, NO</w:t>
      </w:r>
      <w:r w:rsidRPr="000855B2">
        <w:rPr>
          <w:vertAlign w:val="subscript"/>
        </w:rPr>
        <w:t>x</w:t>
      </w:r>
      <w:r w:rsidRPr="000855B2">
        <w:t xml:space="preserve">, </w:t>
      </w:r>
      <w:smartTag w:uri="urn:schemas-microsoft-com:office:smarttags" w:element="stockticker">
        <w:r w:rsidRPr="000855B2">
          <w:t>THC</w:t>
        </w:r>
      </w:smartTag>
      <w:r w:rsidRPr="000855B2">
        <w:t xml:space="preserve">) which are </w:t>
      </w:r>
      <w:r w:rsidR="001D2587" w:rsidRPr="000855B2">
        <w:t xml:space="preserve">more than an order of magnitude </w:t>
      </w:r>
      <w:r w:rsidRPr="000855B2">
        <w:t>lower</w:t>
      </w:r>
      <w:r w:rsidR="001D2587" w:rsidRPr="000855B2">
        <w:t xml:space="preserve"> than</w:t>
      </w:r>
      <w:r w:rsidRPr="000855B2">
        <w:t xml:space="preserve"> the those of vehicles entering service</w:t>
      </w:r>
      <w:r w:rsidR="001D2587" w:rsidRPr="000855B2">
        <w:t xml:space="preserve"> two decades ago. </w:t>
      </w:r>
    </w:p>
    <w:p w14:paraId="2A02CD5E" w14:textId="37D105C1" w:rsidR="0043555B" w:rsidRPr="000855B2" w:rsidRDefault="00B907E4" w:rsidP="00942957">
      <w:pPr>
        <w:pStyle w:val="BodyText"/>
      </w:pPr>
      <w:r w:rsidRPr="000855B2">
        <w:lastRenderedPageBreak/>
        <w:t xml:space="preserve">Road </w:t>
      </w:r>
      <w:r w:rsidR="001D2587" w:rsidRPr="000855B2">
        <w:t xml:space="preserve">vehicles </w:t>
      </w:r>
      <w:r w:rsidRPr="000855B2">
        <w:t xml:space="preserve">are usually classified </w:t>
      </w:r>
      <w:r w:rsidR="001D2587" w:rsidRPr="000855B2">
        <w:t xml:space="preserve">according to their </w:t>
      </w:r>
      <w:r w:rsidRPr="000855B2">
        <w:t xml:space="preserve">level of </w:t>
      </w:r>
      <w:r w:rsidR="001D2587" w:rsidRPr="000855B2">
        <w:t>emission control technolog</w:t>
      </w:r>
      <w:r w:rsidRPr="000855B2">
        <w:t>y, which is actually defined in terms of</w:t>
      </w:r>
      <w:r w:rsidR="001D2587" w:rsidRPr="000855B2">
        <w:t xml:space="preserve"> the </w:t>
      </w:r>
      <w:r w:rsidRPr="000855B2">
        <w:t xml:space="preserve">emission </w:t>
      </w:r>
      <w:r w:rsidR="001D2587" w:rsidRPr="000855B2">
        <w:t xml:space="preserve">legislation </w:t>
      </w:r>
      <w:r w:rsidRPr="000855B2">
        <w:t>with which they are compliant.</w:t>
      </w:r>
      <w:r w:rsidR="001D2587" w:rsidRPr="000855B2">
        <w:t xml:space="preserve"> Using the </w:t>
      </w:r>
      <w:r w:rsidR="001D2587" w:rsidRPr="000855B2">
        <w:rPr>
          <w:szCs w:val="21"/>
        </w:rPr>
        <w:t>vehicle classes described in</w:t>
      </w:r>
      <w:r w:rsidR="00942957" w:rsidRPr="00FB454C">
        <w:rPr>
          <w:szCs w:val="21"/>
          <w:lang w:val="en-US"/>
        </w:rPr>
        <w:t xml:space="preserve"> </w:t>
      </w:r>
      <w:r w:rsidR="00E17971">
        <w:rPr>
          <w:szCs w:val="21"/>
          <w:lang w:val="el-GR"/>
        </w:rPr>
        <w:fldChar w:fldCharType="begin"/>
      </w:r>
      <w:r w:rsidR="00853B30" w:rsidRPr="00FB454C">
        <w:rPr>
          <w:szCs w:val="21"/>
          <w:lang w:val="en-US"/>
        </w:rPr>
        <w:instrText xml:space="preserve"> REF _Ref476575706 \h </w:instrText>
      </w:r>
      <w:r w:rsidR="00E17971">
        <w:rPr>
          <w:szCs w:val="21"/>
          <w:lang w:val="el-GR"/>
        </w:rPr>
      </w:r>
      <w:r w:rsidR="00E17971">
        <w:rPr>
          <w:szCs w:val="21"/>
          <w:lang w:val="el-GR"/>
        </w:rPr>
        <w:fldChar w:fldCharType="separate"/>
      </w:r>
      <w:r w:rsidR="0071604C">
        <w:t xml:space="preserve">Table </w:t>
      </w:r>
      <w:r w:rsidR="0071604C">
        <w:rPr>
          <w:noProof/>
        </w:rPr>
        <w:t>2</w:t>
      </w:r>
      <w:r w:rsidR="0071604C">
        <w:t>.</w:t>
      </w:r>
      <w:r w:rsidR="0071604C">
        <w:rPr>
          <w:noProof/>
        </w:rPr>
        <w:t>1</w:t>
      </w:r>
      <w:r w:rsidR="00E17971">
        <w:rPr>
          <w:szCs w:val="21"/>
          <w:lang w:val="el-GR"/>
        </w:rPr>
        <w:fldChar w:fldCharType="end"/>
      </w:r>
      <w:r w:rsidR="00853B30">
        <w:rPr>
          <w:szCs w:val="21"/>
          <w:lang w:val="en-US"/>
        </w:rPr>
        <w:t xml:space="preserve"> </w:t>
      </w:r>
      <w:r w:rsidR="001D2587" w:rsidRPr="000855B2">
        <w:rPr>
          <w:szCs w:val="21"/>
        </w:rPr>
        <w:t>different groups can be identified, each with its own</w:t>
      </w:r>
      <w:r w:rsidR="001D2587" w:rsidRPr="000855B2">
        <w:t xml:space="preserve"> relevant legislation. These </w:t>
      </w:r>
      <w:r w:rsidRPr="000855B2">
        <w:t xml:space="preserve">groups </w:t>
      </w:r>
      <w:r w:rsidR="001D2587" w:rsidRPr="000855B2">
        <w:t>are</w:t>
      </w:r>
      <w:r w:rsidRPr="000855B2">
        <w:t xml:space="preserve"> described in more detail in the following </w:t>
      </w:r>
      <w:r w:rsidR="00F078C9" w:rsidRPr="000855B2">
        <w:t>sub</w:t>
      </w:r>
      <w:r w:rsidRPr="000855B2">
        <w:t>sections.</w:t>
      </w:r>
    </w:p>
    <w:p w14:paraId="488D5249" w14:textId="77777777" w:rsidR="0043555B" w:rsidRPr="000855B2" w:rsidRDefault="00166905" w:rsidP="00F72AFB">
      <w:pPr>
        <w:pStyle w:val="BodyText"/>
      </w:pPr>
      <w:r w:rsidRPr="000855B2">
        <w:t xml:space="preserve">It should also be noted that, in accordance with the legislation, a slightly different notation is used in </w:t>
      </w:r>
      <w:r w:rsidR="00536A0A" w:rsidRPr="000855B2">
        <w:t>this chapter</w:t>
      </w:r>
      <w:r w:rsidRPr="000855B2">
        <w:t xml:space="preserve"> to refer to the emission standards for </w:t>
      </w:r>
      <w:r w:rsidR="00757EE1" w:rsidRPr="000855B2">
        <w:t>LCV</w:t>
      </w:r>
      <w:r w:rsidR="002C4866" w:rsidRPr="000855B2">
        <w:t>s</w:t>
      </w:r>
      <w:r w:rsidRPr="000855B2">
        <w:t xml:space="preserve">, </w:t>
      </w:r>
      <w:r w:rsidR="002C4866" w:rsidRPr="000855B2">
        <w:t>HDVs</w:t>
      </w:r>
      <w:r w:rsidRPr="000855B2">
        <w:t xml:space="preserve"> and two-wheel vehicles. </w:t>
      </w:r>
      <w:r w:rsidR="002C4866" w:rsidRPr="000855B2">
        <w:t xml:space="preserve">For </w:t>
      </w:r>
      <w:r w:rsidR="00757EE1" w:rsidRPr="000855B2">
        <w:t>LCV</w:t>
      </w:r>
      <w:r w:rsidR="002C4866" w:rsidRPr="000855B2">
        <w:t>s and two-wheel vehicles</w:t>
      </w:r>
      <w:r w:rsidRPr="000855B2">
        <w:t xml:space="preserve"> Arabic numerals are used (</w:t>
      </w:r>
      <w:r w:rsidR="00D73F59" w:rsidRPr="000855B2">
        <w:t>e.g</w:t>
      </w:r>
      <w:r w:rsidRPr="000855B2">
        <w:rPr>
          <w:i/>
        </w:rPr>
        <w:t>.</w:t>
      </w:r>
      <w:r w:rsidRPr="000855B2">
        <w:t xml:space="preserve"> Euro 1, Euro 2</w:t>
      </w:r>
      <w:r w:rsidR="00A60695" w:rsidRPr="000855B2">
        <w:t xml:space="preserve">, </w:t>
      </w:r>
      <w:r w:rsidR="00D73F59" w:rsidRPr="000855B2">
        <w:t>etc</w:t>
      </w:r>
      <w:r w:rsidRPr="000855B2">
        <w:rPr>
          <w:i/>
        </w:rPr>
        <w:t>.</w:t>
      </w:r>
      <w:r w:rsidRPr="000855B2">
        <w:t>), whereas for HDVs roman n</w:t>
      </w:r>
      <w:r w:rsidR="00AC1E78" w:rsidRPr="000855B2">
        <w:t>u</w:t>
      </w:r>
      <w:r w:rsidRPr="000855B2">
        <w:t>merals are used (</w:t>
      </w:r>
      <w:r w:rsidR="00D73F59" w:rsidRPr="000855B2">
        <w:t>e.g</w:t>
      </w:r>
      <w:r w:rsidRPr="000855B2">
        <w:rPr>
          <w:i/>
        </w:rPr>
        <w:t>.</w:t>
      </w:r>
      <w:r w:rsidRPr="000855B2">
        <w:t xml:space="preserve"> Euro I, Euro II</w:t>
      </w:r>
      <w:r w:rsidR="00750E5B" w:rsidRPr="000855B2">
        <w:t xml:space="preserve">, </w:t>
      </w:r>
      <w:r w:rsidR="00D73F59" w:rsidRPr="000855B2">
        <w:t>etc</w:t>
      </w:r>
      <w:r w:rsidRPr="000855B2">
        <w:rPr>
          <w:i/>
        </w:rPr>
        <w:t>.</w:t>
      </w:r>
      <w:r w:rsidRPr="000855B2">
        <w:t>).</w:t>
      </w:r>
    </w:p>
    <w:p w14:paraId="709A8AC4" w14:textId="77777777" w:rsidR="001D2587" w:rsidRPr="000855B2" w:rsidRDefault="001D2587" w:rsidP="00AC1E78">
      <w:pPr>
        <w:pStyle w:val="Heading3"/>
      </w:pPr>
      <w:bookmarkStart w:id="32" w:name="_Toc457131566"/>
      <w:bookmarkStart w:id="33" w:name="_Toc496264298"/>
      <w:r w:rsidRPr="000855B2">
        <w:t xml:space="preserve">Legislation classes </w:t>
      </w:r>
      <w:r w:rsidR="00006C00" w:rsidRPr="000855B2">
        <w:t>for</w:t>
      </w:r>
      <w:r w:rsidRPr="000855B2">
        <w:t xml:space="preserve"> </w:t>
      </w:r>
      <w:r w:rsidR="005E4DC4">
        <w:t>petrol</w:t>
      </w:r>
      <w:r w:rsidRPr="000855B2">
        <w:t xml:space="preserve"> passenger cars</w:t>
      </w:r>
      <w:bookmarkEnd w:id="32"/>
      <w:bookmarkEnd w:id="33"/>
    </w:p>
    <w:p w14:paraId="73CA6FA5" w14:textId="77777777" w:rsidR="001D2587" w:rsidRPr="000855B2" w:rsidRDefault="001D2587" w:rsidP="00F72AFB">
      <w:pPr>
        <w:pStyle w:val="BodyText"/>
      </w:pPr>
      <w:r w:rsidRPr="000855B2">
        <w:t>The production year of vehicles in this category has been taken into account by introducing different classes, which either reflect legislative steps (</w:t>
      </w:r>
      <w:r w:rsidR="008509E6" w:rsidRPr="000855B2">
        <w:t>‘</w:t>
      </w:r>
      <w:r w:rsidRPr="000855B2">
        <w:t>ECE</w:t>
      </w:r>
      <w:r w:rsidR="008509E6" w:rsidRPr="000855B2">
        <w:t>’</w:t>
      </w:r>
      <w:r w:rsidRPr="000855B2">
        <w:t xml:space="preserve">, </w:t>
      </w:r>
      <w:r w:rsidR="008509E6" w:rsidRPr="000855B2">
        <w:t>‘</w:t>
      </w:r>
      <w:r w:rsidRPr="000855B2">
        <w:t>Euro</w:t>
      </w:r>
      <w:r w:rsidR="008509E6" w:rsidRPr="000855B2">
        <w:t>’</w:t>
      </w:r>
      <w:r w:rsidRPr="000855B2">
        <w:t>) or technology steps (</w:t>
      </w:r>
      <w:r w:rsidR="00006C00" w:rsidRPr="000855B2">
        <w:t>‘</w:t>
      </w:r>
      <w:r w:rsidRPr="000855B2">
        <w:t xml:space="preserve">Improved </w:t>
      </w:r>
      <w:r w:rsidR="009A27FC" w:rsidRPr="000855B2">
        <w:t>c</w:t>
      </w:r>
      <w:r w:rsidRPr="000855B2">
        <w:t>onventional</w:t>
      </w:r>
      <w:r w:rsidR="00006C00" w:rsidRPr="000855B2">
        <w:t>’</w:t>
      </w:r>
      <w:r w:rsidRPr="000855B2">
        <w:t xml:space="preserve">, </w:t>
      </w:r>
      <w:r w:rsidR="00006C00" w:rsidRPr="000855B2">
        <w:t>‘</w:t>
      </w:r>
      <w:r w:rsidRPr="000855B2">
        <w:t xml:space="preserve">Open </w:t>
      </w:r>
      <w:r w:rsidR="009A27FC" w:rsidRPr="000855B2">
        <w:t>l</w:t>
      </w:r>
      <w:r w:rsidRPr="000855B2">
        <w:t>oop</w:t>
      </w:r>
      <w:r w:rsidR="00006C00" w:rsidRPr="000855B2">
        <w:t>’</w:t>
      </w:r>
      <w:r w:rsidRPr="000855B2">
        <w:t>).</w:t>
      </w:r>
    </w:p>
    <w:p w14:paraId="382A0341" w14:textId="77777777" w:rsidR="001D2587" w:rsidRPr="000855B2" w:rsidRDefault="00006C00" w:rsidP="00F72AFB">
      <w:pPr>
        <w:pStyle w:val="BodyText"/>
      </w:pPr>
      <w:r w:rsidRPr="000855B2">
        <w:t>Between</w:t>
      </w:r>
      <w:r w:rsidR="001D2587" w:rsidRPr="000855B2">
        <w:t xml:space="preserve"> 1970 and 1985 all EC </w:t>
      </w:r>
      <w:r w:rsidR="005575E8" w:rsidRPr="000855B2">
        <w:t>M</w:t>
      </w:r>
      <w:r w:rsidR="001D2587" w:rsidRPr="000855B2">
        <w:t xml:space="preserve">ember </w:t>
      </w:r>
      <w:r w:rsidR="005575E8" w:rsidRPr="000855B2">
        <w:t>S</w:t>
      </w:r>
      <w:r w:rsidR="001D2587" w:rsidRPr="000855B2">
        <w:t xml:space="preserve">tates followed the UNECE Regulation 15 amendments as regards the emissions of pollutants from vehicles lighter than 3.5 tonnes GVW. According to the relevant EC Directives, the </w:t>
      </w:r>
      <w:r w:rsidR="005575E8" w:rsidRPr="000855B2">
        <w:t xml:space="preserve">approximate </w:t>
      </w:r>
      <w:r w:rsidR="001D2587" w:rsidRPr="000855B2">
        <w:t xml:space="preserve">implementation dates </w:t>
      </w:r>
      <w:r w:rsidR="00F741F6" w:rsidRPr="000855B2">
        <w:t>—</w:t>
      </w:r>
      <w:r w:rsidR="005575E8" w:rsidRPr="000855B2">
        <w:t xml:space="preserve"> which varied from one Member State to another </w:t>
      </w:r>
      <w:r w:rsidR="00F741F6" w:rsidRPr="000855B2">
        <w:t>—</w:t>
      </w:r>
      <w:r w:rsidR="005575E8" w:rsidRPr="000855B2">
        <w:t xml:space="preserve"> </w:t>
      </w:r>
      <w:r w:rsidR="001D2587" w:rsidRPr="000855B2">
        <w:t>of these regulations were as follows:</w:t>
      </w:r>
    </w:p>
    <w:p w14:paraId="3ECBA742" w14:textId="77777777" w:rsidR="001D2587" w:rsidRPr="000855B2" w:rsidRDefault="001D2587" w:rsidP="00F72AFB">
      <w:pPr>
        <w:pStyle w:val="ListBullet"/>
      </w:pPr>
      <w:r w:rsidRPr="000855B2">
        <w:t>pre ECE vehicles</w:t>
      </w:r>
      <w:r w:rsidRPr="000855B2">
        <w:tab/>
      </w:r>
      <w:r w:rsidR="00536A0A" w:rsidRPr="000855B2">
        <w:tab/>
      </w:r>
      <w:r w:rsidRPr="000855B2">
        <w:t>up to 1971</w:t>
      </w:r>
    </w:p>
    <w:p w14:paraId="25DC763B"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 xml:space="preserve">00 </w:t>
      </w:r>
      <w:r w:rsidR="005575E8" w:rsidRPr="000855B2">
        <w:t>and ECE 15.0</w:t>
      </w:r>
      <w:r w:rsidR="00536A0A" w:rsidRPr="000855B2">
        <w:t>1</w:t>
      </w:r>
      <w:r w:rsidR="00536A0A" w:rsidRPr="000855B2">
        <w:tab/>
      </w:r>
      <w:r w:rsidRPr="000855B2">
        <w:t>1972 to 1977</w:t>
      </w:r>
    </w:p>
    <w:p w14:paraId="15B07474"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02</w:t>
      </w:r>
      <w:r w:rsidRPr="000855B2">
        <w:tab/>
      </w:r>
      <w:r w:rsidRPr="000855B2">
        <w:tab/>
      </w:r>
      <w:r w:rsidR="00536A0A" w:rsidRPr="000855B2">
        <w:tab/>
      </w:r>
      <w:r w:rsidRPr="000855B2">
        <w:t>1978 to 1980</w:t>
      </w:r>
    </w:p>
    <w:p w14:paraId="2D703067"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03</w:t>
      </w:r>
      <w:r w:rsidRPr="000855B2">
        <w:tab/>
      </w:r>
      <w:r w:rsidRPr="000855B2">
        <w:tab/>
      </w:r>
      <w:r w:rsidR="00536A0A" w:rsidRPr="000855B2">
        <w:tab/>
      </w:r>
      <w:r w:rsidRPr="000855B2">
        <w:t>1981 to 1985</w:t>
      </w:r>
    </w:p>
    <w:p w14:paraId="43FDA3FA" w14:textId="77777777" w:rsidR="001D2587" w:rsidRPr="000855B2" w:rsidRDefault="001D2587" w:rsidP="00F72AFB">
      <w:pPr>
        <w:pStyle w:val="ListBullet"/>
      </w:pPr>
      <w:r w:rsidRPr="000855B2">
        <w:t>ECE</w:t>
      </w:r>
      <w:r w:rsidR="005575E8" w:rsidRPr="000855B2">
        <w:t>-</w:t>
      </w:r>
      <w:r w:rsidRPr="000855B2">
        <w:t>15</w:t>
      </w:r>
      <w:r w:rsidR="005575E8" w:rsidRPr="000855B2">
        <w:t>.</w:t>
      </w:r>
      <w:r w:rsidRPr="000855B2">
        <w:t>04</w:t>
      </w:r>
      <w:r w:rsidRPr="000855B2">
        <w:tab/>
      </w:r>
      <w:r w:rsidRPr="000855B2">
        <w:tab/>
      </w:r>
      <w:r w:rsidR="00536A0A" w:rsidRPr="000855B2">
        <w:tab/>
      </w:r>
      <w:r w:rsidRPr="000855B2">
        <w:t>1985 to 1992</w:t>
      </w:r>
    </w:p>
    <w:p w14:paraId="74888F60" w14:textId="77777777" w:rsidR="001D2587" w:rsidRPr="000855B2" w:rsidRDefault="005575E8" w:rsidP="00F72AFB">
      <w:pPr>
        <w:pStyle w:val="BodyText"/>
      </w:pPr>
      <w:r w:rsidRPr="000855B2">
        <w:t>T</w:t>
      </w:r>
      <w:r w:rsidR="001D2587" w:rsidRPr="000855B2">
        <w:t xml:space="preserve">he regulations were applicable </w:t>
      </w:r>
      <w:r w:rsidRPr="000855B2">
        <w:t>to</w:t>
      </w:r>
      <w:r w:rsidR="001D2587" w:rsidRPr="000855B2">
        <w:t xml:space="preserve"> vehicles registered in each </w:t>
      </w:r>
      <w:r w:rsidRPr="000855B2">
        <w:t>M</w:t>
      </w:r>
      <w:r w:rsidR="001D2587" w:rsidRPr="000855B2">
        <w:t xml:space="preserve">ember </w:t>
      </w:r>
      <w:r w:rsidRPr="000855B2">
        <w:t>S</w:t>
      </w:r>
      <w:r w:rsidR="001D2587" w:rsidRPr="000855B2">
        <w:t xml:space="preserve">tate </w:t>
      </w:r>
      <w:r w:rsidR="00F741F6" w:rsidRPr="000855B2">
        <w:t>—</w:t>
      </w:r>
      <w:r w:rsidR="001D2587" w:rsidRPr="000855B2">
        <w:t xml:space="preserve"> either produced in the </w:t>
      </w:r>
      <w:r w:rsidRPr="000855B2">
        <w:t>Member State</w:t>
      </w:r>
      <w:r w:rsidR="001D2587" w:rsidRPr="000855B2">
        <w:t xml:space="preserve"> or imported from elsewhere in the world.</w:t>
      </w:r>
    </w:p>
    <w:p w14:paraId="35F142BF" w14:textId="77777777" w:rsidR="001D2587" w:rsidRPr="000855B2" w:rsidRDefault="005575E8" w:rsidP="00F72AFB">
      <w:pPr>
        <w:pStyle w:val="BodyText"/>
      </w:pPr>
      <w:r w:rsidRPr="000855B2">
        <w:t>During</w:t>
      </w:r>
      <w:r w:rsidR="001D2587" w:rsidRPr="000855B2">
        <w:t xml:space="preserve"> the period 1985</w:t>
      </w:r>
      <w:r w:rsidR="00F741F6" w:rsidRPr="000855B2">
        <w:t>–</w:t>
      </w:r>
      <w:r w:rsidR="001D2587" w:rsidRPr="000855B2">
        <w:t xml:space="preserve">1990, two intermediate </w:t>
      </w:r>
      <w:r w:rsidRPr="000855B2">
        <w:t>technologies</w:t>
      </w:r>
      <w:r w:rsidR="001D2587" w:rsidRPr="000855B2">
        <w:t xml:space="preserve"> appeared in some countries for passenger cars &lt;</w:t>
      </w:r>
      <w:r w:rsidR="00F741F6" w:rsidRPr="000855B2">
        <w:t> </w:t>
      </w:r>
      <w:r w:rsidR="001D2587" w:rsidRPr="000855B2">
        <w:t>2.0</w:t>
      </w:r>
      <w:r w:rsidR="00F741F6" w:rsidRPr="000855B2">
        <w:t> </w:t>
      </w:r>
      <w:r w:rsidR="001D2587" w:rsidRPr="000855B2">
        <w:t>l engine capacity. The two technologies were:</w:t>
      </w:r>
    </w:p>
    <w:p w14:paraId="039A7062" w14:textId="77777777" w:rsidR="001D2587" w:rsidRPr="000855B2" w:rsidRDefault="00F741F6" w:rsidP="00F72AFB">
      <w:pPr>
        <w:pStyle w:val="BodyText"/>
      </w:pPr>
      <w:r w:rsidRPr="000855B2">
        <w:t>f</w:t>
      </w:r>
      <w:r w:rsidR="001D2587" w:rsidRPr="000855B2">
        <w:t xml:space="preserve">or </w:t>
      </w:r>
      <w:r w:rsidR="005E4DC4">
        <w:t>petrol</w:t>
      </w:r>
      <w:r w:rsidR="001D2587" w:rsidRPr="000855B2">
        <w:t xml:space="preserve"> </w:t>
      </w:r>
      <w:r w:rsidR="005575E8" w:rsidRPr="000855B2">
        <w:t>p</w:t>
      </w:r>
      <w:r w:rsidR="001D2587" w:rsidRPr="000855B2">
        <w:t xml:space="preserve">assenger </w:t>
      </w:r>
      <w:r w:rsidR="005575E8" w:rsidRPr="000855B2">
        <w:t>c</w:t>
      </w:r>
      <w:r w:rsidR="001D2587" w:rsidRPr="000855B2">
        <w:t>ars &lt;</w:t>
      </w:r>
      <w:r w:rsidRPr="000855B2">
        <w:t> </w:t>
      </w:r>
      <w:r w:rsidR="001D2587" w:rsidRPr="000855B2">
        <w:t>1.4</w:t>
      </w:r>
      <w:r w:rsidRPr="000855B2">
        <w:t> </w:t>
      </w:r>
      <w:r w:rsidR="001D2587" w:rsidRPr="000855B2">
        <w:t>l</w:t>
      </w:r>
    </w:p>
    <w:p w14:paraId="56D60EA8" w14:textId="77777777" w:rsidR="001D2587" w:rsidRPr="000855B2" w:rsidRDefault="005575E8" w:rsidP="009D781A">
      <w:pPr>
        <w:numPr>
          <w:ilvl w:val="0"/>
          <w:numId w:val="5"/>
        </w:numPr>
        <w:tabs>
          <w:tab w:val="clear" w:pos="720"/>
        </w:tabs>
        <w:spacing w:before="60" w:after="80"/>
        <w:ind w:left="357" w:hanging="357"/>
        <w:rPr>
          <w:lang w:val="en-GB"/>
        </w:rPr>
      </w:pPr>
      <w:r w:rsidRPr="000855B2">
        <w:rPr>
          <w:lang w:val="en-GB"/>
        </w:rPr>
        <w:t>‘</w:t>
      </w:r>
      <w:r w:rsidR="001D2587" w:rsidRPr="000855B2">
        <w:rPr>
          <w:lang w:val="en-GB"/>
        </w:rPr>
        <w:t xml:space="preserve">Improved </w:t>
      </w:r>
      <w:r w:rsidRPr="000855B2">
        <w:rPr>
          <w:lang w:val="en-GB"/>
        </w:rPr>
        <w:t>c</w:t>
      </w:r>
      <w:r w:rsidR="001D2587" w:rsidRPr="000855B2">
        <w:rPr>
          <w:lang w:val="en-GB"/>
        </w:rPr>
        <w:t>onventional</w:t>
      </w:r>
      <w:r w:rsidRPr="000855B2">
        <w:rPr>
          <w:lang w:val="en-GB"/>
        </w:rPr>
        <w:t>’</w:t>
      </w:r>
      <w:r w:rsidR="001D2587" w:rsidRPr="000855B2">
        <w:rPr>
          <w:lang w:val="en-GB"/>
        </w:rPr>
        <w:t xml:space="preserve">, which took into account German (Anl.XXIVC </w:t>
      </w:r>
      <w:r w:rsidR="00F741F6" w:rsidRPr="000855B2">
        <w:rPr>
          <w:szCs w:val="20"/>
          <w:lang w:val="en-GB"/>
        </w:rPr>
        <w:t>—</w:t>
      </w:r>
      <w:r w:rsidR="001D2587" w:rsidRPr="000855B2">
        <w:rPr>
          <w:lang w:val="en-GB"/>
        </w:rPr>
        <w:t xml:space="preserve"> </w:t>
      </w:r>
      <w:r w:rsidRPr="000855B2">
        <w:rPr>
          <w:lang w:val="en-GB"/>
        </w:rPr>
        <w:t>e</w:t>
      </w:r>
      <w:r w:rsidR="001D2587" w:rsidRPr="000855B2">
        <w:rPr>
          <w:lang w:val="en-GB"/>
        </w:rPr>
        <w:t xml:space="preserve">ffective date: 1.7.1985) and Dutch (NLG 850 </w:t>
      </w:r>
      <w:r w:rsidR="00F741F6" w:rsidRPr="000855B2">
        <w:rPr>
          <w:szCs w:val="20"/>
          <w:lang w:val="en-GB"/>
        </w:rPr>
        <w:t>—</w:t>
      </w:r>
      <w:r w:rsidRPr="000855B2">
        <w:rPr>
          <w:lang w:val="en-GB"/>
        </w:rPr>
        <w:t xml:space="preserve"> e</w:t>
      </w:r>
      <w:r w:rsidR="001D2587" w:rsidRPr="000855B2">
        <w:rPr>
          <w:lang w:val="en-GB"/>
        </w:rPr>
        <w:t>ffective date: 1.1.1986) incentive programmes. The emission standards called for improved engine technology</w:t>
      </w:r>
      <w:r w:rsidRPr="000855B2">
        <w:rPr>
          <w:lang w:val="en-GB"/>
        </w:rPr>
        <w:t>,</w:t>
      </w:r>
      <w:r w:rsidR="001D2587" w:rsidRPr="000855B2">
        <w:rPr>
          <w:lang w:val="en-GB"/>
        </w:rPr>
        <w:t xml:space="preserve"> but without the use of aftertreatment. This type of emission control technology also started to appear in Denmark from 1.1.1988.</w:t>
      </w:r>
    </w:p>
    <w:p w14:paraId="6CFD1F91" w14:textId="77777777" w:rsidR="001D2587" w:rsidRPr="000855B2" w:rsidRDefault="005575E8" w:rsidP="009D781A">
      <w:pPr>
        <w:numPr>
          <w:ilvl w:val="0"/>
          <w:numId w:val="5"/>
        </w:numPr>
        <w:tabs>
          <w:tab w:val="clear" w:pos="720"/>
        </w:tabs>
        <w:spacing w:before="60" w:after="80"/>
        <w:ind w:left="357" w:hanging="357"/>
        <w:rPr>
          <w:lang w:val="en-GB"/>
        </w:rPr>
      </w:pPr>
      <w:r w:rsidRPr="000855B2">
        <w:rPr>
          <w:lang w:val="en-GB"/>
        </w:rPr>
        <w:t>‘</w:t>
      </w:r>
      <w:r w:rsidR="001D2587" w:rsidRPr="000855B2">
        <w:rPr>
          <w:lang w:val="en-GB"/>
        </w:rPr>
        <w:t>Open</w:t>
      </w:r>
      <w:r w:rsidRPr="000855B2">
        <w:rPr>
          <w:lang w:val="en-GB"/>
        </w:rPr>
        <w:t xml:space="preserve"> l</w:t>
      </w:r>
      <w:r w:rsidR="001D2587" w:rsidRPr="000855B2">
        <w:rPr>
          <w:lang w:val="en-GB"/>
        </w:rPr>
        <w:t>oop</w:t>
      </w:r>
      <w:r w:rsidRPr="000855B2">
        <w:rPr>
          <w:lang w:val="en-GB"/>
        </w:rPr>
        <w:t>’</w:t>
      </w:r>
      <w:r w:rsidR="001D2587" w:rsidRPr="000855B2">
        <w:rPr>
          <w:lang w:val="en-GB"/>
        </w:rPr>
        <w:t>, which took into account German, Danish, Greek and Dutch incentive programmes</w:t>
      </w:r>
      <w:r w:rsidRPr="000855B2">
        <w:rPr>
          <w:lang w:val="en-GB"/>
        </w:rPr>
        <w:t xml:space="preserve"> in</w:t>
      </w:r>
      <w:r w:rsidR="001D2587" w:rsidRPr="000855B2">
        <w:rPr>
          <w:lang w:val="en-GB"/>
        </w:rPr>
        <w:t xml:space="preserve"> wh</w:t>
      </w:r>
      <w:r w:rsidRPr="000855B2">
        <w:rPr>
          <w:lang w:val="en-GB"/>
        </w:rPr>
        <w:t>ich</w:t>
      </w:r>
      <w:r w:rsidR="001D2587" w:rsidRPr="000855B2">
        <w:rPr>
          <w:lang w:val="en-GB"/>
        </w:rPr>
        <w:t xml:space="preserve"> the required emission standards were met by applying open</w:t>
      </w:r>
      <w:r w:rsidRPr="000855B2">
        <w:rPr>
          <w:lang w:val="en-GB"/>
        </w:rPr>
        <w:t>-</w:t>
      </w:r>
      <w:r w:rsidR="001D2587" w:rsidRPr="000855B2">
        <w:rPr>
          <w:lang w:val="en-GB"/>
        </w:rPr>
        <w:t>loop</w:t>
      </w:r>
      <w:r w:rsidRPr="000855B2">
        <w:rPr>
          <w:lang w:val="en-GB"/>
        </w:rPr>
        <w:t>,</w:t>
      </w:r>
      <w:r w:rsidR="001D2587" w:rsidRPr="000855B2">
        <w:rPr>
          <w:lang w:val="en-GB"/>
        </w:rPr>
        <w:t xml:space="preserve"> three</w:t>
      </w:r>
      <w:r w:rsidRPr="000855B2">
        <w:rPr>
          <w:lang w:val="en-GB"/>
        </w:rPr>
        <w:t>-</w:t>
      </w:r>
      <w:r w:rsidR="001D2587" w:rsidRPr="000855B2">
        <w:rPr>
          <w:lang w:val="en-GB"/>
        </w:rPr>
        <w:t>way catalysts. Effective dates: Denmark 1.1.1989, Germany 1.7.1985, Greece 1.1.1990, the Netherlands 1.1.1987.</w:t>
      </w:r>
    </w:p>
    <w:p w14:paraId="45B0E407" w14:textId="77777777" w:rsidR="001D2587" w:rsidRPr="000855B2" w:rsidRDefault="00F741F6" w:rsidP="00F72AFB">
      <w:pPr>
        <w:pStyle w:val="BodyText"/>
      </w:pPr>
      <w:r w:rsidRPr="000855B2">
        <w:t>f</w:t>
      </w:r>
      <w:r w:rsidR="001D2587" w:rsidRPr="000855B2">
        <w:t xml:space="preserve">or </w:t>
      </w:r>
      <w:r w:rsidR="005E4DC4">
        <w:t>petrol</w:t>
      </w:r>
      <w:r w:rsidR="001D2587" w:rsidRPr="000855B2">
        <w:t xml:space="preserve"> </w:t>
      </w:r>
      <w:r w:rsidR="005575E8" w:rsidRPr="000855B2">
        <w:t>p</w:t>
      </w:r>
      <w:r w:rsidR="001D2587" w:rsidRPr="000855B2">
        <w:t xml:space="preserve">assenger </w:t>
      </w:r>
      <w:r w:rsidR="005575E8" w:rsidRPr="000855B2">
        <w:t>c</w:t>
      </w:r>
      <w:r w:rsidR="001D2587" w:rsidRPr="000855B2">
        <w:t>ars 1.4</w:t>
      </w:r>
      <w:r w:rsidRPr="000855B2">
        <w:t>–</w:t>
      </w:r>
      <w:r w:rsidR="001D2587" w:rsidRPr="000855B2">
        <w:t>2.0</w:t>
      </w:r>
      <w:r w:rsidRPr="000855B2">
        <w:t> </w:t>
      </w:r>
      <w:r w:rsidR="001D2587" w:rsidRPr="000855B2">
        <w:t>l</w:t>
      </w:r>
    </w:p>
    <w:p w14:paraId="2E28BF2E" w14:textId="77777777" w:rsidR="001D2587" w:rsidRPr="000855B2" w:rsidRDefault="005575E8" w:rsidP="009D781A">
      <w:pPr>
        <w:numPr>
          <w:ilvl w:val="0"/>
          <w:numId w:val="6"/>
        </w:numPr>
        <w:tabs>
          <w:tab w:val="clear" w:pos="720"/>
        </w:tabs>
        <w:spacing w:before="60" w:after="80"/>
        <w:ind w:left="357" w:hanging="357"/>
        <w:rPr>
          <w:lang w:val="en-GB"/>
        </w:rPr>
      </w:pPr>
      <w:r w:rsidRPr="000855B2">
        <w:rPr>
          <w:lang w:val="en-GB"/>
        </w:rPr>
        <w:t>‘</w:t>
      </w:r>
      <w:r w:rsidR="001D2587" w:rsidRPr="000855B2">
        <w:rPr>
          <w:lang w:val="en-GB"/>
        </w:rPr>
        <w:t>Improved conventional</w:t>
      </w:r>
      <w:r w:rsidRPr="000855B2">
        <w:rPr>
          <w:lang w:val="en-GB"/>
        </w:rPr>
        <w:t>’</w:t>
      </w:r>
      <w:r w:rsidR="001D2587" w:rsidRPr="000855B2">
        <w:rPr>
          <w:lang w:val="en-GB"/>
        </w:rPr>
        <w:t>, which took into account vehicles which met the limit values of Directive 88/76/</w:t>
      </w:r>
      <w:smartTag w:uri="urn:schemas-microsoft-com:office:smarttags" w:element="stockticker">
        <w:r w:rsidR="001D2587" w:rsidRPr="000855B2">
          <w:rPr>
            <w:lang w:val="en-GB"/>
          </w:rPr>
          <w:t>EEC</w:t>
        </w:r>
      </w:smartTag>
      <w:r w:rsidR="001D2587" w:rsidRPr="000855B2">
        <w:rPr>
          <w:lang w:val="en-GB"/>
        </w:rPr>
        <w:t xml:space="preserve"> by means of open loop catalysts. In practice, relevant only for national incentive programmes. Effective dates of implementation were: Denmark 1.1.1987, Germany 1.7.1985, the Netherlands 1.1.1987.</w:t>
      </w:r>
    </w:p>
    <w:p w14:paraId="6C3B0AFF" w14:textId="77777777" w:rsidR="001D2587" w:rsidRPr="000855B2" w:rsidRDefault="005575E8" w:rsidP="009D781A">
      <w:pPr>
        <w:numPr>
          <w:ilvl w:val="0"/>
          <w:numId w:val="6"/>
        </w:numPr>
        <w:tabs>
          <w:tab w:val="clear" w:pos="720"/>
        </w:tabs>
        <w:spacing w:before="60" w:after="80"/>
        <w:ind w:left="357" w:hanging="357"/>
        <w:rPr>
          <w:lang w:val="en-GB"/>
        </w:rPr>
      </w:pPr>
      <w:r w:rsidRPr="000855B2">
        <w:rPr>
          <w:lang w:val="en-GB"/>
        </w:rPr>
        <w:t>‘</w:t>
      </w:r>
      <w:r w:rsidR="001D2587" w:rsidRPr="000855B2">
        <w:rPr>
          <w:lang w:val="en-GB"/>
        </w:rPr>
        <w:t>Open</w:t>
      </w:r>
      <w:r w:rsidRPr="000855B2">
        <w:rPr>
          <w:lang w:val="en-GB"/>
        </w:rPr>
        <w:t xml:space="preserve"> l</w:t>
      </w:r>
      <w:r w:rsidR="001D2587" w:rsidRPr="000855B2">
        <w:rPr>
          <w:lang w:val="en-GB"/>
        </w:rPr>
        <w:t>oop</w:t>
      </w:r>
      <w:r w:rsidRPr="000855B2">
        <w:rPr>
          <w:lang w:val="en-GB"/>
        </w:rPr>
        <w:t>’</w:t>
      </w:r>
      <w:r w:rsidR="001D2587" w:rsidRPr="000855B2">
        <w:rPr>
          <w:lang w:val="en-GB"/>
        </w:rPr>
        <w:t>, which took into account vehicles which met the limit values of Directive 88/76/</w:t>
      </w:r>
      <w:smartTag w:uri="urn:schemas-microsoft-com:office:smarttags" w:element="stockticker">
        <w:r w:rsidR="001D2587" w:rsidRPr="000855B2">
          <w:rPr>
            <w:lang w:val="en-GB"/>
          </w:rPr>
          <w:t>EEC</w:t>
        </w:r>
      </w:smartTag>
      <w:r w:rsidR="001D2587" w:rsidRPr="000855B2">
        <w:rPr>
          <w:lang w:val="en-GB"/>
        </w:rPr>
        <w:t xml:space="preserve"> by means of open</w:t>
      </w:r>
      <w:r w:rsidRPr="000855B2">
        <w:rPr>
          <w:lang w:val="en-GB"/>
        </w:rPr>
        <w:t>-</w:t>
      </w:r>
      <w:r w:rsidR="001D2587" w:rsidRPr="000855B2">
        <w:rPr>
          <w:lang w:val="en-GB"/>
        </w:rPr>
        <w:t>loop catalysts (three-way</w:t>
      </w:r>
      <w:r w:rsidRPr="000855B2">
        <w:rPr>
          <w:lang w:val="en-GB"/>
        </w:rPr>
        <w:t>,</w:t>
      </w:r>
      <w:r w:rsidR="001D2587" w:rsidRPr="000855B2">
        <w:rPr>
          <w:lang w:val="en-GB"/>
        </w:rPr>
        <w:t xml:space="preserve"> but no lambda control). In practice</w:t>
      </w:r>
      <w:r w:rsidRPr="000855B2">
        <w:rPr>
          <w:lang w:val="en-GB"/>
        </w:rPr>
        <w:t>, these were only</w:t>
      </w:r>
      <w:r w:rsidR="001D2587" w:rsidRPr="000855B2">
        <w:rPr>
          <w:lang w:val="en-GB"/>
        </w:rPr>
        <w:t xml:space="preserve"> relevant </w:t>
      </w:r>
      <w:r w:rsidRPr="000855B2">
        <w:rPr>
          <w:lang w:val="en-GB"/>
        </w:rPr>
        <w:lastRenderedPageBreak/>
        <w:t xml:space="preserve">to </w:t>
      </w:r>
      <w:r w:rsidR="001D2587" w:rsidRPr="000855B2">
        <w:rPr>
          <w:lang w:val="en-GB"/>
        </w:rPr>
        <w:t xml:space="preserve">the national incentive programmes. </w:t>
      </w:r>
      <w:r w:rsidRPr="000855B2">
        <w:rPr>
          <w:lang w:val="en-GB"/>
        </w:rPr>
        <w:t>E</w:t>
      </w:r>
      <w:r w:rsidR="001D2587" w:rsidRPr="000855B2">
        <w:rPr>
          <w:lang w:val="en-GB"/>
        </w:rPr>
        <w:t>ffective date</w:t>
      </w:r>
      <w:r w:rsidRPr="000855B2">
        <w:rPr>
          <w:lang w:val="en-GB"/>
        </w:rPr>
        <w:t>s</w:t>
      </w:r>
      <w:r w:rsidR="001D2587" w:rsidRPr="000855B2">
        <w:rPr>
          <w:lang w:val="en-GB"/>
        </w:rPr>
        <w:t>: Denmark 1.1.1987, Germany 1.7.1985, Greece 1.1.1990, the Netherlands 1.1.1986.</w:t>
      </w:r>
    </w:p>
    <w:p w14:paraId="3021B6D3" w14:textId="77777777" w:rsidR="001D2587" w:rsidRPr="000855B2" w:rsidRDefault="001D2587" w:rsidP="00F72AFB">
      <w:pPr>
        <w:pStyle w:val="BodyText"/>
      </w:pPr>
      <w:r w:rsidRPr="000855B2">
        <w:t xml:space="preserve">After 1992, </w:t>
      </w:r>
      <w:r w:rsidR="005575E8" w:rsidRPr="000855B2">
        <w:t>the so-called ‘</w:t>
      </w:r>
      <w:r w:rsidRPr="000855B2">
        <w:t>Euro</w:t>
      </w:r>
      <w:r w:rsidR="005575E8" w:rsidRPr="000855B2">
        <w:t>’</w:t>
      </w:r>
      <w:r w:rsidRPr="000855B2">
        <w:t xml:space="preserve"> standards became mandatory in all </w:t>
      </w:r>
      <w:r w:rsidR="005575E8" w:rsidRPr="000855B2">
        <w:t>Member State</w:t>
      </w:r>
      <w:r w:rsidRPr="000855B2">
        <w:t>s</w:t>
      </w:r>
      <w:r w:rsidR="005575E8" w:rsidRPr="000855B2">
        <w:t>,</w:t>
      </w:r>
      <w:r w:rsidRPr="000855B2">
        <w:t xml:space="preserve"> and a new type-approval test was introduced. In some c</w:t>
      </w:r>
      <w:r w:rsidR="008E08EA" w:rsidRPr="000855B2">
        <w:t>ountries</w:t>
      </w:r>
      <w:r w:rsidRPr="000855B2">
        <w:t>, again based on national incentives, the new</w:t>
      </w:r>
      <w:r w:rsidR="008E08EA" w:rsidRPr="000855B2">
        <w:t xml:space="preserve"> </w:t>
      </w:r>
      <w:r w:rsidRPr="000855B2">
        <w:t>standards</w:t>
      </w:r>
      <w:r w:rsidR="008E08EA" w:rsidRPr="000855B2">
        <w:t xml:space="preserve"> </w:t>
      </w:r>
      <w:r w:rsidRPr="000855B2">
        <w:t xml:space="preserve">were introduced earlier than their official implementation date. The following paragraphs provide a summary of the </w:t>
      </w:r>
      <w:r w:rsidR="008E08EA" w:rsidRPr="000855B2">
        <w:t>various stages,</w:t>
      </w:r>
      <w:r w:rsidRPr="000855B2">
        <w:t xml:space="preserve"> and the associated </w:t>
      </w:r>
      <w:r w:rsidR="008E08EA" w:rsidRPr="000855B2">
        <w:t xml:space="preserve">vehicle </w:t>
      </w:r>
      <w:r w:rsidRPr="000855B2">
        <w:t>technology</w:t>
      </w:r>
      <w:r w:rsidR="006502D0" w:rsidRPr="000855B2">
        <w:t>.</w:t>
      </w:r>
    </w:p>
    <w:p w14:paraId="186F7C92"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1: </w:t>
      </w:r>
      <w:r w:rsidR="006502D0" w:rsidRPr="000855B2">
        <w:rPr>
          <w:lang w:val="en-GB"/>
        </w:rPr>
        <w:t>t</w:t>
      </w:r>
      <w:r w:rsidRPr="000855B2">
        <w:rPr>
          <w:lang w:val="en-GB"/>
        </w:rPr>
        <w:t>h</w:t>
      </w:r>
      <w:r w:rsidR="008E08EA" w:rsidRPr="000855B2">
        <w:rPr>
          <w:lang w:val="en-GB"/>
        </w:rPr>
        <w:t xml:space="preserve">ese vehicles </w:t>
      </w:r>
      <w:r w:rsidRPr="000855B2">
        <w:rPr>
          <w:lang w:val="en-GB"/>
        </w:rPr>
        <w:t xml:space="preserve">were officially introduced by </w:t>
      </w:r>
      <w:r w:rsidR="008E08EA" w:rsidRPr="000855B2">
        <w:rPr>
          <w:lang w:val="en-GB"/>
        </w:rPr>
        <w:t>D</w:t>
      </w:r>
      <w:r w:rsidRPr="000855B2">
        <w:rPr>
          <w:lang w:val="en-GB"/>
        </w:rPr>
        <w:t>irective 91/441/</w:t>
      </w:r>
      <w:smartTag w:uri="urn:schemas-microsoft-com:office:smarttags" w:element="stockticker">
        <w:r w:rsidRPr="000855B2">
          <w:rPr>
            <w:lang w:val="en-GB"/>
          </w:rPr>
          <w:t>EEC</w:t>
        </w:r>
      </w:smartTag>
      <w:r w:rsidRPr="000855B2">
        <w:rPr>
          <w:lang w:val="en-GB"/>
        </w:rPr>
        <w:t xml:space="preserve"> in July 1992</w:t>
      </w:r>
      <w:r w:rsidR="008E08EA" w:rsidRPr="000855B2">
        <w:rPr>
          <w:lang w:val="en-GB"/>
        </w:rPr>
        <w:t>,</w:t>
      </w:r>
      <w:r w:rsidRPr="000855B2">
        <w:rPr>
          <w:lang w:val="en-GB"/>
        </w:rPr>
        <w:t xml:space="preserve"> and were the first to be equipped with </w:t>
      </w:r>
      <w:r w:rsidR="008E08EA" w:rsidRPr="000855B2">
        <w:rPr>
          <w:lang w:val="en-GB"/>
        </w:rPr>
        <w:t xml:space="preserve">a </w:t>
      </w:r>
      <w:r w:rsidRPr="000855B2">
        <w:rPr>
          <w:lang w:val="en-GB"/>
        </w:rPr>
        <w:t>closed-loop</w:t>
      </w:r>
      <w:r w:rsidR="008E08EA" w:rsidRPr="000855B2">
        <w:rPr>
          <w:lang w:val="en-GB"/>
        </w:rPr>
        <w:t>,</w:t>
      </w:r>
      <w:r w:rsidRPr="000855B2">
        <w:rPr>
          <w:lang w:val="en-GB"/>
        </w:rPr>
        <w:t xml:space="preserve"> three</w:t>
      </w:r>
      <w:r w:rsidR="008E08EA" w:rsidRPr="000855B2">
        <w:rPr>
          <w:lang w:val="en-GB"/>
        </w:rPr>
        <w:t>-</w:t>
      </w:r>
      <w:r w:rsidRPr="000855B2">
        <w:rPr>
          <w:lang w:val="en-GB"/>
        </w:rPr>
        <w:t>way catalyst. They also necessitated the use of unleaded fuel. Euro</w:t>
      </w:r>
      <w:r w:rsidR="006502D0" w:rsidRPr="000855B2">
        <w:rPr>
          <w:lang w:val="en-GB"/>
        </w:rPr>
        <w:t> </w:t>
      </w:r>
      <w:r w:rsidRPr="000855B2">
        <w:rPr>
          <w:lang w:val="en-GB"/>
        </w:rPr>
        <w:t>1 vehicles were introduced earlier in some countries by means of incentives. These included the voluntary programmes in Germany, introduced after 1.7.1985, which called for compliance with the US</w:t>
      </w:r>
      <w:r w:rsidR="006502D0" w:rsidRPr="000855B2">
        <w:rPr>
          <w:lang w:val="en-GB"/>
        </w:rPr>
        <w:t> </w:t>
      </w:r>
      <w:r w:rsidRPr="000855B2">
        <w:rPr>
          <w:lang w:val="en-GB"/>
        </w:rPr>
        <w:t>83 limits for cars &lt;</w:t>
      </w:r>
      <w:r w:rsidR="006502D0" w:rsidRPr="000855B2">
        <w:rPr>
          <w:lang w:val="en-GB"/>
        </w:rPr>
        <w:t> </w:t>
      </w:r>
      <w:r w:rsidRPr="000855B2">
        <w:rPr>
          <w:lang w:val="en-GB"/>
        </w:rPr>
        <w:t>2.0</w:t>
      </w:r>
      <w:r w:rsidR="006502D0" w:rsidRPr="000855B2">
        <w:rPr>
          <w:lang w:val="en-GB"/>
        </w:rPr>
        <w:t> </w:t>
      </w:r>
      <w:r w:rsidRPr="000855B2">
        <w:rPr>
          <w:lang w:val="en-GB"/>
        </w:rPr>
        <w:t xml:space="preserve">l. For cars </w:t>
      </w:r>
      <w:r w:rsidR="008E08EA" w:rsidRPr="000855B2">
        <w:rPr>
          <w:lang w:val="en-GB"/>
        </w:rPr>
        <w:t xml:space="preserve">with engines </w:t>
      </w:r>
      <w:r w:rsidRPr="000855B2">
        <w:rPr>
          <w:lang w:val="en-GB"/>
        </w:rPr>
        <w:t>larger tha</w:t>
      </w:r>
      <w:r w:rsidR="006502D0" w:rsidRPr="000855B2">
        <w:rPr>
          <w:lang w:val="en-GB"/>
        </w:rPr>
        <w:t>n</w:t>
      </w:r>
      <w:r w:rsidRPr="000855B2">
        <w:rPr>
          <w:lang w:val="en-GB"/>
        </w:rPr>
        <w:t xml:space="preserve"> 2.0</w:t>
      </w:r>
      <w:r w:rsidR="006502D0" w:rsidRPr="000855B2">
        <w:rPr>
          <w:lang w:val="en-GB"/>
        </w:rPr>
        <w:t> </w:t>
      </w:r>
      <w:r w:rsidRPr="000855B2">
        <w:rPr>
          <w:lang w:val="en-GB"/>
        </w:rPr>
        <w:t xml:space="preserve">l, some additional voluntary measures were introduced. These were </w:t>
      </w:r>
      <w:r w:rsidR="008E08EA" w:rsidRPr="000855B2">
        <w:rPr>
          <w:lang w:val="en-GB"/>
        </w:rPr>
        <w:t>D</w:t>
      </w:r>
      <w:r w:rsidRPr="000855B2">
        <w:rPr>
          <w:lang w:val="en-GB"/>
        </w:rPr>
        <w:t>irective 88/76/</w:t>
      </w:r>
      <w:smartTag w:uri="urn:schemas-microsoft-com:office:smarttags" w:element="stockticker">
        <w:r w:rsidRPr="000855B2">
          <w:rPr>
            <w:lang w:val="en-GB"/>
          </w:rPr>
          <w:t>EEC</w:t>
        </w:r>
      </w:smartTag>
      <w:r w:rsidRPr="000855B2">
        <w:rPr>
          <w:lang w:val="en-GB"/>
        </w:rPr>
        <w:t xml:space="preserve"> (relevant for all countries), with implementation date for new vehicles 1.1.1990 and US</w:t>
      </w:r>
      <w:r w:rsidR="006502D0" w:rsidRPr="000855B2">
        <w:rPr>
          <w:lang w:val="en-GB"/>
        </w:rPr>
        <w:t> </w:t>
      </w:r>
      <w:r w:rsidRPr="000855B2">
        <w:rPr>
          <w:lang w:val="en-GB"/>
        </w:rPr>
        <w:t xml:space="preserve">83 (only relevant for Denmark, Germany, Greece, the Netherlands) with </w:t>
      </w:r>
      <w:r w:rsidR="008E08EA" w:rsidRPr="000855B2">
        <w:rPr>
          <w:lang w:val="en-GB"/>
        </w:rPr>
        <w:t xml:space="preserve">the following </w:t>
      </w:r>
      <w:r w:rsidRPr="000855B2">
        <w:rPr>
          <w:lang w:val="en-GB"/>
        </w:rPr>
        <w:t>implementation dates</w:t>
      </w:r>
      <w:r w:rsidR="008E08EA" w:rsidRPr="000855B2">
        <w:rPr>
          <w:lang w:val="en-GB"/>
        </w:rPr>
        <w:t>:</w:t>
      </w:r>
      <w:r w:rsidRPr="000855B2">
        <w:rPr>
          <w:lang w:val="en-GB"/>
        </w:rPr>
        <w:t xml:space="preserve"> Denmark 1.1.1987, Germany 1.7.1985, Greece 1.1.1989, </w:t>
      </w:r>
      <w:r w:rsidR="006502D0" w:rsidRPr="000855B2">
        <w:rPr>
          <w:lang w:val="en-GB"/>
        </w:rPr>
        <w:t xml:space="preserve">and </w:t>
      </w:r>
      <w:r w:rsidRPr="000855B2">
        <w:rPr>
          <w:lang w:val="en-GB"/>
        </w:rPr>
        <w:t>the Netherlands 1.1.1987.</w:t>
      </w:r>
    </w:p>
    <w:p w14:paraId="080A9E32"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2: </w:t>
      </w:r>
      <w:r w:rsidR="006502D0" w:rsidRPr="000855B2">
        <w:rPr>
          <w:lang w:val="en-GB"/>
        </w:rPr>
        <w:t>t</w:t>
      </w:r>
      <w:r w:rsidRPr="000855B2">
        <w:rPr>
          <w:lang w:val="en-GB"/>
        </w:rPr>
        <w:t xml:space="preserve">hese </w:t>
      </w:r>
      <w:r w:rsidR="008E08EA" w:rsidRPr="000855B2">
        <w:rPr>
          <w:lang w:val="en-GB"/>
        </w:rPr>
        <w:t>vehicles</w:t>
      </w:r>
      <w:r w:rsidRPr="000855B2">
        <w:rPr>
          <w:lang w:val="en-GB"/>
        </w:rPr>
        <w:t xml:space="preserve"> </w:t>
      </w:r>
      <w:r w:rsidR="008E08EA" w:rsidRPr="000855B2">
        <w:rPr>
          <w:lang w:val="en-GB"/>
        </w:rPr>
        <w:t>had</w:t>
      </w:r>
      <w:r w:rsidRPr="000855B2">
        <w:rPr>
          <w:lang w:val="en-GB"/>
        </w:rPr>
        <w:t xml:space="preserve"> improved</w:t>
      </w:r>
      <w:r w:rsidR="008E08EA" w:rsidRPr="000855B2">
        <w:rPr>
          <w:lang w:val="en-GB"/>
        </w:rPr>
        <w:t>,</w:t>
      </w:r>
      <w:r w:rsidRPr="000855B2">
        <w:rPr>
          <w:lang w:val="en-GB"/>
        </w:rPr>
        <w:t xml:space="preserve"> closed-loop</w:t>
      </w:r>
      <w:r w:rsidR="008E08EA" w:rsidRPr="000855B2">
        <w:rPr>
          <w:lang w:val="en-GB"/>
        </w:rPr>
        <w:t>,</w:t>
      </w:r>
      <w:r w:rsidRPr="000855B2">
        <w:rPr>
          <w:lang w:val="en-GB"/>
        </w:rPr>
        <w:t xml:space="preserve"> three</w:t>
      </w:r>
      <w:r w:rsidR="008E08EA" w:rsidRPr="000855B2">
        <w:rPr>
          <w:lang w:val="en-GB"/>
        </w:rPr>
        <w:t>-</w:t>
      </w:r>
      <w:r w:rsidRPr="000855B2">
        <w:rPr>
          <w:lang w:val="en-GB"/>
        </w:rPr>
        <w:t xml:space="preserve">way catalyst </w:t>
      </w:r>
      <w:r w:rsidR="008E08EA" w:rsidRPr="000855B2">
        <w:rPr>
          <w:lang w:val="en-GB"/>
        </w:rPr>
        <w:t>control,</w:t>
      </w:r>
      <w:r w:rsidRPr="000855B2">
        <w:rPr>
          <w:lang w:val="en-GB"/>
        </w:rPr>
        <w:t xml:space="preserve"> and complied with lower emission limits compared </w:t>
      </w:r>
      <w:r w:rsidR="008E08EA" w:rsidRPr="000855B2">
        <w:rPr>
          <w:lang w:val="en-GB"/>
        </w:rPr>
        <w:t>with</w:t>
      </w:r>
      <w:r w:rsidRPr="000855B2">
        <w:rPr>
          <w:lang w:val="en-GB"/>
        </w:rPr>
        <w:t xml:space="preserve"> Euro</w:t>
      </w:r>
      <w:r w:rsidR="006502D0" w:rsidRPr="000855B2">
        <w:rPr>
          <w:lang w:val="en-GB"/>
        </w:rPr>
        <w:t> </w:t>
      </w:r>
      <w:r w:rsidRPr="000855B2">
        <w:rPr>
          <w:lang w:val="en-GB"/>
        </w:rPr>
        <w:t>1 (30</w:t>
      </w:r>
      <w:r w:rsidR="006502D0" w:rsidRPr="000855B2">
        <w:rPr>
          <w:lang w:val="en-GB"/>
        </w:rPr>
        <w:t> </w:t>
      </w:r>
      <w:r w:rsidRPr="000855B2">
        <w:rPr>
          <w:lang w:val="en-GB"/>
        </w:rPr>
        <w:t>% and 55</w:t>
      </w:r>
      <w:r w:rsidR="006502D0" w:rsidRPr="000855B2">
        <w:rPr>
          <w:lang w:val="en-GB"/>
        </w:rPr>
        <w:t> </w:t>
      </w:r>
      <w:r w:rsidRPr="000855B2">
        <w:rPr>
          <w:lang w:val="en-GB"/>
        </w:rPr>
        <w:t>% reduction in CO and HC+NO</w:t>
      </w:r>
      <w:r w:rsidRPr="000855B2">
        <w:rPr>
          <w:vertAlign w:val="subscript"/>
          <w:lang w:val="en-GB"/>
        </w:rPr>
        <w:t>x</w:t>
      </w:r>
      <w:r w:rsidRPr="000855B2">
        <w:rPr>
          <w:lang w:val="en-GB"/>
        </w:rPr>
        <w:t xml:space="preserve"> </w:t>
      </w:r>
      <w:r w:rsidR="008E08EA" w:rsidRPr="000855B2">
        <w:rPr>
          <w:lang w:val="en-GB"/>
        </w:rPr>
        <w:t>respectively, relative to</w:t>
      </w:r>
      <w:r w:rsidRPr="000855B2">
        <w:rPr>
          <w:lang w:val="en-GB"/>
        </w:rPr>
        <w:t xml:space="preserve"> Euro</w:t>
      </w:r>
      <w:r w:rsidR="006502D0" w:rsidRPr="000855B2">
        <w:rPr>
          <w:lang w:val="en-GB"/>
        </w:rPr>
        <w:t> </w:t>
      </w:r>
      <w:r w:rsidRPr="000855B2">
        <w:rPr>
          <w:lang w:val="en-GB"/>
        </w:rPr>
        <w:t xml:space="preserve">1). They were introduced by Directive 94/12/EC in all </w:t>
      </w:r>
      <w:r w:rsidR="005575E8" w:rsidRPr="000855B2">
        <w:rPr>
          <w:lang w:val="en-GB"/>
        </w:rPr>
        <w:t>Member State</w:t>
      </w:r>
      <w:r w:rsidRPr="000855B2">
        <w:rPr>
          <w:lang w:val="en-GB"/>
        </w:rPr>
        <w:t>s in 1996.</w:t>
      </w:r>
    </w:p>
    <w:p w14:paraId="1A639DA3"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3: </w:t>
      </w:r>
      <w:r w:rsidR="006502D0" w:rsidRPr="000855B2">
        <w:rPr>
          <w:lang w:val="en-GB"/>
        </w:rPr>
        <w:t>t</w:t>
      </w:r>
      <w:r w:rsidRPr="000855B2">
        <w:rPr>
          <w:lang w:val="en-GB"/>
        </w:rPr>
        <w:t xml:space="preserve">his emission standard was introduced with </w:t>
      </w:r>
      <w:r w:rsidR="008E08EA" w:rsidRPr="000855B2">
        <w:rPr>
          <w:lang w:val="en-GB"/>
        </w:rPr>
        <w:t>D</w:t>
      </w:r>
      <w:r w:rsidRPr="000855B2">
        <w:rPr>
          <w:lang w:val="en-GB"/>
        </w:rPr>
        <w:t xml:space="preserve">irective 98/69/EC </w:t>
      </w:r>
      <w:r w:rsidR="008E08EA" w:rsidRPr="000855B2">
        <w:rPr>
          <w:lang w:val="en-GB"/>
        </w:rPr>
        <w:t>(</w:t>
      </w:r>
      <w:r w:rsidRPr="000855B2">
        <w:rPr>
          <w:lang w:val="en-GB"/>
        </w:rPr>
        <w:t>Step 1</w:t>
      </w:r>
      <w:r w:rsidR="008E08EA" w:rsidRPr="000855B2">
        <w:rPr>
          <w:lang w:val="en-GB"/>
        </w:rPr>
        <w:t>)</w:t>
      </w:r>
      <w:r w:rsidRPr="000855B2">
        <w:rPr>
          <w:lang w:val="en-GB"/>
        </w:rPr>
        <w:t xml:space="preserve"> in January 2000</w:t>
      </w:r>
      <w:r w:rsidR="008E08EA" w:rsidRPr="000855B2">
        <w:rPr>
          <w:lang w:val="en-GB"/>
        </w:rPr>
        <w:t>,</w:t>
      </w:r>
      <w:r w:rsidRPr="000855B2">
        <w:rPr>
          <w:lang w:val="en-GB"/>
        </w:rPr>
        <w:t xml:space="preserve"> and introduced a new type-approval test (the New European Driving Cycle) and reduced emission levels compared </w:t>
      </w:r>
      <w:r w:rsidR="008E08EA" w:rsidRPr="000855B2">
        <w:rPr>
          <w:lang w:val="en-GB"/>
        </w:rPr>
        <w:t>with</w:t>
      </w:r>
      <w:r w:rsidRPr="000855B2">
        <w:rPr>
          <w:lang w:val="en-GB"/>
        </w:rPr>
        <w:t xml:space="preserve"> Euro</w:t>
      </w:r>
      <w:r w:rsidR="006502D0" w:rsidRPr="000855B2">
        <w:rPr>
          <w:lang w:val="en-GB"/>
        </w:rPr>
        <w:t> </w:t>
      </w:r>
      <w:r w:rsidRPr="000855B2">
        <w:rPr>
          <w:lang w:val="en-GB"/>
        </w:rPr>
        <w:t>2 (30</w:t>
      </w:r>
      <w:r w:rsidR="006502D0" w:rsidRPr="000855B2">
        <w:rPr>
          <w:lang w:val="en-GB"/>
        </w:rPr>
        <w:t> </w:t>
      </w:r>
      <w:r w:rsidRPr="000855B2">
        <w:rPr>
          <w:lang w:val="en-GB"/>
        </w:rPr>
        <w:t>%, 40</w:t>
      </w:r>
      <w:r w:rsidR="006502D0" w:rsidRPr="000855B2">
        <w:rPr>
          <w:lang w:val="en-GB"/>
        </w:rPr>
        <w:t> </w:t>
      </w:r>
      <w:r w:rsidRPr="000855B2">
        <w:rPr>
          <w:lang w:val="en-GB"/>
        </w:rPr>
        <w:t>% and 40</w:t>
      </w:r>
      <w:r w:rsidR="006502D0" w:rsidRPr="000855B2">
        <w:rPr>
          <w:lang w:val="en-GB"/>
        </w:rPr>
        <w:t> </w:t>
      </w:r>
      <w:r w:rsidRPr="000855B2">
        <w:rPr>
          <w:lang w:val="en-GB"/>
        </w:rPr>
        <w:t>% for CO, HC and NO</w:t>
      </w:r>
      <w:r w:rsidRPr="000855B2">
        <w:rPr>
          <w:vertAlign w:val="subscript"/>
          <w:lang w:val="en-GB"/>
        </w:rPr>
        <w:t>x</w:t>
      </w:r>
      <w:r w:rsidRPr="000855B2">
        <w:rPr>
          <w:lang w:val="en-GB"/>
        </w:rPr>
        <w:t xml:space="preserve"> respectively). The same </w:t>
      </w:r>
      <w:r w:rsidR="008E08EA" w:rsidRPr="000855B2">
        <w:rPr>
          <w:lang w:val="en-GB"/>
        </w:rPr>
        <w:t>D</w:t>
      </w:r>
      <w:r w:rsidRPr="000855B2">
        <w:rPr>
          <w:lang w:val="en-GB"/>
        </w:rPr>
        <w:t xml:space="preserve">irective also introduced the need for On-Board Diagnostics (OBD) and some additional requirements (aftertreatment durability, in-use compliance, </w:t>
      </w:r>
      <w:r w:rsidR="00D73F59" w:rsidRPr="000855B2">
        <w:rPr>
          <w:lang w:val="en-GB"/>
        </w:rPr>
        <w:t>etc</w:t>
      </w:r>
      <w:r w:rsidRPr="000855B2">
        <w:rPr>
          <w:lang w:val="en-GB"/>
        </w:rPr>
        <w:t>.). Euro</w:t>
      </w:r>
      <w:r w:rsidR="006502D0" w:rsidRPr="000855B2">
        <w:rPr>
          <w:lang w:val="en-GB"/>
        </w:rPr>
        <w:t> </w:t>
      </w:r>
      <w:r w:rsidRPr="000855B2">
        <w:rPr>
          <w:lang w:val="en-GB"/>
        </w:rPr>
        <w:t xml:space="preserve">3 vehicles </w:t>
      </w:r>
      <w:r w:rsidR="008E08EA" w:rsidRPr="000855B2">
        <w:rPr>
          <w:lang w:val="en-GB"/>
        </w:rPr>
        <w:t>were</w:t>
      </w:r>
      <w:r w:rsidRPr="000855B2">
        <w:rPr>
          <w:lang w:val="en-GB"/>
        </w:rPr>
        <w:t xml:space="preserve"> equipped with twin lambda sensors to comply with emission limits.</w:t>
      </w:r>
    </w:p>
    <w:p w14:paraId="7AA335E7" w14:textId="77777777" w:rsidR="001D2587" w:rsidRPr="000855B2" w:rsidRDefault="001D2587" w:rsidP="009D781A">
      <w:pPr>
        <w:numPr>
          <w:ilvl w:val="0"/>
          <w:numId w:val="7"/>
        </w:numPr>
        <w:tabs>
          <w:tab w:val="clear" w:pos="720"/>
        </w:tabs>
        <w:spacing w:before="60" w:after="80"/>
        <w:ind w:left="357" w:hanging="357"/>
        <w:rPr>
          <w:lang w:val="en-GB"/>
        </w:rPr>
      </w:pPr>
      <w:r w:rsidRPr="000855B2">
        <w:rPr>
          <w:lang w:val="en-GB"/>
        </w:rPr>
        <w:t>Euro</w:t>
      </w:r>
      <w:r w:rsidR="006502D0" w:rsidRPr="000855B2">
        <w:rPr>
          <w:lang w:val="en-GB"/>
        </w:rPr>
        <w:t> </w:t>
      </w:r>
      <w:r w:rsidRPr="000855B2">
        <w:rPr>
          <w:lang w:val="en-GB"/>
        </w:rPr>
        <w:t xml:space="preserve">4: </w:t>
      </w:r>
      <w:r w:rsidR="006502D0" w:rsidRPr="000855B2">
        <w:rPr>
          <w:lang w:val="en-GB"/>
        </w:rPr>
        <w:t>t</w:t>
      </w:r>
      <w:r w:rsidRPr="000855B2">
        <w:rPr>
          <w:lang w:val="en-GB"/>
        </w:rPr>
        <w:t xml:space="preserve">his </w:t>
      </w:r>
      <w:r w:rsidR="00861E83" w:rsidRPr="000855B2">
        <w:rPr>
          <w:lang w:val="en-GB"/>
        </w:rPr>
        <w:t xml:space="preserve">has been </w:t>
      </w:r>
      <w:r w:rsidRPr="000855B2">
        <w:rPr>
          <w:lang w:val="en-GB"/>
        </w:rPr>
        <w:t xml:space="preserve">introduced by </w:t>
      </w:r>
      <w:r w:rsidR="008E08EA" w:rsidRPr="000855B2">
        <w:rPr>
          <w:lang w:val="en-GB"/>
        </w:rPr>
        <w:t>D</w:t>
      </w:r>
      <w:r w:rsidRPr="000855B2">
        <w:rPr>
          <w:lang w:val="en-GB"/>
        </w:rPr>
        <w:t xml:space="preserve">irective 98/69/EC </w:t>
      </w:r>
      <w:r w:rsidR="008E08EA" w:rsidRPr="000855B2">
        <w:rPr>
          <w:lang w:val="en-GB"/>
        </w:rPr>
        <w:t>(</w:t>
      </w:r>
      <w:r w:rsidRPr="000855B2">
        <w:rPr>
          <w:lang w:val="en-GB"/>
        </w:rPr>
        <w:t>Step 2</w:t>
      </w:r>
      <w:r w:rsidR="008E08EA" w:rsidRPr="000855B2">
        <w:rPr>
          <w:lang w:val="en-GB"/>
        </w:rPr>
        <w:t>)</w:t>
      </w:r>
      <w:r w:rsidRPr="000855B2">
        <w:rPr>
          <w:lang w:val="en-GB"/>
        </w:rPr>
        <w:t xml:space="preserve"> in January 2005. It </w:t>
      </w:r>
      <w:r w:rsidR="008E08EA" w:rsidRPr="000855B2">
        <w:rPr>
          <w:lang w:val="en-GB"/>
        </w:rPr>
        <w:t>required</w:t>
      </w:r>
      <w:r w:rsidRPr="000855B2">
        <w:rPr>
          <w:lang w:val="en-GB"/>
        </w:rPr>
        <w:t xml:space="preserve"> additional reductions of 57</w:t>
      </w:r>
      <w:r w:rsidR="006502D0" w:rsidRPr="000855B2">
        <w:rPr>
          <w:lang w:val="en-GB"/>
        </w:rPr>
        <w:t> %</w:t>
      </w:r>
      <w:r w:rsidRPr="000855B2">
        <w:rPr>
          <w:lang w:val="en-GB"/>
        </w:rPr>
        <w:t xml:space="preserve"> for CO and 47</w:t>
      </w:r>
      <w:r w:rsidR="006502D0" w:rsidRPr="000855B2">
        <w:rPr>
          <w:lang w:val="en-GB"/>
        </w:rPr>
        <w:t> %</w:t>
      </w:r>
      <w:r w:rsidRPr="000855B2">
        <w:rPr>
          <w:lang w:val="en-GB"/>
        </w:rPr>
        <w:t xml:space="preserve"> for HC and NO</w:t>
      </w:r>
      <w:r w:rsidRPr="000855B2">
        <w:rPr>
          <w:vertAlign w:val="subscript"/>
          <w:lang w:val="en-GB"/>
        </w:rPr>
        <w:t>x</w:t>
      </w:r>
      <w:r w:rsidRPr="000855B2">
        <w:rPr>
          <w:lang w:val="en-GB"/>
        </w:rPr>
        <w:t xml:space="preserve"> </w:t>
      </w:r>
      <w:r w:rsidR="008E08EA" w:rsidRPr="000855B2">
        <w:rPr>
          <w:lang w:val="en-GB"/>
        </w:rPr>
        <w:t>compared with</w:t>
      </w:r>
      <w:r w:rsidRPr="000855B2">
        <w:rPr>
          <w:lang w:val="en-GB"/>
        </w:rPr>
        <w:t xml:space="preserve"> Euro</w:t>
      </w:r>
      <w:r w:rsidR="008D1415" w:rsidRPr="000855B2">
        <w:rPr>
          <w:lang w:val="en-GB"/>
        </w:rPr>
        <w:t> </w:t>
      </w:r>
      <w:r w:rsidRPr="000855B2">
        <w:rPr>
          <w:lang w:val="en-GB"/>
        </w:rPr>
        <w:t>3</w:t>
      </w:r>
      <w:r w:rsidR="008E08EA" w:rsidRPr="000855B2">
        <w:rPr>
          <w:lang w:val="en-GB"/>
        </w:rPr>
        <w:t>,</w:t>
      </w:r>
      <w:r w:rsidRPr="000855B2">
        <w:rPr>
          <w:lang w:val="en-GB"/>
        </w:rPr>
        <w:t xml:space="preserve"> by means of better fuelling and aftertreatment monitoring and control.</w:t>
      </w:r>
    </w:p>
    <w:p w14:paraId="6257C7E4" w14:textId="244D2F05" w:rsidR="001F7066" w:rsidRPr="00450009" w:rsidRDefault="001D2587" w:rsidP="00450009">
      <w:pPr>
        <w:numPr>
          <w:ilvl w:val="0"/>
          <w:numId w:val="7"/>
        </w:numPr>
        <w:tabs>
          <w:tab w:val="clear" w:pos="720"/>
        </w:tabs>
        <w:spacing w:before="60" w:after="80"/>
        <w:ind w:left="357" w:hanging="357"/>
        <w:rPr>
          <w:lang w:val="en-GB"/>
        </w:rPr>
      </w:pPr>
      <w:r w:rsidRPr="000855B2">
        <w:rPr>
          <w:lang w:val="en-GB"/>
        </w:rPr>
        <w:t>Euro</w:t>
      </w:r>
      <w:r w:rsidR="008D1415" w:rsidRPr="000855B2">
        <w:rPr>
          <w:lang w:val="en-GB"/>
        </w:rPr>
        <w:t> </w:t>
      </w:r>
      <w:r w:rsidRPr="000855B2">
        <w:rPr>
          <w:lang w:val="en-GB"/>
        </w:rPr>
        <w:t xml:space="preserve">5 and 6: </w:t>
      </w:r>
      <w:r w:rsidR="008D1415" w:rsidRPr="000855B2">
        <w:rPr>
          <w:lang w:val="en-GB"/>
        </w:rPr>
        <w:t>t</w:t>
      </w:r>
      <w:r w:rsidRPr="000855B2">
        <w:rPr>
          <w:lang w:val="en-GB"/>
        </w:rPr>
        <w:t>he European Council adopted the Euro</w:t>
      </w:r>
      <w:r w:rsidR="008D1415" w:rsidRPr="000855B2">
        <w:rPr>
          <w:lang w:val="en-GB"/>
        </w:rPr>
        <w:t> </w:t>
      </w:r>
      <w:r w:rsidRPr="000855B2">
        <w:rPr>
          <w:lang w:val="en-GB"/>
        </w:rPr>
        <w:t>5 and 6 emission standards proposed by the European Commission in May 2007. Euro</w:t>
      </w:r>
      <w:r w:rsidR="008D1415" w:rsidRPr="000855B2">
        <w:rPr>
          <w:lang w:val="en-GB"/>
        </w:rPr>
        <w:t> </w:t>
      </w:r>
      <w:r w:rsidRPr="000855B2">
        <w:rPr>
          <w:lang w:val="en-GB"/>
        </w:rPr>
        <w:t>5</w:t>
      </w:r>
      <w:r w:rsidR="00861E83" w:rsidRPr="000855B2">
        <w:rPr>
          <w:lang w:val="en-GB"/>
        </w:rPr>
        <w:t>, that</w:t>
      </w:r>
      <w:r w:rsidRPr="000855B2">
        <w:rPr>
          <w:lang w:val="en-GB"/>
        </w:rPr>
        <w:t xml:space="preserve"> </w:t>
      </w:r>
      <w:r w:rsidR="00861E83" w:rsidRPr="000855B2">
        <w:rPr>
          <w:lang w:val="en-GB"/>
        </w:rPr>
        <w:t>came into effect</w:t>
      </w:r>
      <w:r w:rsidRPr="000855B2">
        <w:rPr>
          <w:lang w:val="en-GB"/>
        </w:rPr>
        <w:t xml:space="preserve"> </w:t>
      </w:r>
      <w:r w:rsidR="00861E83" w:rsidRPr="000855B2">
        <w:rPr>
          <w:lang w:val="en-GB"/>
        </w:rPr>
        <w:t>in</w:t>
      </w:r>
      <w:r w:rsidRPr="000855B2">
        <w:rPr>
          <w:lang w:val="en-GB"/>
        </w:rPr>
        <w:t xml:space="preserve"> January 2010 (September 2009 for new type approvals)</w:t>
      </w:r>
      <w:r w:rsidR="00251BC6" w:rsidRPr="000855B2">
        <w:rPr>
          <w:lang w:val="en-GB"/>
        </w:rPr>
        <w:t>,</w:t>
      </w:r>
      <w:r w:rsidRPr="000855B2">
        <w:rPr>
          <w:lang w:val="en-GB"/>
        </w:rPr>
        <w:t xml:space="preserve"> lead</w:t>
      </w:r>
      <w:r w:rsidR="00861E83" w:rsidRPr="000855B2">
        <w:rPr>
          <w:lang w:val="en-GB"/>
        </w:rPr>
        <w:t>s</w:t>
      </w:r>
      <w:r w:rsidRPr="000855B2">
        <w:rPr>
          <w:lang w:val="en-GB"/>
        </w:rPr>
        <w:t xml:space="preserve"> to further NO</w:t>
      </w:r>
      <w:r w:rsidRPr="000855B2">
        <w:rPr>
          <w:vertAlign w:val="subscript"/>
          <w:lang w:val="en-GB"/>
        </w:rPr>
        <w:t>x</w:t>
      </w:r>
      <w:r w:rsidRPr="000855B2">
        <w:rPr>
          <w:lang w:val="en-GB"/>
        </w:rPr>
        <w:t xml:space="preserve"> reductions of 25</w:t>
      </w:r>
      <w:r w:rsidR="006502D0" w:rsidRPr="000855B2">
        <w:rPr>
          <w:lang w:val="en-GB"/>
        </w:rPr>
        <w:t> %</w:t>
      </w:r>
      <w:r w:rsidRPr="000855B2">
        <w:rPr>
          <w:lang w:val="en-GB"/>
        </w:rPr>
        <w:t xml:space="preserve"> compared </w:t>
      </w:r>
      <w:r w:rsidR="001A3B2E" w:rsidRPr="000855B2">
        <w:rPr>
          <w:lang w:val="en-GB"/>
        </w:rPr>
        <w:t>with</w:t>
      </w:r>
      <w:r w:rsidRPr="000855B2">
        <w:rPr>
          <w:lang w:val="en-GB"/>
        </w:rPr>
        <w:t xml:space="preserve"> Euro</w:t>
      </w:r>
      <w:r w:rsidR="008D1415" w:rsidRPr="000855B2">
        <w:rPr>
          <w:lang w:val="en-GB"/>
        </w:rPr>
        <w:t> </w:t>
      </w:r>
      <w:r w:rsidRPr="000855B2">
        <w:rPr>
          <w:lang w:val="en-GB"/>
        </w:rPr>
        <w:t>4</w:t>
      </w:r>
      <w:r w:rsidR="001A3B2E" w:rsidRPr="000855B2">
        <w:rPr>
          <w:lang w:val="en-GB"/>
        </w:rPr>
        <w:t>,</w:t>
      </w:r>
      <w:r w:rsidRPr="000855B2">
        <w:rPr>
          <w:lang w:val="en-GB"/>
        </w:rPr>
        <w:t xml:space="preserve"> and a PM mass emission limit for </w:t>
      </w:r>
      <w:smartTag w:uri="urn:schemas-microsoft-com:office:smarttags" w:element="stockticker">
        <w:r w:rsidR="002C4866" w:rsidRPr="000855B2">
          <w:rPr>
            <w:lang w:val="en-GB"/>
          </w:rPr>
          <w:t>GDI</w:t>
        </w:r>
      </w:smartTag>
      <w:r w:rsidRPr="000855B2">
        <w:rPr>
          <w:lang w:val="en-GB"/>
        </w:rPr>
        <w:t xml:space="preserve"> cars</w:t>
      </w:r>
      <w:r w:rsidR="001A3B2E" w:rsidRPr="000855B2">
        <w:rPr>
          <w:lang w:val="en-GB"/>
        </w:rPr>
        <w:t xml:space="preserve"> which is</w:t>
      </w:r>
      <w:r w:rsidRPr="000855B2">
        <w:rPr>
          <w:lang w:val="en-GB"/>
        </w:rPr>
        <w:t xml:space="preserve"> similar to th</w:t>
      </w:r>
      <w:r w:rsidR="001A3B2E" w:rsidRPr="000855B2">
        <w:rPr>
          <w:lang w:val="en-GB"/>
        </w:rPr>
        <w:t>at for</w:t>
      </w:r>
      <w:r w:rsidRPr="000855B2">
        <w:rPr>
          <w:lang w:val="en-GB"/>
        </w:rPr>
        <w:t xml:space="preserve"> diesel </w:t>
      </w:r>
      <w:r w:rsidR="001A3B2E" w:rsidRPr="000855B2">
        <w:rPr>
          <w:lang w:val="en-GB"/>
        </w:rPr>
        <w:t>car</w:t>
      </w:r>
      <w:r w:rsidRPr="000855B2">
        <w:rPr>
          <w:lang w:val="en-GB"/>
        </w:rPr>
        <w:t xml:space="preserve">s. No further reductions for </w:t>
      </w:r>
      <w:r w:rsidR="005E4DC4">
        <w:rPr>
          <w:lang w:val="en-GB"/>
        </w:rPr>
        <w:t>petrol</w:t>
      </w:r>
      <w:r w:rsidRPr="000855B2">
        <w:rPr>
          <w:lang w:val="en-GB"/>
        </w:rPr>
        <w:t xml:space="preserve"> vehicles have been proposed </w:t>
      </w:r>
      <w:r w:rsidR="001A3B2E" w:rsidRPr="000855B2">
        <w:rPr>
          <w:lang w:val="en-GB"/>
        </w:rPr>
        <w:t>for the</w:t>
      </w:r>
      <w:r w:rsidRPr="000855B2">
        <w:rPr>
          <w:lang w:val="en-GB"/>
        </w:rPr>
        <w:t xml:space="preserve"> Euro</w:t>
      </w:r>
      <w:r w:rsidR="008D1415" w:rsidRPr="000855B2">
        <w:rPr>
          <w:lang w:val="en-GB"/>
        </w:rPr>
        <w:t> </w:t>
      </w:r>
      <w:r w:rsidRPr="000855B2">
        <w:rPr>
          <w:lang w:val="en-GB"/>
        </w:rPr>
        <w:t>6 l</w:t>
      </w:r>
      <w:r w:rsidR="001A3B2E" w:rsidRPr="000855B2">
        <w:rPr>
          <w:lang w:val="en-GB"/>
        </w:rPr>
        <w:t>egislation</w:t>
      </w:r>
      <w:r w:rsidRPr="000855B2">
        <w:rPr>
          <w:lang w:val="en-GB"/>
        </w:rPr>
        <w:t>.</w:t>
      </w:r>
      <w:r w:rsidR="004F4413" w:rsidRPr="004F4413">
        <w:rPr>
          <w:lang w:val="en-GB"/>
        </w:rPr>
        <w:t xml:space="preserve"> </w:t>
      </w:r>
      <w:r w:rsidR="004F4413">
        <w:rPr>
          <w:lang w:val="en-GB"/>
        </w:rPr>
        <w:t>Euro 6 vehicles have been further split based on their year of registration: Euro 6 registered up to 2016, Euro 6 registered between 2017-2019 and Euro 6 registered from 2020 onwards.</w:t>
      </w:r>
      <w:r w:rsidR="00281916">
        <w:rPr>
          <w:lang w:val="en-GB"/>
        </w:rPr>
        <w:t xml:space="preserve"> These coincide with the individual steps in Euro 6 regulation, namely Euro 6c, Euro 6d-temp and Euro 6d, which correspond to the same emission limits but increasingly stringent emission control procedure. </w:t>
      </w:r>
    </w:p>
    <w:p w14:paraId="5C9C6219" w14:textId="77777777" w:rsidR="001D2587" w:rsidRPr="00DD39A1" w:rsidRDefault="001D2587" w:rsidP="00AC1E78">
      <w:pPr>
        <w:pStyle w:val="Heading3"/>
      </w:pPr>
      <w:r w:rsidRPr="00DD39A1">
        <w:t xml:space="preserve">Legislation classes </w:t>
      </w:r>
      <w:r w:rsidR="00006C00" w:rsidRPr="00DD39A1">
        <w:t>for</w:t>
      </w:r>
      <w:r w:rsidRPr="00DD39A1">
        <w:t xml:space="preserve"> diesel passenger cars</w:t>
      </w:r>
    </w:p>
    <w:p w14:paraId="766C44FA" w14:textId="77777777" w:rsidR="001D2587" w:rsidRPr="00DD39A1" w:rsidRDefault="001D2587" w:rsidP="00F72AFB">
      <w:pPr>
        <w:pStyle w:val="BodyText"/>
      </w:pPr>
      <w:r w:rsidRPr="00DD39A1">
        <w:t xml:space="preserve">Diesel vehicles of pre-1992 production are all </w:t>
      </w:r>
      <w:r w:rsidR="00C43D5F" w:rsidRPr="00DD39A1">
        <w:t>grouped</w:t>
      </w:r>
      <w:r w:rsidRPr="00DD39A1">
        <w:t xml:space="preserve"> together under the </w:t>
      </w:r>
      <w:r w:rsidR="00C43D5F" w:rsidRPr="00DD39A1">
        <w:t>‘co</w:t>
      </w:r>
      <w:r w:rsidRPr="00DD39A1">
        <w:t>nventional</w:t>
      </w:r>
      <w:r w:rsidR="00C43D5F" w:rsidRPr="00DD39A1">
        <w:t>’</w:t>
      </w:r>
      <w:r w:rsidRPr="00DD39A1">
        <w:t xml:space="preserve"> vehicle class. This includes non</w:t>
      </w:r>
      <w:r w:rsidR="00C43D5F" w:rsidRPr="00DD39A1">
        <w:t>-</w:t>
      </w:r>
      <w:r w:rsidRPr="00DD39A1">
        <w:t>regulated vehicles launched prior to 1985</w:t>
      </w:r>
      <w:r w:rsidR="00C43D5F" w:rsidRPr="00DD39A1">
        <w:t>,</w:t>
      </w:r>
      <w:r w:rsidRPr="00DD39A1">
        <w:t xml:space="preserve"> and vehicles complying</w:t>
      </w:r>
      <w:r w:rsidR="00051085" w:rsidRPr="00051085">
        <w:rPr>
          <w:vertAlign w:val="subscript"/>
        </w:rPr>
        <w:t xml:space="preserve"> </w:t>
      </w:r>
      <w:r w:rsidRPr="00DD39A1">
        <w:t xml:space="preserve">with </w:t>
      </w:r>
      <w:r w:rsidR="008E08EA" w:rsidRPr="00DD39A1">
        <w:t>Directive</w:t>
      </w:r>
      <w:r w:rsidRPr="00DD39A1">
        <w:t xml:space="preserve"> ECE 15/04 (up to 1992). Diesel vehicles </w:t>
      </w:r>
      <w:r w:rsidR="00C43D5F" w:rsidRPr="00DD39A1">
        <w:t>in</w:t>
      </w:r>
      <w:r w:rsidRPr="00DD39A1">
        <w:t xml:space="preserve"> this class are equipped with indirect injection engines. In 1992</w:t>
      </w:r>
      <w:r w:rsidR="006D0375" w:rsidRPr="00DD39A1">
        <w:t>,</w:t>
      </w:r>
      <w:r w:rsidRPr="00DD39A1">
        <w:t xml:space="preserve"> the </w:t>
      </w:r>
      <w:r w:rsidR="00A770AA" w:rsidRPr="00DD39A1">
        <w:t>‘</w:t>
      </w:r>
      <w:r w:rsidRPr="00DD39A1">
        <w:t>Consolidated Emissions Directive</w:t>
      </w:r>
      <w:r w:rsidR="00A770AA" w:rsidRPr="00DD39A1">
        <w:t>’</w:t>
      </w:r>
      <w:r w:rsidRPr="00DD39A1">
        <w:t xml:space="preserve"> </w:t>
      </w:r>
      <w:r w:rsidR="00A770AA" w:rsidRPr="00DD39A1">
        <w:t>(</w:t>
      </w:r>
      <w:r w:rsidRPr="00DD39A1">
        <w:t>91/441/</w:t>
      </w:r>
      <w:smartTag w:uri="urn:schemas-microsoft-com:office:smarttags" w:element="stockticker">
        <w:r w:rsidRPr="00DD39A1">
          <w:t>EEC</w:t>
        </w:r>
      </w:smartTag>
      <w:r w:rsidR="00A770AA" w:rsidRPr="00DD39A1">
        <w:t>)</w:t>
      </w:r>
      <w:r w:rsidRPr="00DD39A1">
        <w:t xml:space="preserve"> introduced Euro standards for diesel cars.</w:t>
      </w:r>
    </w:p>
    <w:p w14:paraId="329F1A3D" w14:textId="77777777" w:rsidR="001D2587" w:rsidRPr="000855B2" w:rsidRDefault="001D2587" w:rsidP="00F72AFB">
      <w:pPr>
        <w:pStyle w:val="BodyText"/>
      </w:pPr>
      <w:r w:rsidRPr="00DD39A1">
        <w:t xml:space="preserve">The Euro standards of diesel cars </w:t>
      </w:r>
      <w:r w:rsidR="00A770AA" w:rsidRPr="00DD39A1">
        <w:t>correspond to those for</w:t>
      </w:r>
      <w:r w:rsidRPr="00DD39A1">
        <w:t xml:space="preserve"> </w:t>
      </w:r>
      <w:r w:rsidR="005E4DC4">
        <w:t>petrol</w:t>
      </w:r>
      <w:r w:rsidRPr="00DD39A1">
        <w:t xml:space="preserve"> </w:t>
      </w:r>
      <w:r w:rsidR="00A770AA" w:rsidRPr="00DD39A1">
        <w:t>cars</w:t>
      </w:r>
      <w:r w:rsidRPr="00DD39A1">
        <w:t xml:space="preserve">. These include </w:t>
      </w:r>
      <w:r w:rsidR="008E08EA" w:rsidRPr="00DD39A1">
        <w:t>Directive</w:t>
      </w:r>
      <w:r w:rsidRPr="00DD39A1">
        <w:t>s 91/441/</w:t>
      </w:r>
      <w:smartTag w:uri="urn:schemas-microsoft-com:office:smarttags" w:element="stockticker">
        <w:r w:rsidRPr="00DD39A1">
          <w:t>EEC</w:t>
        </w:r>
      </w:smartTag>
      <w:r w:rsidRPr="00DD39A1">
        <w:t xml:space="preserve"> (</w:t>
      </w:r>
      <w:r w:rsidR="008D1415" w:rsidRPr="00DD39A1">
        <w:t>Euro </w:t>
      </w:r>
      <w:r w:rsidRPr="00DD39A1">
        <w:t>1, 1992-1996), 94/12/EC (</w:t>
      </w:r>
      <w:r w:rsidR="008D1415" w:rsidRPr="00DD39A1">
        <w:t>Euro </w:t>
      </w:r>
      <w:r w:rsidRPr="00DD39A1">
        <w:t>2, valid from 1996 for indirect inject</w:t>
      </w:r>
      <w:r w:rsidRPr="000855B2">
        <w:t xml:space="preserve">ion and 1997 for direct injection up </w:t>
      </w:r>
      <w:r w:rsidRPr="000855B2">
        <w:lastRenderedPageBreak/>
        <w:t>to 2000), regulation 98/69/EC Stage 2000 (</w:t>
      </w:r>
      <w:r w:rsidR="008D1415" w:rsidRPr="000855B2">
        <w:t>Euro </w:t>
      </w:r>
      <w:r w:rsidRPr="000855B2">
        <w:t>3), and the current regulation 98/69/EC Stage 2005 (</w:t>
      </w:r>
      <w:r w:rsidR="008D1415" w:rsidRPr="000855B2">
        <w:t>Euro </w:t>
      </w:r>
      <w:r w:rsidRPr="000855B2">
        <w:t xml:space="preserve">4). </w:t>
      </w:r>
      <w:r w:rsidR="008D1415" w:rsidRPr="000855B2">
        <w:t>Euro </w:t>
      </w:r>
      <w:r w:rsidRPr="000855B2">
        <w:t xml:space="preserve">1 </w:t>
      </w:r>
      <w:r w:rsidR="00A770AA" w:rsidRPr="000855B2">
        <w:t xml:space="preserve">vehicles </w:t>
      </w:r>
      <w:r w:rsidRPr="000855B2">
        <w:t>were the first to be regulated for all four main pollutants CO, HC</w:t>
      </w:r>
      <w:r w:rsidR="00A770AA" w:rsidRPr="000855B2">
        <w:t xml:space="preserve">, </w:t>
      </w:r>
      <w:r w:rsidRPr="000855B2">
        <w:t>NO</w:t>
      </w:r>
      <w:r w:rsidRPr="000855B2">
        <w:rPr>
          <w:vertAlign w:val="subscript"/>
        </w:rPr>
        <w:t>x</w:t>
      </w:r>
      <w:r w:rsidRPr="000855B2">
        <w:t xml:space="preserve"> and PM. Few of the vehicles were equipped with oxidation catalysts. Directive 94/12/EC </w:t>
      </w:r>
      <w:r w:rsidR="00A770AA" w:rsidRPr="000855B2">
        <w:t>required</w:t>
      </w:r>
      <w:r w:rsidRPr="000855B2">
        <w:t xml:space="preserve"> reductions of 68</w:t>
      </w:r>
      <w:r w:rsidR="006502D0" w:rsidRPr="000855B2">
        <w:t> %</w:t>
      </w:r>
      <w:r w:rsidRPr="000855B2">
        <w:t xml:space="preserve"> for CO, 38</w:t>
      </w:r>
      <w:r w:rsidR="006502D0" w:rsidRPr="000855B2">
        <w:t> %</w:t>
      </w:r>
      <w:r w:rsidRPr="000855B2">
        <w:t xml:space="preserve"> for HC+NO</w:t>
      </w:r>
      <w:r w:rsidRPr="000855B2">
        <w:rPr>
          <w:vertAlign w:val="subscript"/>
        </w:rPr>
        <w:t>x</w:t>
      </w:r>
      <w:r w:rsidRPr="000855B2">
        <w:t xml:space="preserve"> and 55</w:t>
      </w:r>
      <w:r w:rsidR="006502D0" w:rsidRPr="000855B2">
        <w:t> %</w:t>
      </w:r>
      <w:r w:rsidRPr="000855B2">
        <w:t xml:space="preserve"> for PM </w:t>
      </w:r>
      <w:r w:rsidR="00A770AA" w:rsidRPr="000855B2">
        <w:t xml:space="preserve">relative to </w:t>
      </w:r>
      <w:r w:rsidR="008D1415" w:rsidRPr="000855B2">
        <w:t>Euro </w:t>
      </w:r>
      <w:r w:rsidR="00A770AA" w:rsidRPr="000855B2">
        <w:t xml:space="preserve">1, </w:t>
      </w:r>
      <w:r w:rsidRPr="000855B2">
        <w:t xml:space="preserve">and oxidation catalysts were used in almost all vehicles. </w:t>
      </w:r>
      <w:r w:rsidR="008D1415" w:rsidRPr="000855B2">
        <w:t>Euro </w:t>
      </w:r>
      <w:r w:rsidRPr="000855B2">
        <w:t xml:space="preserve">3 </w:t>
      </w:r>
      <w:r w:rsidR="00A770AA" w:rsidRPr="000855B2">
        <w:t>required</w:t>
      </w:r>
      <w:r w:rsidRPr="000855B2">
        <w:t xml:space="preserve"> </w:t>
      </w:r>
      <w:r w:rsidR="00A770AA" w:rsidRPr="000855B2">
        <w:t>further</w:t>
      </w:r>
      <w:r w:rsidRPr="000855B2">
        <w:t xml:space="preserve"> </w:t>
      </w:r>
      <w:r w:rsidR="00A770AA" w:rsidRPr="000855B2">
        <w:t xml:space="preserve">reductions relative to </w:t>
      </w:r>
      <w:r w:rsidR="008D1415" w:rsidRPr="000855B2">
        <w:t>Euro </w:t>
      </w:r>
      <w:r w:rsidR="00A770AA" w:rsidRPr="000855B2">
        <w:t>2:</w:t>
      </w:r>
      <w:r w:rsidRPr="000855B2">
        <w:t xml:space="preserve"> 40</w:t>
      </w:r>
      <w:r w:rsidR="006502D0" w:rsidRPr="000855B2">
        <w:t> %</w:t>
      </w:r>
      <w:r w:rsidRPr="000855B2">
        <w:t>, 60</w:t>
      </w:r>
      <w:r w:rsidR="006502D0" w:rsidRPr="000855B2">
        <w:t> %</w:t>
      </w:r>
      <w:r w:rsidRPr="000855B2">
        <w:t>, 14</w:t>
      </w:r>
      <w:r w:rsidR="006502D0" w:rsidRPr="000855B2">
        <w:t> %</w:t>
      </w:r>
      <w:r w:rsidRPr="000855B2">
        <w:t xml:space="preserve"> and 37.5</w:t>
      </w:r>
      <w:r w:rsidR="006502D0" w:rsidRPr="000855B2">
        <w:t> %</w:t>
      </w:r>
      <w:r w:rsidRPr="000855B2">
        <w:t xml:space="preserve"> </w:t>
      </w:r>
      <w:r w:rsidR="00A770AA" w:rsidRPr="000855B2">
        <w:t>for</w:t>
      </w:r>
      <w:r w:rsidRPr="000855B2">
        <w:t xml:space="preserve"> CO, NO</w:t>
      </w:r>
      <w:r w:rsidRPr="000855B2">
        <w:rPr>
          <w:vertAlign w:val="subscript"/>
        </w:rPr>
        <w:t>x</w:t>
      </w:r>
      <w:r w:rsidRPr="000855B2">
        <w:t xml:space="preserve">, HC and PM </w:t>
      </w:r>
      <w:r w:rsidR="00A770AA" w:rsidRPr="000855B2">
        <w:t>respectively</w:t>
      </w:r>
      <w:r w:rsidRPr="000855B2">
        <w:t>. The</w:t>
      </w:r>
      <w:r w:rsidR="00A770AA" w:rsidRPr="000855B2">
        <w:t>se</w:t>
      </w:r>
      <w:r w:rsidRPr="000855B2">
        <w:t xml:space="preserve"> reductions were achieved with exhaust gas recirculation (NO</w:t>
      </w:r>
      <w:r w:rsidRPr="000855B2">
        <w:rPr>
          <w:vertAlign w:val="subscript"/>
        </w:rPr>
        <w:t>x</w:t>
      </w:r>
      <w:r w:rsidRPr="000855B2">
        <w:t xml:space="preserve"> reduction) and optimisation of fuel injection with use of common</w:t>
      </w:r>
      <w:r w:rsidR="00A770AA" w:rsidRPr="000855B2">
        <w:t>-</w:t>
      </w:r>
      <w:r w:rsidRPr="000855B2">
        <w:t xml:space="preserve">rail systems (PM reduction). </w:t>
      </w:r>
      <w:r w:rsidR="00A770AA" w:rsidRPr="000855B2">
        <w:t>R</w:t>
      </w:r>
      <w:r w:rsidRPr="000855B2">
        <w:t xml:space="preserve">efinements </w:t>
      </w:r>
      <w:r w:rsidR="00A770AA" w:rsidRPr="000855B2">
        <w:t xml:space="preserve">to the fuel </w:t>
      </w:r>
      <w:r w:rsidRPr="000855B2">
        <w:t xml:space="preserve">(mainly </w:t>
      </w:r>
      <w:r w:rsidR="00A770AA" w:rsidRPr="000855B2">
        <w:t xml:space="preserve">a reduction in </w:t>
      </w:r>
      <w:r w:rsidRPr="000855B2">
        <w:t>sulphur content</w:t>
      </w:r>
      <w:r w:rsidR="00A770AA" w:rsidRPr="000855B2">
        <w:t>)</w:t>
      </w:r>
      <w:r w:rsidRPr="000855B2">
        <w:t xml:space="preserve"> </w:t>
      </w:r>
      <w:r w:rsidR="00A770AA" w:rsidRPr="000855B2">
        <w:t xml:space="preserve">also </w:t>
      </w:r>
      <w:r w:rsidRPr="000855B2">
        <w:t xml:space="preserve">played an important role in </w:t>
      </w:r>
      <w:r w:rsidR="00A770AA" w:rsidRPr="000855B2">
        <w:t xml:space="preserve">reducing </w:t>
      </w:r>
      <w:r w:rsidRPr="000855B2">
        <w:t>PM emission</w:t>
      </w:r>
      <w:r w:rsidR="00A770AA" w:rsidRPr="000855B2">
        <w:t>s</w:t>
      </w:r>
      <w:r w:rsidRPr="000855B2">
        <w:t xml:space="preserve">. In addition, due to national incentives and </w:t>
      </w:r>
      <w:r w:rsidR="00A770AA" w:rsidRPr="000855B2">
        <w:t xml:space="preserve">competition between </w:t>
      </w:r>
      <w:r w:rsidRPr="000855B2">
        <w:t>manufacturers</w:t>
      </w:r>
      <w:r w:rsidR="00A770AA" w:rsidRPr="000855B2">
        <w:t>,</w:t>
      </w:r>
      <w:r w:rsidRPr="000855B2">
        <w:t xml:space="preserve"> some </w:t>
      </w:r>
      <w:r w:rsidR="008D1415" w:rsidRPr="000855B2">
        <w:t>Euro </w:t>
      </w:r>
      <w:r w:rsidRPr="000855B2">
        <w:t xml:space="preserve">3 vehicles were equipped with </w:t>
      </w:r>
      <w:r w:rsidR="00A770AA" w:rsidRPr="000855B2">
        <w:t xml:space="preserve">a </w:t>
      </w:r>
      <w:r w:rsidRPr="000855B2">
        <w:t xml:space="preserve">diesel particle filter to reduce the PM emissions to levels </w:t>
      </w:r>
      <w:r w:rsidR="00A770AA" w:rsidRPr="000855B2">
        <w:t>well</w:t>
      </w:r>
      <w:r w:rsidRPr="000855B2">
        <w:t xml:space="preserve"> below the emission standard. Therefore, a special PM emission factor </w:t>
      </w:r>
      <w:r w:rsidR="00A770AA" w:rsidRPr="000855B2">
        <w:t>is required</w:t>
      </w:r>
      <w:r w:rsidRPr="000855B2">
        <w:t xml:space="preserve"> for these vehicles. </w:t>
      </w:r>
      <w:r w:rsidR="00A770AA" w:rsidRPr="000855B2">
        <w:t>The</w:t>
      </w:r>
      <w:r w:rsidRPr="000855B2">
        <w:t xml:space="preserve"> </w:t>
      </w:r>
      <w:r w:rsidR="008D1415" w:rsidRPr="000855B2">
        <w:t>Euro </w:t>
      </w:r>
      <w:r w:rsidRPr="000855B2">
        <w:t xml:space="preserve">4 </w:t>
      </w:r>
      <w:r w:rsidR="00A770AA" w:rsidRPr="000855B2">
        <w:t xml:space="preserve">standard required </w:t>
      </w:r>
      <w:r w:rsidRPr="000855B2">
        <w:t xml:space="preserve">vehicles </w:t>
      </w:r>
      <w:r w:rsidR="00A770AA" w:rsidRPr="000855B2">
        <w:t xml:space="preserve">to emit </w:t>
      </w:r>
      <w:r w:rsidRPr="000855B2">
        <w:t>22</w:t>
      </w:r>
      <w:r w:rsidR="006502D0" w:rsidRPr="000855B2">
        <w:t> %</w:t>
      </w:r>
      <w:r w:rsidRPr="000855B2">
        <w:t xml:space="preserve"> </w:t>
      </w:r>
      <w:r w:rsidR="00A770AA" w:rsidRPr="000855B2">
        <w:t>less</w:t>
      </w:r>
      <w:r w:rsidRPr="000855B2">
        <w:t xml:space="preserve"> CO and 50</w:t>
      </w:r>
      <w:r w:rsidR="006502D0" w:rsidRPr="000855B2">
        <w:t> %</w:t>
      </w:r>
      <w:r w:rsidRPr="000855B2">
        <w:t xml:space="preserve"> </w:t>
      </w:r>
      <w:r w:rsidR="00A770AA" w:rsidRPr="000855B2">
        <w:t>less HC, NO</w:t>
      </w:r>
      <w:r w:rsidR="00A770AA" w:rsidRPr="000855B2">
        <w:rPr>
          <w:vertAlign w:val="subscript"/>
        </w:rPr>
        <w:t>x</w:t>
      </w:r>
      <w:r w:rsidR="00A770AA" w:rsidRPr="000855B2">
        <w:t xml:space="preserve"> and PM than the </w:t>
      </w:r>
      <w:r w:rsidR="008D1415" w:rsidRPr="000855B2">
        <w:t>Euro </w:t>
      </w:r>
      <w:r w:rsidR="00A770AA" w:rsidRPr="000855B2">
        <w:t>3 standard</w:t>
      </w:r>
      <w:r w:rsidRPr="000855B2">
        <w:t>. Further to the voluntary introduction particle filter</w:t>
      </w:r>
      <w:r w:rsidR="00A770AA" w:rsidRPr="000855B2">
        <w:t>s</w:t>
      </w:r>
      <w:r w:rsidRPr="000855B2">
        <w:t xml:space="preserve">, such significant reductions have been made possible with advanced engine technology and aftertreatment measures, such as cooled </w:t>
      </w:r>
      <w:smartTag w:uri="urn:schemas-microsoft-com:office:smarttags" w:element="stockticker">
        <w:r w:rsidRPr="000855B2">
          <w:t>EGR</w:t>
        </w:r>
      </w:smartTag>
      <w:r w:rsidRPr="000855B2">
        <w:t>, and NO</w:t>
      </w:r>
      <w:r w:rsidRPr="000855B2">
        <w:rPr>
          <w:vertAlign w:val="subscript"/>
        </w:rPr>
        <w:t>x</w:t>
      </w:r>
      <w:r w:rsidRPr="000855B2">
        <w:t xml:space="preserve"> reduction </w:t>
      </w:r>
      <w:r w:rsidR="00DD39A1" w:rsidRPr="00FB454C">
        <w:rPr>
          <w:lang w:val="en-US"/>
        </w:rPr>
        <w:t>-</w:t>
      </w:r>
      <w:r w:rsidRPr="000855B2">
        <w:t xml:space="preserve"> PM oxidation techniques.</w:t>
      </w:r>
    </w:p>
    <w:p w14:paraId="1CBE73E6" w14:textId="77777777" w:rsidR="004F43C5" w:rsidRPr="000855B2" w:rsidRDefault="001D2587" w:rsidP="00F72AFB">
      <w:pPr>
        <w:pStyle w:val="BodyText"/>
      </w:pPr>
      <w:r w:rsidRPr="000855B2">
        <w:t xml:space="preserve">As in the case of </w:t>
      </w:r>
      <w:r w:rsidR="005E4DC4">
        <w:t>petrol</w:t>
      </w:r>
      <w:r w:rsidRPr="000855B2">
        <w:t xml:space="preserve"> vehicles, a </w:t>
      </w:r>
      <w:r w:rsidR="008D1415" w:rsidRPr="000855B2">
        <w:t>Euro </w:t>
      </w:r>
      <w:r w:rsidRPr="000855B2">
        <w:t xml:space="preserve">5 proposal </w:t>
      </w:r>
      <w:r w:rsidR="00D926FA" w:rsidRPr="000855B2">
        <w:t>was</w:t>
      </w:r>
      <w:r w:rsidRPr="000855B2">
        <w:t xml:space="preserve"> </w:t>
      </w:r>
      <w:r w:rsidR="00D926FA" w:rsidRPr="000855B2">
        <w:t>put in place in 2010</w:t>
      </w:r>
      <w:r w:rsidRPr="000855B2">
        <w:t xml:space="preserve">. </w:t>
      </w:r>
      <w:r w:rsidR="00D926FA" w:rsidRPr="000855B2">
        <w:t>Euro 6 bec</w:t>
      </w:r>
      <w:r w:rsidR="00DD39A1">
        <w:rPr>
          <w:lang w:val="en-US"/>
        </w:rPr>
        <w:t>a</w:t>
      </w:r>
      <w:r w:rsidR="00D926FA" w:rsidRPr="000855B2">
        <w:t xml:space="preserve">me effective for new types of vehicles in September 2014, with full implementation for all type approvals starting January 2015. </w:t>
      </w:r>
      <w:r w:rsidRPr="000855B2">
        <w:t>For diesel vehicles</w:t>
      </w:r>
      <w:r w:rsidR="000E045D" w:rsidRPr="000855B2">
        <w:t>,</w:t>
      </w:r>
      <w:r w:rsidRPr="000855B2">
        <w:t xml:space="preserve"> </w:t>
      </w:r>
      <w:r w:rsidR="000E045D" w:rsidRPr="000855B2">
        <w:t xml:space="preserve">reductions in </w:t>
      </w:r>
      <w:r w:rsidRPr="000855B2">
        <w:t>NO</w:t>
      </w:r>
      <w:r w:rsidRPr="000855B2">
        <w:rPr>
          <w:vertAlign w:val="subscript"/>
        </w:rPr>
        <w:t>x</w:t>
      </w:r>
      <w:r w:rsidRPr="000855B2">
        <w:t xml:space="preserve"> emissions </w:t>
      </w:r>
      <w:r w:rsidR="000E045D" w:rsidRPr="000855B2">
        <w:t xml:space="preserve">relative to </w:t>
      </w:r>
      <w:r w:rsidR="008D1415" w:rsidRPr="000855B2">
        <w:t>Euro </w:t>
      </w:r>
      <w:r w:rsidR="000E045D" w:rsidRPr="000855B2">
        <w:t>4 of</w:t>
      </w:r>
      <w:r w:rsidRPr="000855B2">
        <w:t xml:space="preserve"> 28</w:t>
      </w:r>
      <w:r w:rsidR="006502D0" w:rsidRPr="000855B2">
        <w:t> %</w:t>
      </w:r>
      <w:r w:rsidRPr="000855B2">
        <w:t xml:space="preserve"> and 68</w:t>
      </w:r>
      <w:r w:rsidR="006502D0" w:rsidRPr="000855B2">
        <w:t> %</w:t>
      </w:r>
      <w:r w:rsidRPr="000855B2">
        <w:t xml:space="preserve"> </w:t>
      </w:r>
      <w:r w:rsidR="00DD39A1">
        <w:t>are</w:t>
      </w:r>
      <w:r w:rsidR="000E045D" w:rsidRPr="000855B2">
        <w:t xml:space="preserve"> required for</w:t>
      </w:r>
      <w:r w:rsidRPr="000855B2">
        <w:t xml:space="preserve"> </w:t>
      </w:r>
      <w:r w:rsidR="008D1415" w:rsidRPr="000855B2">
        <w:t>Euro </w:t>
      </w:r>
      <w:r w:rsidRPr="000855B2">
        <w:t xml:space="preserve">5 and </w:t>
      </w:r>
      <w:r w:rsidR="008D1415" w:rsidRPr="000855B2">
        <w:t>Euro </w:t>
      </w:r>
      <w:r w:rsidRPr="000855B2">
        <w:t xml:space="preserve">6 respectively. However, the most important reduction </w:t>
      </w:r>
      <w:r w:rsidR="000E045D" w:rsidRPr="000855B2">
        <w:t>will be</w:t>
      </w:r>
      <w:r w:rsidRPr="000855B2">
        <w:t xml:space="preserve"> for PM</w:t>
      </w:r>
      <w:r w:rsidR="000E045D" w:rsidRPr="000855B2">
        <w:t xml:space="preserve">: </w:t>
      </w:r>
      <w:r w:rsidRPr="000855B2">
        <w:t>88</w:t>
      </w:r>
      <w:r w:rsidR="006502D0" w:rsidRPr="000855B2">
        <w:t> %</w:t>
      </w:r>
      <w:r w:rsidRPr="000855B2">
        <w:t xml:space="preserve"> </w:t>
      </w:r>
      <w:r w:rsidR="000E045D" w:rsidRPr="000855B2">
        <w:t>relative to</w:t>
      </w:r>
      <w:r w:rsidRPr="000855B2">
        <w:t xml:space="preserve"> </w:t>
      </w:r>
      <w:r w:rsidR="008D1415" w:rsidRPr="000855B2">
        <w:t>Euro </w:t>
      </w:r>
      <w:r w:rsidRPr="000855B2">
        <w:t xml:space="preserve">4. </w:t>
      </w:r>
      <w:r w:rsidR="000E045D" w:rsidRPr="000855B2">
        <w:t>A particle</w:t>
      </w:r>
      <w:r w:rsidRPr="000855B2">
        <w:t xml:space="preserve"> number emission limit has </w:t>
      </w:r>
      <w:r w:rsidR="000E045D" w:rsidRPr="000855B2">
        <w:t xml:space="preserve">also </w:t>
      </w:r>
      <w:r w:rsidRPr="000855B2">
        <w:t xml:space="preserve">been </w:t>
      </w:r>
      <w:r w:rsidR="000E045D" w:rsidRPr="000855B2">
        <w:t>agreed (</w:t>
      </w:r>
      <w:r w:rsidRPr="000855B2">
        <w:t>5</w:t>
      </w:r>
      <w:r w:rsidRPr="000855B2">
        <w:sym w:font="Symbol" w:char="F0B4"/>
      </w:r>
      <w:r w:rsidRPr="000855B2">
        <w:t>10</w:t>
      </w:r>
      <w:r w:rsidRPr="000855B2">
        <w:rPr>
          <w:vertAlign w:val="superscript"/>
        </w:rPr>
        <w:t>11</w:t>
      </w:r>
      <w:r w:rsidRPr="000855B2">
        <w:t> km</w:t>
      </w:r>
      <w:r w:rsidRPr="000855B2">
        <w:rPr>
          <w:vertAlign w:val="superscript"/>
        </w:rPr>
        <w:t>-1</w:t>
      </w:r>
      <w:r w:rsidR="000E045D" w:rsidRPr="000855B2">
        <w:t xml:space="preserve">) </w:t>
      </w:r>
      <w:r w:rsidRPr="000855B2">
        <w:t xml:space="preserve">which </w:t>
      </w:r>
      <w:r w:rsidR="00D926FA" w:rsidRPr="000855B2">
        <w:t>makes mandatory</w:t>
      </w:r>
      <w:r w:rsidRPr="000855B2">
        <w:t xml:space="preserve"> the use of </w:t>
      </w:r>
      <w:r w:rsidR="000E045D" w:rsidRPr="000855B2">
        <w:t xml:space="preserve">a </w:t>
      </w:r>
      <w:r w:rsidR="004F43C5" w:rsidRPr="000855B2">
        <w:t>diesel particle filter.</w:t>
      </w:r>
    </w:p>
    <w:p w14:paraId="5170FAF2" w14:textId="0A4E8B81" w:rsidR="001D2587" w:rsidRPr="00450009" w:rsidRDefault="00DC626D" w:rsidP="00170E57">
      <w:pPr>
        <w:rPr>
          <w:szCs w:val="20"/>
          <w:lang w:val="en-GB" w:eastAsia="it-IT"/>
        </w:rPr>
      </w:pPr>
      <w:r w:rsidRPr="00A7018D">
        <w:rPr>
          <w:szCs w:val="20"/>
          <w:lang w:val="en-GB" w:eastAsia="it-IT"/>
        </w:rPr>
        <w:t xml:space="preserve">Euro 5 diesel vehicles have been found to be very high emitters of NOx under real-world driving, many times above their type-approval emission levels. This has been the result of tunable emission control systems which may alter their performance depending on operation conditions. In order to limit such practices, regulators have introduced an additional package of rules to the Euro 6 limits, the so-called real driving emissions (RDE) regulation. Euro 6 RDE-approved vehicles will need to comply with emission limits with a conformity factor when tested on the road using portable emissions measurement systems (PEMS). The RDE emission limits will be introduced in two steps. The first should apply from September 2017 for new models and from September 2019 for new vehicles and the second one from January 2020 for new models and from January 2021 for new vehicles. The second step comprises a lower conformity factor and additional provisions for testing conditions. Whereas the original Euro 6 regulation (EU) 715/2007 only introduced more strict limits compared to Euro 5, Euro 6 RDE (Regulation (EU) 646/2016) is expected to lead to some significant NOx emissions reductions for diesel passenger cars and light commercial vehicles. Due to these developments, Euro 6 vehicles have been further split based on their year of registration: Euro 6 registered up to 2016, Euro 6 registered between 2017-2019 and Euro 6 </w:t>
      </w:r>
      <w:r w:rsidRPr="00450009">
        <w:rPr>
          <w:szCs w:val="20"/>
          <w:lang w:val="en-GB" w:eastAsia="it-IT"/>
        </w:rPr>
        <w:t>registered from 2020 onwards.</w:t>
      </w:r>
      <w:r w:rsidR="00281916">
        <w:rPr>
          <w:szCs w:val="20"/>
          <w:lang w:val="en-GB" w:eastAsia="it-IT"/>
        </w:rPr>
        <w:t xml:space="preserve"> Similar to petrol cars, these correspond to three individual steps within the Euro 6 regulation (Euro 6c, Euro 6d-temp, Euro 6d).</w:t>
      </w:r>
    </w:p>
    <w:p w14:paraId="7657FF2F" w14:textId="77777777" w:rsidR="001D2587" w:rsidRPr="00450009" w:rsidRDefault="00051085" w:rsidP="00AC1E78">
      <w:pPr>
        <w:pStyle w:val="Heading3"/>
      </w:pPr>
      <w:bookmarkStart w:id="34" w:name="_Toc457131568"/>
      <w:bookmarkStart w:id="35" w:name="_Toc496264300"/>
      <w:r w:rsidRPr="00450009">
        <w:t>Legislation classes for LPG</w:t>
      </w:r>
      <w:r w:rsidR="00450009" w:rsidRPr="00450009">
        <w:t xml:space="preserve"> and</w:t>
      </w:r>
      <w:r w:rsidRPr="00450009">
        <w:t xml:space="preserve"> CNG passenger cars</w:t>
      </w:r>
      <w:bookmarkEnd w:id="34"/>
      <w:bookmarkEnd w:id="35"/>
    </w:p>
    <w:p w14:paraId="28E5B625" w14:textId="77777777" w:rsidR="00F72AFB" w:rsidRPr="000855B2" w:rsidRDefault="001D2587" w:rsidP="00F72AFB">
      <w:pPr>
        <w:pStyle w:val="BodyText"/>
      </w:pPr>
      <w:r w:rsidRPr="00450009">
        <w:t xml:space="preserve">LPG </w:t>
      </w:r>
      <w:r w:rsidR="00147007" w:rsidRPr="00450009">
        <w:t>and</w:t>
      </w:r>
      <w:r w:rsidR="00147007" w:rsidRPr="000855B2">
        <w:t xml:space="preserve"> CNG </w:t>
      </w:r>
      <w:r w:rsidRPr="000855B2">
        <w:t>vehicles constitute a small fraction of the European fleet. LPG cars</w:t>
      </w:r>
      <w:r w:rsidR="00073762" w:rsidRPr="000855B2">
        <w:t xml:space="preserve"> which were compliant with the legislation prior</w:t>
      </w:r>
      <w:r w:rsidRPr="000855B2">
        <w:t xml:space="preserve"> to 91/441/</w:t>
      </w:r>
      <w:smartTag w:uri="urn:schemas-microsoft-com:office:smarttags" w:element="stockticker">
        <w:r w:rsidRPr="000855B2">
          <w:t>EEC</w:t>
        </w:r>
      </w:smartTag>
      <w:r w:rsidRPr="000855B2">
        <w:t xml:space="preserve"> are grouped together</w:t>
      </w:r>
      <w:r w:rsidR="00073762" w:rsidRPr="000855B2">
        <w:t xml:space="preserve"> as ‘conventional’</w:t>
      </w:r>
      <w:r w:rsidRPr="000855B2">
        <w:t xml:space="preserve">. </w:t>
      </w:r>
      <w:r w:rsidR="00073762" w:rsidRPr="000855B2">
        <w:t>Otherwise, the same Euro</w:t>
      </w:r>
      <w:r w:rsidRPr="000855B2">
        <w:t xml:space="preserve"> classes </w:t>
      </w:r>
      <w:r w:rsidR="00073762" w:rsidRPr="000855B2">
        <w:t>as those relating to</w:t>
      </w:r>
      <w:r w:rsidRPr="000855B2">
        <w:t xml:space="preserve"> </w:t>
      </w:r>
      <w:r w:rsidR="005E4DC4">
        <w:t>petrol</w:t>
      </w:r>
      <w:r w:rsidRPr="000855B2">
        <w:t xml:space="preserve"> and diesel cars</w:t>
      </w:r>
      <w:r w:rsidR="00073762" w:rsidRPr="000855B2">
        <w:t xml:space="preserve"> are used.</w:t>
      </w:r>
      <w:r w:rsidR="00147007" w:rsidRPr="000855B2">
        <w:t xml:space="preserve"> For CNG</w:t>
      </w:r>
      <w:r w:rsidR="000A3880" w:rsidRPr="000855B2">
        <w:t xml:space="preserve"> </w:t>
      </w:r>
      <w:r w:rsidR="00147007" w:rsidRPr="000855B2">
        <w:t xml:space="preserve">cars </w:t>
      </w:r>
      <w:r w:rsidR="00D926FA" w:rsidRPr="000855B2">
        <w:t xml:space="preserve">only </w:t>
      </w:r>
      <w:r w:rsidR="00147007" w:rsidRPr="000855B2">
        <w:t>Euro classes 4,</w:t>
      </w:r>
      <w:r w:rsidR="00C03BA6" w:rsidRPr="000855B2">
        <w:t xml:space="preserve"> </w:t>
      </w:r>
      <w:r w:rsidR="00147007" w:rsidRPr="000855B2">
        <w:t>5</w:t>
      </w:r>
      <w:r w:rsidR="00C03BA6" w:rsidRPr="000855B2">
        <w:t xml:space="preserve">, </w:t>
      </w:r>
      <w:r w:rsidR="00147007" w:rsidRPr="000855B2">
        <w:t xml:space="preserve">and 6 </w:t>
      </w:r>
      <w:r w:rsidR="00D926FA" w:rsidRPr="000855B2">
        <w:t>have been introduced in the methodology as they were not relevant for earlier emission control levels.</w:t>
      </w:r>
      <w:bookmarkStart w:id="36" w:name="_Toc457131569"/>
      <w:bookmarkStart w:id="37" w:name="_Toc496264301"/>
    </w:p>
    <w:p w14:paraId="0F897DE4" w14:textId="77777777" w:rsidR="001D2587" w:rsidRPr="000855B2" w:rsidRDefault="001D2587" w:rsidP="00AC1E78">
      <w:pPr>
        <w:pStyle w:val="Heading3"/>
      </w:pPr>
      <w:r w:rsidRPr="000855B2">
        <w:lastRenderedPageBreak/>
        <w:t xml:space="preserve">Legislation classes </w:t>
      </w:r>
      <w:r w:rsidR="00006C00" w:rsidRPr="000855B2">
        <w:t>for</w:t>
      </w:r>
      <w:r w:rsidRPr="000855B2">
        <w:t xml:space="preserve"> </w:t>
      </w:r>
      <w:r w:rsidR="00C97944" w:rsidRPr="000855B2">
        <w:t>two-stroke</w:t>
      </w:r>
      <w:r w:rsidRPr="000855B2">
        <w:t xml:space="preserve"> passenger cars</w:t>
      </w:r>
      <w:bookmarkEnd w:id="36"/>
      <w:bookmarkEnd w:id="37"/>
    </w:p>
    <w:p w14:paraId="28AF3C24" w14:textId="77777777" w:rsidR="001D2587" w:rsidRPr="000855B2" w:rsidRDefault="001D2587" w:rsidP="00F72AFB">
      <w:pPr>
        <w:pStyle w:val="BodyText"/>
      </w:pPr>
      <w:r w:rsidRPr="000855B2">
        <w:t xml:space="preserve">This type of vehicles is </w:t>
      </w:r>
      <w:r w:rsidR="00D926FA" w:rsidRPr="000855B2">
        <w:t xml:space="preserve">today disappearing and may be only </w:t>
      </w:r>
      <w:r w:rsidRPr="000855B2">
        <w:t xml:space="preserve">relevant for some Eastern European countries. </w:t>
      </w:r>
      <w:r w:rsidR="00073762" w:rsidRPr="000855B2">
        <w:t>Very few</w:t>
      </w:r>
      <w:r w:rsidRPr="000855B2">
        <w:t xml:space="preserve"> vehicles </w:t>
      </w:r>
      <w:r w:rsidR="00073762" w:rsidRPr="000855B2">
        <w:t>are</w:t>
      </w:r>
      <w:r w:rsidRPr="000855B2">
        <w:t xml:space="preserve"> still in circulation</w:t>
      </w:r>
      <w:r w:rsidR="00073762" w:rsidRPr="000855B2">
        <w:t>,</w:t>
      </w:r>
      <w:r w:rsidRPr="000855B2">
        <w:t xml:space="preserve"> and no</w:t>
      </w:r>
      <w:r w:rsidR="00073762" w:rsidRPr="000855B2">
        <w:t xml:space="preserve"> </w:t>
      </w:r>
      <w:r w:rsidRPr="000855B2">
        <w:t>emission standards are applicable. Therefore</w:t>
      </w:r>
      <w:r w:rsidR="00073762" w:rsidRPr="000855B2">
        <w:t>,</w:t>
      </w:r>
      <w:r w:rsidRPr="000855B2">
        <w:t xml:space="preserve"> all such vehicles are grouped in a common </w:t>
      </w:r>
      <w:r w:rsidR="00073762" w:rsidRPr="000855B2">
        <w:t>‘c</w:t>
      </w:r>
      <w:r w:rsidRPr="000855B2">
        <w:t>onventional</w:t>
      </w:r>
      <w:r w:rsidR="00073762" w:rsidRPr="000855B2">
        <w:t>’</w:t>
      </w:r>
      <w:r w:rsidRPr="000855B2">
        <w:t xml:space="preserve"> class.</w:t>
      </w:r>
    </w:p>
    <w:p w14:paraId="65A30046" w14:textId="77777777" w:rsidR="001D2587" w:rsidRPr="000855B2" w:rsidRDefault="001D2587" w:rsidP="00AC1E78">
      <w:pPr>
        <w:pStyle w:val="Heading3"/>
      </w:pPr>
      <w:r w:rsidRPr="000855B2">
        <w:t xml:space="preserve">Legislation classes </w:t>
      </w:r>
      <w:r w:rsidR="00006C00" w:rsidRPr="000855B2">
        <w:t>for</w:t>
      </w:r>
      <w:r w:rsidRPr="000855B2">
        <w:t xml:space="preserve"> </w:t>
      </w:r>
      <w:r w:rsidR="005E4DC4">
        <w:t>petrol</w:t>
      </w:r>
      <w:r w:rsidR="00C03BA6" w:rsidRPr="000855B2">
        <w:t>-</w:t>
      </w:r>
      <w:r w:rsidRPr="000855B2">
        <w:t>hybrid vehicles</w:t>
      </w:r>
    </w:p>
    <w:p w14:paraId="394E7D68" w14:textId="00253298" w:rsidR="001D2587" w:rsidRPr="00573015" w:rsidRDefault="00E11887" w:rsidP="00F72AFB">
      <w:pPr>
        <w:pStyle w:val="BodyText"/>
        <w:rPr>
          <w:lang w:val="en-US"/>
        </w:rPr>
      </w:pPr>
      <w:r>
        <w:t>Petrol</w:t>
      </w:r>
      <w:r w:rsidR="00C03BA6" w:rsidRPr="000855B2">
        <w:t>-h</w:t>
      </w:r>
      <w:r w:rsidR="001D2587" w:rsidRPr="000855B2">
        <w:t xml:space="preserve">ybrid vehicles </w:t>
      </w:r>
      <w:r w:rsidR="00861E83" w:rsidRPr="000855B2">
        <w:t xml:space="preserve">offered today by manufacturers </w:t>
      </w:r>
      <w:r w:rsidR="001D2587" w:rsidRPr="000855B2">
        <w:t xml:space="preserve">comply with the </w:t>
      </w:r>
      <w:r w:rsidR="008D1415" w:rsidRPr="000855B2">
        <w:t>Euro </w:t>
      </w:r>
      <w:r w:rsidR="00C03BA6" w:rsidRPr="000855B2">
        <w:t>6</w:t>
      </w:r>
      <w:r w:rsidR="001D2587" w:rsidRPr="000855B2">
        <w:t xml:space="preserve"> emission limits. Due to their advanced technology, some hybrid </w:t>
      </w:r>
      <w:r w:rsidR="00CB4983" w:rsidRPr="000855B2">
        <w:t>vehicles</w:t>
      </w:r>
      <w:r w:rsidR="001D2587" w:rsidRPr="000855B2">
        <w:t xml:space="preserve"> </w:t>
      </w:r>
      <w:r w:rsidR="005579A3" w:rsidRPr="000855B2">
        <w:t xml:space="preserve">(HEV) </w:t>
      </w:r>
      <w:r w:rsidR="001D2587" w:rsidRPr="000855B2">
        <w:t xml:space="preserve">may </w:t>
      </w:r>
      <w:r w:rsidR="00CB4983" w:rsidRPr="000855B2">
        <w:t xml:space="preserve">have actual emission levels which are </w:t>
      </w:r>
      <w:r w:rsidR="00861E83" w:rsidRPr="000855B2">
        <w:t>actually much lower than the</w:t>
      </w:r>
      <w:r w:rsidR="001D2587" w:rsidRPr="000855B2">
        <w:t xml:space="preserve"> </w:t>
      </w:r>
      <w:r w:rsidR="008D1415" w:rsidRPr="000855B2">
        <w:t>Euro </w:t>
      </w:r>
      <w:r w:rsidR="00C03BA6" w:rsidRPr="000855B2">
        <w:t>6</w:t>
      </w:r>
      <w:r w:rsidR="001D2587" w:rsidRPr="000855B2">
        <w:t xml:space="preserve"> </w:t>
      </w:r>
      <w:r w:rsidR="00CB4983" w:rsidRPr="000855B2">
        <w:t>limits</w:t>
      </w:r>
      <w:r w:rsidR="001D2587" w:rsidRPr="000855B2">
        <w:t xml:space="preserve">. Specific emission and </w:t>
      </w:r>
      <w:r w:rsidR="00C02BA0">
        <w:t>energy</w:t>
      </w:r>
      <w:r w:rsidR="001D2587" w:rsidRPr="000855B2">
        <w:t xml:space="preserve"> consumption values are </w:t>
      </w:r>
      <w:r w:rsidR="00CB4983" w:rsidRPr="000855B2">
        <w:t>therefore provided</w:t>
      </w:r>
      <w:r w:rsidR="001D2587" w:rsidRPr="000855B2">
        <w:t xml:space="preserve"> for hybrid cars</w:t>
      </w:r>
      <w:r w:rsidR="005579A3" w:rsidRPr="000855B2">
        <w:t xml:space="preserve"> in this chapter</w:t>
      </w:r>
      <w:r w:rsidR="001D2587" w:rsidRPr="000855B2">
        <w:t>.</w:t>
      </w:r>
      <w:r w:rsidR="007A78E3" w:rsidRPr="000855B2">
        <w:t xml:space="preserve"> The emission factors are appropriate for the so-called </w:t>
      </w:r>
      <w:r w:rsidR="00F51F92" w:rsidRPr="000855B2">
        <w:t>‘</w:t>
      </w:r>
      <w:r w:rsidR="007A78E3" w:rsidRPr="000855B2">
        <w:t>full</w:t>
      </w:r>
      <w:r w:rsidR="00F51F92" w:rsidRPr="000855B2">
        <w:t>’</w:t>
      </w:r>
      <w:r w:rsidR="007A78E3" w:rsidRPr="000855B2">
        <w:t xml:space="preserve"> hybrid vehicles, i.e. vehicles that can be started solely with their electric motor, as opposed to </w:t>
      </w:r>
      <w:r w:rsidR="00F51F92" w:rsidRPr="000855B2">
        <w:t>‘</w:t>
      </w:r>
      <w:r w:rsidR="007A78E3" w:rsidRPr="000855B2">
        <w:t>mild</w:t>
      </w:r>
      <w:r w:rsidR="00F51F92" w:rsidRPr="000855B2">
        <w:t>’</w:t>
      </w:r>
      <w:r w:rsidR="007A78E3" w:rsidRPr="000855B2">
        <w:t xml:space="preserve"> hybrids, i.e. vehicles where the electric motor is only complementary to the internal combustion engine. </w:t>
      </w:r>
    </w:p>
    <w:p w14:paraId="132DE1EA" w14:textId="77777777" w:rsidR="00861E83" w:rsidRPr="000855B2" w:rsidRDefault="00861E83" w:rsidP="00AC1E78">
      <w:pPr>
        <w:pStyle w:val="Heading3"/>
      </w:pPr>
      <w:r w:rsidRPr="000855B2">
        <w:t>Legislation classes for rechargeable vehicles</w:t>
      </w:r>
    </w:p>
    <w:p w14:paraId="62408D65" w14:textId="77777777" w:rsidR="001D2587" w:rsidRPr="000855B2" w:rsidRDefault="005579A3" w:rsidP="00F72AFB">
      <w:pPr>
        <w:rPr>
          <w:lang w:val="en-GB"/>
        </w:rPr>
      </w:pPr>
      <w:r w:rsidRPr="000855B2">
        <w:rPr>
          <w:lang w:val="en-GB"/>
        </w:rPr>
        <w:t>There are three vehicle concepts, offered already in the market today, which can be recharged by power from the electrical grid. These are the plug-in hybrid vehicle (PHEV), the elect</w:t>
      </w:r>
      <w:r w:rsidR="00772665" w:rsidRPr="000855B2">
        <w:rPr>
          <w:lang w:val="en-GB"/>
        </w:rPr>
        <w:t>r</w:t>
      </w:r>
      <w:r w:rsidRPr="000855B2">
        <w:rPr>
          <w:lang w:val="en-GB"/>
        </w:rPr>
        <w:t>i</w:t>
      </w:r>
      <w:r w:rsidR="00341A0B" w:rsidRPr="000855B2">
        <w:rPr>
          <w:lang w:val="en-GB"/>
        </w:rPr>
        <w:t>c</w:t>
      </w:r>
      <w:r w:rsidRPr="000855B2">
        <w:rPr>
          <w:lang w:val="en-GB"/>
        </w:rPr>
        <w:t xml:space="preserve"> vehicle with range-extender (</w:t>
      </w:r>
      <w:r w:rsidR="00B43575" w:rsidRPr="000855B2">
        <w:rPr>
          <w:lang w:val="en-GB"/>
        </w:rPr>
        <w:t>E</w:t>
      </w:r>
      <w:smartTag w:uri="urn:schemas-microsoft-com:office:smarttags" w:element="stockticker">
        <w:r w:rsidRPr="000855B2">
          <w:rPr>
            <w:lang w:val="en-GB"/>
          </w:rPr>
          <w:t>REV</w:t>
        </w:r>
      </w:smartTag>
      <w:r w:rsidRPr="000855B2">
        <w:rPr>
          <w:lang w:val="en-GB"/>
        </w:rPr>
        <w:t xml:space="preserve">) and the </w:t>
      </w:r>
      <w:r w:rsidR="00B43575" w:rsidRPr="000855B2">
        <w:rPr>
          <w:lang w:val="en-GB"/>
        </w:rPr>
        <w:t xml:space="preserve">battery </w:t>
      </w:r>
      <w:r w:rsidRPr="000855B2">
        <w:rPr>
          <w:lang w:val="en-GB"/>
        </w:rPr>
        <w:t>electric vehicle (</w:t>
      </w:r>
      <w:r w:rsidR="00B43575" w:rsidRPr="000855B2">
        <w:rPr>
          <w:lang w:val="en-GB"/>
        </w:rPr>
        <w:t>B</w:t>
      </w:r>
      <w:r w:rsidRPr="000855B2">
        <w:rPr>
          <w:lang w:val="en-GB"/>
        </w:rPr>
        <w:t xml:space="preserve">EV). All three vehicle types can be connected to the electrical grid and recharge their on-board batteries with electrical power, which they then use for propulsion. These vehicles types should not be confused with a full or mild hybrid vehicle. The hybrid vehicle cannot be recharged from the grid; only its own engine may recharge its batteries. A hybrid vehicle therefore uses fuel as the only power source. </w:t>
      </w:r>
      <w:r w:rsidR="00101C26" w:rsidRPr="000855B2">
        <w:rPr>
          <w:lang w:val="en-GB"/>
        </w:rPr>
        <w:t xml:space="preserve">On the contrary, the PHEV and the </w:t>
      </w:r>
      <w:r w:rsidR="00B43575" w:rsidRPr="000855B2">
        <w:rPr>
          <w:lang w:val="en-GB"/>
        </w:rPr>
        <w:t>E</w:t>
      </w:r>
      <w:smartTag w:uri="urn:schemas-microsoft-com:office:smarttags" w:element="stockticker">
        <w:r w:rsidR="00101C26" w:rsidRPr="000855B2">
          <w:rPr>
            <w:lang w:val="en-GB"/>
          </w:rPr>
          <w:t>REV</w:t>
        </w:r>
      </w:smartTag>
      <w:r w:rsidR="00101C26" w:rsidRPr="000855B2">
        <w:rPr>
          <w:lang w:val="en-GB"/>
        </w:rPr>
        <w:t xml:space="preserve"> use two power sources (fuel and electricity from the grid) </w:t>
      </w:r>
      <w:r w:rsidR="00B43575" w:rsidRPr="000855B2">
        <w:rPr>
          <w:lang w:val="en-GB"/>
        </w:rPr>
        <w:t xml:space="preserve">while </w:t>
      </w:r>
      <w:r w:rsidR="00101C26" w:rsidRPr="000855B2">
        <w:rPr>
          <w:lang w:val="en-GB"/>
        </w:rPr>
        <w:t xml:space="preserve">the </w:t>
      </w:r>
      <w:r w:rsidR="00B43575" w:rsidRPr="000855B2">
        <w:rPr>
          <w:lang w:val="en-GB"/>
        </w:rPr>
        <w:t>B</w:t>
      </w:r>
      <w:r w:rsidR="00101C26" w:rsidRPr="000855B2">
        <w:rPr>
          <w:lang w:val="en-GB"/>
        </w:rPr>
        <w:t xml:space="preserve">EV uses only electricity from the grid for propulsion. </w:t>
      </w:r>
    </w:p>
    <w:p w14:paraId="617D4F27" w14:textId="77777777" w:rsidR="00101C26" w:rsidRPr="000855B2" w:rsidRDefault="00101C26" w:rsidP="00F72AFB">
      <w:pPr>
        <w:spacing w:before="140" w:after="140"/>
        <w:rPr>
          <w:lang w:val="en-GB"/>
        </w:rPr>
      </w:pPr>
      <w:r w:rsidRPr="000855B2">
        <w:rPr>
          <w:lang w:val="en-GB"/>
        </w:rPr>
        <w:t xml:space="preserve">In a </w:t>
      </w:r>
      <w:r w:rsidR="00B43575" w:rsidRPr="000855B2">
        <w:rPr>
          <w:lang w:val="en-GB"/>
        </w:rPr>
        <w:t>battery</w:t>
      </w:r>
      <w:r w:rsidR="001243CB" w:rsidRPr="000855B2">
        <w:rPr>
          <w:lang w:val="en-GB"/>
        </w:rPr>
        <w:t xml:space="preserve"> </w:t>
      </w:r>
      <w:r w:rsidRPr="000855B2">
        <w:rPr>
          <w:lang w:val="en-GB"/>
        </w:rPr>
        <w:t xml:space="preserve">electric vehicle, electricity from the grid is stored in on-board batteries. The batteries power an electrical motor which provides propulsion. PHEV and </w:t>
      </w:r>
      <w:r w:rsidR="00B43575" w:rsidRPr="000855B2">
        <w:rPr>
          <w:lang w:val="en-GB"/>
        </w:rPr>
        <w:t>E</w:t>
      </w:r>
      <w:smartTag w:uri="urn:schemas-microsoft-com:office:smarttags" w:element="stockticker">
        <w:r w:rsidRPr="000855B2">
          <w:rPr>
            <w:lang w:val="en-GB"/>
          </w:rPr>
          <w:t>REV</w:t>
        </w:r>
      </w:smartTag>
      <w:r w:rsidRPr="000855B2">
        <w:rPr>
          <w:lang w:val="en-GB"/>
        </w:rPr>
        <w:t xml:space="preserve"> vehicles are equipped both with an electrical motor and an internal combustion engine. In a PHEV</w:t>
      </w:r>
      <w:r w:rsidR="00B43575" w:rsidRPr="000855B2">
        <w:rPr>
          <w:lang w:val="en-GB"/>
        </w:rPr>
        <w:t>,</w:t>
      </w:r>
      <w:r w:rsidRPr="000855B2">
        <w:rPr>
          <w:lang w:val="en-GB"/>
        </w:rPr>
        <w:t xml:space="preserve"> power to the wheels is provided both by the electrical motor and the engine. </w:t>
      </w:r>
      <w:r w:rsidR="00616D7A" w:rsidRPr="000855B2">
        <w:rPr>
          <w:lang w:val="en-GB"/>
        </w:rPr>
        <w:t>In a</w:t>
      </w:r>
      <w:r w:rsidR="00B43575" w:rsidRPr="000855B2">
        <w:rPr>
          <w:lang w:val="en-GB"/>
        </w:rPr>
        <w:t>n</w:t>
      </w:r>
      <w:r w:rsidR="00616D7A" w:rsidRPr="000855B2">
        <w:rPr>
          <w:lang w:val="en-GB"/>
        </w:rPr>
        <w:t xml:space="preserve"> </w:t>
      </w:r>
      <w:r w:rsidR="00B43575" w:rsidRPr="000855B2">
        <w:rPr>
          <w:lang w:val="en-GB"/>
        </w:rPr>
        <w:t>E</w:t>
      </w:r>
      <w:r w:rsidR="00616D7A" w:rsidRPr="000855B2">
        <w:rPr>
          <w:lang w:val="en-GB"/>
        </w:rPr>
        <w:t>REV</w:t>
      </w:r>
      <w:r w:rsidR="00ED0835" w:rsidRPr="000855B2">
        <w:rPr>
          <w:lang w:val="en-GB"/>
        </w:rPr>
        <w:t>,</w:t>
      </w:r>
      <w:r w:rsidR="00616D7A" w:rsidRPr="000855B2">
        <w:rPr>
          <w:lang w:val="en-GB"/>
        </w:rPr>
        <w:t xml:space="preserve"> power to the wheels is provided only by the electrical motor. The engine is only used to recharge the batteries through an electrical generator, when the batteries are depleted. This significantly extends the range of these vehicles (hence their name). </w:t>
      </w:r>
    </w:p>
    <w:p w14:paraId="1F5287DA" w14:textId="77777777" w:rsidR="00616D7A" w:rsidRPr="000855B2" w:rsidRDefault="00616D7A" w:rsidP="00F72AFB">
      <w:pPr>
        <w:spacing w:before="140" w:after="140"/>
        <w:rPr>
          <w:lang w:val="en-GB"/>
        </w:rPr>
      </w:pPr>
      <w:r w:rsidRPr="000855B2">
        <w:rPr>
          <w:lang w:val="en-GB"/>
        </w:rPr>
        <w:t xml:space="preserve">All electric vehicles </w:t>
      </w:r>
      <w:r w:rsidR="00B43575" w:rsidRPr="000855B2">
        <w:rPr>
          <w:lang w:val="en-GB"/>
        </w:rPr>
        <w:t xml:space="preserve">are considered to </w:t>
      </w:r>
      <w:r w:rsidRPr="000855B2">
        <w:rPr>
          <w:lang w:val="en-GB"/>
        </w:rPr>
        <w:t xml:space="preserve">comply with the </w:t>
      </w:r>
      <w:r w:rsidR="005E4DC4">
        <w:rPr>
          <w:lang w:val="en-GB"/>
        </w:rPr>
        <w:t>petrol</w:t>
      </w:r>
      <w:r w:rsidRPr="000855B2">
        <w:rPr>
          <w:lang w:val="en-GB"/>
        </w:rPr>
        <w:t xml:space="preserve"> Euro 6 emission limits. However, they differ with respect to their carbon dioxide emissions</w:t>
      </w:r>
      <w:r w:rsidR="00341A0B" w:rsidRPr="000855B2">
        <w:rPr>
          <w:lang w:val="en-GB"/>
        </w:rPr>
        <w:t>.</w:t>
      </w:r>
    </w:p>
    <w:p w14:paraId="3C327343" w14:textId="77777777" w:rsidR="001D2587" w:rsidRPr="000855B2" w:rsidRDefault="001D2587" w:rsidP="00AC1E78">
      <w:pPr>
        <w:pStyle w:val="Heading3"/>
      </w:pPr>
      <w:bookmarkStart w:id="38" w:name="_Toc457131570"/>
      <w:bookmarkStart w:id="39" w:name="_Toc496264302"/>
      <w:r w:rsidRPr="000855B2">
        <w:t xml:space="preserve">Legislation classes </w:t>
      </w:r>
      <w:r w:rsidR="00006C00" w:rsidRPr="000855B2">
        <w:t>for</w:t>
      </w:r>
      <w:r w:rsidRPr="000855B2">
        <w:t xml:space="preserve"> </w:t>
      </w:r>
      <w:r w:rsidR="005E4DC4">
        <w:t>petrol</w:t>
      </w:r>
      <w:r w:rsidRPr="000855B2">
        <w:t xml:space="preserve"> </w:t>
      </w:r>
      <w:r w:rsidR="00CF67A4" w:rsidRPr="000855B2">
        <w:t>light commercial</w:t>
      </w:r>
      <w:r w:rsidRPr="000855B2">
        <w:t xml:space="preserve"> vehicles &lt;</w:t>
      </w:r>
      <w:r w:rsidR="00F51F92" w:rsidRPr="000855B2">
        <w:t> </w:t>
      </w:r>
      <w:r w:rsidRPr="000855B2">
        <w:t>3.5</w:t>
      </w:r>
      <w:r w:rsidR="00F51F92" w:rsidRPr="000855B2">
        <w:t> </w:t>
      </w:r>
      <w:r w:rsidRPr="000855B2">
        <w:t>t</w:t>
      </w:r>
      <w:bookmarkEnd w:id="38"/>
      <w:bookmarkEnd w:id="39"/>
    </w:p>
    <w:p w14:paraId="767CAC99" w14:textId="77777777" w:rsidR="001D2587" w:rsidRPr="000855B2" w:rsidRDefault="001D2587" w:rsidP="00F72AFB">
      <w:pPr>
        <w:pStyle w:val="BodyText"/>
      </w:pPr>
      <w:r w:rsidRPr="000855B2">
        <w:t xml:space="preserve">In </w:t>
      </w:r>
      <w:r w:rsidR="00CB4983" w:rsidRPr="000855B2">
        <w:t xml:space="preserve">the </w:t>
      </w:r>
      <w:r w:rsidRPr="000855B2">
        <w:t xml:space="preserve">EU, the emissions of these vehicles were covered by the </w:t>
      </w:r>
      <w:r w:rsidR="00CB4983" w:rsidRPr="000855B2">
        <w:t>various</w:t>
      </w:r>
      <w:r w:rsidRPr="000855B2">
        <w:t xml:space="preserve"> ECE steps up to 1993</w:t>
      </w:r>
      <w:r w:rsidR="00CB4983" w:rsidRPr="000855B2">
        <w:t>,</w:t>
      </w:r>
      <w:r w:rsidRPr="000855B2">
        <w:t xml:space="preserve"> and all such vehicles are </w:t>
      </w:r>
      <w:r w:rsidR="00CB4983" w:rsidRPr="000855B2">
        <w:t xml:space="preserve">again </w:t>
      </w:r>
      <w:r w:rsidRPr="000855B2">
        <w:t>term</w:t>
      </w:r>
      <w:r w:rsidR="00CB4983" w:rsidRPr="000855B2">
        <w:t>ed</w:t>
      </w:r>
      <w:r w:rsidRPr="000855B2">
        <w:t xml:space="preserve"> </w:t>
      </w:r>
      <w:r w:rsidR="00CB4983" w:rsidRPr="000855B2">
        <w:t>‘c</w:t>
      </w:r>
      <w:r w:rsidRPr="000855B2">
        <w:t>onventional</w:t>
      </w:r>
      <w:r w:rsidR="00CB4983" w:rsidRPr="000855B2">
        <w:t>’</w:t>
      </w:r>
      <w:r w:rsidRPr="000855B2">
        <w:t>. From 1993 to 1997</w:t>
      </w:r>
      <w:r w:rsidR="00CB4983" w:rsidRPr="000855B2">
        <w:t>,</w:t>
      </w:r>
      <w:r w:rsidRPr="000855B2">
        <w:t xml:space="preserve"> Euro standards </w:t>
      </w:r>
      <w:r w:rsidR="00CB4983" w:rsidRPr="000855B2">
        <w:t>were</w:t>
      </w:r>
      <w:r w:rsidRPr="000855B2">
        <w:t xml:space="preserve"> appli</w:t>
      </w:r>
      <w:r w:rsidR="00CB4983" w:rsidRPr="000855B2">
        <w:t>cable.</w:t>
      </w:r>
      <w:r w:rsidRPr="000855B2">
        <w:t xml:space="preserve"> Directive 93/59/</w:t>
      </w:r>
      <w:smartTag w:uri="urn:schemas-microsoft-com:office:smarttags" w:element="stockticker">
        <w:r w:rsidRPr="000855B2">
          <w:t>EEC</w:t>
        </w:r>
      </w:smartTag>
      <w:r w:rsidR="00CB4983" w:rsidRPr="000855B2">
        <w:t xml:space="preserve"> (</w:t>
      </w:r>
      <w:r w:rsidR="008D1415" w:rsidRPr="000855B2">
        <w:t>Euro </w:t>
      </w:r>
      <w:r w:rsidR="00CB4983" w:rsidRPr="000855B2">
        <w:t>1</w:t>
      </w:r>
      <w:r w:rsidRPr="000855B2">
        <w:t xml:space="preserve">) </w:t>
      </w:r>
      <w:r w:rsidR="00CB4983" w:rsidRPr="000855B2">
        <w:t>required</w:t>
      </w:r>
      <w:r w:rsidRPr="000855B2">
        <w:t xml:space="preserve"> catalytic converters on </w:t>
      </w:r>
      <w:r w:rsidR="005E4DC4">
        <w:t>petrol</w:t>
      </w:r>
      <w:r w:rsidRPr="000855B2">
        <w:t xml:space="preserve"> vehicles.</w:t>
      </w:r>
      <w:r w:rsidR="00CB4983" w:rsidRPr="000855B2">
        <w:t xml:space="preserve"> In 1997</w:t>
      </w:r>
      <w:r w:rsidR="00F51F92" w:rsidRPr="000855B2">
        <w:t>,</w:t>
      </w:r>
      <w:r w:rsidRPr="000855B2">
        <w:t xml:space="preserve"> Directive 96/69/EC (</w:t>
      </w:r>
      <w:r w:rsidR="008D1415" w:rsidRPr="000855B2">
        <w:t>Euro </w:t>
      </w:r>
      <w:r w:rsidRPr="000855B2">
        <w:t xml:space="preserve">2) introduced stricter emission standards for </w:t>
      </w:r>
      <w:r w:rsidR="00CF67A4" w:rsidRPr="000855B2">
        <w:t>light commercial</w:t>
      </w:r>
      <w:r w:rsidR="00251BC6" w:rsidRPr="000855B2">
        <w:t xml:space="preserve"> vehicles</w:t>
      </w:r>
      <w:r w:rsidR="00CB4983" w:rsidRPr="000855B2">
        <w:t xml:space="preserve">. </w:t>
      </w:r>
      <w:r w:rsidR="008D1415" w:rsidRPr="000855B2">
        <w:t>Euro </w:t>
      </w:r>
      <w:r w:rsidR="00CB4983" w:rsidRPr="000855B2">
        <w:t>2</w:t>
      </w:r>
      <w:r w:rsidRPr="000855B2">
        <w:t xml:space="preserve"> was valid up to 2001. Two more legislation steps have </w:t>
      </w:r>
      <w:r w:rsidR="00CB4983" w:rsidRPr="000855B2">
        <w:t xml:space="preserve">subsequently </w:t>
      </w:r>
      <w:r w:rsidRPr="000855B2">
        <w:t>been introduce</w:t>
      </w:r>
      <w:r w:rsidR="00CB4983" w:rsidRPr="000855B2">
        <w:t xml:space="preserve">d: Directive </w:t>
      </w:r>
      <w:r w:rsidRPr="000855B2">
        <w:t xml:space="preserve">98/69/EC </w:t>
      </w:r>
      <w:r w:rsidR="00CB4983" w:rsidRPr="000855B2">
        <w:t>(</w:t>
      </w:r>
      <w:r w:rsidR="008D1415" w:rsidRPr="000855B2">
        <w:t>Euro </w:t>
      </w:r>
      <w:r w:rsidR="00CB4983" w:rsidRPr="000855B2">
        <w:t xml:space="preserve">3, </w:t>
      </w:r>
      <w:r w:rsidRPr="000855B2">
        <w:t>valid 2001</w:t>
      </w:r>
      <w:r w:rsidR="00F51F92" w:rsidRPr="000855B2">
        <w:t>–</w:t>
      </w:r>
      <w:r w:rsidRPr="000855B2">
        <w:t xml:space="preserve">2006) and </w:t>
      </w:r>
      <w:r w:rsidR="00CB4983" w:rsidRPr="000855B2">
        <w:t xml:space="preserve">Directive </w:t>
      </w:r>
      <w:r w:rsidRPr="000855B2">
        <w:t>98/69/EC (</w:t>
      </w:r>
      <w:r w:rsidR="008D1415" w:rsidRPr="000855B2">
        <w:t>Euro </w:t>
      </w:r>
      <w:r w:rsidR="00CB4983" w:rsidRPr="000855B2">
        <w:t xml:space="preserve">4, </w:t>
      </w:r>
      <w:r w:rsidRPr="000855B2">
        <w:t xml:space="preserve">valid </w:t>
      </w:r>
      <w:r w:rsidR="00CB4983" w:rsidRPr="000855B2">
        <w:t xml:space="preserve">from </w:t>
      </w:r>
      <w:r w:rsidRPr="000855B2">
        <w:t>2006 onwards</w:t>
      </w:r>
      <w:r w:rsidR="00CB4983" w:rsidRPr="000855B2">
        <w:t xml:space="preserve">). These </w:t>
      </w:r>
      <w:r w:rsidRPr="000855B2">
        <w:t>introduce</w:t>
      </w:r>
      <w:r w:rsidR="00CB4983" w:rsidRPr="000855B2">
        <w:t>d</w:t>
      </w:r>
      <w:r w:rsidRPr="000855B2">
        <w:t xml:space="preserve"> even stricter emission</w:t>
      </w:r>
      <w:r w:rsidR="00CB4983" w:rsidRPr="000855B2">
        <w:t xml:space="preserve"> limits</w:t>
      </w:r>
      <w:r w:rsidRPr="000855B2">
        <w:t xml:space="preserve">. </w:t>
      </w:r>
      <w:r w:rsidR="006F3BD0" w:rsidRPr="00DC626D">
        <w:t xml:space="preserve">The Euro 5, </w:t>
      </w:r>
      <w:r w:rsidR="001F1FD0">
        <w:t xml:space="preserve">Euro </w:t>
      </w:r>
      <w:r w:rsidR="006F3BD0" w:rsidRPr="00DC626D">
        <w:t xml:space="preserve">6 and </w:t>
      </w:r>
      <w:r w:rsidR="001F1FD0">
        <w:t>Euro 6 RDE</w:t>
      </w:r>
      <w:r w:rsidR="006F3BD0" w:rsidRPr="00DC626D">
        <w:t xml:space="preserve"> proposals for passenger</w:t>
      </w:r>
      <w:r w:rsidRPr="000855B2">
        <w:t xml:space="preserve"> cars</w:t>
      </w:r>
      <w:r w:rsidR="00517609" w:rsidRPr="000855B2">
        <w:t xml:space="preserve"> also</w:t>
      </w:r>
      <w:r w:rsidRPr="000855B2">
        <w:t xml:space="preserve"> covers this vehicle category, </w:t>
      </w:r>
      <w:r w:rsidR="008003B3" w:rsidRPr="000855B2">
        <w:t>although the actual limits vary according to the vehicle weight</w:t>
      </w:r>
      <w:r w:rsidRPr="000855B2">
        <w:t xml:space="preserve">. </w:t>
      </w:r>
      <w:r w:rsidR="008003B3" w:rsidRPr="000855B2">
        <w:t>T</w:t>
      </w:r>
      <w:r w:rsidRPr="000855B2">
        <w:t>he emission</w:t>
      </w:r>
      <w:r w:rsidR="008003B3" w:rsidRPr="000855B2">
        <w:t>-</w:t>
      </w:r>
      <w:r w:rsidRPr="000855B2">
        <w:t xml:space="preserve">control technology </w:t>
      </w:r>
      <w:r w:rsidR="008003B3" w:rsidRPr="000855B2">
        <w:t>used in</w:t>
      </w:r>
      <w:r w:rsidRPr="000855B2">
        <w:t xml:space="preserve"> </w:t>
      </w:r>
      <w:r w:rsidR="00CF67A4" w:rsidRPr="000855B2">
        <w:t>light commercial</w:t>
      </w:r>
      <w:r w:rsidRPr="000855B2">
        <w:t xml:space="preserve"> vehicles generally follows the technology of passenger cars with a delay of 1</w:t>
      </w:r>
      <w:r w:rsidR="00F51F92" w:rsidRPr="000855B2">
        <w:t>–</w:t>
      </w:r>
      <w:r w:rsidRPr="000855B2">
        <w:t>2 years.</w:t>
      </w:r>
      <w:r w:rsidR="008A23C1">
        <w:t xml:space="preserve"> Euro 6 vehicles have been further split based on their year of registration, Euro 6 up to 2017, Euro 6 </w:t>
      </w:r>
      <w:r w:rsidR="00CC64DA">
        <w:t xml:space="preserve">registered between </w:t>
      </w:r>
      <w:r w:rsidR="008A23C1">
        <w:t>2018-2020 and Euro 6</w:t>
      </w:r>
      <w:r w:rsidR="00CC64DA">
        <w:t xml:space="preserve"> registered from</w:t>
      </w:r>
      <w:r w:rsidR="008A23C1">
        <w:t xml:space="preserve"> 2021</w:t>
      </w:r>
      <w:r w:rsidR="00CC64DA">
        <w:t xml:space="preserve"> onwards</w:t>
      </w:r>
      <w:r w:rsidR="008A23C1">
        <w:t>.</w:t>
      </w:r>
    </w:p>
    <w:p w14:paraId="27F672ED" w14:textId="77777777" w:rsidR="001D2587" w:rsidRPr="000855B2" w:rsidRDefault="001D2587" w:rsidP="00AC1E78">
      <w:pPr>
        <w:pStyle w:val="Heading3"/>
      </w:pPr>
      <w:bookmarkStart w:id="40" w:name="_Toc457131571"/>
      <w:bookmarkStart w:id="41" w:name="_Toc496264303"/>
      <w:r w:rsidRPr="000855B2">
        <w:lastRenderedPageBreak/>
        <w:t xml:space="preserve">Legislation classes </w:t>
      </w:r>
      <w:r w:rsidR="00006C00" w:rsidRPr="000855B2">
        <w:t>for</w:t>
      </w:r>
      <w:r w:rsidRPr="000855B2">
        <w:t xml:space="preserve"> diesel </w:t>
      </w:r>
      <w:r w:rsidR="00CF67A4" w:rsidRPr="000855B2">
        <w:t>light commercial</w:t>
      </w:r>
      <w:r w:rsidRPr="000855B2">
        <w:t xml:space="preserve"> vehicles &lt;</w:t>
      </w:r>
      <w:r w:rsidR="00F51F92" w:rsidRPr="000855B2">
        <w:t> </w:t>
      </w:r>
      <w:r w:rsidRPr="000855B2">
        <w:t>3.5</w:t>
      </w:r>
      <w:r w:rsidR="00F51F92" w:rsidRPr="000855B2">
        <w:t> </w:t>
      </w:r>
      <w:r w:rsidRPr="000855B2">
        <w:t>t</w:t>
      </w:r>
      <w:bookmarkEnd w:id="40"/>
      <w:bookmarkEnd w:id="41"/>
    </w:p>
    <w:p w14:paraId="34A3C5FD" w14:textId="77777777" w:rsidR="001D2587" w:rsidRPr="000855B2" w:rsidRDefault="00CA4F04" w:rsidP="00F72AFB">
      <w:pPr>
        <w:pStyle w:val="BodyText"/>
      </w:pPr>
      <w:r w:rsidRPr="000855B2">
        <w:t>The l</w:t>
      </w:r>
      <w:r w:rsidR="001D2587" w:rsidRPr="000855B2">
        <w:t xml:space="preserve">egislation classes for </w:t>
      </w:r>
      <w:r w:rsidR="005E4DC4">
        <w:t>petrol</w:t>
      </w:r>
      <w:r w:rsidR="001D2587" w:rsidRPr="000855B2">
        <w:t xml:space="preserve"> </w:t>
      </w:r>
      <w:r w:rsidR="00CF67A4" w:rsidRPr="000855B2">
        <w:t>light commercial</w:t>
      </w:r>
      <w:r w:rsidR="001D2587" w:rsidRPr="000855B2">
        <w:t xml:space="preserve"> vehicles are also applicable </w:t>
      </w:r>
      <w:r w:rsidRPr="000855B2">
        <w:t>to</w:t>
      </w:r>
      <w:r w:rsidR="001D2587" w:rsidRPr="000855B2">
        <w:t xml:space="preserve"> diesel </w:t>
      </w:r>
      <w:r w:rsidR="00CF67A4" w:rsidRPr="000855B2">
        <w:t>light commercial</w:t>
      </w:r>
      <w:r w:rsidRPr="000855B2">
        <w:t xml:space="preserve"> vehicles</w:t>
      </w:r>
      <w:r w:rsidR="001D2587" w:rsidRPr="000855B2">
        <w:t xml:space="preserve"> (with different</w:t>
      </w:r>
      <w:r w:rsidRPr="000855B2">
        <w:t xml:space="preserve"> values, of course,</w:t>
      </w:r>
      <w:r w:rsidR="001D2587" w:rsidRPr="000855B2">
        <w:t xml:space="preserve"> plus </w:t>
      </w:r>
      <w:r w:rsidRPr="000855B2">
        <w:t xml:space="preserve">a </w:t>
      </w:r>
      <w:r w:rsidR="001D2587" w:rsidRPr="000855B2">
        <w:t xml:space="preserve">PM emission standard). </w:t>
      </w:r>
      <w:r w:rsidRPr="000855B2">
        <w:t xml:space="preserve">Again, the </w:t>
      </w:r>
      <w:r w:rsidR="001D2587" w:rsidRPr="000855B2">
        <w:t>engine technolog</w:t>
      </w:r>
      <w:r w:rsidRPr="000855B2">
        <w:t>ies</w:t>
      </w:r>
      <w:r w:rsidR="001D2587" w:rsidRPr="000855B2">
        <w:t xml:space="preserve"> </w:t>
      </w:r>
      <w:r w:rsidRPr="000855B2">
        <w:t>used in</w:t>
      </w:r>
      <w:r w:rsidR="001D2587" w:rsidRPr="000855B2">
        <w:t xml:space="preserve"> diesel </w:t>
      </w:r>
      <w:r w:rsidR="00CF67A4" w:rsidRPr="000855B2">
        <w:t>light commercial</w:t>
      </w:r>
      <w:r w:rsidR="001D2587" w:rsidRPr="000855B2">
        <w:t xml:space="preserve"> vehicles </w:t>
      </w:r>
      <w:r w:rsidRPr="000855B2">
        <w:t xml:space="preserve">tend to </w:t>
      </w:r>
      <w:r w:rsidR="001D2587" w:rsidRPr="000855B2">
        <w:t>follow th</w:t>
      </w:r>
      <w:r w:rsidRPr="000855B2">
        <w:t xml:space="preserve">ose used in </w:t>
      </w:r>
      <w:r w:rsidR="001D2587" w:rsidRPr="000855B2">
        <w:t>diesel</w:t>
      </w:r>
      <w:r w:rsidRPr="000855B2">
        <w:t xml:space="preserve"> </w:t>
      </w:r>
      <w:r w:rsidR="001D2587" w:rsidRPr="000855B2">
        <w:t>cars with 1</w:t>
      </w:r>
      <w:r w:rsidR="00F51F92" w:rsidRPr="000855B2">
        <w:t>–</w:t>
      </w:r>
      <w:r w:rsidR="001D2587" w:rsidRPr="000855B2">
        <w:t>2 year delay.</w:t>
      </w:r>
      <w:r w:rsidR="008659D6">
        <w:t xml:space="preserve"> Specifically for the Euro 6 and Euro 6 RDE </w:t>
      </w:r>
      <w:r w:rsidR="005A34E2">
        <w:t xml:space="preserve">steps </w:t>
      </w:r>
      <w:r w:rsidR="008659D6">
        <w:t xml:space="preserve">there is a one year delay </w:t>
      </w:r>
      <w:r w:rsidR="005A34E2">
        <w:t xml:space="preserve">compared to diesel </w:t>
      </w:r>
      <w:r w:rsidR="008659D6">
        <w:t>passenger car</w:t>
      </w:r>
      <w:r w:rsidR="005A34E2">
        <w:t>s</w:t>
      </w:r>
      <w:r w:rsidR="008659D6">
        <w:t xml:space="preserve"> (Euro 6 up to 2017, Euro 6 2018-2020 and Euro 6 2021+).</w:t>
      </w:r>
    </w:p>
    <w:p w14:paraId="09EF573A" w14:textId="77777777" w:rsidR="001D2587" w:rsidRPr="000855B2" w:rsidRDefault="001D2587" w:rsidP="00AC1E78">
      <w:pPr>
        <w:pStyle w:val="Heading3"/>
      </w:pPr>
      <w:bookmarkStart w:id="42" w:name="_Toc457131572"/>
      <w:bookmarkStart w:id="43" w:name="_Toc496264304"/>
      <w:r w:rsidRPr="000855B2">
        <w:t xml:space="preserve">Legislation classes </w:t>
      </w:r>
      <w:r w:rsidR="00006C00" w:rsidRPr="000855B2">
        <w:t>for</w:t>
      </w:r>
      <w:r w:rsidRPr="000855B2">
        <w:t xml:space="preserve"> </w:t>
      </w:r>
      <w:r w:rsidR="005E4DC4">
        <w:t>petrol</w:t>
      </w:r>
      <w:r w:rsidRPr="000855B2">
        <w:t xml:space="preserve"> heavy</w:t>
      </w:r>
      <w:r w:rsidR="008003B3" w:rsidRPr="000855B2">
        <w:t>-</w:t>
      </w:r>
      <w:r w:rsidRPr="000855B2">
        <w:t xml:space="preserve">duty vehicles </w:t>
      </w:r>
      <w:r w:rsidR="00972A38" w:rsidRPr="000855B2">
        <w:t>&gt; </w:t>
      </w:r>
      <w:r w:rsidRPr="000855B2">
        <w:t>3.5 t</w:t>
      </w:r>
      <w:bookmarkEnd w:id="42"/>
      <w:bookmarkEnd w:id="43"/>
    </w:p>
    <w:p w14:paraId="3DF1F728" w14:textId="77777777" w:rsidR="001D2587" w:rsidRPr="000855B2" w:rsidRDefault="001D2587" w:rsidP="00F72AFB">
      <w:pPr>
        <w:pStyle w:val="BodyText"/>
      </w:pPr>
      <w:r w:rsidRPr="000855B2">
        <w:t>Heavy</w:t>
      </w:r>
      <w:r w:rsidR="006F1553" w:rsidRPr="000855B2">
        <w:t>-</w:t>
      </w:r>
      <w:r w:rsidRPr="000855B2">
        <w:t xml:space="preserve">duty </w:t>
      </w:r>
      <w:r w:rsidR="005E4DC4">
        <w:t>petrol</w:t>
      </w:r>
      <w:r w:rsidRPr="000855B2">
        <w:t xml:space="preserve"> vehicles </w:t>
      </w:r>
      <w:r w:rsidR="00972A38" w:rsidRPr="000855B2">
        <w:t>&gt; </w:t>
      </w:r>
      <w:r w:rsidRPr="000855B2">
        <w:t xml:space="preserve">3.5 t play a negligible role in European emissions from road traffic. Any such vehicles are included in the </w:t>
      </w:r>
      <w:r w:rsidR="00162DAA" w:rsidRPr="000855B2">
        <w:t>‘c</w:t>
      </w:r>
      <w:r w:rsidRPr="000855B2">
        <w:t>onventional</w:t>
      </w:r>
      <w:r w:rsidR="00162DAA" w:rsidRPr="000855B2">
        <w:t>’</w:t>
      </w:r>
      <w:r w:rsidRPr="000855B2">
        <w:t xml:space="preserve"> class</w:t>
      </w:r>
      <w:r w:rsidR="00162DAA" w:rsidRPr="000855B2">
        <w:t>. There is no</w:t>
      </w:r>
      <w:r w:rsidRPr="000855B2">
        <w:t xml:space="preserve"> legislati</w:t>
      </w:r>
      <w:r w:rsidR="00162DAA" w:rsidRPr="000855B2">
        <w:t>ve distinction</w:t>
      </w:r>
      <w:r w:rsidRPr="000855B2">
        <w:t xml:space="preserve"> </w:t>
      </w:r>
      <w:r w:rsidR="00162DAA" w:rsidRPr="000855B2">
        <w:t>as</w:t>
      </w:r>
      <w:r w:rsidRPr="000855B2">
        <w:t xml:space="preserve"> no specific emission standards have been set for such vehicles.</w:t>
      </w:r>
    </w:p>
    <w:p w14:paraId="06A37E05" w14:textId="77777777" w:rsidR="001D2587" w:rsidRPr="000855B2" w:rsidRDefault="001D2587" w:rsidP="00AC1E78">
      <w:pPr>
        <w:pStyle w:val="Heading3"/>
      </w:pPr>
      <w:bookmarkStart w:id="44" w:name="_Toc457131573"/>
      <w:bookmarkStart w:id="45" w:name="_Toc496264305"/>
      <w:r w:rsidRPr="000855B2">
        <w:t xml:space="preserve">Legislation classes </w:t>
      </w:r>
      <w:r w:rsidR="00006C00" w:rsidRPr="000855B2">
        <w:t>for</w:t>
      </w:r>
      <w:r w:rsidRPr="000855B2">
        <w:t xml:space="preserve"> diesel heavy</w:t>
      </w:r>
      <w:r w:rsidR="006F1553" w:rsidRPr="000855B2">
        <w:t>-</w:t>
      </w:r>
      <w:r w:rsidRPr="000855B2">
        <w:t xml:space="preserve">duty vehicles </w:t>
      </w:r>
      <w:r w:rsidR="00972A38" w:rsidRPr="000855B2">
        <w:t>&gt; </w:t>
      </w:r>
      <w:r w:rsidRPr="000855B2">
        <w:t>3.5 t</w:t>
      </w:r>
      <w:bookmarkEnd w:id="44"/>
      <w:bookmarkEnd w:id="45"/>
    </w:p>
    <w:p w14:paraId="49263A0B" w14:textId="77777777" w:rsidR="001D2587" w:rsidRPr="000855B2" w:rsidRDefault="001D2587" w:rsidP="00F72AFB">
      <w:pPr>
        <w:pStyle w:val="BodyText"/>
      </w:pPr>
      <w:r w:rsidRPr="000855B2">
        <w:t xml:space="preserve">Emissions from diesel engines used in vehicles of </w:t>
      </w:r>
      <w:r w:rsidR="002C4866" w:rsidRPr="000855B2">
        <w:t>GVW</w:t>
      </w:r>
      <w:r w:rsidRPr="000855B2">
        <w:t xml:space="preserve"> over 3.5</w:t>
      </w:r>
      <w:r w:rsidR="00363D3C" w:rsidRPr="000855B2">
        <w:t> </w:t>
      </w:r>
      <w:r w:rsidRPr="000855B2">
        <w:t xml:space="preserve">t were first regulated in 1988 with the introduction of the original ECE 49 Regulation. Vehicles (or, </w:t>
      </w:r>
      <w:r w:rsidR="00A67C72" w:rsidRPr="000855B2">
        <w:t>rather</w:t>
      </w:r>
      <w:r w:rsidRPr="000855B2">
        <w:t xml:space="preserve">, engines) complying with ECE 49 and earlier are all classified as </w:t>
      </w:r>
      <w:r w:rsidR="00A67C72" w:rsidRPr="000855B2">
        <w:t>‘c</w:t>
      </w:r>
      <w:r w:rsidRPr="000855B2">
        <w:t>onventional</w:t>
      </w:r>
      <w:r w:rsidR="00A67C72" w:rsidRPr="000855B2">
        <w:t>’</w:t>
      </w:r>
      <w:r w:rsidRPr="000855B2">
        <w:t>. Directive 91/542/</w:t>
      </w:r>
      <w:smartTag w:uri="urn:schemas-microsoft-com:office:smarttags" w:element="stockticker">
        <w:r w:rsidRPr="000855B2">
          <w:t>EEC</w:t>
        </w:r>
      </w:smartTag>
      <w:r w:rsidRPr="000855B2">
        <w:t xml:space="preserve">, implemented in two stages, brought two </w:t>
      </w:r>
      <w:r w:rsidR="00A67C72" w:rsidRPr="000855B2">
        <w:t>sets</w:t>
      </w:r>
      <w:r w:rsidRPr="000855B2">
        <w:t xml:space="preserve"> of reduced emission limits</w:t>
      </w:r>
      <w:r w:rsidR="00A67C72" w:rsidRPr="000855B2">
        <w:t>,</w:t>
      </w:r>
      <w:r w:rsidRPr="000855B2">
        <w:t xml:space="preserve"> valid from 1992 to 1995 (Stage 1 </w:t>
      </w:r>
      <w:r w:rsidR="00363D3C" w:rsidRPr="000855B2">
        <w:t>—</w:t>
      </w:r>
      <w:r w:rsidRPr="000855B2">
        <w:t xml:space="preserve"> </w:t>
      </w:r>
      <w:r w:rsidR="008D1415" w:rsidRPr="000855B2">
        <w:t>Euro </w:t>
      </w:r>
      <w:r w:rsidRPr="000855B2">
        <w:t xml:space="preserve">I) and </w:t>
      </w:r>
      <w:r w:rsidR="00A67C72" w:rsidRPr="000855B2">
        <w:t xml:space="preserve">from </w:t>
      </w:r>
      <w:r w:rsidRPr="000855B2">
        <w:t xml:space="preserve">1996 to 2000 (Stage 2 </w:t>
      </w:r>
      <w:r w:rsidR="00363D3C" w:rsidRPr="000855B2">
        <w:t>—</w:t>
      </w:r>
      <w:r w:rsidRPr="000855B2">
        <w:t xml:space="preserve"> </w:t>
      </w:r>
      <w:r w:rsidR="008D1415" w:rsidRPr="000855B2">
        <w:t>Euro </w:t>
      </w:r>
      <w:r w:rsidRPr="000855B2">
        <w:t>II). Directive 1999/96/EC Step 1 (</w:t>
      </w:r>
      <w:r w:rsidR="008D1415" w:rsidRPr="000855B2">
        <w:t>Euro </w:t>
      </w:r>
      <w:smartTag w:uri="urn:schemas-microsoft-com:office:smarttags" w:element="stockticker">
        <w:r w:rsidRPr="000855B2">
          <w:t>III</w:t>
        </w:r>
      </w:smartTag>
      <w:r w:rsidRPr="000855B2">
        <w:t xml:space="preserve">) was valid </w:t>
      </w:r>
      <w:r w:rsidR="00A67C72" w:rsidRPr="000855B2">
        <w:t>from</w:t>
      </w:r>
      <w:r w:rsidRPr="000855B2">
        <w:t xml:space="preserve"> 2000</w:t>
      </w:r>
      <w:r w:rsidR="00A67C72" w:rsidRPr="000855B2">
        <w:t>,</w:t>
      </w:r>
      <w:r w:rsidRPr="000855B2">
        <w:t xml:space="preserve"> and introduced a 30</w:t>
      </w:r>
      <w:r w:rsidR="006502D0" w:rsidRPr="000855B2">
        <w:t> %</w:t>
      </w:r>
      <w:r w:rsidRPr="000855B2">
        <w:t xml:space="preserve"> reduction of all pollutants </w:t>
      </w:r>
      <w:r w:rsidR="00A67C72" w:rsidRPr="000855B2">
        <w:t xml:space="preserve">relative to </w:t>
      </w:r>
      <w:r w:rsidR="008D1415" w:rsidRPr="000855B2">
        <w:t>Euro </w:t>
      </w:r>
      <w:r w:rsidRPr="000855B2">
        <w:t xml:space="preserve">II . The same </w:t>
      </w:r>
      <w:r w:rsidR="008E08EA" w:rsidRPr="000855B2">
        <w:t>Directive</w:t>
      </w:r>
      <w:r w:rsidRPr="000855B2">
        <w:t xml:space="preserve"> included an intermediate step in 2005 (</w:t>
      </w:r>
      <w:r w:rsidR="008D1415" w:rsidRPr="000855B2">
        <w:t>Euro </w:t>
      </w:r>
      <w:r w:rsidRPr="000855B2">
        <w:t>IV)</w:t>
      </w:r>
      <w:r w:rsidR="00A67C72" w:rsidRPr="000855B2">
        <w:t>,</w:t>
      </w:r>
      <w:r w:rsidRPr="000855B2">
        <w:t xml:space="preserve"> and a final step in 2008 (</w:t>
      </w:r>
      <w:r w:rsidR="008D1415" w:rsidRPr="000855B2">
        <w:t>Euro </w:t>
      </w:r>
      <w:r w:rsidRPr="000855B2">
        <w:t xml:space="preserve">V). </w:t>
      </w:r>
      <w:r w:rsidR="00A67C72" w:rsidRPr="000855B2">
        <w:t xml:space="preserve">The </w:t>
      </w:r>
      <w:r w:rsidR="008D1415" w:rsidRPr="000855B2">
        <w:t>Euro </w:t>
      </w:r>
      <w:r w:rsidR="00A67C72" w:rsidRPr="000855B2">
        <w:t>V s</w:t>
      </w:r>
      <w:r w:rsidRPr="000855B2">
        <w:t>tandards</w:t>
      </w:r>
      <w:r w:rsidR="00A67C72" w:rsidRPr="000855B2">
        <w:t xml:space="preserve"> </w:t>
      </w:r>
      <w:r w:rsidRPr="000855B2">
        <w:t xml:space="preserve">are very strict, </w:t>
      </w:r>
      <w:r w:rsidR="00A67C72" w:rsidRPr="000855B2">
        <w:t xml:space="preserve">requiring a </w:t>
      </w:r>
      <w:r w:rsidRPr="000855B2">
        <w:t xml:space="preserve">reduction </w:t>
      </w:r>
      <w:r w:rsidR="00A67C72" w:rsidRPr="000855B2">
        <w:t>in</w:t>
      </w:r>
      <w:r w:rsidRPr="000855B2">
        <w:t xml:space="preserve"> NO</w:t>
      </w:r>
      <w:r w:rsidRPr="000855B2">
        <w:rPr>
          <w:vertAlign w:val="subscript"/>
        </w:rPr>
        <w:t>x</w:t>
      </w:r>
      <w:r w:rsidRPr="000855B2">
        <w:t xml:space="preserve"> </w:t>
      </w:r>
      <w:r w:rsidR="00A67C72" w:rsidRPr="000855B2">
        <w:t>of more than 70</w:t>
      </w:r>
      <w:r w:rsidR="006502D0" w:rsidRPr="000855B2">
        <w:t> %</w:t>
      </w:r>
      <w:r w:rsidR="00A67C72" w:rsidRPr="000855B2">
        <w:t xml:space="preserve"> </w:t>
      </w:r>
      <w:r w:rsidRPr="000855B2">
        <w:t xml:space="preserve">and </w:t>
      </w:r>
      <w:r w:rsidR="00A67C72" w:rsidRPr="000855B2">
        <w:t>a reduction in</w:t>
      </w:r>
      <w:r w:rsidRPr="000855B2">
        <w:t xml:space="preserve"> PM </w:t>
      </w:r>
      <w:r w:rsidR="00A67C72" w:rsidRPr="000855B2">
        <w:t>of more than 85</w:t>
      </w:r>
      <w:r w:rsidR="006502D0" w:rsidRPr="000855B2">
        <w:t> %</w:t>
      </w:r>
      <w:r w:rsidR="00A67C72" w:rsidRPr="000855B2">
        <w:t xml:space="preserve"> </w:t>
      </w:r>
      <w:r w:rsidRPr="000855B2">
        <w:t xml:space="preserve">compared </w:t>
      </w:r>
      <w:r w:rsidR="00A67C72" w:rsidRPr="000855B2">
        <w:t>with the</w:t>
      </w:r>
      <w:r w:rsidRPr="000855B2">
        <w:t xml:space="preserve"> </w:t>
      </w:r>
      <w:r w:rsidR="008D1415" w:rsidRPr="000855B2">
        <w:t>Euro </w:t>
      </w:r>
      <w:r w:rsidR="00A67C72" w:rsidRPr="000855B2">
        <w:t>II</w:t>
      </w:r>
      <w:r w:rsidRPr="000855B2">
        <w:t xml:space="preserve"> standards. This will be achieved with engine tuning and oxidation catalyst</w:t>
      </w:r>
      <w:r w:rsidR="00A67C72" w:rsidRPr="000855B2">
        <w:t>s</w:t>
      </w:r>
      <w:r w:rsidRPr="000855B2">
        <w:t xml:space="preserve"> for PM control</w:t>
      </w:r>
      <w:r w:rsidR="00A67C72" w:rsidRPr="000855B2">
        <w:t>,</w:t>
      </w:r>
      <w:r w:rsidRPr="000855B2">
        <w:t xml:space="preserve"> and </w:t>
      </w:r>
      <w:r w:rsidR="00A67C72" w:rsidRPr="000855B2">
        <w:t>s</w:t>
      </w:r>
      <w:r w:rsidRPr="000855B2">
        <w:t xml:space="preserve">elective </w:t>
      </w:r>
      <w:r w:rsidR="00A67C72" w:rsidRPr="000855B2">
        <w:t>c</w:t>
      </w:r>
      <w:r w:rsidRPr="000855B2">
        <w:t>atal</w:t>
      </w:r>
      <w:r w:rsidR="00A67C72" w:rsidRPr="000855B2">
        <w:t>ytic</w:t>
      </w:r>
      <w:r w:rsidRPr="000855B2">
        <w:t xml:space="preserve"> </w:t>
      </w:r>
      <w:r w:rsidR="00A67C72" w:rsidRPr="000855B2">
        <w:t>r</w:t>
      </w:r>
      <w:r w:rsidRPr="000855B2">
        <w:t>eduction (</w:t>
      </w:r>
      <w:smartTag w:uri="urn:schemas-microsoft-com:office:smarttags" w:element="stockticker">
        <w:r w:rsidRPr="000855B2">
          <w:t>SCR</w:t>
        </w:r>
      </w:smartTag>
      <w:r w:rsidRPr="000855B2">
        <w:t>) for NO</w:t>
      </w:r>
      <w:r w:rsidRPr="000855B2">
        <w:rPr>
          <w:vertAlign w:val="subscript"/>
        </w:rPr>
        <w:t>x</w:t>
      </w:r>
      <w:r w:rsidRPr="000855B2">
        <w:t xml:space="preserve"> control. </w:t>
      </w:r>
    </w:p>
    <w:p w14:paraId="5A8D82A0" w14:textId="77777777" w:rsidR="001D2587" w:rsidRPr="000855B2" w:rsidRDefault="0024282E" w:rsidP="00F72AFB">
      <w:pPr>
        <w:pStyle w:val="BodyText"/>
      </w:pPr>
      <w:r w:rsidRPr="000855B2">
        <w:t xml:space="preserve">Latest </w:t>
      </w:r>
      <w:r w:rsidR="00B43575" w:rsidRPr="000855B2">
        <w:t xml:space="preserve"> emission limits at a Euro VI level have enforced </w:t>
      </w:r>
      <w:r w:rsidRPr="000855B2">
        <w:t xml:space="preserve">since </w:t>
      </w:r>
      <w:r w:rsidR="00B43575" w:rsidRPr="000855B2">
        <w:t>the 2013/14 period</w:t>
      </w:r>
      <w:r w:rsidR="001D2587" w:rsidRPr="000855B2">
        <w:t xml:space="preserve">. </w:t>
      </w:r>
      <w:r w:rsidR="00B43575" w:rsidRPr="000855B2">
        <w:t>These call</w:t>
      </w:r>
      <w:r w:rsidR="000E4644" w:rsidRPr="000855B2">
        <w:t xml:space="preserve"> for 50</w:t>
      </w:r>
      <w:r w:rsidR="006502D0" w:rsidRPr="000855B2">
        <w:t> %</w:t>
      </w:r>
      <w:r w:rsidR="000E4644" w:rsidRPr="000855B2">
        <w:t xml:space="preserve"> reduction in PM and a further 80</w:t>
      </w:r>
      <w:r w:rsidR="006502D0" w:rsidRPr="000855B2">
        <w:t> %</w:t>
      </w:r>
      <w:r w:rsidR="000E4644" w:rsidRPr="000855B2">
        <w:t xml:space="preserve"> reduction </w:t>
      </w:r>
      <w:r w:rsidR="002C4866" w:rsidRPr="000855B2">
        <w:t>in NO</w:t>
      </w:r>
      <w:r w:rsidR="002C4866" w:rsidRPr="000855B2">
        <w:rPr>
          <w:vertAlign w:val="subscript"/>
        </w:rPr>
        <w:t>x</w:t>
      </w:r>
      <w:r w:rsidR="002C4866" w:rsidRPr="000855B2">
        <w:t xml:space="preserve"> </w:t>
      </w:r>
      <w:r w:rsidR="000E4644" w:rsidRPr="000855B2">
        <w:t xml:space="preserve">over </w:t>
      </w:r>
      <w:r w:rsidR="008D1415" w:rsidRPr="000855B2">
        <w:t>Euro </w:t>
      </w:r>
      <w:r w:rsidR="000E4644" w:rsidRPr="000855B2">
        <w:t>V</w:t>
      </w:r>
      <w:r w:rsidR="00B43575" w:rsidRPr="000855B2">
        <w:t>, with the addition of a cold start cycle</w:t>
      </w:r>
      <w:r w:rsidR="001D2587" w:rsidRPr="000855B2">
        <w:t>.</w:t>
      </w:r>
      <w:r w:rsidR="000E4644" w:rsidRPr="000855B2">
        <w:t xml:space="preserve"> This will necessitate the use of diesel particle filters, engine tuning and </w:t>
      </w:r>
      <w:smartTag w:uri="urn:schemas-microsoft-com:office:smarttags" w:element="stockticker">
        <w:r w:rsidR="000E4644" w:rsidRPr="000855B2">
          <w:t>EGR</w:t>
        </w:r>
      </w:smartTag>
      <w:r w:rsidR="000E4644" w:rsidRPr="000855B2">
        <w:t xml:space="preserve"> for low engine-out NO</w:t>
      </w:r>
      <w:r w:rsidR="000E4644" w:rsidRPr="000855B2">
        <w:rPr>
          <w:vertAlign w:val="subscript"/>
        </w:rPr>
        <w:t>x</w:t>
      </w:r>
      <w:r w:rsidR="002C4866" w:rsidRPr="000855B2">
        <w:t>,</w:t>
      </w:r>
      <w:r w:rsidR="000E4644" w:rsidRPr="000855B2">
        <w:t xml:space="preserve"> and </w:t>
      </w:r>
      <w:r w:rsidRPr="000855B2">
        <w:t xml:space="preserve">specific </w:t>
      </w:r>
      <w:r w:rsidR="000E4644" w:rsidRPr="000855B2">
        <w:t>NO</w:t>
      </w:r>
      <w:r w:rsidR="000E4644" w:rsidRPr="000855B2">
        <w:rPr>
          <w:vertAlign w:val="subscript"/>
        </w:rPr>
        <w:t>x</w:t>
      </w:r>
      <w:r w:rsidR="000E4644" w:rsidRPr="000855B2">
        <w:t xml:space="preserve"> exhaust aftertreatment to meet the regulations. </w:t>
      </w:r>
    </w:p>
    <w:p w14:paraId="01D90AAC" w14:textId="77777777" w:rsidR="001D2587" w:rsidRPr="000855B2" w:rsidRDefault="001D2587" w:rsidP="00AC1E78">
      <w:pPr>
        <w:pStyle w:val="Heading3"/>
      </w:pPr>
      <w:bookmarkStart w:id="46" w:name="_Toc457131574"/>
      <w:bookmarkStart w:id="47" w:name="_Toc496264306"/>
      <w:r w:rsidRPr="000855B2">
        <w:t xml:space="preserve">Legislation classes for </w:t>
      </w:r>
      <w:r w:rsidR="00C97944" w:rsidRPr="000855B2">
        <w:t>two-stroke</w:t>
      </w:r>
      <w:r w:rsidRPr="000855B2">
        <w:t xml:space="preserve"> </w:t>
      </w:r>
      <w:r w:rsidR="00602A1D" w:rsidRPr="000855B2">
        <w:t xml:space="preserve">and four-stroke </w:t>
      </w:r>
      <w:r w:rsidRPr="000855B2">
        <w:t xml:space="preserve">mopeds </w:t>
      </w:r>
      <w:r w:rsidR="00D205E2" w:rsidRPr="000855B2">
        <w:t>&lt; </w:t>
      </w:r>
      <w:r w:rsidRPr="000855B2">
        <w:t>50</w:t>
      </w:r>
      <w:r w:rsidR="00363D3C" w:rsidRPr="000855B2">
        <w:t> </w:t>
      </w:r>
      <w:r w:rsidRPr="000855B2">
        <w:t>cm³</w:t>
      </w:r>
      <w:bookmarkEnd w:id="46"/>
      <w:bookmarkEnd w:id="47"/>
    </w:p>
    <w:p w14:paraId="7E7B1417" w14:textId="77777777" w:rsidR="001D2587" w:rsidRPr="000855B2" w:rsidRDefault="001D2587" w:rsidP="00F72AFB">
      <w:pPr>
        <w:pStyle w:val="BodyText"/>
      </w:pPr>
      <w:r w:rsidRPr="000855B2">
        <w:t xml:space="preserve">In June 1999, multi-directive 97/24/EC (Step 1 </w:t>
      </w:r>
      <w:r w:rsidR="00363D3C" w:rsidRPr="000855B2">
        <w:t>—</w:t>
      </w:r>
      <w:r w:rsidRPr="000855B2">
        <w:t xml:space="preserve"> </w:t>
      </w:r>
      <w:r w:rsidR="008D1415" w:rsidRPr="000855B2">
        <w:t>Euro </w:t>
      </w:r>
      <w:r w:rsidRPr="000855B2">
        <w:t>1) introduced emission standards which</w:t>
      </w:r>
      <w:r w:rsidR="00045B39" w:rsidRPr="000855B2">
        <w:t>,</w:t>
      </w:r>
      <w:r w:rsidRPr="000855B2">
        <w:t xml:space="preserve"> </w:t>
      </w:r>
      <w:r w:rsidR="00045B39" w:rsidRPr="000855B2">
        <w:t>in</w:t>
      </w:r>
      <w:r w:rsidRPr="000855B2">
        <w:t xml:space="preserve"> the case of mopeds </w:t>
      </w:r>
      <w:r w:rsidR="00D205E2" w:rsidRPr="000855B2">
        <w:t>&lt; </w:t>
      </w:r>
      <w:r w:rsidRPr="000855B2">
        <w:t>50</w:t>
      </w:r>
      <w:r w:rsidR="00363D3C" w:rsidRPr="000855B2">
        <w:t> </w:t>
      </w:r>
      <w:r w:rsidRPr="000855B2">
        <w:t xml:space="preserve">cm³, </w:t>
      </w:r>
      <w:r w:rsidR="007F37A3" w:rsidRPr="000855B2">
        <w:t>were equal to</w:t>
      </w:r>
      <w:r w:rsidRPr="000855B2">
        <w:t xml:space="preserve"> CO </w:t>
      </w:r>
      <w:r w:rsidR="007F37A3" w:rsidRPr="000855B2">
        <w:t xml:space="preserve">of </w:t>
      </w:r>
      <w:r w:rsidRPr="000855B2">
        <w:t>6</w:t>
      </w:r>
      <w:r w:rsidR="00363D3C" w:rsidRPr="000855B2">
        <w:t> </w:t>
      </w:r>
      <w:r w:rsidRPr="000855B2">
        <w:t>g/km and HC+NO</w:t>
      </w:r>
      <w:r w:rsidRPr="000855B2">
        <w:rPr>
          <w:vertAlign w:val="subscript"/>
        </w:rPr>
        <w:t>x</w:t>
      </w:r>
      <w:r w:rsidRPr="000855B2">
        <w:t xml:space="preserve"> </w:t>
      </w:r>
      <w:r w:rsidR="007F37A3" w:rsidRPr="000855B2">
        <w:t>at</w:t>
      </w:r>
      <w:r w:rsidR="007A0F7F" w:rsidRPr="000855B2">
        <w:t xml:space="preserve"> </w:t>
      </w:r>
      <w:r w:rsidRPr="000855B2">
        <w:t>3</w:t>
      </w:r>
      <w:r w:rsidR="00363D3C" w:rsidRPr="000855B2">
        <w:t> </w:t>
      </w:r>
      <w:r w:rsidRPr="000855B2">
        <w:t>g/km. An additional stage of the legislation came into force in June 2002 (</w:t>
      </w:r>
      <w:r w:rsidR="008D1415" w:rsidRPr="000855B2">
        <w:t>Euro </w:t>
      </w:r>
      <w:r w:rsidRPr="000855B2">
        <w:t>2) with emission l</w:t>
      </w:r>
      <w:r w:rsidR="00045B39" w:rsidRPr="000855B2">
        <w:t>imits</w:t>
      </w:r>
      <w:r w:rsidRPr="000855B2">
        <w:t xml:space="preserve"> of 1</w:t>
      </w:r>
      <w:r w:rsidR="00363D3C" w:rsidRPr="000855B2">
        <w:t> </w:t>
      </w:r>
      <w:r w:rsidRPr="000855B2">
        <w:t>g/km CO and 1.2</w:t>
      </w:r>
      <w:r w:rsidR="00363D3C" w:rsidRPr="000855B2">
        <w:t> </w:t>
      </w:r>
      <w:r w:rsidRPr="000855B2">
        <w:t>g/km HC+NO</w:t>
      </w:r>
      <w:r w:rsidRPr="000855B2">
        <w:rPr>
          <w:vertAlign w:val="subscript"/>
        </w:rPr>
        <w:t>x</w:t>
      </w:r>
      <w:r w:rsidRPr="000855B2">
        <w:t xml:space="preserve">. New </w:t>
      </w:r>
      <w:r w:rsidR="008D1415" w:rsidRPr="000855B2">
        <w:t>Euro </w:t>
      </w:r>
      <w:r w:rsidRPr="000855B2">
        <w:t xml:space="preserve">3 emission standards for such small vehicles </w:t>
      </w:r>
      <w:r w:rsidR="0024282E" w:rsidRPr="000855B2">
        <w:t>were</w:t>
      </w:r>
      <w:r w:rsidRPr="000855B2">
        <w:t xml:space="preserve"> prepar</w:t>
      </w:r>
      <w:r w:rsidR="00045B39" w:rsidRPr="000855B2">
        <w:t>ed</w:t>
      </w:r>
      <w:r w:rsidRPr="000855B2">
        <w:t xml:space="preserve"> </w:t>
      </w:r>
      <w:r w:rsidR="00045B39" w:rsidRPr="000855B2">
        <w:t>by</w:t>
      </w:r>
      <w:r w:rsidRPr="000855B2">
        <w:t xml:space="preserve"> the European Commission</w:t>
      </w:r>
      <w:r w:rsidR="0024282E" w:rsidRPr="000855B2">
        <w:t xml:space="preserve"> in 2013</w:t>
      </w:r>
      <w:r w:rsidR="00045B39" w:rsidRPr="000855B2">
        <w:t>. The limit values</w:t>
      </w:r>
      <w:r w:rsidRPr="000855B2">
        <w:t xml:space="preserve"> </w:t>
      </w:r>
      <w:r w:rsidR="0024282E" w:rsidRPr="000855B2">
        <w:t>are</w:t>
      </w:r>
      <w:r w:rsidR="00045B39" w:rsidRPr="000855B2">
        <w:t xml:space="preserve"> the same as those for </w:t>
      </w:r>
      <w:r w:rsidR="008D1415" w:rsidRPr="000855B2">
        <w:t>Euro </w:t>
      </w:r>
      <w:r w:rsidRPr="000855B2">
        <w:t xml:space="preserve">2, but a </w:t>
      </w:r>
      <w:r w:rsidR="002C4866" w:rsidRPr="000855B2">
        <w:t xml:space="preserve">new type of </w:t>
      </w:r>
      <w:r w:rsidRPr="000855B2">
        <w:t xml:space="preserve">certification test </w:t>
      </w:r>
      <w:r w:rsidR="002C4866" w:rsidRPr="000855B2">
        <w:t>will be introduced.</w:t>
      </w:r>
      <w:r w:rsidR="00045B39" w:rsidRPr="000855B2">
        <w:t xml:space="preserve"> This will be conducted with an engine start</w:t>
      </w:r>
      <w:r w:rsidRPr="000855B2">
        <w:t xml:space="preserve"> </w:t>
      </w:r>
      <w:r w:rsidR="00045B39" w:rsidRPr="000855B2">
        <w:t>at</w:t>
      </w:r>
      <w:r w:rsidRPr="000855B2">
        <w:t xml:space="preserve"> </w:t>
      </w:r>
      <w:r w:rsidR="00045B39" w:rsidRPr="000855B2">
        <w:t xml:space="preserve">the </w:t>
      </w:r>
      <w:r w:rsidRPr="000855B2">
        <w:t>ambient temperature</w:t>
      </w:r>
      <w:r w:rsidR="00045B39" w:rsidRPr="000855B2">
        <w:t xml:space="preserve">, </w:t>
      </w:r>
      <w:r w:rsidRPr="000855B2">
        <w:t xml:space="preserve">as opposed to </w:t>
      </w:r>
      <w:r w:rsidR="00045B39" w:rsidRPr="000855B2">
        <w:t xml:space="preserve">the </w:t>
      </w:r>
      <w:r w:rsidRPr="000855B2">
        <w:t xml:space="preserve">hot engine start currently </w:t>
      </w:r>
      <w:r w:rsidR="00045B39" w:rsidRPr="000855B2">
        <w:t xml:space="preserve">defined for </w:t>
      </w:r>
      <w:r w:rsidR="008D1415" w:rsidRPr="000855B2">
        <w:t>Euro </w:t>
      </w:r>
      <w:r w:rsidR="00045B39" w:rsidRPr="000855B2">
        <w:t>2</w:t>
      </w:r>
      <w:r w:rsidRPr="000855B2">
        <w:t xml:space="preserve">. Due to the strict emission limits, it is expected that few </w:t>
      </w:r>
      <w:r w:rsidR="00C97944" w:rsidRPr="000855B2">
        <w:t>two-stroke</w:t>
      </w:r>
      <w:r w:rsidRPr="000855B2">
        <w:t xml:space="preserve"> mopeds will </w:t>
      </w:r>
      <w:r w:rsidR="0024282E" w:rsidRPr="000855B2">
        <w:t>survive into the Euro 3 limits</w:t>
      </w:r>
      <w:r w:rsidR="00045B39" w:rsidRPr="000855B2">
        <w:t>,</w:t>
      </w:r>
      <w:r w:rsidRPr="000855B2">
        <w:t xml:space="preserve"> and those that will conform with the regulations will </w:t>
      </w:r>
      <w:r w:rsidR="00045B39" w:rsidRPr="000855B2">
        <w:t>have</w:t>
      </w:r>
      <w:r w:rsidRPr="000855B2">
        <w:t xml:space="preserve"> to be equipped with precise air-fuel metering devices, </w:t>
      </w:r>
      <w:r w:rsidR="00045B39" w:rsidRPr="000855B2">
        <w:t xml:space="preserve">and </w:t>
      </w:r>
      <w:r w:rsidRPr="000855B2">
        <w:t>possibl</w:t>
      </w:r>
      <w:r w:rsidR="00045B39" w:rsidRPr="000855B2">
        <w:t>y</w:t>
      </w:r>
      <w:r w:rsidRPr="000855B2">
        <w:t xml:space="preserve"> direct injection and secondary air injection in the exhaust line.</w:t>
      </w:r>
      <w:r w:rsidR="007F37A3" w:rsidRPr="000855B2">
        <w:t xml:space="preserve"> In addition, Euro 4 levels have been regulated for the 2017/18 period and Euro 5 levels for the 2020/21 period. These new levels will lead to a further substantial decrease of emissions and are associated with additional measures, including evaporation control and durability requirements.</w:t>
      </w:r>
    </w:p>
    <w:p w14:paraId="52BEAB9F" w14:textId="77777777" w:rsidR="001D2587" w:rsidRPr="000855B2" w:rsidRDefault="001D2587" w:rsidP="00AC1E78">
      <w:pPr>
        <w:pStyle w:val="Heading3"/>
      </w:pPr>
      <w:bookmarkStart w:id="48" w:name="_Toc457131575"/>
      <w:bookmarkStart w:id="49" w:name="_Toc496264307"/>
      <w:r w:rsidRPr="000855B2">
        <w:t xml:space="preserve">Legislation classes for </w:t>
      </w:r>
      <w:r w:rsidR="00C97944" w:rsidRPr="000855B2">
        <w:t>two-stroke</w:t>
      </w:r>
      <w:r w:rsidRPr="000855B2">
        <w:t xml:space="preserve"> and </w:t>
      </w:r>
      <w:r w:rsidR="00C97944" w:rsidRPr="000855B2">
        <w:t>four-stroke</w:t>
      </w:r>
      <w:r w:rsidRPr="000855B2">
        <w:t xml:space="preserve"> motorcycles </w:t>
      </w:r>
      <w:r w:rsidR="00972A38" w:rsidRPr="000855B2">
        <w:t>&gt; </w:t>
      </w:r>
      <w:r w:rsidRPr="000855B2">
        <w:t>50</w:t>
      </w:r>
      <w:r w:rsidR="00363D3C" w:rsidRPr="000855B2">
        <w:t> cm</w:t>
      </w:r>
      <w:r w:rsidRPr="000855B2">
        <w:t>³</w:t>
      </w:r>
      <w:bookmarkEnd w:id="48"/>
      <w:bookmarkEnd w:id="49"/>
    </w:p>
    <w:p w14:paraId="77CAC781" w14:textId="77777777" w:rsidR="001D2587" w:rsidRPr="000855B2" w:rsidRDefault="001D2587" w:rsidP="00F72AFB">
      <w:pPr>
        <w:pStyle w:val="BodyText"/>
      </w:pPr>
      <w:r w:rsidRPr="000855B2">
        <w:t>Emissions regulations for two</w:t>
      </w:r>
      <w:r w:rsidR="00C97944" w:rsidRPr="000855B2">
        <w:t>-</w:t>
      </w:r>
      <w:r w:rsidRPr="000855B2">
        <w:t xml:space="preserve"> and four</w:t>
      </w:r>
      <w:r w:rsidR="00C97944" w:rsidRPr="000855B2">
        <w:t>-</w:t>
      </w:r>
      <w:r w:rsidRPr="000855B2">
        <w:t xml:space="preserve">stroke motorcycles </w:t>
      </w:r>
      <w:r w:rsidR="00972A38" w:rsidRPr="000855B2">
        <w:t>&gt; </w:t>
      </w:r>
      <w:r w:rsidRPr="000855B2">
        <w:t>50</w:t>
      </w:r>
      <w:r w:rsidR="00363D3C" w:rsidRPr="000855B2">
        <w:t> </w:t>
      </w:r>
      <w:r w:rsidRPr="000855B2">
        <w:t>cm³ were first introduced in June 1999 (</w:t>
      </w:r>
      <w:r w:rsidR="008D1415" w:rsidRPr="000855B2">
        <w:t>Euro </w:t>
      </w:r>
      <w:r w:rsidRPr="000855B2">
        <w:t>1)</w:t>
      </w:r>
      <w:r w:rsidR="00900593" w:rsidRPr="000855B2">
        <w:t>,</w:t>
      </w:r>
      <w:r w:rsidRPr="000855B2">
        <w:t xml:space="preserve"> when </w:t>
      </w:r>
      <w:r w:rsidR="008E08EA" w:rsidRPr="000855B2">
        <w:t>Directive</w:t>
      </w:r>
      <w:r w:rsidRPr="000855B2">
        <w:t xml:space="preserve"> 97/24/EC came into force. The </w:t>
      </w:r>
      <w:r w:rsidR="008E08EA" w:rsidRPr="000855B2">
        <w:t>Directive</w:t>
      </w:r>
      <w:r w:rsidRPr="000855B2">
        <w:t xml:space="preserve"> impose</w:t>
      </w:r>
      <w:r w:rsidR="00900593" w:rsidRPr="000855B2">
        <w:t>d</w:t>
      </w:r>
      <w:r w:rsidRPr="000855B2">
        <w:t xml:space="preserve"> different emission standards for </w:t>
      </w:r>
      <w:r w:rsidRPr="000855B2">
        <w:lastRenderedPageBreak/>
        <w:t>two</w:t>
      </w:r>
      <w:r w:rsidR="00900593" w:rsidRPr="000855B2">
        <w:t>-</w:t>
      </w:r>
      <w:r w:rsidRPr="000855B2">
        <w:t xml:space="preserve"> and four</w:t>
      </w:r>
      <w:r w:rsidR="00900593" w:rsidRPr="000855B2">
        <w:t>-</w:t>
      </w:r>
      <w:r w:rsidRPr="000855B2">
        <w:t xml:space="preserve">stroke vehicles respectively, and separate limits </w:t>
      </w:r>
      <w:r w:rsidR="00900593" w:rsidRPr="000855B2">
        <w:t>we</w:t>
      </w:r>
      <w:r w:rsidRPr="000855B2">
        <w:t>re set for HC and NO</w:t>
      </w:r>
      <w:r w:rsidRPr="000855B2">
        <w:rPr>
          <w:vertAlign w:val="subscript"/>
        </w:rPr>
        <w:t>x</w:t>
      </w:r>
      <w:r w:rsidRPr="000855B2">
        <w:t xml:space="preserve"> to allow for a better distinction </w:t>
      </w:r>
      <w:r w:rsidR="00900593" w:rsidRPr="000855B2">
        <w:t>between</w:t>
      </w:r>
      <w:r w:rsidRPr="000855B2">
        <w:t xml:space="preserve"> different technologies (</w:t>
      </w:r>
      <w:r w:rsidR="00900593" w:rsidRPr="000855B2">
        <w:t>two</w:t>
      </w:r>
      <w:r w:rsidRPr="000855B2">
        <w:t>-stroke: CO 8</w:t>
      </w:r>
      <w:r w:rsidR="00363D3C" w:rsidRPr="000855B2">
        <w:t> </w:t>
      </w:r>
      <w:r w:rsidRPr="000855B2">
        <w:t>g/km, HC 4</w:t>
      </w:r>
      <w:r w:rsidR="00363D3C" w:rsidRPr="000855B2">
        <w:t> </w:t>
      </w:r>
      <w:r w:rsidRPr="000855B2">
        <w:t>g/km, NO</w:t>
      </w:r>
      <w:r w:rsidRPr="000855B2">
        <w:rPr>
          <w:vertAlign w:val="subscript"/>
        </w:rPr>
        <w:t>x</w:t>
      </w:r>
      <w:r w:rsidRPr="000855B2">
        <w:t xml:space="preserve"> 0.1</w:t>
      </w:r>
      <w:r w:rsidR="00363D3C" w:rsidRPr="000855B2">
        <w:t> g/km</w:t>
      </w:r>
      <w:r w:rsidRPr="000855B2">
        <w:t xml:space="preserve">; </w:t>
      </w:r>
      <w:r w:rsidR="00900593" w:rsidRPr="000855B2">
        <w:t>four</w:t>
      </w:r>
      <w:r w:rsidRPr="000855B2">
        <w:t>-stroke : CO 13</w:t>
      </w:r>
      <w:r w:rsidR="00363D3C" w:rsidRPr="000855B2">
        <w:t> g/km</w:t>
      </w:r>
      <w:r w:rsidRPr="000855B2">
        <w:t>, HC 3</w:t>
      </w:r>
      <w:r w:rsidR="00363D3C" w:rsidRPr="000855B2">
        <w:t> g/km</w:t>
      </w:r>
      <w:r w:rsidRPr="000855B2">
        <w:t>, NO</w:t>
      </w:r>
      <w:r w:rsidRPr="000855B2">
        <w:rPr>
          <w:vertAlign w:val="subscript"/>
        </w:rPr>
        <w:t>x</w:t>
      </w:r>
      <w:r w:rsidRPr="000855B2">
        <w:t xml:space="preserve"> 0.3</w:t>
      </w:r>
      <w:r w:rsidR="00363D3C" w:rsidRPr="000855B2">
        <w:t> g/km</w:t>
      </w:r>
      <w:r w:rsidRPr="000855B2">
        <w:t xml:space="preserve">). In 2002, </w:t>
      </w:r>
      <w:r w:rsidR="00900593" w:rsidRPr="000855B2">
        <w:t>R</w:t>
      </w:r>
      <w:r w:rsidRPr="000855B2">
        <w:t xml:space="preserve">egulation 2002/51/EC introduced the </w:t>
      </w:r>
      <w:r w:rsidR="008D1415" w:rsidRPr="000855B2">
        <w:t>Euro </w:t>
      </w:r>
      <w:r w:rsidRPr="000855B2">
        <w:t xml:space="preserve">2 (2003) and the </w:t>
      </w:r>
      <w:r w:rsidR="008D1415" w:rsidRPr="000855B2">
        <w:t>Euro </w:t>
      </w:r>
      <w:r w:rsidRPr="000855B2">
        <w:t xml:space="preserve">3 (2006) </w:t>
      </w:r>
      <w:r w:rsidR="00900593" w:rsidRPr="000855B2">
        <w:t>standards</w:t>
      </w:r>
      <w:r w:rsidRPr="000855B2">
        <w:t xml:space="preserve"> for motorcycles</w:t>
      </w:r>
      <w:r w:rsidR="00900593" w:rsidRPr="000855B2">
        <w:t>,</w:t>
      </w:r>
      <w:r w:rsidRPr="000855B2">
        <w:t xml:space="preserve"> with differentiated </w:t>
      </w:r>
      <w:r w:rsidR="00900593" w:rsidRPr="000855B2">
        <w:t>limits</w:t>
      </w:r>
      <w:r w:rsidRPr="000855B2">
        <w:t xml:space="preserve"> depending on the engine size. </w:t>
      </w:r>
      <w:r w:rsidR="007F37A3" w:rsidRPr="000855B2">
        <w:t>Regulation 168/2013 introduced Euro 4 and Euro 5 limits for motorcycles that gradually lead their emission levels to become similar to passenger cars. This Regulation also mandates evaporation control, durability requirements, OBD requirements, and CO</w:t>
      </w:r>
      <w:r w:rsidR="007F37A3" w:rsidRPr="000855B2">
        <w:rPr>
          <w:vertAlign w:val="subscript"/>
        </w:rPr>
        <w:t>2</w:t>
      </w:r>
      <w:r w:rsidR="007F37A3" w:rsidRPr="000855B2">
        <w:t xml:space="preserve"> measurement. Possible additional future steps include in-use compliance, offcycle emission control and particle emission number control for direct injection vehicles.</w:t>
      </w:r>
    </w:p>
    <w:p w14:paraId="39548A69" w14:textId="77777777" w:rsidR="001D2587" w:rsidRPr="000855B2" w:rsidRDefault="001D2587" w:rsidP="00AC1E78">
      <w:pPr>
        <w:pStyle w:val="Heading3"/>
      </w:pPr>
      <w:r w:rsidRPr="000855B2">
        <w:t>Summary of vehicle technologies / control measures</w:t>
      </w:r>
    </w:p>
    <w:p w14:paraId="7B4EC35F" w14:textId="63511269" w:rsidR="00C0504E" w:rsidRPr="000855B2" w:rsidRDefault="00FB454C" w:rsidP="003930A6">
      <w:pPr>
        <w:rPr>
          <w:lang w:val="en-GB"/>
        </w:rPr>
      </w:pPr>
      <w:r>
        <w:fldChar w:fldCharType="begin"/>
      </w:r>
      <w:r>
        <w:instrText xml:space="preserve"> REF _Ref140399439 \h  \* MERGEFORMAT </w:instrText>
      </w:r>
      <w:r>
        <w:fldChar w:fldCharType="separate"/>
      </w:r>
      <w:r w:rsidR="0071604C" w:rsidRPr="0071604C">
        <w:rPr>
          <w:lang w:val="en-GB"/>
        </w:rPr>
        <w:t>Table 2.2</w:t>
      </w:r>
      <w:r>
        <w:fldChar w:fldCharType="end"/>
      </w:r>
      <w:r w:rsidR="001D2587" w:rsidRPr="000855B2">
        <w:rPr>
          <w:lang w:val="en-GB"/>
        </w:rPr>
        <w:t xml:space="preserve"> provides a summary of all vehicle categories and technologies (emission standards) covered by the present methodology.</w:t>
      </w:r>
    </w:p>
    <w:p w14:paraId="17A9FC90" w14:textId="72B2C1AF" w:rsidR="001119F4" w:rsidRPr="000855B2" w:rsidRDefault="00051085" w:rsidP="00E43131">
      <w:pPr>
        <w:pStyle w:val="Caption"/>
      </w:pPr>
      <w:bookmarkStart w:id="50" w:name="_Ref140399439"/>
      <w:bookmarkStart w:id="51" w:name="_Ref140565358"/>
      <w:r w:rsidRPr="001843DE">
        <w:t>Table </w:t>
      </w:r>
      <w:r w:rsidR="00FB454C">
        <w:fldChar w:fldCharType="begin"/>
      </w:r>
      <w:r w:rsidR="00FB454C">
        <w:instrText xml:space="preserve"> STYLEREF 1 \s </w:instrText>
      </w:r>
      <w:r w:rsidR="00FB454C">
        <w:fldChar w:fldCharType="separate"/>
      </w:r>
      <w:r w:rsidR="0071604C">
        <w:rPr>
          <w:noProof/>
        </w:rPr>
        <w:t>2</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w:t>
      </w:r>
      <w:r w:rsidR="00FB454C">
        <w:rPr>
          <w:noProof/>
        </w:rPr>
        <w:fldChar w:fldCharType="end"/>
      </w:r>
      <w:bookmarkEnd w:id="50"/>
      <w:r w:rsidRPr="001843DE">
        <w:t>: Summary of all vehicle classes covered by the methodology</w:t>
      </w:r>
      <w:bookmarkEnd w:id="51"/>
    </w:p>
    <w:tbl>
      <w:tblPr>
        <w:tblW w:w="657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60"/>
        <w:gridCol w:w="2570"/>
        <w:gridCol w:w="2340"/>
      </w:tblGrid>
      <w:tr w:rsidR="00431EC2" w:rsidRPr="009F3B82" w14:paraId="60F7733A" w14:textId="77777777" w:rsidTr="009F3B82">
        <w:trPr>
          <w:trHeight w:val="57"/>
          <w:tblHeader/>
        </w:trPr>
        <w:tc>
          <w:tcPr>
            <w:tcW w:w="1660" w:type="dxa"/>
            <w:tcBorders>
              <w:bottom w:val="single" w:sz="12" w:space="0" w:color="auto"/>
            </w:tcBorders>
            <w:shd w:val="clear" w:color="auto" w:fill="auto"/>
            <w:noWrap/>
            <w:vAlign w:val="center"/>
            <w:hideMark/>
          </w:tcPr>
          <w:p w14:paraId="6F4AED43" w14:textId="77777777" w:rsidR="00431EC2" w:rsidRPr="009F3B82" w:rsidRDefault="00431EC2" w:rsidP="009F3B82">
            <w:pPr>
              <w:jc w:val="center"/>
              <w:rPr>
                <w:rFonts w:cs="Open Sans"/>
                <w:b/>
                <w:color w:val="000000"/>
                <w:szCs w:val="18"/>
                <w:lang w:val="en-US" w:eastAsia="en-US"/>
              </w:rPr>
            </w:pPr>
            <w:r w:rsidRPr="009F3B82">
              <w:rPr>
                <w:rFonts w:cs="Open Sans"/>
                <w:b/>
                <w:color w:val="000000"/>
                <w:szCs w:val="18"/>
                <w:lang w:val="en-US" w:eastAsia="en-US"/>
              </w:rPr>
              <w:t>Vehicle category</w:t>
            </w:r>
          </w:p>
        </w:tc>
        <w:tc>
          <w:tcPr>
            <w:tcW w:w="2570" w:type="dxa"/>
            <w:tcBorders>
              <w:bottom w:val="single" w:sz="12" w:space="0" w:color="auto"/>
            </w:tcBorders>
            <w:shd w:val="clear" w:color="auto" w:fill="auto"/>
            <w:noWrap/>
            <w:vAlign w:val="center"/>
            <w:hideMark/>
          </w:tcPr>
          <w:p w14:paraId="287D1216" w14:textId="77777777" w:rsidR="00431EC2" w:rsidRPr="009F3B82" w:rsidRDefault="00431EC2" w:rsidP="009F3B82">
            <w:pPr>
              <w:jc w:val="center"/>
              <w:rPr>
                <w:rFonts w:cs="Open Sans"/>
                <w:b/>
                <w:color w:val="000000"/>
                <w:szCs w:val="18"/>
                <w:lang w:val="en-US" w:eastAsia="en-US"/>
              </w:rPr>
            </w:pPr>
            <w:r w:rsidRPr="009F3B82">
              <w:rPr>
                <w:rFonts w:cs="Open Sans"/>
                <w:b/>
                <w:color w:val="000000"/>
                <w:szCs w:val="18"/>
                <w:lang w:val="en-US" w:eastAsia="en-US"/>
              </w:rPr>
              <w:t>Type</w:t>
            </w:r>
          </w:p>
        </w:tc>
        <w:tc>
          <w:tcPr>
            <w:tcW w:w="2340" w:type="dxa"/>
            <w:tcBorders>
              <w:bottom w:val="single" w:sz="12" w:space="0" w:color="auto"/>
            </w:tcBorders>
            <w:shd w:val="clear" w:color="auto" w:fill="auto"/>
            <w:noWrap/>
            <w:vAlign w:val="center"/>
            <w:hideMark/>
          </w:tcPr>
          <w:p w14:paraId="612B9B73" w14:textId="77777777" w:rsidR="00431EC2" w:rsidRPr="009F3B82" w:rsidRDefault="00431EC2" w:rsidP="009F3B82">
            <w:pPr>
              <w:jc w:val="center"/>
              <w:rPr>
                <w:rFonts w:cs="Open Sans"/>
                <w:b/>
                <w:color w:val="000000"/>
                <w:szCs w:val="18"/>
                <w:lang w:val="en-US" w:eastAsia="en-US"/>
              </w:rPr>
            </w:pPr>
            <w:r w:rsidRPr="009F3B82">
              <w:rPr>
                <w:rFonts w:cs="Open Sans"/>
                <w:b/>
                <w:color w:val="000000"/>
                <w:szCs w:val="18"/>
                <w:lang w:val="en-US" w:eastAsia="en-US"/>
              </w:rPr>
              <w:t>Euro Standard</w:t>
            </w:r>
          </w:p>
        </w:tc>
      </w:tr>
      <w:tr w:rsidR="00431EC2" w:rsidRPr="009F3B82" w14:paraId="130D12A6" w14:textId="77777777" w:rsidTr="00410789">
        <w:trPr>
          <w:trHeight w:val="57"/>
        </w:trPr>
        <w:tc>
          <w:tcPr>
            <w:tcW w:w="1660" w:type="dxa"/>
            <w:vMerge w:val="restart"/>
            <w:tcBorders>
              <w:top w:val="single" w:sz="12" w:space="0" w:color="auto"/>
            </w:tcBorders>
            <w:shd w:val="clear" w:color="auto" w:fill="auto"/>
            <w:noWrap/>
            <w:vAlign w:val="center"/>
            <w:hideMark/>
          </w:tcPr>
          <w:p w14:paraId="100C59DB" w14:textId="77777777" w:rsidR="00431EC2" w:rsidRPr="009F3B82" w:rsidRDefault="00431EC2" w:rsidP="00410789">
            <w:pPr>
              <w:spacing w:line="240" w:lineRule="auto"/>
              <w:rPr>
                <w:rFonts w:cs="Open Sans"/>
                <w:color w:val="000000"/>
                <w:szCs w:val="18"/>
                <w:lang w:val="en-US" w:eastAsia="en-US"/>
              </w:rPr>
            </w:pPr>
            <w:r w:rsidRPr="009F3B82">
              <w:rPr>
                <w:rFonts w:cs="Open Sans"/>
                <w:color w:val="000000"/>
                <w:szCs w:val="18"/>
                <w:lang w:val="en-US" w:eastAsia="en-US"/>
              </w:rPr>
              <w:t>Passenger Cars</w:t>
            </w:r>
          </w:p>
        </w:tc>
        <w:tc>
          <w:tcPr>
            <w:tcW w:w="2570" w:type="dxa"/>
            <w:vMerge w:val="restart"/>
            <w:tcBorders>
              <w:top w:val="single" w:sz="12" w:space="0" w:color="auto"/>
            </w:tcBorders>
            <w:shd w:val="clear" w:color="auto" w:fill="auto"/>
            <w:noWrap/>
            <w:vAlign w:val="center"/>
            <w:hideMark/>
          </w:tcPr>
          <w:p w14:paraId="44DFDB9C"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Mini</w:t>
            </w:r>
          </w:p>
        </w:tc>
        <w:tc>
          <w:tcPr>
            <w:tcW w:w="2340" w:type="dxa"/>
            <w:tcBorders>
              <w:top w:val="single" w:sz="12" w:space="0" w:color="auto"/>
            </w:tcBorders>
            <w:shd w:val="clear" w:color="auto" w:fill="auto"/>
            <w:noWrap/>
            <w:vAlign w:val="center"/>
            <w:hideMark/>
          </w:tcPr>
          <w:p w14:paraId="5AF8BA3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5237665E" w14:textId="77777777" w:rsidTr="00410789">
        <w:trPr>
          <w:trHeight w:val="57"/>
        </w:trPr>
        <w:tc>
          <w:tcPr>
            <w:tcW w:w="1660" w:type="dxa"/>
            <w:vMerge/>
            <w:vAlign w:val="center"/>
            <w:hideMark/>
          </w:tcPr>
          <w:p w14:paraId="77911A0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4A099C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038E85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3A913111" w14:textId="77777777" w:rsidTr="00410789">
        <w:trPr>
          <w:trHeight w:val="57"/>
        </w:trPr>
        <w:tc>
          <w:tcPr>
            <w:tcW w:w="1660" w:type="dxa"/>
            <w:vMerge/>
            <w:vAlign w:val="center"/>
            <w:hideMark/>
          </w:tcPr>
          <w:p w14:paraId="325F06A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290159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C98BCD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4A8CAF82" w14:textId="77777777" w:rsidTr="00410789">
        <w:trPr>
          <w:trHeight w:val="57"/>
        </w:trPr>
        <w:tc>
          <w:tcPr>
            <w:tcW w:w="1660" w:type="dxa"/>
            <w:vMerge/>
            <w:vAlign w:val="center"/>
            <w:hideMark/>
          </w:tcPr>
          <w:p w14:paraId="6F14232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2948D8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806DE5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46C8C238" w14:textId="77777777" w:rsidTr="00410789">
        <w:trPr>
          <w:trHeight w:val="57"/>
        </w:trPr>
        <w:tc>
          <w:tcPr>
            <w:tcW w:w="1660" w:type="dxa"/>
            <w:vMerge/>
            <w:vAlign w:val="center"/>
            <w:hideMark/>
          </w:tcPr>
          <w:p w14:paraId="1235EA6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96DC1D7"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2B221D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535F666A" w14:textId="77777777" w:rsidTr="00410789">
        <w:trPr>
          <w:trHeight w:val="57"/>
        </w:trPr>
        <w:tc>
          <w:tcPr>
            <w:tcW w:w="1660" w:type="dxa"/>
            <w:vMerge/>
            <w:vAlign w:val="center"/>
            <w:hideMark/>
          </w:tcPr>
          <w:p w14:paraId="1ECFB005"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20A062D8"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Small</w:t>
            </w:r>
            <w:r w:rsidRPr="009F3B82">
              <w:rPr>
                <w:rFonts w:cs="Open Sans"/>
                <w:color w:val="000000"/>
                <w:szCs w:val="18"/>
                <w:lang w:val="en-US" w:eastAsia="en-US"/>
              </w:rPr>
              <w:br/>
              <w:t>Petrol Medium</w:t>
            </w:r>
            <w:r w:rsidRPr="009F3B82">
              <w:rPr>
                <w:rFonts w:cs="Open Sans"/>
                <w:color w:val="000000"/>
                <w:szCs w:val="18"/>
                <w:lang w:val="en-US" w:eastAsia="en-US"/>
              </w:rPr>
              <w:br/>
              <w:t>Petrol Large-SUV-Executive</w:t>
            </w:r>
          </w:p>
        </w:tc>
        <w:tc>
          <w:tcPr>
            <w:tcW w:w="2340" w:type="dxa"/>
            <w:shd w:val="clear" w:color="auto" w:fill="auto"/>
            <w:noWrap/>
            <w:vAlign w:val="center"/>
            <w:hideMark/>
          </w:tcPr>
          <w:p w14:paraId="43FCC6B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PRE ECE</w:t>
            </w:r>
          </w:p>
        </w:tc>
      </w:tr>
      <w:tr w:rsidR="00431EC2" w:rsidRPr="009F3B82" w14:paraId="23A429A5" w14:textId="77777777" w:rsidTr="00410789">
        <w:trPr>
          <w:trHeight w:val="57"/>
        </w:trPr>
        <w:tc>
          <w:tcPr>
            <w:tcW w:w="1660" w:type="dxa"/>
            <w:vMerge/>
            <w:vAlign w:val="center"/>
            <w:hideMark/>
          </w:tcPr>
          <w:p w14:paraId="0DE8E2D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A537FB7"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057640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15/00-01</w:t>
            </w:r>
          </w:p>
        </w:tc>
      </w:tr>
      <w:tr w:rsidR="00431EC2" w:rsidRPr="009F3B82" w14:paraId="2302FF6F" w14:textId="77777777" w:rsidTr="00410789">
        <w:trPr>
          <w:trHeight w:val="57"/>
        </w:trPr>
        <w:tc>
          <w:tcPr>
            <w:tcW w:w="1660" w:type="dxa"/>
            <w:vMerge/>
            <w:vAlign w:val="center"/>
            <w:hideMark/>
          </w:tcPr>
          <w:p w14:paraId="6BDE6A0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E961BC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FB58D8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15/02</w:t>
            </w:r>
          </w:p>
        </w:tc>
      </w:tr>
      <w:tr w:rsidR="00431EC2" w:rsidRPr="009F3B82" w14:paraId="4BCBFEDE" w14:textId="77777777" w:rsidTr="00410789">
        <w:trPr>
          <w:trHeight w:val="57"/>
        </w:trPr>
        <w:tc>
          <w:tcPr>
            <w:tcW w:w="1660" w:type="dxa"/>
            <w:vMerge/>
            <w:vAlign w:val="center"/>
            <w:hideMark/>
          </w:tcPr>
          <w:p w14:paraId="450E102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78F79C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6404CB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15/03</w:t>
            </w:r>
          </w:p>
        </w:tc>
      </w:tr>
      <w:tr w:rsidR="00431EC2" w:rsidRPr="009F3B82" w14:paraId="0A7D590D" w14:textId="77777777" w:rsidTr="00410789">
        <w:trPr>
          <w:trHeight w:val="57"/>
        </w:trPr>
        <w:tc>
          <w:tcPr>
            <w:tcW w:w="1660" w:type="dxa"/>
            <w:vMerge/>
            <w:vAlign w:val="center"/>
            <w:hideMark/>
          </w:tcPr>
          <w:p w14:paraId="6BFD642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2F9619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422149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ECE 15/04</w:t>
            </w:r>
          </w:p>
        </w:tc>
      </w:tr>
      <w:tr w:rsidR="00431EC2" w:rsidRPr="009F3B82" w14:paraId="166AA827" w14:textId="77777777" w:rsidTr="00410789">
        <w:trPr>
          <w:trHeight w:val="57"/>
        </w:trPr>
        <w:tc>
          <w:tcPr>
            <w:tcW w:w="1660" w:type="dxa"/>
            <w:vMerge/>
            <w:vAlign w:val="center"/>
            <w:hideMark/>
          </w:tcPr>
          <w:p w14:paraId="05CDF9E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9F9C76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E6366C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Improved Conventional</w:t>
            </w:r>
          </w:p>
        </w:tc>
      </w:tr>
      <w:tr w:rsidR="00431EC2" w:rsidRPr="009F3B82" w14:paraId="2CD009E6" w14:textId="77777777" w:rsidTr="00410789">
        <w:trPr>
          <w:trHeight w:val="57"/>
        </w:trPr>
        <w:tc>
          <w:tcPr>
            <w:tcW w:w="1660" w:type="dxa"/>
            <w:vMerge/>
            <w:vAlign w:val="center"/>
            <w:hideMark/>
          </w:tcPr>
          <w:p w14:paraId="14C19B1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26685C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2283D9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Open Loop</w:t>
            </w:r>
          </w:p>
        </w:tc>
      </w:tr>
      <w:tr w:rsidR="00431EC2" w:rsidRPr="009F3B82" w14:paraId="10F11455" w14:textId="77777777" w:rsidTr="00410789">
        <w:trPr>
          <w:trHeight w:val="57"/>
        </w:trPr>
        <w:tc>
          <w:tcPr>
            <w:tcW w:w="1660" w:type="dxa"/>
            <w:vMerge/>
            <w:vAlign w:val="center"/>
            <w:hideMark/>
          </w:tcPr>
          <w:p w14:paraId="441884E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BB0B07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46FD2A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14994B9C" w14:textId="77777777" w:rsidTr="00410789">
        <w:trPr>
          <w:trHeight w:val="57"/>
        </w:trPr>
        <w:tc>
          <w:tcPr>
            <w:tcW w:w="1660" w:type="dxa"/>
            <w:vMerge/>
            <w:vAlign w:val="center"/>
            <w:hideMark/>
          </w:tcPr>
          <w:p w14:paraId="0BA5B52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F24774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501E41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6B5C7C06" w14:textId="77777777" w:rsidTr="00410789">
        <w:trPr>
          <w:trHeight w:val="57"/>
        </w:trPr>
        <w:tc>
          <w:tcPr>
            <w:tcW w:w="1660" w:type="dxa"/>
            <w:vMerge/>
            <w:vAlign w:val="center"/>
            <w:hideMark/>
          </w:tcPr>
          <w:p w14:paraId="57F66B0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375A13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2B6D6D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37E8EE16" w14:textId="77777777" w:rsidTr="00410789">
        <w:trPr>
          <w:trHeight w:val="57"/>
        </w:trPr>
        <w:tc>
          <w:tcPr>
            <w:tcW w:w="1660" w:type="dxa"/>
            <w:vMerge/>
            <w:vAlign w:val="center"/>
            <w:hideMark/>
          </w:tcPr>
          <w:p w14:paraId="560ED98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2BB164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E52C1F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0BB9AB01" w14:textId="77777777" w:rsidTr="00410789">
        <w:trPr>
          <w:trHeight w:val="57"/>
        </w:trPr>
        <w:tc>
          <w:tcPr>
            <w:tcW w:w="1660" w:type="dxa"/>
            <w:vMerge/>
            <w:vAlign w:val="center"/>
            <w:hideMark/>
          </w:tcPr>
          <w:p w14:paraId="7E02A06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5D0642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69F638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30E02818" w14:textId="77777777" w:rsidTr="00410789">
        <w:trPr>
          <w:trHeight w:val="57"/>
        </w:trPr>
        <w:tc>
          <w:tcPr>
            <w:tcW w:w="1660" w:type="dxa"/>
            <w:vMerge/>
            <w:vAlign w:val="center"/>
            <w:hideMark/>
          </w:tcPr>
          <w:p w14:paraId="6CE1F5F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3A6E6B1"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4ECF0D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3A7044F7" w14:textId="77777777" w:rsidTr="00410789">
        <w:trPr>
          <w:trHeight w:val="57"/>
        </w:trPr>
        <w:tc>
          <w:tcPr>
            <w:tcW w:w="1660" w:type="dxa"/>
            <w:vMerge/>
            <w:vAlign w:val="center"/>
            <w:hideMark/>
          </w:tcPr>
          <w:p w14:paraId="226EFF3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741499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EB17F5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48A8CB01" w14:textId="77777777" w:rsidTr="00410789">
        <w:trPr>
          <w:trHeight w:val="57"/>
        </w:trPr>
        <w:tc>
          <w:tcPr>
            <w:tcW w:w="1660" w:type="dxa"/>
            <w:vMerge/>
            <w:vAlign w:val="center"/>
            <w:hideMark/>
          </w:tcPr>
          <w:p w14:paraId="00128F5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3112397"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38F39C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2BE505EC" w14:textId="77777777" w:rsidTr="00410789">
        <w:trPr>
          <w:trHeight w:val="57"/>
        </w:trPr>
        <w:tc>
          <w:tcPr>
            <w:tcW w:w="1660" w:type="dxa"/>
            <w:vMerge/>
            <w:vAlign w:val="center"/>
            <w:hideMark/>
          </w:tcPr>
          <w:p w14:paraId="0E80D04A"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7EC36213"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Diesel Mini</w:t>
            </w:r>
          </w:p>
        </w:tc>
        <w:tc>
          <w:tcPr>
            <w:tcW w:w="2340" w:type="dxa"/>
            <w:shd w:val="clear" w:color="auto" w:fill="auto"/>
            <w:noWrap/>
            <w:vAlign w:val="center"/>
            <w:hideMark/>
          </w:tcPr>
          <w:p w14:paraId="28965FC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1417C283" w14:textId="77777777" w:rsidTr="00410789">
        <w:trPr>
          <w:trHeight w:val="57"/>
        </w:trPr>
        <w:tc>
          <w:tcPr>
            <w:tcW w:w="1660" w:type="dxa"/>
            <w:vMerge/>
            <w:vAlign w:val="center"/>
            <w:hideMark/>
          </w:tcPr>
          <w:p w14:paraId="0C21042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9A928B4"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98B67B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123143E0" w14:textId="77777777" w:rsidTr="00410789">
        <w:trPr>
          <w:trHeight w:val="57"/>
        </w:trPr>
        <w:tc>
          <w:tcPr>
            <w:tcW w:w="1660" w:type="dxa"/>
            <w:vMerge/>
            <w:vAlign w:val="center"/>
            <w:hideMark/>
          </w:tcPr>
          <w:p w14:paraId="6E8DD0F0"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1956D9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C9B059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137F2F45" w14:textId="77777777" w:rsidTr="00410789">
        <w:trPr>
          <w:trHeight w:val="57"/>
        </w:trPr>
        <w:tc>
          <w:tcPr>
            <w:tcW w:w="1660" w:type="dxa"/>
            <w:vMerge/>
            <w:vAlign w:val="center"/>
            <w:hideMark/>
          </w:tcPr>
          <w:p w14:paraId="0705A4D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E91BC5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7F37FE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3578226E" w14:textId="77777777" w:rsidTr="00410789">
        <w:trPr>
          <w:trHeight w:val="57"/>
        </w:trPr>
        <w:tc>
          <w:tcPr>
            <w:tcW w:w="1660" w:type="dxa"/>
            <w:vMerge/>
            <w:vAlign w:val="center"/>
            <w:hideMark/>
          </w:tcPr>
          <w:p w14:paraId="114515D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2631C7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F48C34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6DEAEBBA" w14:textId="77777777" w:rsidTr="00410789">
        <w:trPr>
          <w:trHeight w:val="57"/>
        </w:trPr>
        <w:tc>
          <w:tcPr>
            <w:tcW w:w="1660" w:type="dxa"/>
            <w:vMerge/>
            <w:vAlign w:val="center"/>
            <w:hideMark/>
          </w:tcPr>
          <w:p w14:paraId="5CCDB32C"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5A5F7753"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Diesel Small</w:t>
            </w:r>
            <w:r w:rsidRPr="009F3B82">
              <w:rPr>
                <w:rFonts w:cs="Open Sans"/>
                <w:color w:val="000000"/>
                <w:szCs w:val="18"/>
                <w:lang w:val="en-US" w:eastAsia="en-US"/>
              </w:rPr>
              <w:br/>
              <w:t>Diesel Medium</w:t>
            </w:r>
            <w:r w:rsidRPr="009F3B82">
              <w:rPr>
                <w:rFonts w:cs="Open Sans"/>
                <w:color w:val="000000"/>
                <w:szCs w:val="18"/>
                <w:lang w:val="en-US" w:eastAsia="en-US"/>
              </w:rPr>
              <w:br/>
              <w:t>Diesel Large-SUV-Executive</w:t>
            </w:r>
          </w:p>
        </w:tc>
        <w:tc>
          <w:tcPr>
            <w:tcW w:w="2340" w:type="dxa"/>
            <w:shd w:val="clear" w:color="auto" w:fill="auto"/>
            <w:noWrap/>
            <w:vAlign w:val="center"/>
            <w:hideMark/>
          </w:tcPr>
          <w:p w14:paraId="1B718AE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5D5141C3" w14:textId="77777777" w:rsidTr="00410789">
        <w:trPr>
          <w:trHeight w:val="57"/>
        </w:trPr>
        <w:tc>
          <w:tcPr>
            <w:tcW w:w="1660" w:type="dxa"/>
            <w:vMerge/>
            <w:vAlign w:val="center"/>
            <w:hideMark/>
          </w:tcPr>
          <w:p w14:paraId="68622BA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932049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EE68A3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0FC12E69" w14:textId="77777777" w:rsidTr="00410789">
        <w:trPr>
          <w:trHeight w:val="57"/>
        </w:trPr>
        <w:tc>
          <w:tcPr>
            <w:tcW w:w="1660" w:type="dxa"/>
            <w:vMerge/>
            <w:vAlign w:val="center"/>
            <w:hideMark/>
          </w:tcPr>
          <w:p w14:paraId="1154B14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920D52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B9EA23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55F0829E" w14:textId="77777777" w:rsidTr="00410789">
        <w:trPr>
          <w:trHeight w:val="57"/>
        </w:trPr>
        <w:tc>
          <w:tcPr>
            <w:tcW w:w="1660" w:type="dxa"/>
            <w:vMerge/>
            <w:vAlign w:val="center"/>
            <w:hideMark/>
          </w:tcPr>
          <w:p w14:paraId="011E285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CFD91C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6CE5DC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171C0BE1" w14:textId="77777777" w:rsidTr="00410789">
        <w:trPr>
          <w:trHeight w:val="57"/>
        </w:trPr>
        <w:tc>
          <w:tcPr>
            <w:tcW w:w="1660" w:type="dxa"/>
            <w:vMerge/>
            <w:vAlign w:val="center"/>
            <w:hideMark/>
          </w:tcPr>
          <w:p w14:paraId="06CFD3C0"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DFB12E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41079C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553CB26A" w14:textId="77777777" w:rsidTr="00410789">
        <w:trPr>
          <w:trHeight w:val="57"/>
        </w:trPr>
        <w:tc>
          <w:tcPr>
            <w:tcW w:w="1660" w:type="dxa"/>
            <w:vMerge/>
            <w:vAlign w:val="center"/>
            <w:hideMark/>
          </w:tcPr>
          <w:p w14:paraId="2A0068A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CBB345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4D4DD5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2EF6AD89" w14:textId="77777777" w:rsidTr="00410789">
        <w:trPr>
          <w:trHeight w:val="57"/>
        </w:trPr>
        <w:tc>
          <w:tcPr>
            <w:tcW w:w="1660" w:type="dxa"/>
            <w:vMerge/>
            <w:vAlign w:val="center"/>
            <w:hideMark/>
          </w:tcPr>
          <w:p w14:paraId="14957BD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5BD30E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609546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38D9E6A3" w14:textId="77777777" w:rsidTr="00410789">
        <w:trPr>
          <w:trHeight w:val="57"/>
        </w:trPr>
        <w:tc>
          <w:tcPr>
            <w:tcW w:w="1660" w:type="dxa"/>
            <w:vMerge/>
            <w:vAlign w:val="center"/>
            <w:hideMark/>
          </w:tcPr>
          <w:p w14:paraId="486C1F4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6F8138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612C34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9B003D" w:rsidRPr="009F3B82" w14:paraId="758D9344" w14:textId="77777777" w:rsidTr="009B003D">
        <w:trPr>
          <w:trHeight w:val="246"/>
        </w:trPr>
        <w:tc>
          <w:tcPr>
            <w:tcW w:w="1660" w:type="dxa"/>
            <w:vMerge/>
            <w:vAlign w:val="center"/>
            <w:hideMark/>
          </w:tcPr>
          <w:p w14:paraId="1A71DA60" w14:textId="77777777" w:rsidR="009B003D" w:rsidRPr="009F3B82" w:rsidRDefault="009B003D" w:rsidP="00410789">
            <w:pPr>
              <w:spacing w:line="240" w:lineRule="auto"/>
              <w:rPr>
                <w:rFonts w:cs="Open Sans"/>
                <w:color w:val="000000"/>
                <w:szCs w:val="18"/>
                <w:lang w:val="en-US" w:eastAsia="en-US"/>
              </w:rPr>
            </w:pPr>
          </w:p>
        </w:tc>
        <w:tc>
          <w:tcPr>
            <w:tcW w:w="2570" w:type="dxa"/>
            <w:vMerge/>
            <w:vAlign w:val="center"/>
            <w:hideMark/>
          </w:tcPr>
          <w:p w14:paraId="1CD36294" w14:textId="77777777" w:rsidR="009B003D" w:rsidRPr="009F3B82" w:rsidRDefault="009B003D"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479891A" w14:textId="77777777" w:rsidR="009B003D" w:rsidRPr="009F3B82" w:rsidRDefault="009B003D"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2DF1A931" w14:textId="77777777" w:rsidTr="00410789">
        <w:trPr>
          <w:trHeight w:val="57"/>
        </w:trPr>
        <w:tc>
          <w:tcPr>
            <w:tcW w:w="1660" w:type="dxa"/>
            <w:vMerge/>
            <w:vAlign w:val="center"/>
            <w:hideMark/>
          </w:tcPr>
          <w:p w14:paraId="53579C66"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6317E944"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Hybrid</w:t>
            </w:r>
            <w:r w:rsidRPr="009F3B82">
              <w:rPr>
                <w:rFonts w:cs="Open Sans"/>
                <w:color w:val="000000"/>
                <w:szCs w:val="18"/>
                <w:lang w:val="en-US" w:eastAsia="en-US"/>
              </w:rPr>
              <w:br/>
              <w:t>all categories</w:t>
            </w:r>
          </w:p>
        </w:tc>
        <w:tc>
          <w:tcPr>
            <w:tcW w:w="2340" w:type="dxa"/>
            <w:shd w:val="clear" w:color="auto" w:fill="auto"/>
            <w:noWrap/>
            <w:vAlign w:val="center"/>
            <w:hideMark/>
          </w:tcPr>
          <w:p w14:paraId="275CCB5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66C18320" w14:textId="77777777" w:rsidTr="00410789">
        <w:trPr>
          <w:trHeight w:val="57"/>
        </w:trPr>
        <w:tc>
          <w:tcPr>
            <w:tcW w:w="1660" w:type="dxa"/>
            <w:vMerge/>
            <w:vAlign w:val="center"/>
            <w:hideMark/>
          </w:tcPr>
          <w:p w14:paraId="2AF4757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F4A7C8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798AA1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199E96AA" w14:textId="77777777" w:rsidTr="00410789">
        <w:trPr>
          <w:trHeight w:val="57"/>
        </w:trPr>
        <w:tc>
          <w:tcPr>
            <w:tcW w:w="1660" w:type="dxa"/>
            <w:vMerge/>
            <w:vAlign w:val="center"/>
            <w:hideMark/>
          </w:tcPr>
          <w:p w14:paraId="28D055D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B7AE70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4FF1A3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25F2B8F9" w14:textId="77777777" w:rsidTr="00410789">
        <w:trPr>
          <w:trHeight w:val="57"/>
        </w:trPr>
        <w:tc>
          <w:tcPr>
            <w:tcW w:w="1660" w:type="dxa"/>
            <w:vMerge/>
            <w:vAlign w:val="center"/>
            <w:hideMark/>
          </w:tcPr>
          <w:p w14:paraId="7406BEF0"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1D7EC7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397144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0CDA66C1" w14:textId="77777777" w:rsidTr="00410789">
        <w:trPr>
          <w:trHeight w:val="57"/>
        </w:trPr>
        <w:tc>
          <w:tcPr>
            <w:tcW w:w="1660" w:type="dxa"/>
            <w:vMerge/>
            <w:vAlign w:val="center"/>
            <w:hideMark/>
          </w:tcPr>
          <w:p w14:paraId="6BAEEA9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06B982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AB8C13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6C73E3C0" w14:textId="77777777" w:rsidTr="00410789">
        <w:trPr>
          <w:trHeight w:val="57"/>
        </w:trPr>
        <w:tc>
          <w:tcPr>
            <w:tcW w:w="1660" w:type="dxa"/>
            <w:vMerge/>
            <w:vAlign w:val="center"/>
            <w:hideMark/>
          </w:tcPr>
          <w:p w14:paraId="31A4BDED"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1816EF56"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LPG Bi</w:t>
            </w:r>
            <w:r w:rsidR="00573015">
              <w:rPr>
                <w:rFonts w:cs="Open Sans"/>
                <w:color w:val="000000"/>
                <w:szCs w:val="18"/>
                <w:lang w:val="en-US" w:eastAsia="en-US"/>
              </w:rPr>
              <w:t>-</w:t>
            </w:r>
            <w:r w:rsidRPr="009F3B82">
              <w:rPr>
                <w:rFonts w:cs="Open Sans"/>
                <w:color w:val="000000"/>
                <w:szCs w:val="18"/>
                <w:lang w:val="en-US" w:eastAsia="en-US"/>
              </w:rPr>
              <w:t>fuel Mini</w:t>
            </w:r>
          </w:p>
        </w:tc>
        <w:tc>
          <w:tcPr>
            <w:tcW w:w="2340" w:type="dxa"/>
            <w:shd w:val="clear" w:color="auto" w:fill="auto"/>
            <w:noWrap/>
            <w:vAlign w:val="center"/>
            <w:hideMark/>
          </w:tcPr>
          <w:p w14:paraId="42E87F9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1223AEEC" w14:textId="77777777" w:rsidTr="00410789">
        <w:trPr>
          <w:trHeight w:val="57"/>
        </w:trPr>
        <w:tc>
          <w:tcPr>
            <w:tcW w:w="1660" w:type="dxa"/>
            <w:vMerge/>
            <w:vAlign w:val="center"/>
            <w:hideMark/>
          </w:tcPr>
          <w:p w14:paraId="34F52E6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D02877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5142D8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07140E5E" w14:textId="77777777" w:rsidTr="00410789">
        <w:trPr>
          <w:trHeight w:val="57"/>
        </w:trPr>
        <w:tc>
          <w:tcPr>
            <w:tcW w:w="1660" w:type="dxa"/>
            <w:vMerge/>
            <w:vAlign w:val="center"/>
            <w:hideMark/>
          </w:tcPr>
          <w:p w14:paraId="7DFA588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822B66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6BCE11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w:t>
            </w:r>
          </w:p>
        </w:tc>
      </w:tr>
      <w:tr w:rsidR="00431EC2" w:rsidRPr="009F3B82" w14:paraId="2FFCFAFB" w14:textId="77777777" w:rsidTr="00410789">
        <w:trPr>
          <w:trHeight w:val="57"/>
        </w:trPr>
        <w:tc>
          <w:tcPr>
            <w:tcW w:w="1660" w:type="dxa"/>
            <w:vMerge/>
            <w:vAlign w:val="center"/>
            <w:hideMark/>
          </w:tcPr>
          <w:p w14:paraId="2777EBEA"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3EA23996"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 xml:space="preserve">LPG </w:t>
            </w:r>
            <w:r w:rsidR="00573015" w:rsidRPr="009F3B82">
              <w:rPr>
                <w:rFonts w:cs="Open Sans"/>
                <w:color w:val="000000"/>
                <w:szCs w:val="18"/>
                <w:lang w:val="en-US" w:eastAsia="en-US"/>
              </w:rPr>
              <w:t>Bi</w:t>
            </w:r>
            <w:r w:rsidR="00573015">
              <w:rPr>
                <w:rFonts w:cs="Open Sans"/>
                <w:color w:val="000000"/>
                <w:szCs w:val="18"/>
                <w:lang w:val="en-US" w:eastAsia="en-US"/>
              </w:rPr>
              <w:t>-</w:t>
            </w:r>
            <w:r w:rsidR="00573015" w:rsidRPr="009F3B82">
              <w:rPr>
                <w:rFonts w:cs="Open Sans"/>
                <w:color w:val="000000"/>
                <w:szCs w:val="18"/>
                <w:lang w:val="en-US" w:eastAsia="en-US"/>
              </w:rPr>
              <w:t xml:space="preserve">fuel </w:t>
            </w:r>
            <w:r w:rsidRPr="009F3B82">
              <w:rPr>
                <w:rFonts w:cs="Open Sans"/>
                <w:color w:val="000000"/>
                <w:szCs w:val="18"/>
                <w:lang w:val="en-US" w:eastAsia="en-US"/>
              </w:rPr>
              <w:t>Small</w:t>
            </w:r>
            <w:r w:rsidRPr="009F3B82">
              <w:rPr>
                <w:rFonts w:cs="Open Sans"/>
                <w:color w:val="000000"/>
                <w:szCs w:val="18"/>
                <w:lang w:val="en-US" w:eastAsia="en-US"/>
              </w:rPr>
              <w:br/>
              <w:t xml:space="preserve">LPG </w:t>
            </w:r>
            <w:r w:rsidR="00573015" w:rsidRPr="009F3B82">
              <w:rPr>
                <w:rFonts w:cs="Open Sans"/>
                <w:color w:val="000000"/>
                <w:szCs w:val="18"/>
                <w:lang w:val="en-US" w:eastAsia="en-US"/>
              </w:rPr>
              <w:t>Bi</w:t>
            </w:r>
            <w:r w:rsidR="00573015">
              <w:rPr>
                <w:rFonts w:cs="Open Sans"/>
                <w:color w:val="000000"/>
                <w:szCs w:val="18"/>
                <w:lang w:val="en-US" w:eastAsia="en-US"/>
              </w:rPr>
              <w:t>-</w:t>
            </w:r>
            <w:r w:rsidR="00573015" w:rsidRPr="009F3B82">
              <w:rPr>
                <w:rFonts w:cs="Open Sans"/>
                <w:color w:val="000000"/>
                <w:szCs w:val="18"/>
                <w:lang w:val="en-US" w:eastAsia="en-US"/>
              </w:rPr>
              <w:t xml:space="preserve">fuel </w:t>
            </w:r>
            <w:r w:rsidRPr="009F3B82">
              <w:rPr>
                <w:rFonts w:cs="Open Sans"/>
                <w:color w:val="000000"/>
                <w:szCs w:val="18"/>
                <w:lang w:val="en-US" w:eastAsia="en-US"/>
              </w:rPr>
              <w:t>Medium</w:t>
            </w:r>
            <w:r w:rsidRPr="009F3B82">
              <w:rPr>
                <w:rFonts w:cs="Open Sans"/>
                <w:color w:val="000000"/>
                <w:szCs w:val="18"/>
                <w:lang w:val="en-US" w:eastAsia="en-US"/>
              </w:rPr>
              <w:br/>
              <w:t xml:space="preserve">LPG </w:t>
            </w:r>
            <w:r w:rsidR="00573015" w:rsidRPr="009F3B82">
              <w:rPr>
                <w:rFonts w:cs="Open Sans"/>
                <w:color w:val="000000"/>
                <w:szCs w:val="18"/>
                <w:lang w:val="en-US" w:eastAsia="en-US"/>
              </w:rPr>
              <w:t>Bi</w:t>
            </w:r>
            <w:r w:rsidR="00573015">
              <w:rPr>
                <w:rFonts w:cs="Open Sans"/>
                <w:color w:val="000000"/>
                <w:szCs w:val="18"/>
                <w:lang w:val="en-US" w:eastAsia="en-US"/>
              </w:rPr>
              <w:t>-</w:t>
            </w:r>
            <w:r w:rsidR="00573015" w:rsidRPr="009F3B82">
              <w:rPr>
                <w:rFonts w:cs="Open Sans"/>
                <w:color w:val="000000"/>
                <w:szCs w:val="18"/>
                <w:lang w:val="en-US" w:eastAsia="en-US"/>
              </w:rPr>
              <w:t xml:space="preserve">fuel </w:t>
            </w:r>
            <w:r w:rsidRPr="009F3B82">
              <w:rPr>
                <w:rFonts w:cs="Open Sans"/>
                <w:color w:val="000000"/>
                <w:szCs w:val="18"/>
                <w:lang w:val="en-US" w:eastAsia="en-US"/>
              </w:rPr>
              <w:t>Large-SUV-Executive</w:t>
            </w:r>
          </w:p>
        </w:tc>
        <w:tc>
          <w:tcPr>
            <w:tcW w:w="2340" w:type="dxa"/>
            <w:shd w:val="clear" w:color="auto" w:fill="auto"/>
            <w:noWrap/>
            <w:vAlign w:val="center"/>
            <w:hideMark/>
          </w:tcPr>
          <w:p w14:paraId="7088179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1AD2ACFF" w14:textId="77777777" w:rsidTr="00410789">
        <w:trPr>
          <w:trHeight w:val="57"/>
        </w:trPr>
        <w:tc>
          <w:tcPr>
            <w:tcW w:w="1660" w:type="dxa"/>
            <w:vMerge/>
            <w:vAlign w:val="center"/>
            <w:hideMark/>
          </w:tcPr>
          <w:p w14:paraId="173538D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FD258C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3A4F83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608B4527" w14:textId="77777777" w:rsidTr="00410789">
        <w:trPr>
          <w:trHeight w:val="57"/>
        </w:trPr>
        <w:tc>
          <w:tcPr>
            <w:tcW w:w="1660" w:type="dxa"/>
            <w:vMerge/>
            <w:vAlign w:val="center"/>
            <w:hideMark/>
          </w:tcPr>
          <w:p w14:paraId="1F437ED7"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B65CD87"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B8AA29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335040C7" w14:textId="77777777" w:rsidTr="00410789">
        <w:trPr>
          <w:trHeight w:val="57"/>
        </w:trPr>
        <w:tc>
          <w:tcPr>
            <w:tcW w:w="1660" w:type="dxa"/>
            <w:vMerge/>
            <w:vAlign w:val="center"/>
            <w:hideMark/>
          </w:tcPr>
          <w:p w14:paraId="59E8D70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48D72D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17C944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2A8F250A" w14:textId="77777777" w:rsidTr="00410789">
        <w:trPr>
          <w:trHeight w:val="57"/>
        </w:trPr>
        <w:tc>
          <w:tcPr>
            <w:tcW w:w="1660" w:type="dxa"/>
            <w:vMerge/>
            <w:vAlign w:val="center"/>
            <w:hideMark/>
          </w:tcPr>
          <w:p w14:paraId="28D1F0D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911BDE1"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8AE1CA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76E29859" w14:textId="77777777" w:rsidTr="00410789">
        <w:trPr>
          <w:trHeight w:val="57"/>
        </w:trPr>
        <w:tc>
          <w:tcPr>
            <w:tcW w:w="1660" w:type="dxa"/>
            <w:vMerge/>
            <w:vAlign w:val="center"/>
            <w:hideMark/>
          </w:tcPr>
          <w:p w14:paraId="508CC4B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362FF9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7F4014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4E50D0E7" w14:textId="77777777" w:rsidTr="00410789">
        <w:trPr>
          <w:trHeight w:val="57"/>
        </w:trPr>
        <w:tc>
          <w:tcPr>
            <w:tcW w:w="1660" w:type="dxa"/>
            <w:vMerge/>
            <w:vAlign w:val="center"/>
            <w:hideMark/>
          </w:tcPr>
          <w:p w14:paraId="6DFB831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4E0236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5BA11F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w:t>
            </w:r>
          </w:p>
        </w:tc>
      </w:tr>
      <w:tr w:rsidR="00431EC2" w:rsidRPr="009F3B82" w14:paraId="18408FA1" w14:textId="77777777" w:rsidTr="00410789">
        <w:trPr>
          <w:trHeight w:val="57"/>
        </w:trPr>
        <w:tc>
          <w:tcPr>
            <w:tcW w:w="1660" w:type="dxa"/>
            <w:vMerge/>
            <w:vAlign w:val="center"/>
            <w:hideMark/>
          </w:tcPr>
          <w:p w14:paraId="0D6B1E64"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61798817"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CNG Bi</w:t>
            </w:r>
            <w:r w:rsidR="00573015">
              <w:rPr>
                <w:rFonts w:cs="Open Sans"/>
                <w:color w:val="000000"/>
                <w:szCs w:val="18"/>
                <w:lang w:val="en-US" w:eastAsia="en-US"/>
              </w:rPr>
              <w:t>-</w:t>
            </w:r>
            <w:r w:rsidRPr="009F3B82">
              <w:rPr>
                <w:rFonts w:cs="Open Sans"/>
                <w:color w:val="000000"/>
                <w:szCs w:val="18"/>
                <w:lang w:val="en-US" w:eastAsia="en-US"/>
              </w:rPr>
              <w:t>fuel</w:t>
            </w:r>
            <w:r w:rsidRPr="009F3B82">
              <w:rPr>
                <w:rFonts w:cs="Open Sans"/>
                <w:color w:val="000000"/>
                <w:szCs w:val="18"/>
                <w:lang w:val="en-US" w:eastAsia="en-US"/>
              </w:rPr>
              <w:br/>
              <w:t>all categories</w:t>
            </w:r>
          </w:p>
        </w:tc>
        <w:tc>
          <w:tcPr>
            <w:tcW w:w="2340" w:type="dxa"/>
            <w:shd w:val="clear" w:color="auto" w:fill="auto"/>
            <w:noWrap/>
            <w:vAlign w:val="center"/>
            <w:hideMark/>
          </w:tcPr>
          <w:p w14:paraId="0E66C92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7A9AAD18" w14:textId="77777777" w:rsidTr="00410789">
        <w:trPr>
          <w:trHeight w:val="57"/>
        </w:trPr>
        <w:tc>
          <w:tcPr>
            <w:tcW w:w="1660" w:type="dxa"/>
            <w:vMerge/>
            <w:vAlign w:val="center"/>
            <w:hideMark/>
          </w:tcPr>
          <w:p w14:paraId="7FD2C38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3A3895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3D918D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5D961018" w14:textId="77777777" w:rsidTr="00410789">
        <w:trPr>
          <w:trHeight w:val="57"/>
        </w:trPr>
        <w:tc>
          <w:tcPr>
            <w:tcW w:w="1660" w:type="dxa"/>
            <w:vMerge/>
            <w:vAlign w:val="center"/>
            <w:hideMark/>
          </w:tcPr>
          <w:p w14:paraId="1AEF6C6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E1D860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DAC7F2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w:t>
            </w:r>
          </w:p>
        </w:tc>
      </w:tr>
      <w:tr w:rsidR="00431EC2" w:rsidRPr="009F3B82" w14:paraId="01956DD1" w14:textId="77777777" w:rsidTr="00410789">
        <w:trPr>
          <w:trHeight w:val="57"/>
        </w:trPr>
        <w:tc>
          <w:tcPr>
            <w:tcW w:w="1660" w:type="dxa"/>
            <w:vMerge w:val="restart"/>
            <w:shd w:val="clear" w:color="auto" w:fill="auto"/>
            <w:noWrap/>
            <w:vAlign w:val="center"/>
            <w:hideMark/>
          </w:tcPr>
          <w:p w14:paraId="60F45357" w14:textId="77777777" w:rsidR="00431EC2" w:rsidRPr="009F3B82" w:rsidRDefault="00431EC2" w:rsidP="00410789">
            <w:pPr>
              <w:spacing w:line="240" w:lineRule="auto"/>
              <w:rPr>
                <w:rFonts w:cs="Open Sans"/>
                <w:color w:val="000000"/>
                <w:szCs w:val="18"/>
                <w:lang w:val="en-US" w:eastAsia="en-US"/>
              </w:rPr>
            </w:pPr>
            <w:r w:rsidRPr="009F3B82">
              <w:rPr>
                <w:rFonts w:cs="Open Sans"/>
                <w:color w:val="000000"/>
                <w:szCs w:val="18"/>
                <w:lang w:val="en-US" w:eastAsia="en-US"/>
              </w:rPr>
              <w:t>Light Commercial Vehicles</w:t>
            </w:r>
          </w:p>
        </w:tc>
        <w:tc>
          <w:tcPr>
            <w:tcW w:w="2570" w:type="dxa"/>
            <w:vMerge w:val="restart"/>
            <w:shd w:val="clear" w:color="auto" w:fill="auto"/>
            <w:vAlign w:val="center"/>
            <w:hideMark/>
          </w:tcPr>
          <w:p w14:paraId="182E1CA8"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N1-I</w:t>
            </w:r>
            <w:r w:rsidRPr="009F3B82">
              <w:rPr>
                <w:rFonts w:cs="Open Sans"/>
                <w:color w:val="000000"/>
                <w:szCs w:val="18"/>
                <w:lang w:val="en-US" w:eastAsia="en-US"/>
              </w:rPr>
              <w:br/>
              <w:t>Petrol N1-II</w:t>
            </w:r>
            <w:r w:rsidRPr="009F3B82">
              <w:rPr>
                <w:rFonts w:cs="Open Sans"/>
                <w:color w:val="000000"/>
                <w:szCs w:val="18"/>
                <w:lang w:val="en-US" w:eastAsia="en-US"/>
              </w:rPr>
              <w:br/>
              <w:t>Petrol N1-III</w:t>
            </w:r>
          </w:p>
        </w:tc>
        <w:tc>
          <w:tcPr>
            <w:tcW w:w="2340" w:type="dxa"/>
            <w:shd w:val="clear" w:color="auto" w:fill="auto"/>
            <w:noWrap/>
            <w:vAlign w:val="center"/>
            <w:hideMark/>
          </w:tcPr>
          <w:p w14:paraId="3C0E09A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0C72DF21" w14:textId="77777777" w:rsidTr="00410789">
        <w:trPr>
          <w:trHeight w:val="57"/>
        </w:trPr>
        <w:tc>
          <w:tcPr>
            <w:tcW w:w="1660" w:type="dxa"/>
            <w:vMerge/>
            <w:vAlign w:val="center"/>
            <w:hideMark/>
          </w:tcPr>
          <w:p w14:paraId="5CA2A11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60B226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434E64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27FB42C6" w14:textId="77777777" w:rsidTr="00410789">
        <w:trPr>
          <w:trHeight w:val="57"/>
        </w:trPr>
        <w:tc>
          <w:tcPr>
            <w:tcW w:w="1660" w:type="dxa"/>
            <w:vMerge/>
            <w:vAlign w:val="center"/>
            <w:hideMark/>
          </w:tcPr>
          <w:p w14:paraId="2DE6A45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43B960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CF6ED5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7946E199" w14:textId="77777777" w:rsidTr="00410789">
        <w:trPr>
          <w:trHeight w:val="57"/>
        </w:trPr>
        <w:tc>
          <w:tcPr>
            <w:tcW w:w="1660" w:type="dxa"/>
            <w:vMerge/>
            <w:vAlign w:val="center"/>
            <w:hideMark/>
          </w:tcPr>
          <w:p w14:paraId="6D3D73A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989CF3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6DE4D4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28446FEA" w14:textId="77777777" w:rsidTr="00410789">
        <w:trPr>
          <w:trHeight w:val="57"/>
        </w:trPr>
        <w:tc>
          <w:tcPr>
            <w:tcW w:w="1660" w:type="dxa"/>
            <w:vMerge/>
            <w:vAlign w:val="center"/>
            <w:hideMark/>
          </w:tcPr>
          <w:p w14:paraId="2F4997C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54F939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8DED95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0DB66495" w14:textId="77777777" w:rsidTr="00410789">
        <w:trPr>
          <w:trHeight w:val="57"/>
        </w:trPr>
        <w:tc>
          <w:tcPr>
            <w:tcW w:w="1660" w:type="dxa"/>
            <w:vMerge/>
            <w:vAlign w:val="center"/>
            <w:hideMark/>
          </w:tcPr>
          <w:p w14:paraId="64863C4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CC3223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504A18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0B4007D3" w14:textId="77777777" w:rsidTr="00410789">
        <w:trPr>
          <w:trHeight w:val="57"/>
        </w:trPr>
        <w:tc>
          <w:tcPr>
            <w:tcW w:w="1660" w:type="dxa"/>
            <w:vMerge/>
            <w:vAlign w:val="center"/>
            <w:hideMark/>
          </w:tcPr>
          <w:p w14:paraId="293D711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52915D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4389F3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7250630C" w14:textId="77777777" w:rsidTr="00410789">
        <w:trPr>
          <w:trHeight w:val="57"/>
        </w:trPr>
        <w:tc>
          <w:tcPr>
            <w:tcW w:w="1660" w:type="dxa"/>
            <w:vMerge/>
            <w:vAlign w:val="center"/>
            <w:hideMark/>
          </w:tcPr>
          <w:p w14:paraId="3278E82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36E99A6"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50956B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1A249F98" w14:textId="77777777" w:rsidTr="00410789">
        <w:trPr>
          <w:trHeight w:val="57"/>
        </w:trPr>
        <w:tc>
          <w:tcPr>
            <w:tcW w:w="1660" w:type="dxa"/>
            <w:vMerge/>
            <w:vAlign w:val="center"/>
            <w:hideMark/>
          </w:tcPr>
          <w:p w14:paraId="10F4C8E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9CB53F4"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86086E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65E01E37" w14:textId="77777777" w:rsidTr="00410789">
        <w:trPr>
          <w:trHeight w:val="57"/>
        </w:trPr>
        <w:tc>
          <w:tcPr>
            <w:tcW w:w="1660" w:type="dxa"/>
            <w:vMerge/>
            <w:vAlign w:val="center"/>
            <w:hideMark/>
          </w:tcPr>
          <w:p w14:paraId="0A0B42DE"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6D10FE69" w14:textId="77777777" w:rsidR="00431EC2" w:rsidRPr="00EA0EF5" w:rsidRDefault="00431EC2" w:rsidP="001576FC">
            <w:pPr>
              <w:spacing w:line="240" w:lineRule="auto"/>
              <w:jc w:val="left"/>
              <w:rPr>
                <w:rFonts w:cs="Open Sans"/>
                <w:color w:val="000000"/>
                <w:szCs w:val="18"/>
                <w:lang w:val="fr-FR" w:eastAsia="en-US"/>
              </w:rPr>
            </w:pPr>
            <w:r w:rsidRPr="00EA0EF5">
              <w:rPr>
                <w:rFonts w:cs="Open Sans"/>
                <w:color w:val="000000"/>
                <w:szCs w:val="18"/>
                <w:lang w:val="fr-FR" w:eastAsia="en-US"/>
              </w:rPr>
              <w:t>Diesel N1-I</w:t>
            </w:r>
            <w:r w:rsidRPr="00EA0EF5">
              <w:rPr>
                <w:rFonts w:cs="Open Sans"/>
                <w:color w:val="000000"/>
                <w:szCs w:val="18"/>
                <w:lang w:val="fr-FR" w:eastAsia="en-US"/>
              </w:rPr>
              <w:br/>
              <w:t>Diesel N1-II</w:t>
            </w:r>
            <w:r w:rsidRPr="00EA0EF5">
              <w:rPr>
                <w:rFonts w:cs="Open Sans"/>
                <w:color w:val="000000"/>
                <w:szCs w:val="18"/>
                <w:lang w:val="fr-FR" w:eastAsia="en-US"/>
              </w:rPr>
              <w:br/>
              <w:t>Diesel N1-III</w:t>
            </w:r>
          </w:p>
        </w:tc>
        <w:tc>
          <w:tcPr>
            <w:tcW w:w="2340" w:type="dxa"/>
            <w:shd w:val="clear" w:color="auto" w:fill="auto"/>
            <w:noWrap/>
            <w:vAlign w:val="center"/>
            <w:hideMark/>
          </w:tcPr>
          <w:p w14:paraId="3FFCF21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48617570" w14:textId="77777777" w:rsidTr="00410789">
        <w:trPr>
          <w:trHeight w:val="57"/>
        </w:trPr>
        <w:tc>
          <w:tcPr>
            <w:tcW w:w="1660" w:type="dxa"/>
            <w:vMerge/>
            <w:vAlign w:val="center"/>
            <w:hideMark/>
          </w:tcPr>
          <w:p w14:paraId="61F4173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C2BA71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1B719B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1F09CA91" w14:textId="77777777" w:rsidTr="00410789">
        <w:trPr>
          <w:trHeight w:val="57"/>
        </w:trPr>
        <w:tc>
          <w:tcPr>
            <w:tcW w:w="1660" w:type="dxa"/>
            <w:vMerge/>
            <w:vAlign w:val="center"/>
            <w:hideMark/>
          </w:tcPr>
          <w:p w14:paraId="5DE3373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0CAC1B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D75E61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25236742" w14:textId="77777777" w:rsidTr="00410789">
        <w:trPr>
          <w:trHeight w:val="57"/>
        </w:trPr>
        <w:tc>
          <w:tcPr>
            <w:tcW w:w="1660" w:type="dxa"/>
            <w:vMerge/>
            <w:vAlign w:val="center"/>
            <w:hideMark/>
          </w:tcPr>
          <w:p w14:paraId="55ACE2F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48BB961"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F53990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2037D54E" w14:textId="77777777" w:rsidTr="00410789">
        <w:trPr>
          <w:trHeight w:val="57"/>
        </w:trPr>
        <w:tc>
          <w:tcPr>
            <w:tcW w:w="1660" w:type="dxa"/>
            <w:vMerge/>
            <w:vAlign w:val="center"/>
            <w:hideMark/>
          </w:tcPr>
          <w:p w14:paraId="5A3D192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4FAE6A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86E72D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3A40D89F" w14:textId="77777777" w:rsidTr="00410789">
        <w:trPr>
          <w:trHeight w:val="57"/>
        </w:trPr>
        <w:tc>
          <w:tcPr>
            <w:tcW w:w="1660" w:type="dxa"/>
            <w:vMerge/>
            <w:vAlign w:val="center"/>
            <w:hideMark/>
          </w:tcPr>
          <w:p w14:paraId="18FEE43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5859B0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199F45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1B86D974" w14:textId="77777777" w:rsidTr="00410789">
        <w:trPr>
          <w:trHeight w:val="57"/>
        </w:trPr>
        <w:tc>
          <w:tcPr>
            <w:tcW w:w="1660" w:type="dxa"/>
            <w:vMerge/>
            <w:vAlign w:val="center"/>
            <w:hideMark/>
          </w:tcPr>
          <w:p w14:paraId="64C32C3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E834B3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DEA2B2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up to 2016</w:t>
            </w:r>
          </w:p>
        </w:tc>
      </w:tr>
      <w:tr w:rsidR="00431EC2" w:rsidRPr="009F3B82" w14:paraId="1AF03A47" w14:textId="77777777" w:rsidTr="00410789">
        <w:trPr>
          <w:trHeight w:val="57"/>
        </w:trPr>
        <w:tc>
          <w:tcPr>
            <w:tcW w:w="1660" w:type="dxa"/>
            <w:vMerge/>
            <w:vAlign w:val="center"/>
            <w:hideMark/>
          </w:tcPr>
          <w:p w14:paraId="1F50FFE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175DC5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192E1E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2017-2019</w:t>
            </w:r>
          </w:p>
        </w:tc>
      </w:tr>
      <w:tr w:rsidR="00431EC2" w:rsidRPr="009F3B82" w14:paraId="00A01BA8" w14:textId="77777777" w:rsidTr="00410789">
        <w:trPr>
          <w:trHeight w:val="57"/>
        </w:trPr>
        <w:tc>
          <w:tcPr>
            <w:tcW w:w="1660" w:type="dxa"/>
            <w:vMerge/>
            <w:vAlign w:val="center"/>
            <w:hideMark/>
          </w:tcPr>
          <w:p w14:paraId="0CF863F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020A6D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FADFBC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6 2020+</w:t>
            </w:r>
          </w:p>
        </w:tc>
      </w:tr>
      <w:tr w:rsidR="00431EC2" w:rsidRPr="009F3B82" w14:paraId="19DB605A" w14:textId="77777777" w:rsidTr="00410789">
        <w:trPr>
          <w:trHeight w:val="57"/>
        </w:trPr>
        <w:tc>
          <w:tcPr>
            <w:tcW w:w="1660" w:type="dxa"/>
            <w:vMerge w:val="restart"/>
            <w:shd w:val="clear" w:color="auto" w:fill="auto"/>
            <w:noWrap/>
            <w:vAlign w:val="center"/>
            <w:hideMark/>
          </w:tcPr>
          <w:p w14:paraId="1951B38E" w14:textId="77777777" w:rsidR="00431EC2" w:rsidRPr="009F3B82" w:rsidRDefault="00431EC2" w:rsidP="00573015">
            <w:pPr>
              <w:spacing w:line="240" w:lineRule="auto"/>
              <w:jc w:val="left"/>
              <w:rPr>
                <w:rFonts w:cs="Open Sans"/>
                <w:color w:val="000000"/>
                <w:szCs w:val="18"/>
                <w:lang w:val="en-US" w:eastAsia="en-US"/>
              </w:rPr>
            </w:pPr>
            <w:r w:rsidRPr="009F3B82">
              <w:rPr>
                <w:rFonts w:cs="Open Sans"/>
                <w:color w:val="000000"/>
                <w:szCs w:val="18"/>
                <w:lang w:val="en-US" w:eastAsia="en-US"/>
              </w:rPr>
              <w:t>Heavy Duty Trucks</w:t>
            </w:r>
          </w:p>
        </w:tc>
        <w:tc>
          <w:tcPr>
            <w:tcW w:w="2570" w:type="dxa"/>
            <w:shd w:val="clear" w:color="auto" w:fill="auto"/>
            <w:noWrap/>
            <w:vAlign w:val="center"/>
            <w:hideMark/>
          </w:tcPr>
          <w:p w14:paraId="6E6218EA"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Petrol &gt;3,5 t</w:t>
            </w:r>
          </w:p>
        </w:tc>
        <w:tc>
          <w:tcPr>
            <w:tcW w:w="2340" w:type="dxa"/>
            <w:shd w:val="clear" w:color="auto" w:fill="auto"/>
            <w:noWrap/>
            <w:vAlign w:val="center"/>
            <w:hideMark/>
          </w:tcPr>
          <w:p w14:paraId="4462B58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7E5D8C1B" w14:textId="77777777" w:rsidTr="00410789">
        <w:trPr>
          <w:trHeight w:val="57"/>
        </w:trPr>
        <w:tc>
          <w:tcPr>
            <w:tcW w:w="1660" w:type="dxa"/>
            <w:vMerge/>
            <w:vAlign w:val="center"/>
            <w:hideMark/>
          </w:tcPr>
          <w:p w14:paraId="100C21C8"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3C78BB44"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All Rigid/Articulated categories</w:t>
            </w:r>
          </w:p>
        </w:tc>
        <w:tc>
          <w:tcPr>
            <w:tcW w:w="2340" w:type="dxa"/>
            <w:shd w:val="clear" w:color="auto" w:fill="auto"/>
            <w:noWrap/>
            <w:vAlign w:val="center"/>
            <w:hideMark/>
          </w:tcPr>
          <w:p w14:paraId="7EB4EFB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5EE18C09" w14:textId="77777777" w:rsidTr="00410789">
        <w:trPr>
          <w:trHeight w:val="57"/>
        </w:trPr>
        <w:tc>
          <w:tcPr>
            <w:tcW w:w="1660" w:type="dxa"/>
            <w:vMerge/>
            <w:vAlign w:val="center"/>
            <w:hideMark/>
          </w:tcPr>
          <w:p w14:paraId="65D4EA6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43188B3"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B560A9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44D6D08C" w14:textId="77777777" w:rsidTr="00410789">
        <w:trPr>
          <w:trHeight w:val="57"/>
        </w:trPr>
        <w:tc>
          <w:tcPr>
            <w:tcW w:w="1660" w:type="dxa"/>
            <w:vMerge/>
            <w:vAlign w:val="center"/>
            <w:hideMark/>
          </w:tcPr>
          <w:p w14:paraId="0DC62A3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64F080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0F3D24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4803A281" w14:textId="77777777" w:rsidTr="00410789">
        <w:trPr>
          <w:trHeight w:val="57"/>
        </w:trPr>
        <w:tc>
          <w:tcPr>
            <w:tcW w:w="1660" w:type="dxa"/>
            <w:vMerge/>
            <w:vAlign w:val="center"/>
            <w:hideMark/>
          </w:tcPr>
          <w:p w14:paraId="000B742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2731E0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554F9E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0068F069" w14:textId="77777777" w:rsidTr="00410789">
        <w:trPr>
          <w:trHeight w:val="57"/>
        </w:trPr>
        <w:tc>
          <w:tcPr>
            <w:tcW w:w="1660" w:type="dxa"/>
            <w:vMerge/>
            <w:vAlign w:val="center"/>
            <w:hideMark/>
          </w:tcPr>
          <w:p w14:paraId="4E7E004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2DEC18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6B3F27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0842AFF5" w14:textId="77777777" w:rsidTr="00410789">
        <w:trPr>
          <w:trHeight w:val="57"/>
        </w:trPr>
        <w:tc>
          <w:tcPr>
            <w:tcW w:w="1660" w:type="dxa"/>
            <w:vMerge/>
            <w:vAlign w:val="center"/>
            <w:hideMark/>
          </w:tcPr>
          <w:p w14:paraId="54DB9C5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808EE21"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9A41EE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42B6D75F" w14:textId="77777777" w:rsidTr="00410789">
        <w:trPr>
          <w:trHeight w:val="57"/>
        </w:trPr>
        <w:tc>
          <w:tcPr>
            <w:tcW w:w="1660" w:type="dxa"/>
            <w:vMerge/>
            <w:vAlign w:val="center"/>
            <w:hideMark/>
          </w:tcPr>
          <w:p w14:paraId="0164FF4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AA22641"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9A24ED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5337FE8F" w14:textId="77777777" w:rsidTr="00410789">
        <w:trPr>
          <w:trHeight w:val="57"/>
        </w:trPr>
        <w:tc>
          <w:tcPr>
            <w:tcW w:w="1660" w:type="dxa"/>
            <w:vMerge w:val="restart"/>
            <w:shd w:val="clear" w:color="auto" w:fill="auto"/>
            <w:noWrap/>
            <w:vAlign w:val="center"/>
            <w:hideMark/>
          </w:tcPr>
          <w:p w14:paraId="7B712A14" w14:textId="77777777" w:rsidR="00431EC2" w:rsidRPr="009F3B82" w:rsidRDefault="00431EC2" w:rsidP="00410789">
            <w:pPr>
              <w:spacing w:line="240" w:lineRule="auto"/>
              <w:rPr>
                <w:rFonts w:cs="Open Sans"/>
                <w:color w:val="000000"/>
                <w:szCs w:val="18"/>
                <w:lang w:val="en-US" w:eastAsia="en-US"/>
              </w:rPr>
            </w:pPr>
            <w:r w:rsidRPr="009F3B82">
              <w:rPr>
                <w:rFonts w:cs="Open Sans"/>
                <w:color w:val="000000"/>
                <w:szCs w:val="18"/>
                <w:lang w:val="en-US" w:eastAsia="en-US"/>
              </w:rPr>
              <w:t>Buses</w:t>
            </w:r>
          </w:p>
        </w:tc>
        <w:tc>
          <w:tcPr>
            <w:tcW w:w="2570" w:type="dxa"/>
            <w:vMerge w:val="restart"/>
            <w:shd w:val="clear" w:color="auto" w:fill="auto"/>
            <w:vAlign w:val="center"/>
            <w:hideMark/>
          </w:tcPr>
          <w:p w14:paraId="3F6847EA"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Urban Buses</w:t>
            </w:r>
            <w:r w:rsidRPr="009F3B82">
              <w:rPr>
                <w:rFonts w:cs="Open Sans"/>
                <w:color w:val="000000"/>
                <w:szCs w:val="18"/>
                <w:lang w:val="en-US" w:eastAsia="en-US"/>
              </w:rPr>
              <w:br/>
              <w:t>all categories</w:t>
            </w:r>
          </w:p>
        </w:tc>
        <w:tc>
          <w:tcPr>
            <w:tcW w:w="2340" w:type="dxa"/>
            <w:shd w:val="clear" w:color="auto" w:fill="auto"/>
            <w:noWrap/>
            <w:vAlign w:val="center"/>
            <w:hideMark/>
          </w:tcPr>
          <w:p w14:paraId="1E9B9F3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56E9BD27" w14:textId="77777777" w:rsidTr="00410789">
        <w:trPr>
          <w:trHeight w:val="57"/>
        </w:trPr>
        <w:tc>
          <w:tcPr>
            <w:tcW w:w="1660" w:type="dxa"/>
            <w:vMerge/>
            <w:vAlign w:val="center"/>
            <w:hideMark/>
          </w:tcPr>
          <w:p w14:paraId="262D9E4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F1DB39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180026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4AE6C00F" w14:textId="77777777" w:rsidTr="00410789">
        <w:trPr>
          <w:trHeight w:val="57"/>
        </w:trPr>
        <w:tc>
          <w:tcPr>
            <w:tcW w:w="1660" w:type="dxa"/>
            <w:vMerge/>
            <w:vAlign w:val="center"/>
            <w:hideMark/>
          </w:tcPr>
          <w:p w14:paraId="600A6BCA"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AD6106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14122F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6D969158" w14:textId="77777777" w:rsidTr="00410789">
        <w:trPr>
          <w:trHeight w:val="57"/>
        </w:trPr>
        <w:tc>
          <w:tcPr>
            <w:tcW w:w="1660" w:type="dxa"/>
            <w:vMerge/>
            <w:vAlign w:val="center"/>
            <w:hideMark/>
          </w:tcPr>
          <w:p w14:paraId="1162DBFD"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89E38E7"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8F9AE0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43949199" w14:textId="77777777" w:rsidTr="00410789">
        <w:trPr>
          <w:trHeight w:val="57"/>
        </w:trPr>
        <w:tc>
          <w:tcPr>
            <w:tcW w:w="1660" w:type="dxa"/>
            <w:vMerge/>
            <w:vAlign w:val="center"/>
            <w:hideMark/>
          </w:tcPr>
          <w:p w14:paraId="4452C36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61EDF3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596645E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4701489F" w14:textId="77777777" w:rsidTr="00410789">
        <w:trPr>
          <w:trHeight w:val="57"/>
        </w:trPr>
        <w:tc>
          <w:tcPr>
            <w:tcW w:w="1660" w:type="dxa"/>
            <w:vMerge/>
            <w:vAlign w:val="center"/>
            <w:hideMark/>
          </w:tcPr>
          <w:p w14:paraId="35A27CE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59DF64B"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7FE6F5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061C6294" w14:textId="77777777" w:rsidTr="00410789">
        <w:trPr>
          <w:trHeight w:val="57"/>
        </w:trPr>
        <w:tc>
          <w:tcPr>
            <w:tcW w:w="1660" w:type="dxa"/>
            <w:vMerge/>
            <w:vAlign w:val="center"/>
            <w:hideMark/>
          </w:tcPr>
          <w:p w14:paraId="174BDF92"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4CC956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78CF83F"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20380FD0" w14:textId="77777777" w:rsidTr="00410789">
        <w:trPr>
          <w:trHeight w:val="57"/>
        </w:trPr>
        <w:tc>
          <w:tcPr>
            <w:tcW w:w="1660" w:type="dxa"/>
            <w:vMerge/>
            <w:vAlign w:val="center"/>
            <w:hideMark/>
          </w:tcPr>
          <w:p w14:paraId="09FE8B81"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053A8F23"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Coaches</w:t>
            </w:r>
            <w:r w:rsidRPr="009F3B82">
              <w:rPr>
                <w:rFonts w:cs="Open Sans"/>
                <w:color w:val="000000"/>
                <w:szCs w:val="18"/>
                <w:lang w:val="en-US" w:eastAsia="en-US"/>
              </w:rPr>
              <w:br/>
              <w:t>all categories</w:t>
            </w:r>
          </w:p>
        </w:tc>
        <w:tc>
          <w:tcPr>
            <w:tcW w:w="2340" w:type="dxa"/>
            <w:shd w:val="clear" w:color="auto" w:fill="auto"/>
            <w:noWrap/>
            <w:vAlign w:val="center"/>
            <w:hideMark/>
          </w:tcPr>
          <w:p w14:paraId="3291D8D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6121FFCE" w14:textId="77777777" w:rsidTr="00410789">
        <w:trPr>
          <w:trHeight w:val="57"/>
        </w:trPr>
        <w:tc>
          <w:tcPr>
            <w:tcW w:w="1660" w:type="dxa"/>
            <w:vMerge/>
            <w:vAlign w:val="center"/>
            <w:hideMark/>
          </w:tcPr>
          <w:p w14:paraId="21C36D6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1484C1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D9C52D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09A36B08" w14:textId="77777777" w:rsidTr="00410789">
        <w:trPr>
          <w:trHeight w:val="57"/>
        </w:trPr>
        <w:tc>
          <w:tcPr>
            <w:tcW w:w="1660" w:type="dxa"/>
            <w:vMerge/>
            <w:vAlign w:val="center"/>
            <w:hideMark/>
          </w:tcPr>
          <w:p w14:paraId="705F608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607A51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3E5623A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61EE4081" w14:textId="77777777" w:rsidTr="00410789">
        <w:trPr>
          <w:trHeight w:val="57"/>
        </w:trPr>
        <w:tc>
          <w:tcPr>
            <w:tcW w:w="1660" w:type="dxa"/>
            <w:vMerge/>
            <w:vAlign w:val="center"/>
            <w:hideMark/>
          </w:tcPr>
          <w:p w14:paraId="5D4DDAC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0ED02D4A"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3662D8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3FBDCC74" w14:textId="77777777" w:rsidTr="00410789">
        <w:trPr>
          <w:trHeight w:val="57"/>
        </w:trPr>
        <w:tc>
          <w:tcPr>
            <w:tcW w:w="1660" w:type="dxa"/>
            <w:vMerge/>
            <w:vAlign w:val="center"/>
            <w:hideMark/>
          </w:tcPr>
          <w:p w14:paraId="0C2D7D3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82A67F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1DE39AF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6EB4D940" w14:textId="77777777" w:rsidTr="00410789">
        <w:trPr>
          <w:trHeight w:val="57"/>
        </w:trPr>
        <w:tc>
          <w:tcPr>
            <w:tcW w:w="1660" w:type="dxa"/>
            <w:vMerge/>
            <w:vAlign w:val="center"/>
            <w:hideMark/>
          </w:tcPr>
          <w:p w14:paraId="6F59513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508E557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F72B5C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50471936" w14:textId="77777777" w:rsidTr="00410789">
        <w:trPr>
          <w:trHeight w:val="57"/>
        </w:trPr>
        <w:tc>
          <w:tcPr>
            <w:tcW w:w="1660" w:type="dxa"/>
            <w:vMerge/>
            <w:vAlign w:val="center"/>
            <w:hideMark/>
          </w:tcPr>
          <w:p w14:paraId="2AFF688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35AF69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3B3B58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408DCF47" w14:textId="77777777" w:rsidTr="00410789">
        <w:trPr>
          <w:trHeight w:val="57"/>
        </w:trPr>
        <w:tc>
          <w:tcPr>
            <w:tcW w:w="1660" w:type="dxa"/>
            <w:vMerge/>
            <w:vAlign w:val="center"/>
            <w:hideMark/>
          </w:tcPr>
          <w:p w14:paraId="529F167D"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3C2EAC80"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Urban CNG Buses</w:t>
            </w:r>
          </w:p>
        </w:tc>
        <w:tc>
          <w:tcPr>
            <w:tcW w:w="2340" w:type="dxa"/>
            <w:shd w:val="clear" w:color="auto" w:fill="auto"/>
            <w:noWrap/>
            <w:vAlign w:val="center"/>
            <w:hideMark/>
          </w:tcPr>
          <w:p w14:paraId="659C845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6A945D8C" w14:textId="77777777" w:rsidTr="00410789">
        <w:trPr>
          <w:trHeight w:val="57"/>
        </w:trPr>
        <w:tc>
          <w:tcPr>
            <w:tcW w:w="1660" w:type="dxa"/>
            <w:vMerge/>
            <w:vAlign w:val="center"/>
            <w:hideMark/>
          </w:tcPr>
          <w:p w14:paraId="1B55B02F"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154C94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CBB5AB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10B43B91" w14:textId="77777777" w:rsidTr="00410789">
        <w:trPr>
          <w:trHeight w:val="57"/>
        </w:trPr>
        <w:tc>
          <w:tcPr>
            <w:tcW w:w="1660" w:type="dxa"/>
            <w:vMerge/>
            <w:vAlign w:val="center"/>
            <w:hideMark/>
          </w:tcPr>
          <w:p w14:paraId="58D5A4E4"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723A149"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CEF3AEC"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3986F273" w14:textId="77777777" w:rsidTr="00410789">
        <w:trPr>
          <w:trHeight w:val="57"/>
        </w:trPr>
        <w:tc>
          <w:tcPr>
            <w:tcW w:w="1660" w:type="dxa"/>
            <w:vMerge/>
            <w:vAlign w:val="center"/>
            <w:hideMark/>
          </w:tcPr>
          <w:p w14:paraId="6D5DD64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3F17EBD"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297EDB5"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EEV</w:t>
            </w:r>
          </w:p>
        </w:tc>
      </w:tr>
      <w:tr w:rsidR="00431EC2" w:rsidRPr="009F3B82" w14:paraId="338CBB7E" w14:textId="77777777" w:rsidTr="00410789">
        <w:trPr>
          <w:trHeight w:val="57"/>
        </w:trPr>
        <w:tc>
          <w:tcPr>
            <w:tcW w:w="1660" w:type="dxa"/>
            <w:vMerge/>
            <w:vAlign w:val="center"/>
            <w:hideMark/>
          </w:tcPr>
          <w:p w14:paraId="090FFA60"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504EB2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8BCF19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1ED89EC0" w14:textId="77777777" w:rsidTr="00410789">
        <w:trPr>
          <w:trHeight w:val="57"/>
        </w:trPr>
        <w:tc>
          <w:tcPr>
            <w:tcW w:w="1660" w:type="dxa"/>
            <w:vMerge/>
            <w:vAlign w:val="center"/>
            <w:hideMark/>
          </w:tcPr>
          <w:p w14:paraId="3901ACDC"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noWrap/>
            <w:vAlign w:val="center"/>
            <w:hideMark/>
          </w:tcPr>
          <w:p w14:paraId="105156D5"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Urban Biodiesel Buses</w:t>
            </w:r>
          </w:p>
        </w:tc>
        <w:tc>
          <w:tcPr>
            <w:tcW w:w="2340" w:type="dxa"/>
            <w:shd w:val="clear" w:color="auto" w:fill="auto"/>
            <w:noWrap/>
            <w:vAlign w:val="center"/>
            <w:hideMark/>
          </w:tcPr>
          <w:p w14:paraId="1B7CD3D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4A0FE2FA" w14:textId="77777777" w:rsidTr="00410789">
        <w:trPr>
          <w:trHeight w:val="57"/>
        </w:trPr>
        <w:tc>
          <w:tcPr>
            <w:tcW w:w="1660" w:type="dxa"/>
            <w:vMerge/>
            <w:vAlign w:val="center"/>
            <w:hideMark/>
          </w:tcPr>
          <w:p w14:paraId="774F00F1"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CE40B8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39BC636"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w:t>
            </w:r>
          </w:p>
        </w:tc>
      </w:tr>
      <w:tr w:rsidR="00431EC2" w:rsidRPr="009F3B82" w14:paraId="52D95AA2" w14:textId="77777777" w:rsidTr="00410789">
        <w:trPr>
          <w:trHeight w:val="57"/>
        </w:trPr>
        <w:tc>
          <w:tcPr>
            <w:tcW w:w="1660" w:type="dxa"/>
            <w:vMerge/>
            <w:vAlign w:val="center"/>
            <w:hideMark/>
          </w:tcPr>
          <w:p w14:paraId="5E837719"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747CD19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7381BA6A"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w:t>
            </w:r>
          </w:p>
        </w:tc>
      </w:tr>
      <w:tr w:rsidR="00431EC2" w:rsidRPr="009F3B82" w14:paraId="443F1CD1" w14:textId="77777777" w:rsidTr="00410789">
        <w:trPr>
          <w:trHeight w:val="57"/>
        </w:trPr>
        <w:tc>
          <w:tcPr>
            <w:tcW w:w="1660" w:type="dxa"/>
            <w:vMerge/>
            <w:vAlign w:val="center"/>
            <w:hideMark/>
          </w:tcPr>
          <w:p w14:paraId="7776E8D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7D07BB2"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42616A3"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III</w:t>
            </w:r>
          </w:p>
        </w:tc>
      </w:tr>
      <w:tr w:rsidR="00431EC2" w:rsidRPr="009F3B82" w14:paraId="5E208BFA" w14:textId="77777777" w:rsidTr="00410789">
        <w:trPr>
          <w:trHeight w:val="57"/>
        </w:trPr>
        <w:tc>
          <w:tcPr>
            <w:tcW w:w="1660" w:type="dxa"/>
            <w:vMerge/>
            <w:vAlign w:val="center"/>
            <w:hideMark/>
          </w:tcPr>
          <w:p w14:paraId="44416135"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B3AFB95"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0D247F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IV</w:t>
            </w:r>
          </w:p>
        </w:tc>
      </w:tr>
      <w:tr w:rsidR="00431EC2" w:rsidRPr="009F3B82" w14:paraId="5518F8CB" w14:textId="77777777" w:rsidTr="00410789">
        <w:trPr>
          <w:trHeight w:val="57"/>
        </w:trPr>
        <w:tc>
          <w:tcPr>
            <w:tcW w:w="1660" w:type="dxa"/>
            <w:vMerge/>
            <w:vAlign w:val="center"/>
            <w:hideMark/>
          </w:tcPr>
          <w:p w14:paraId="21A6D236"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17DB13AC"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A8E6DD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w:t>
            </w:r>
          </w:p>
        </w:tc>
      </w:tr>
      <w:tr w:rsidR="00431EC2" w:rsidRPr="009F3B82" w14:paraId="744954A7" w14:textId="77777777" w:rsidTr="00410789">
        <w:trPr>
          <w:trHeight w:val="57"/>
        </w:trPr>
        <w:tc>
          <w:tcPr>
            <w:tcW w:w="1660" w:type="dxa"/>
            <w:vMerge/>
            <w:vAlign w:val="center"/>
            <w:hideMark/>
          </w:tcPr>
          <w:p w14:paraId="3A0D7138"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30BD334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6565250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VI</w:t>
            </w:r>
          </w:p>
        </w:tc>
      </w:tr>
      <w:tr w:rsidR="00431EC2" w:rsidRPr="009F3B82" w14:paraId="4E3B8874" w14:textId="77777777" w:rsidTr="00410789">
        <w:trPr>
          <w:trHeight w:val="57"/>
        </w:trPr>
        <w:tc>
          <w:tcPr>
            <w:tcW w:w="1660" w:type="dxa"/>
            <w:vMerge w:val="restart"/>
            <w:shd w:val="clear" w:color="auto" w:fill="auto"/>
            <w:noWrap/>
            <w:vAlign w:val="center"/>
            <w:hideMark/>
          </w:tcPr>
          <w:p w14:paraId="3C417AD6" w14:textId="77777777" w:rsidR="00431EC2" w:rsidRPr="009F3B82" w:rsidRDefault="00431EC2" w:rsidP="00410789">
            <w:pPr>
              <w:spacing w:line="240" w:lineRule="auto"/>
              <w:rPr>
                <w:rFonts w:cs="Open Sans"/>
                <w:color w:val="000000"/>
                <w:szCs w:val="18"/>
                <w:lang w:val="en-US" w:eastAsia="en-US"/>
              </w:rPr>
            </w:pPr>
            <w:r w:rsidRPr="009F3B82">
              <w:rPr>
                <w:rFonts w:cs="Open Sans"/>
                <w:color w:val="000000"/>
                <w:szCs w:val="18"/>
                <w:lang w:val="en-US" w:eastAsia="en-US"/>
              </w:rPr>
              <w:t>L-Category</w:t>
            </w:r>
          </w:p>
        </w:tc>
        <w:tc>
          <w:tcPr>
            <w:tcW w:w="2570" w:type="dxa"/>
            <w:vMerge w:val="restart"/>
            <w:shd w:val="clear" w:color="auto" w:fill="auto"/>
            <w:vAlign w:val="center"/>
            <w:hideMark/>
          </w:tcPr>
          <w:p w14:paraId="37123A6F"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Mopeds</w:t>
            </w:r>
            <w:r w:rsidRPr="009F3B82">
              <w:rPr>
                <w:rFonts w:cs="Open Sans"/>
                <w:color w:val="000000"/>
                <w:szCs w:val="18"/>
                <w:lang w:val="en-US" w:eastAsia="en-US"/>
              </w:rPr>
              <w:br/>
              <w:t>all categories</w:t>
            </w:r>
          </w:p>
        </w:tc>
        <w:tc>
          <w:tcPr>
            <w:tcW w:w="2340" w:type="dxa"/>
            <w:shd w:val="clear" w:color="auto" w:fill="auto"/>
            <w:noWrap/>
            <w:vAlign w:val="center"/>
            <w:hideMark/>
          </w:tcPr>
          <w:p w14:paraId="5158943B"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67A5954F" w14:textId="77777777" w:rsidTr="00410789">
        <w:trPr>
          <w:trHeight w:val="57"/>
        </w:trPr>
        <w:tc>
          <w:tcPr>
            <w:tcW w:w="1660" w:type="dxa"/>
            <w:vMerge/>
            <w:vAlign w:val="center"/>
            <w:hideMark/>
          </w:tcPr>
          <w:p w14:paraId="5CEEAEFE"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BBC32D8"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DF769E1"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689E61B1" w14:textId="77777777" w:rsidTr="00410789">
        <w:trPr>
          <w:trHeight w:val="57"/>
        </w:trPr>
        <w:tc>
          <w:tcPr>
            <w:tcW w:w="1660" w:type="dxa"/>
            <w:vMerge/>
            <w:vAlign w:val="center"/>
            <w:hideMark/>
          </w:tcPr>
          <w:p w14:paraId="565DD6DB"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908839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06AE527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13A4E945" w14:textId="77777777" w:rsidTr="00410789">
        <w:trPr>
          <w:trHeight w:val="57"/>
        </w:trPr>
        <w:tc>
          <w:tcPr>
            <w:tcW w:w="1660" w:type="dxa"/>
            <w:vMerge/>
            <w:vAlign w:val="center"/>
            <w:hideMark/>
          </w:tcPr>
          <w:p w14:paraId="1F16A190"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4240D81F"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CAFE9B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03E607D3" w14:textId="77777777" w:rsidTr="00410789">
        <w:trPr>
          <w:trHeight w:val="57"/>
        </w:trPr>
        <w:tc>
          <w:tcPr>
            <w:tcW w:w="1660" w:type="dxa"/>
            <w:vMerge/>
            <w:vAlign w:val="center"/>
            <w:hideMark/>
          </w:tcPr>
          <w:p w14:paraId="3895B7DC"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62BB4AD0"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4631E9E0"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43AF7346" w14:textId="77777777" w:rsidTr="00410789">
        <w:trPr>
          <w:trHeight w:val="57"/>
        </w:trPr>
        <w:tc>
          <w:tcPr>
            <w:tcW w:w="1660" w:type="dxa"/>
            <w:vMerge/>
            <w:vAlign w:val="center"/>
            <w:hideMark/>
          </w:tcPr>
          <w:p w14:paraId="2AC6EE23" w14:textId="77777777" w:rsidR="00431EC2" w:rsidRPr="009F3B82" w:rsidRDefault="00431EC2" w:rsidP="00410789">
            <w:pPr>
              <w:spacing w:line="240" w:lineRule="auto"/>
              <w:rPr>
                <w:rFonts w:cs="Open Sans"/>
                <w:color w:val="000000"/>
                <w:szCs w:val="18"/>
                <w:lang w:val="en-US" w:eastAsia="en-US"/>
              </w:rPr>
            </w:pPr>
          </w:p>
        </w:tc>
        <w:tc>
          <w:tcPr>
            <w:tcW w:w="2570" w:type="dxa"/>
            <w:vMerge/>
            <w:vAlign w:val="center"/>
            <w:hideMark/>
          </w:tcPr>
          <w:p w14:paraId="2CAA8F4E" w14:textId="77777777" w:rsidR="00431EC2" w:rsidRPr="009F3B82" w:rsidRDefault="00431EC2" w:rsidP="001576FC">
            <w:pPr>
              <w:spacing w:line="240" w:lineRule="auto"/>
              <w:jc w:val="left"/>
              <w:rPr>
                <w:rFonts w:cs="Open Sans"/>
                <w:color w:val="000000"/>
                <w:szCs w:val="18"/>
                <w:lang w:val="en-US" w:eastAsia="en-US"/>
              </w:rPr>
            </w:pPr>
          </w:p>
        </w:tc>
        <w:tc>
          <w:tcPr>
            <w:tcW w:w="2340" w:type="dxa"/>
            <w:shd w:val="clear" w:color="auto" w:fill="auto"/>
            <w:noWrap/>
            <w:vAlign w:val="center"/>
            <w:hideMark/>
          </w:tcPr>
          <w:p w14:paraId="26486DF7"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r w:rsidR="00431EC2" w:rsidRPr="009F3B82" w14:paraId="22E3D5A9" w14:textId="77777777" w:rsidTr="00410789">
        <w:trPr>
          <w:trHeight w:val="57"/>
        </w:trPr>
        <w:tc>
          <w:tcPr>
            <w:tcW w:w="1660" w:type="dxa"/>
            <w:vMerge/>
            <w:vAlign w:val="center"/>
            <w:hideMark/>
          </w:tcPr>
          <w:p w14:paraId="3CE61667" w14:textId="77777777" w:rsidR="00431EC2" w:rsidRPr="009F3B82" w:rsidRDefault="00431EC2" w:rsidP="00410789">
            <w:pPr>
              <w:spacing w:line="240" w:lineRule="auto"/>
              <w:rPr>
                <w:rFonts w:cs="Open Sans"/>
                <w:color w:val="000000"/>
                <w:szCs w:val="18"/>
                <w:lang w:val="en-US" w:eastAsia="en-US"/>
              </w:rPr>
            </w:pPr>
          </w:p>
        </w:tc>
        <w:tc>
          <w:tcPr>
            <w:tcW w:w="2570" w:type="dxa"/>
            <w:vMerge w:val="restart"/>
            <w:shd w:val="clear" w:color="auto" w:fill="auto"/>
            <w:vAlign w:val="center"/>
            <w:hideMark/>
          </w:tcPr>
          <w:p w14:paraId="61F63C51" w14:textId="77777777" w:rsidR="00431EC2" w:rsidRPr="009F3B82" w:rsidRDefault="00431EC2" w:rsidP="001576FC">
            <w:pPr>
              <w:spacing w:line="240" w:lineRule="auto"/>
              <w:jc w:val="left"/>
              <w:rPr>
                <w:rFonts w:cs="Open Sans"/>
                <w:color w:val="000000"/>
                <w:szCs w:val="18"/>
                <w:lang w:val="en-US" w:eastAsia="en-US"/>
              </w:rPr>
            </w:pPr>
            <w:r w:rsidRPr="009F3B82">
              <w:rPr>
                <w:rFonts w:cs="Open Sans"/>
                <w:color w:val="000000"/>
                <w:szCs w:val="18"/>
                <w:lang w:val="en-US" w:eastAsia="en-US"/>
              </w:rPr>
              <w:t>Motorcycles</w:t>
            </w:r>
            <w:r w:rsidRPr="009F3B82">
              <w:rPr>
                <w:rFonts w:cs="Open Sans"/>
                <w:color w:val="000000"/>
                <w:szCs w:val="18"/>
                <w:lang w:val="en-US" w:eastAsia="en-US"/>
              </w:rPr>
              <w:br/>
              <w:t>all categories</w:t>
            </w:r>
          </w:p>
        </w:tc>
        <w:tc>
          <w:tcPr>
            <w:tcW w:w="2340" w:type="dxa"/>
            <w:shd w:val="clear" w:color="auto" w:fill="auto"/>
            <w:noWrap/>
            <w:vAlign w:val="center"/>
            <w:hideMark/>
          </w:tcPr>
          <w:p w14:paraId="3E74D388"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Conventional</w:t>
            </w:r>
          </w:p>
        </w:tc>
      </w:tr>
      <w:tr w:rsidR="00431EC2" w:rsidRPr="009F3B82" w14:paraId="423A0724" w14:textId="77777777" w:rsidTr="00410789">
        <w:trPr>
          <w:trHeight w:val="57"/>
        </w:trPr>
        <w:tc>
          <w:tcPr>
            <w:tcW w:w="1660" w:type="dxa"/>
            <w:vMerge/>
            <w:vAlign w:val="center"/>
            <w:hideMark/>
          </w:tcPr>
          <w:p w14:paraId="1988724A" w14:textId="77777777" w:rsidR="00431EC2" w:rsidRPr="009F3B82" w:rsidRDefault="00431EC2" w:rsidP="008A3855">
            <w:pPr>
              <w:spacing w:line="240" w:lineRule="auto"/>
              <w:jc w:val="center"/>
              <w:rPr>
                <w:rFonts w:cs="Open Sans"/>
                <w:color w:val="000000"/>
                <w:szCs w:val="18"/>
                <w:lang w:val="en-US" w:eastAsia="en-US"/>
              </w:rPr>
            </w:pPr>
          </w:p>
        </w:tc>
        <w:tc>
          <w:tcPr>
            <w:tcW w:w="2570" w:type="dxa"/>
            <w:vMerge/>
            <w:vAlign w:val="center"/>
            <w:hideMark/>
          </w:tcPr>
          <w:p w14:paraId="229535B6" w14:textId="77777777" w:rsidR="00431EC2" w:rsidRPr="009F3B82" w:rsidRDefault="00431EC2"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513A3CC4"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1</w:t>
            </w:r>
          </w:p>
        </w:tc>
      </w:tr>
      <w:tr w:rsidR="00431EC2" w:rsidRPr="009F3B82" w14:paraId="72316802" w14:textId="77777777" w:rsidTr="00410789">
        <w:trPr>
          <w:trHeight w:val="57"/>
        </w:trPr>
        <w:tc>
          <w:tcPr>
            <w:tcW w:w="1660" w:type="dxa"/>
            <w:vMerge/>
            <w:vAlign w:val="center"/>
            <w:hideMark/>
          </w:tcPr>
          <w:p w14:paraId="4730C50C" w14:textId="77777777" w:rsidR="00431EC2" w:rsidRPr="009F3B82" w:rsidRDefault="00431EC2" w:rsidP="008A3855">
            <w:pPr>
              <w:spacing w:line="240" w:lineRule="auto"/>
              <w:jc w:val="center"/>
              <w:rPr>
                <w:rFonts w:cs="Open Sans"/>
                <w:color w:val="000000"/>
                <w:szCs w:val="18"/>
                <w:lang w:val="en-US" w:eastAsia="en-US"/>
              </w:rPr>
            </w:pPr>
          </w:p>
        </w:tc>
        <w:tc>
          <w:tcPr>
            <w:tcW w:w="2570" w:type="dxa"/>
            <w:vMerge/>
            <w:vAlign w:val="center"/>
            <w:hideMark/>
          </w:tcPr>
          <w:p w14:paraId="35043673" w14:textId="77777777" w:rsidR="00431EC2" w:rsidRPr="009F3B82" w:rsidRDefault="00431EC2"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7DA9B27D"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2</w:t>
            </w:r>
          </w:p>
        </w:tc>
      </w:tr>
      <w:tr w:rsidR="00431EC2" w:rsidRPr="009F3B82" w14:paraId="3A5AF4A5" w14:textId="77777777" w:rsidTr="00410789">
        <w:trPr>
          <w:trHeight w:val="57"/>
        </w:trPr>
        <w:tc>
          <w:tcPr>
            <w:tcW w:w="1660" w:type="dxa"/>
            <w:vMerge/>
            <w:vAlign w:val="center"/>
            <w:hideMark/>
          </w:tcPr>
          <w:p w14:paraId="6C7005A4" w14:textId="77777777" w:rsidR="00431EC2" w:rsidRPr="009F3B82" w:rsidRDefault="00431EC2" w:rsidP="008A3855">
            <w:pPr>
              <w:spacing w:line="240" w:lineRule="auto"/>
              <w:jc w:val="center"/>
              <w:rPr>
                <w:rFonts w:cs="Open Sans"/>
                <w:color w:val="000000"/>
                <w:szCs w:val="18"/>
                <w:lang w:val="en-US" w:eastAsia="en-US"/>
              </w:rPr>
            </w:pPr>
          </w:p>
        </w:tc>
        <w:tc>
          <w:tcPr>
            <w:tcW w:w="2570" w:type="dxa"/>
            <w:vMerge/>
            <w:vAlign w:val="center"/>
            <w:hideMark/>
          </w:tcPr>
          <w:p w14:paraId="20955A98" w14:textId="77777777" w:rsidR="00431EC2" w:rsidRPr="009F3B82" w:rsidRDefault="00431EC2"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1CC12FFE"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3</w:t>
            </w:r>
          </w:p>
        </w:tc>
      </w:tr>
      <w:tr w:rsidR="00431EC2" w:rsidRPr="009F3B82" w14:paraId="5D948DAD" w14:textId="77777777" w:rsidTr="00410789">
        <w:trPr>
          <w:trHeight w:val="57"/>
        </w:trPr>
        <w:tc>
          <w:tcPr>
            <w:tcW w:w="1660" w:type="dxa"/>
            <w:vMerge/>
            <w:vAlign w:val="center"/>
            <w:hideMark/>
          </w:tcPr>
          <w:p w14:paraId="4E6841D2" w14:textId="77777777" w:rsidR="00431EC2" w:rsidRPr="009F3B82" w:rsidRDefault="00431EC2" w:rsidP="008A3855">
            <w:pPr>
              <w:spacing w:line="240" w:lineRule="auto"/>
              <w:jc w:val="center"/>
              <w:rPr>
                <w:rFonts w:cs="Open Sans"/>
                <w:color w:val="000000"/>
                <w:szCs w:val="18"/>
                <w:lang w:val="en-US" w:eastAsia="en-US"/>
              </w:rPr>
            </w:pPr>
          </w:p>
        </w:tc>
        <w:tc>
          <w:tcPr>
            <w:tcW w:w="2570" w:type="dxa"/>
            <w:vMerge/>
            <w:vAlign w:val="center"/>
            <w:hideMark/>
          </w:tcPr>
          <w:p w14:paraId="10B1F400" w14:textId="77777777" w:rsidR="00431EC2" w:rsidRPr="009F3B82" w:rsidRDefault="00431EC2"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15EA6E42"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4</w:t>
            </w:r>
          </w:p>
        </w:tc>
      </w:tr>
      <w:tr w:rsidR="00431EC2" w:rsidRPr="009F3B82" w14:paraId="27E7FC82" w14:textId="77777777" w:rsidTr="00410789">
        <w:trPr>
          <w:trHeight w:val="57"/>
        </w:trPr>
        <w:tc>
          <w:tcPr>
            <w:tcW w:w="1660" w:type="dxa"/>
            <w:vMerge/>
            <w:vAlign w:val="center"/>
            <w:hideMark/>
          </w:tcPr>
          <w:p w14:paraId="270C0C6D" w14:textId="77777777" w:rsidR="00431EC2" w:rsidRPr="009F3B82" w:rsidRDefault="00431EC2" w:rsidP="008A3855">
            <w:pPr>
              <w:spacing w:line="240" w:lineRule="auto"/>
              <w:jc w:val="center"/>
              <w:rPr>
                <w:rFonts w:cs="Open Sans"/>
                <w:color w:val="000000"/>
                <w:szCs w:val="18"/>
                <w:lang w:val="en-US" w:eastAsia="en-US"/>
              </w:rPr>
            </w:pPr>
          </w:p>
        </w:tc>
        <w:tc>
          <w:tcPr>
            <w:tcW w:w="2570" w:type="dxa"/>
            <w:vMerge/>
            <w:vAlign w:val="center"/>
            <w:hideMark/>
          </w:tcPr>
          <w:p w14:paraId="14457EA0" w14:textId="77777777" w:rsidR="00431EC2" w:rsidRPr="009F3B82" w:rsidRDefault="00431EC2" w:rsidP="008A3855">
            <w:pPr>
              <w:spacing w:line="240" w:lineRule="auto"/>
              <w:jc w:val="center"/>
              <w:rPr>
                <w:rFonts w:cs="Open Sans"/>
                <w:color w:val="000000"/>
                <w:szCs w:val="18"/>
                <w:lang w:val="en-US" w:eastAsia="en-US"/>
              </w:rPr>
            </w:pPr>
          </w:p>
        </w:tc>
        <w:tc>
          <w:tcPr>
            <w:tcW w:w="2340" w:type="dxa"/>
            <w:shd w:val="clear" w:color="auto" w:fill="auto"/>
            <w:noWrap/>
            <w:vAlign w:val="center"/>
            <w:hideMark/>
          </w:tcPr>
          <w:p w14:paraId="49178F79" w14:textId="77777777" w:rsidR="00431EC2" w:rsidRPr="009F3B82" w:rsidRDefault="00431EC2" w:rsidP="008A3855">
            <w:pPr>
              <w:spacing w:line="240" w:lineRule="auto"/>
              <w:jc w:val="center"/>
              <w:rPr>
                <w:rFonts w:cs="Open Sans"/>
                <w:color w:val="000000"/>
                <w:szCs w:val="18"/>
                <w:lang w:val="en-US" w:eastAsia="en-US"/>
              </w:rPr>
            </w:pPr>
            <w:r w:rsidRPr="009F3B82">
              <w:rPr>
                <w:rFonts w:cs="Open Sans"/>
                <w:color w:val="000000"/>
                <w:szCs w:val="18"/>
                <w:lang w:val="en-US" w:eastAsia="en-US"/>
              </w:rPr>
              <w:t>Euro 5</w:t>
            </w:r>
          </w:p>
        </w:tc>
      </w:tr>
    </w:tbl>
    <w:p w14:paraId="09CEE21E" w14:textId="77777777" w:rsidR="00772665" w:rsidRPr="000855B2" w:rsidRDefault="00772665" w:rsidP="00772665">
      <w:pPr>
        <w:pStyle w:val="BodyText"/>
      </w:pPr>
    </w:p>
    <w:tbl>
      <w:tblPr>
        <w:tblStyle w:val="TableGrid"/>
        <w:tblW w:w="0" w:type="auto"/>
        <w:tblLook w:val="04A0" w:firstRow="1" w:lastRow="0" w:firstColumn="1" w:lastColumn="0" w:noHBand="0" w:noVBand="1"/>
      </w:tblPr>
      <w:tblGrid>
        <w:gridCol w:w="8453"/>
      </w:tblGrid>
      <w:tr w:rsidR="00AC1E78" w:rsidRPr="000855B2" w14:paraId="223C4BC6" w14:textId="77777777" w:rsidTr="00AC1E78">
        <w:tc>
          <w:tcPr>
            <w:tcW w:w="8633" w:type="dxa"/>
          </w:tcPr>
          <w:p w14:paraId="60C55909" w14:textId="77777777" w:rsidR="00AC1E78" w:rsidRPr="000855B2" w:rsidRDefault="00AC1E78" w:rsidP="00AC1E78">
            <w:pPr>
              <w:pStyle w:val="BodyText"/>
              <w:rPr>
                <w:b/>
              </w:rPr>
            </w:pPr>
            <w:r w:rsidRPr="000855B2">
              <w:rPr>
                <w:b/>
              </w:rPr>
              <w:t>Note:</w:t>
            </w:r>
          </w:p>
          <w:p w14:paraId="0DF59AB2" w14:textId="77777777" w:rsidR="00AC1E78" w:rsidRPr="000855B2" w:rsidRDefault="00AC1E78" w:rsidP="00C43EE6">
            <w:pPr>
              <w:pStyle w:val="BodyText"/>
            </w:pPr>
            <w:r w:rsidRPr="000855B2">
              <w:rPr>
                <w:bCs/>
              </w:rPr>
              <w:t>The methodology and emission factors presented in the subsequent chapters can be also applied in countries not following the Euro standards, provided that a correspondence between the national technological classification and European legislation classes can be approximated. This, most probably, will require some assumptions regarding the emission control technology in the vehicle, year of manufacturing/registration of the vehicle and general maintenance level of the operating stock. In some cases, a limited number of emission measurements may be available at the national level. These can be used to classify vehicles in one of the technology classes of this methodology by comparing the emission factors proposed with the emission level of the measured vehicles.</w:t>
            </w:r>
          </w:p>
        </w:tc>
      </w:tr>
    </w:tbl>
    <w:p w14:paraId="7E33ABBD" w14:textId="77777777" w:rsidR="00FE5A9D" w:rsidRDefault="001119F4" w:rsidP="00FE5A9D">
      <w:r w:rsidRPr="000855B2">
        <w:br w:type="page"/>
      </w:r>
      <w:bookmarkStart w:id="52" w:name="_Toc200272609"/>
      <w:bookmarkStart w:id="53" w:name="_Ref201726355"/>
    </w:p>
    <w:p w14:paraId="1F50766F" w14:textId="77777777" w:rsidR="001D2587" w:rsidRPr="000855B2" w:rsidRDefault="0003591B" w:rsidP="00EA3292">
      <w:pPr>
        <w:pStyle w:val="Heading1"/>
      </w:pPr>
      <w:bookmarkStart w:id="54" w:name="_Toc482003896"/>
      <w:r w:rsidRPr="000855B2">
        <w:lastRenderedPageBreak/>
        <w:t>Calculation m</w:t>
      </w:r>
      <w:r w:rsidR="001D2587" w:rsidRPr="000855B2">
        <w:t>ethods</w:t>
      </w:r>
      <w:bookmarkEnd w:id="52"/>
      <w:bookmarkEnd w:id="53"/>
      <w:bookmarkEnd w:id="54"/>
    </w:p>
    <w:p w14:paraId="6CDC5511" w14:textId="77777777" w:rsidR="001D2587" w:rsidRPr="000855B2" w:rsidRDefault="001D2587" w:rsidP="00CC108F">
      <w:pPr>
        <w:pStyle w:val="BodyText"/>
      </w:pPr>
      <w:r w:rsidRPr="000855B2">
        <w:t xml:space="preserve">The </w:t>
      </w:r>
      <w:r w:rsidR="0003591B" w:rsidRPr="000855B2">
        <w:t xml:space="preserve">emission estimation </w:t>
      </w:r>
      <w:r w:rsidRPr="000855B2">
        <w:t>methodology covers exhaust emissions of CO, NO</w:t>
      </w:r>
      <w:r w:rsidRPr="000855B2">
        <w:rPr>
          <w:vertAlign w:val="subscript"/>
        </w:rPr>
        <w:t>x</w:t>
      </w:r>
      <w:r w:rsidRPr="000855B2">
        <w:t>, NMVOC, CH</w:t>
      </w:r>
      <w:r w:rsidRPr="000855B2">
        <w:rPr>
          <w:vertAlign w:val="subscript"/>
        </w:rPr>
        <w:t>4</w:t>
      </w:r>
      <w:r w:rsidRPr="000855B2">
        <w:t>, CO</w:t>
      </w:r>
      <w:r w:rsidRPr="000855B2">
        <w:rPr>
          <w:vertAlign w:val="subscript"/>
        </w:rPr>
        <w:t>2</w:t>
      </w:r>
      <w:r w:rsidRPr="000855B2">
        <w:t>, N</w:t>
      </w:r>
      <w:r w:rsidRPr="000855B2">
        <w:rPr>
          <w:vertAlign w:val="subscript"/>
        </w:rPr>
        <w:t>2</w:t>
      </w:r>
      <w:r w:rsidRPr="000855B2">
        <w:t>O, NH</w:t>
      </w:r>
      <w:r w:rsidRPr="000855B2">
        <w:rPr>
          <w:vertAlign w:val="subscript"/>
        </w:rPr>
        <w:t>3</w:t>
      </w:r>
      <w:r w:rsidRPr="000855B2">
        <w:t>, SO</w:t>
      </w:r>
      <w:r w:rsidRPr="000855B2">
        <w:rPr>
          <w:vertAlign w:val="subscript"/>
        </w:rPr>
        <w:t>x</w:t>
      </w:r>
      <w:r w:rsidR="00D31480" w:rsidRPr="000855B2">
        <w:t xml:space="preserve">, </w:t>
      </w:r>
      <w:r w:rsidRPr="000855B2">
        <w:t xml:space="preserve">exhaust PM, PAHs and POPs, </w:t>
      </w:r>
      <w:r w:rsidR="0003591B" w:rsidRPr="000855B2">
        <w:t>d</w:t>
      </w:r>
      <w:r w:rsidRPr="000855B2">
        <w:t xml:space="preserve">ioxins and </w:t>
      </w:r>
      <w:r w:rsidR="0003591B" w:rsidRPr="000855B2">
        <w:t>f</w:t>
      </w:r>
      <w:r w:rsidRPr="000855B2">
        <w:t>urans</w:t>
      </w:r>
      <w:r w:rsidR="0003591B" w:rsidRPr="000855B2">
        <w:t>,</w:t>
      </w:r>
      <w:r w:rsidRPr="000855B2">
        <w:t xml:space="preserve"> </w:t>
      </w:r>
      <w:r w:rsidR="007303A3" w:rsidRPr="000855B2">
        <w:t xml:space="preserve">PCBs, HCB, </w:t>
      </w:r>
      <w:r w:rsidRPr="000855B2">
        <w:t xml:space="preserve">and heavy metals contained in the fuel </w:t>
      </w:r>
      <w:r w:rsidR="009B003D">
        <w:t xml:space="preserve">and lubricant </w:t>
      </w:r>
      <w:r w:rsidRPr="000855B2">
        <w:t>(</w:t>
      </w:r>
      <w:r w:rsidR="0003591B" w:rsidRPr="000855B2">
        <w:t>l</w:t>
      </w:r>
      <w:r w:rsidRPr="000855B2">
        <w:t xml:space="preserve">ead, </w:t>
      </w:r>
      <w:r w:rsidR="006F72DF" w:rsidRPr="000855B2">
        <w:t xml:space="preserve">arsenic, </w:t>
      </w:r>
      <w:r w:rsidR="0003591B" w:rsidRPr="000855B2">
        <w:t>c</w:t>
      </w:r>
      <w:r w:rsidRPr="000855B2">
        <w:t xml:space="preserve">admium, </w:t>
      </w:r>
      <w:r w:rsidR="0003591B" w:rsidRPr="000855B2">
        <w:t>c</w:t>
      </w:r>
      <w:r w:rsidRPr="000855B2">
        <w:t xml:space="preserve">opper, </w:t>
      </w:r>
      <w:r w:rsidR="0003591B" w:rsidRPr="000855B2">
        <w:t>c</w:t>
      </w:r>
      <w:r w:rsidRPr="000855B2">
        <w:t xml:space="preserve">hromium, </w:t>
      </w:r>
      <w:r w:rsidR="006F72DF" w:rsidRPr="000855B2">
        <w:t xml:space="preserve">mercury, </w:t>
      </w:r>
      <w:r w:rsidR="0003591B" w:rsidRPr="000855B2">
        <w:t>n</w:t>
      </w:r>
      <w:r w:rsidRPr="000855B2">
        <w:t xml:space="preserve">ickel, </w:t>
      </w:r>
      <w:r w:rsidR="0003591B" w:rsidRPr="000855B2">
        <w:t>s</w:t>
      </w:r>
      <w:r w:rsidRPr="000855B2">
        <w:t xml:space="preserve">elenium and </w:t>
      </w:r>
      <w:r w:rsidR="0003591B" w:rsidRPr="000855B2">
        <w:t>z</w:t>
      </w:r>
      <w:r w:rsidRPr="000855B2">
        <w:t>inc). NO</w:t>
      </w:r>
      <w:r w:rsidRPr="000855B2">
        <w:rPr>
          <w:vertAlign w:val="subscript"/>
        </w:rPr>
        <w:t>x</w:t>
      </w:r>
      <w:r w:rsidRPr="000855B2">
        <w:t xml:space="preserve"> emissions are further split </w:t>
      </w:r>
      <w:r w:rsidR="0003591B" w:rsidRPr="000855B2">
        <w:t>in</w:t>
      </w:r>
      <w:r w:rsidRPr="000855B2">
        <w:t>to NO and NO</w:t>
      </w:r>
      <w:r w:rsidRPr="000855B2">
        <w:rPr>
          <w:vertAlign w:val="subscript"/>
        </w:rPr>
        <w:t>2</w:t>
      </w:r>
      <w:r w:rsidRPr="000855B2">
        <w:t xml:space="preserve">. PM is also </w:t>
      </w:r>
      <w:r w:rsidR="0003591B" w:rsidRPr="000855B2">
        <w:t>divided</w:t>
      </w:r>
      <w:r w:rsidRPr="000855B2">
        <w:t xml:space="preserve"> </w:t>
      </w:r>
      <w:r w:rsidR="0003591B" w:rsidRPr="000855B2">
        <w:t>in</w:t>
      </w:r>
      <w:r w:rsidRPr="000855B2">
        <w:t xml:space="preserve">to elemental </w:t>
      </w:r>
      <w:r w:rsidR="0003591B" w:rsidRPr="000855B2">
        <w:t xml:space="preserve">carbon </w:t>
      </w:r>
      <w:r w:rsidRPr="000855B2">
        <w:t xml:space="preserve">and organic carbon as a function of </w:t>
      </w:r>
      <w:r w:rsidR="0003591B" w:rsidRPr="000855B2">
        <w:t>vehicle</w:t>
      </w:r>
      <w:r w:rsidRPr="000855B2">
        <w:t xml:space="preserve"> technology. A detailed </w:t>
      </w:r>
      <w:r w:rsidR="0003591B" w:rsidRPr="000855B2">
        <w:t xml:space="preserve">speciation of </w:t>
      </w:r>
      <w:r w:rsidRPr="000855B2">
        <w:t>NMVOC</w:t>
      </w:r>
      <w:r w:rsidR="0003591B" w:rsidRPr="000855B2">
        <w:t>s is also</w:t>
      </w:r>
      <w:r w:rsidRPr="000855B2">
        <w:t xml:space="preserve"> </w:t>
      </w:r>
      <w:r w:rsidR="0003591B" w:rsidRPr="000855B2">
        <w:t>provided, and this covers ho</w:t>
      </w:r>
      <w:r w:rsidR="0069595F" w:rsidRPr="000855B2">
        <w:t>mo</w:t>
      </w:r>
      <w:r w:rsidR="0003591B" w:rsidRPr="000855B2">
        <w:t xml:space="preserve">logous series such as </w:t>
      </w:r>
      <w:r w:rsidRPr="000855B2">
        <w:t>alkanes, alkenes, alk</w:t>
      </w:r>
      <w:r w:rsidR="0003591B" w:rsidRPr="000855B2">
        <w:t>y</w:t>
      </w:r>
      <w:r w:rsidRPr="000855B2">
        <w:t>nes, aldehydes, ketones and aromatics</w:t>
      </w:r>
      <w:r w:rsidR="0003591B" w:rsidRPr="000855B2">
        <w:t xml:space="preserve"> compounds</w:t>
      </w:r>
      <w:r w:rsidRPr="000855B2">
        <w:t>. P</w:t>
      </w:r>
      <w:r w:rsidR="0003591B" w:rsidRPr="000855B2">
        <w:t>M mass</w:t>
      </w:r>
      <w:r w:rsidRPr="000855B2">
        <w:t xml:space="preserve"> emissions in vehicle exhaust mainly fall in the PM</w:t>
      </w:r>
      <w:r w:rsidRPr="000855B2">
        <w:rPr>
          <w:vertAlign w:val="subscript"/>
        </w:rPr>
        <w:t>2.5</w:t>
      </w:r>
      <w:r w:rsidRPr="000855B2">
        <w:t xml:space="preserve"> size range. Therefore, all PM mass emission factors </w:t>
      </w:r>
      <w:r w:rsidR="0003591B" w:rsidRPr="000855B2">
        <w:t xml:space="preserve">are assumed to </w:t>
      </w:r>
      <w:r w:rsidRPr="000855B2">
        <w:t>correspond to PM</w:t>
      </w:r>
      <w:r w:rsidRPr="000855B2">
        <w:rPr>
          <w:vertAlign w:val="subscript"/>
        </w:rPr>
        <w:t>2.5</w:t>
      </w:r>
      <w:r w:rsidRPr="000855B2">
        <w:t xml:space="preserve">. </w:t>
      </w:r>
      <w:r w:rsidR="0003591B" w:rsidRPr="000855B2">
        <w:t>E</w:t>
      </w:r>
      <w:r w:rsidRPr="000855B2">
        <w:t>mission</w:t>
      </w:r>
      <w:r w:rsidR="0003591B" w:rsidRPr="000855B2">
        <w:t xml:space="preserve"> factors</w:t>
      </w:r>
      <w:r w:rsidRPr="000855B2">
        <w:t xml:space="preserve"> </w:t>
      </w:r>
      <w:r w:rsidR="0003591B" w:rsidRPr="000855B2">
        <w:t>for particle number and surface are</w:t>
      </w:r>
      <w:r w:rsidRPr="000855B2">
        <w:t xml:space="preserve"> </w:t>
      </w:r>
      <w:r w:rsidR="0003591B" w:rsidRPr="000855B2">
        <w:t xml:space="preserve">also provided for </w:t>
      </w:r>
      <w:r w:rsidRPr="000855B2">
        <w:t>different particle size</w:t>
      </w:r>
      <w:r w:rsidR="0003591B" w:rsidRPr="000855B2">
        <w:t xml:space="preserve"> range</w:t>
      </w:r>
      <w:r w:rsidRPr="000855B2">
        <w:t>s.</w:t>
      </w:r>
    </w:p>
    <w:p w14:paraId="5BB857B9" w14:textId="77777777" w:rsidR="001D2587" w:rsidRPr="000855B2" w:rsidRDefault="001D2587" w:rsidP="00CC108F">
      <w:pPr>
        <w:pStyle w:val="BodyText"/>
      </w:pPr>
      <w:r w:rsidRPr="000855B2">
        <w:t>According to the</w:t>
      </w:r>
      <w:r w:rsidR="008D42CA" w:rsidRPr="000855B2">
        <w:t xml:space="preserve"> level of</w:t>
      </w:r>
      <w:r w:rsidRPr="000855B2">
        <w:t xml:space="preserve"> detail available</w:t>
      </w:r>
      <w:r w:rsidR="008D42CA" w:rsidRPr="000855B2">
        <w:t>,</w:t>
      </w:r>
      <w:r w:rsidRPr="000855B2">
        <w:t xml:space="preserve"> and the approach adopted </w:t>
      </w:r>
      <w:r w:rsidR="008D42CA" w:rsidRPr="000855B2">
        <w:t>for the</w:t>
      </w:r>
      <w:r w:rsidRPr="000855B2">
        <w:t xml:space="preserve"> calculat</w:t>
      </w:r>
      <w:r w:rsidR="008D42CA" w:rsidRPr="000855B2">
        <w:t>ion of</w:t>
      </w:r>
      <w:r w:rsidRPr="000855B2">
        <w:t xml:space="preserve"> emissions, the a</w:t>
      </w:r>
      <w:r w:rsidR="008D42CA" w:rsidRPr="000855B2">
        <w:t>fore</w:t>
      </w:r>
      <w:r w:rsidRPr="000855B2">
        <w:t xml:space="preserve">mentioned pollutants can be </w:t>
      </w:r>
      <w:r w:rsidR="008D42CA" w:rsidRPr="000855B2">
        <w:t>divided</w:t>
      </w:r>
      <w:r w:rsidRPr="000855B2">
        <w:t xml:space="preserve"> into </w:t>
      </w:r>
      <w:r w:rsidR="008D42CA" w:rsidRPr="000855B2">
        <w:t xml:space="preserve">the following </w:t>
      </w:r>
      <w:r w:rsidRPr="000855B2">
        <w:t>four groups</w:t>
      </w:r>
      <w:r w:rsidR="00AC1E78" w:rsidRPr="000855B2">
        <w:t>:</w:t>
      </w:r>
    </w:p>
    <w:p w14:paraId="4A0A396F" w14:textId="77777777" w:rsidR="00AC1E78" w:rsidRPr="000855B2" w:rsidRDefault="00AC1E78" w:rsidP="00CC108F">
      <w:pPr>
        <w:pStyle w:val="BodyText"/>
      </w:pPr>
    </w:p>
    <w:p w14:paraId="054A4061" w14:textId="15284B62" w:rsidR="001D2587" w:rsidRPr="000855B2" w:rsidRDefault="001D2587" w:rsidP="00CC108F">
      <w:pPr>
        <w:pStyle w:val="BodyText"/>
      </w:pPr>
      <w:r w:rsidRPr="000855B2">
        <w:rPr>
          <w:b/>
        </w:rPr>
        <w:t>Group 1:</w:t>
      </w:r>
      <w:r w:rsidRPr="000855B2">
        <w:t xml:space="preserve"> </w:t>
      </w:r>
      <w:r w:rsidR="00E15BEA" w:rsidRPr="000855B2">
        <w:t>p</w:t>
      </w:r>
      <w:r w:rsidRPr="000855B2">
        <w:t>ollutants for which a detailed methodology exists, based on specific emission factors and covering different traffic situations</w:t>
      </w:r>
      <w:r w:rsidR="000E4644" w:rsidRPr="000855B2">
        <w:t xml:space="preserve"> (i.e. </w:t>
      </w:r>
      <w:r w:rsidR="003614D3">
        <w:t>urban</w:t>
      </w:r>
      <w:r w:rsidR="000E4644" w:rsidRPr="000855B2">
        <w:t>, rural, highway)</w:t>
      </w:r>
      <w:r w:rsidRPr="000855B2">
        <w:t xml:space="preserve"> and engine conditions. The pollutants included in this </w:t>
      </w:r>
      <w:r w:rsidR="00E15BEA" w:rsidRPr="000855B2">
        <w:t>g</w:t>
      </w:r>
      <w:r w:rsidRPr="000855B2">
        <w:t xml:space="preserve">roup are </w:t>
      </w:r>
      <w:r w:rsidR="008D42CA" w:rsidRPr="000855B2">
        <w:t>listed</w:t>
      </w:r>
      <w:r w:rsidRPr="000855B2">
        <w:t xml:space="preserve"> in </w:t>
      </w:r>
      <w:r w:rsidR="00FB454C">
        <w:fldChar w:fldCharType="begin"/>
      </w:r>
      <w:r w:rsidR="00FB454C">
        <w:instrText xml:space="preserve"> REF _Ref140399373 \h  \* MERGEFORMAT </w:instrText>
      </w:r>
      <w:r w:rsidR="00FB454C">
        <w:fldChar w:fldCharType="separate"/>
      </w:r>
      <w:r w:rsidR="0071604C" w:rsidRPr="000855B2">
        <w:t>Table </w:t>
      </w:r>
      <w:r w:rsidR="0071604C">
        <w:t>3.1</w:t>
      </w:r>
      <w:r w:rsidR="00FB454C">
        <w:fldChar w:fldCharType="end"/>
      </w:r>
      <w:r w:rsidRPr="000855B2">
        <w:t>.</w:t>
      </w:r>
    </w:p>
    <w:p w14:paraId="0C946FAE" w14:textId="77777777" w:rsidR="00AC1E78" w:rsidRPr="000855B2" w:rsidRDefault="00AC1E78" w:rsidP="00CC108F">
      <w:pPr>
        <w:pStyle w:val="BodyText"/>
      </w:pPr>
    </w:p>
    <w:p w14:paraId="358D20A8" w14:textId="1FE1CE96" w:rsidR="001D2587" w:rsidRPr="000855B2" w:rsidRDefault="001D2587" w:rsidP="00CC108F">
      <w:pPr>
        <w:pStyle w:val="BodyText"/>
      </w:pPr>
      <w:r w:rsidRPr="000855B2">
        <w:rPr>
          <w:b/>
        </w:rPr>
        <w:t>Group 2:</w:t>
      </w:r>
      <w:r w:rsidRPr="000855B2">
        <w:t xml:space="preserve"> </w:t>
      </w:r>
      <w:r w:rsidR="00E15BEA" w:rsidRPr="000855B2">
        <w:t>e</w:t>
      </w:r>
      <w:r w:rsidRPr="000855B2">
        <w:t xml:space="preserve">missions of </w:t>
      </w:r>
      <w:r w:rsidR="008D42CA" w:rsidRPr="000855B2">
        <w:t xml:space="preserve">Group 2 </w:t>
      </w:r>
      <w:r w:rsidRPr="000855B2">
        <w:t>pollutants are</w:t>
      </w:r>
      <w:r w:rsidR="008D42CA" w:rsidRPr="000855B2">
        <w:t xml:space="preserve"> estimated based on</w:t>
      </w:r>
      <w:r w:rsidRPr="000855B2">
        <w:t xml:space="preserve"> fuel consumption</w:t>
      </w:r>
      <w:r w:rsidR="008D42CA" w:rsidRPr="000855B2">
        <w:t>, and the results are of the same quality as those for the pollutants in Group 1.</w:t>
      </w:r>
      <w:r w:rsidRPr="000855B2">
        <w:t xml:space="preserve"> These </w:t>
      </w:r>
      <w:r w:rsidR="008D42CA" w:rsidRPr="000855B2">
        <w:t>pollutants are listed</w:t>
      </w:r>
      <w:r w:rsidRPr="000855B2">
        <w:t xml:space="preserve"> in</w:t>
      </w:r>
      <w:r w:rsidR="009B0B28">
        <w:t xml:space="preserve"> </w:t>
      </w:r>
      <w:r w:rsidR="00E17971">
        <w:fldChar w:fldCharType="begin"/>
      </w:r>
      <w:r w:rsidR="009B0B28">
        <w:instrText xml:space="preserve"> REF _Ref467604679 \h </w:instrText>
      </w:r>
      <w:r w:rsidR="00E17971">
        <w:fldChar w:fldCharType="separate"/>
      </w:r>
      <w:r w:rsidR="0071604C" w:rsidRPr="000855B2">
        <w:t>Table </w:t>
      </w:r>
      <w:r w:rsidR="0071604C">
        <w:rPr>
          <w:noProof/>
        </w:rPr>
        <w:t>3</w:t>
      </w:r>
      <w:r w:rsidR="0071604C">
        <w:t>.</w:t>
      </w:r>
      <w:r w:rsidR="0071604C">
        <w:rPr>
          <w:noProof/>
        </w:rPr>
        <w:t>2</w:t>
      </w:r>
      <w:r w:rsidR="00E17971">
        <w:fldChar w:fldCharType="end"/>
      </w:r>
      <w:r w:rsidRPr="000855B2">
        <w:t>.</w:t>
      </w:r>
    </w:p>
    <w:p w14:paraId="022A9A96" w14:textId="77777777" w:rsidR="00AC1E78" w:rsidRPr="000855B2" w:rsidRDefault="00AC1E78" w:rsidP="00CC108F">
      <w:pPr>
        <w:pStyle w:val="BodyText"/>
      </w:pPr>
    </w:p>
    <w:p w14:paraId="37791FE5" w14:textId="6D1E5123" w:rsidR="001D2587" w:rsidRPr="000855B2" w:rsidRDefault="001D2587" w:rsidP="00CC108F">
      <w:pPr>
        <w:pStyle w:val="BodyText"/>
      </w:pPr>
      <w:r w:rsidRPr="000855B2">
        <w:rPr>
          <w:b/>
        </w:rPr>
        <w:t>Group 3:</w:t>
      </w:r>
      <w:r w:rsidRPr="000855B2">
        <w:t xml:space="preserve"> </w:t>
      </w:r>
      <w:r w:rsidR="005A61D9" w:rsidRPr="000855B2">
        <w:t>p</w:t>
      </w:r>
      <w:r w:rsidRPr="000855B2">
        <w:t>ollutants for which a simplified methodology is applied</w:t>
      </w:r>
      <w:r w:rsidR="008D42CA" w:rsidRPr="000855B2">
        <w:t>,</w:t>
      </w:r>
      <w:r w:rsidRPr="000855B2">
        <w:t xml:space="preserve"> mainly due to the absence of detailed data. This Group contains the pollutants </w:t>
      </w:r>
      <w:r w:rsidR="008D42CA" w:rsidRPr="000855B2">
        <w:t>listed</w:t>
      </w:r>
      <w:r w:rsidRPr="000855B2">
        <w:t xml:space="preserve"> in </w:t>
      </w:r>
      <w:r w:rsidR="00FB454C">
        <w:fldChar w:fldCharType="begin"/>
      </w:r>
      <w:r w:rsidR="00FB454C">
        <w:instrText xml:space="preserve"> REF _Ref140399397 \h  \* MERGEFORMAT </w:instrText>
      </w:r>
      <w:r w:rsidR="00FB454C">
        <w:fldChar w:fldCharType="separate"/>
      </w:r>
      <w:r w:rsidR="0071604C" w:rsidRPr="000855B2">
        <w:t>Table </w:t>
      </w:r>
      <w:r w:rsidR="0071604C">
        <w:t>3.3</w:t>
      </w:r>
      <w:r w:rsidR="00FB454C">
        <w:fldChar w:fldCharType="end"/>
      </w:r>
      <w:r w:rsidRPr="000855B2">
        <w:t>.</w:t>
      </w:r>
    </w:p>
    <w:p w14:paraId="3CC95EE6" w14:textId="77777777" w:rsidR="00AC1E78" w:rsidRPr="000855B2" w:rsidRDefault="00AC1E78" w:rsidP="00CC108F">
      <w:pPr>
        <w:pStyle w:val="BodyText"/>
      </w:pPr>
    </w:p>
    <w:p w14:paraId="144A6BB5" w14:textId="7C389EF4" w:rsidR="001D2587" w:rsidRPr="000855B2" w:rsidRDefault="001D2587" w:rsidP="00CC108F">
      <w:pPr>
        <w:pStyle w:val="BodyText"/>
      </w:pPr>
      <w:r w:rsidRPr="000855B2">
        <w:rPr>
          <w:b/>
        </w:rPr>
        <w:t>Group 4:</w:t>
      </w:r>
      <w:r w:rsidR="008D42CA" w:rsidRPr="000855B2">
        <w:rPr>
          <w:b/>
        </w:rPr>
        <w:t xml:space="preserve"> </w:t>
      </w:r>
      <w:r w:rsidR="005A61D9" w:rsidRPr="000855B2">
        <w:t>p</w:t>
      </w:r>
      <w:r w:rsidR="008D42CA" w:rsidRPr="000855B2">
        <w:t>ollutants</w:t>
      </w:r>
      <w:r w:rsidR="008D42CA" w:rsidRPr="000855B2">
        <w:rPr>
          <w:b/>
        </w:rPr>
        <w:t xml:space="preserve"> </w:t>
      </w:r>
      <w:r w:rsidRPr="000855B2">
        <w:t xml:space="preserve">which are derived as a fraction of total NMVOC emissions. </w:t>
      </w:r>
      <w:r w:rsidR="008D42CA" w:rsidRPr="000855B2">
        <w:t>The</w:t>
      </w:r>
      <w:r w:rsidRPr="000855B2">
        <w:t xml:space="preserve"> small fraction of </w:t>
      </w:r>
      <w:r w:rsidR="008D42CA" w:rsidRPr="000855B2">
        <w:t xml:space="preserve">‘residual’ </w:t>
      </w:r>
      <w:r w:rsidRPr="000855B2">
        <w:t>NMVOC</w:t>
      </w:r>
      <w:r w:rsidR="008D42CA" w:rsidRPr="000855B2">
        <w:t>s</w:t>
      </w:r>
      <w:r w:rsidRPr="000855B2">
        <w:t xml:space="preserve"> is considered to be PAHs. </w:t>
      </w:r>
      <w:r w:rsidR="008D42CA" w:rsidRPr="000855B2">
        <w:t>The s</w:t>
      </w:r>
      <w:r w:rsidRPr="000855B2">
        <w:t xml:space="preserve">peciation </w:t>
      </w:r>
      <w:r w:rsidR="008D42CA" w:rsidRPr="000855B2">
        <w:t>of NMVOCs covers the homologous series listed</w:t>
      </w:r>
      <w:r w:rsidRPr="000855B2">
        <w:t xml:space="preserve"> in </w:t>
      </w:r>
      <w:r w:rsidR="00E17971">
        <w:fldChar w:fldCharType="begin"/>
      </w:r>
      <w:r w:rsidR="009B0B28">
        <w:instrText xml:space="preserve"> REF _Ref467604685 \h </w:instrText>
      </w:r>
      <w:r w:rsidR="00E17971">
        <w:fldChar w:fldCharType="separate"/>
      </w:r>
      <w:r w:rsidR="0071604C" w:rsidRPr="000855B2">
        <w:t>Table </w:t>
      </w:r>
      <w:r w:rsidR="0071604C">
        <w:rPr>
          <w:noProof/>
        </w:rPr>
        <w:t>3</w:t>
      </w:r>
      <w:r w:rsidR="0071604C">
        <w:t>.</w:t>
      </w:r>
      <w:r w:rsidR="0071604C">
        <w:rPr>
          <w:noProof/>
        </w:rPr>
        <w:t>4</w:t>
      </w:r>
      <w:r w:rsidR="00E17971">
        <w:fldChar w:fldCharType="end"/>
      </w:r>
      <w:r w:rsidR="009B0B28">
        <w:t>.</w:t>
      </w:r>
    </w:p>
    <w:p w14:paraId="0612C38B" w14:textId="5DC38B4D" w:rsidR="001D2587" w:rsidRPr="000855B2" w:rsidRDefault="00A040D1" w:rsidP="00E43131">
      <w:pPr>
        <w:pStyle w:val="Caption"/>
      </w:pPr>
      <w:bookmarkStart w:id="55" w:name="_Ref140399373"/>
      <w:bookmarkStart w:id="56" w:name="_Toc496265256"/>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w:t>
      </w:r>
      <w:r w:rsidR="00FB454C">
        <w:rPr>
          <w:noProof/>
        </w:rPr>
        <w:fldChar w:fldCharType="end"/>
      </w:r>
      <w:bookmarkEnd w:id="55"/>
      <w:r w:rsidR="001D2587" w:rsidRPr="000855B2">
        <w:t>: Pollutants included in Group 1</w:t>
      </w:r>
      <w:r w:rsidR="00F53C80" w:rsidRPr="000855B2">
        <w:t xml:space="preserve"> and equivalent terms in</w:t>
      </w:r>
      <w:r w:rsidR="001D2587" w:rsidRPr="000855B2">
        <w:t xml:space="preserve"> methodology</w:t>
      </w:r>
      <w:bookmarkEnd w:id="56"/>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34462D98" w14:textId="77777777" w:rsidTr="009F3B82">
        <w:tc>
          <w:tcPr>
            <w:tcW w:w="3544" w:type="dxa"/>
            <w:tcBorders>
              <w:top w:val="double" w:sz="6" w:space="0" w:color="auto"/>
              <w:left w:val="double" w:sz="6" w:space="0" w:color="auto"/>
              <w:bottom w:val="single" w:sz="12" w:space="0" w:color="auto"/>
              <w:right w:val="single" w:sz="2" w:space="0" w:color="000000"/>
            </w:tcBorders>
            <w:vAlign w:val="center"/>
          </w:tcPr>
          <w:p w14:paraId="18E4553C"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p>
        </w:tc>
        <w:tc>
          <w:tcPr>
            <w:tcW w:w="4774" w:type="dxa"/>
            <w:tcBorders>
              <w:top w:val="double" w:sz="6" w:space="0" w:color="auto"/>
              <w:left w:val="nil"/>
              <w:bottom w:val="single" w:sz="12" w:space="0" w:color="auto"/>
              <w:right w:val="double" w:sz="6" w:space="0" w:color="auto"/>
            </w:tcBorders>
            <w:vAlign w:val="center"/>
          </w:tcPr>
          <w:p w14:paraId="0AA698F2"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0855B2" w14:paraId="20D6C3B1" w14:textId="77777777" w:rsidTr="00246BA6">
        <w:tc>
          <w:tcPr>
            <w:tcW w:w="3544" w:type="dxa"/>
            <w:tcBorders>
              <w:top w:val="single" w:sz="12" w:space="0" w:color="auto"/>
              <w:left w:val="double" w:sz="6" w:space="0" w:color="auto"/>
              <w:bottom w:val="single" w:sz="6" w:space="0" w:color="000000"/>
              <w:right w:val="single" w:sz="2" w:space="0" w:color="000000"/>
            </w:tcBorders>
            <w:vAlign w:val="center"/>
          </w:tcPr>
          <w:p w14:paraId="034FE41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Carbon </w:t>
            </w:r>
            <w:r w:rsidR="008D42CA" w:rsidRPr="000855B2">
              <w:rPr>
                <w:rFonts w:ascii="Open Sans" w:hAnsi="Open Sans" w:cs="Open Sans"/>
                <w:sz w:val="18"/>
                <w:lang w:val="en-GB"/>
              </w:rPr>
              <w:t>m</w:t>
            </w:r>
            <w:r w:rsidRPr="000855B2">
              <w:rPr>
                <w:rFonts w:ascii="Open Sans" w:hAnsi="Open Sans" w:cs="Open Sans"/>
                <w:sz w:val="18"/>
                <w:lang w:val="en-GB"/>
              </w:rPr>
              <w:t>onoxide (CO)</w:t>
            </w:r>
          </w:p>
        </w:tc>
        <w:tc>
          <w:tcPr>
            <w:tcW w:w="4774" w:type="dxa"/>
            <w:tcBorders>
              <w:top w:val="single" w:sz="12" w:space="0" w:color="auto"/>
              <w:left w:val="nil"/>
              <w:bottom w:val="single" w:sz="6" w:space="0" w:color="000000"/>
              <w:right w:val="double" w:sz="6" w:space="0" w:color="auto"/>
            </w:tcBorders>
            <w:vAlign w:val="center"/>
          </w:tcPr>
          <w:p w14:paraId="2AEEA90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CO</w:t>
            </w:r>
          </w:p>
        </w:tc>
      </w:tr>
      <w:tr w:rsidR="001D2587" w:rsidRPr="000855B2" w14:paraId="50A1E1BD"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6A1E217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Nitrogen </w:t>
            </w:r>
            <w:r w:rsidR="008D42CA" w:rsidRPr="000855B2">
              <w:rPr>
                <w:rFonts w:ascii="Open Sans" w:hAnsi="Open Sans" w:cs="Open Sans"/>
                <w:sz w:val="18"/>
                <w:lang w:val="en-GB"/>
              </w:rPr>
              <w:t>o</w:t>
            </w:r>
            <w:r w:rsidRPr="000855B2">
              <w:rPr>
                <w:rFonts w:ascii="Open Sans" w:hAnsi="Open Sans" w:cs="Open Sans"/>
                <w:sz w:val="18"/>
                <w:lang w:val="en-GB"/>
              </w:rPr>
              <w:t>xides (NO</w:t>
            </w:r>
            <w:r w:rsidRPr="000855B2">
              <w:rPr>
                <w:rFonts w:ascii="Open Sans" w:hAnsi="Open Sans" w:cs="Open Sans"/>
                <w:sz w:val="18"/>
                <w:vertAlign w:val="subscript"/>
                <w:lang w:val="en-GB"/>
              </w:rPr>
              <w:t>x</w:t>
            </w:r>
            <w:r w:rsidRPr="000855B2">
              <w:rPr>
                <w:rFonts w:ascii="Open Sans" w:hAnsi="Open Sans" w:cs="Open Sans"/>
                <w:sz w:val="18"/>
                <w:lang w:val="en-GB"/>
              </w:rPr>
              <w:t>: NO and NO</w:t>
            </w:r>
            <w:r w:rsidRPr="000855B2">
              <w:rPr>
                <w:rFonts w:ascii="Open Sans" w:hAnsi="Open Sans" w:cs="Open Sans"/>
                <w:sz w:val="18"/>
                <w:vertAlign w:val="subscript"/>
                <w:lang w:val="en-GB"/>
              </w:rPr>
              <w:t>2</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20F7772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NO</w:t>
            </w:r>
            <w:r w:rsidRPr="000855B2">
              <w:rPr>
                <w:rFonts w:ascii="Open Sans" w:hAnsi="Open Sans" w:cs="Open Sans"/>
                <w:sz w:val="18"/>
                <w:vertAlign w:val="subscript"/>
                <w:lang w:val="en-GB"/>
              </w:rPr>
              <w:t>2</w:t>
            </w:r>
            <w:r w:rsidRPr="000855B2">
              <w:rPr>
                <w:rFonts w:ascii="Open Sans" w:hAnsi="Open Sans" w:cs="Open Sans"/>
                <w:sz w:val="18"/>
                <w:lang w:val="en-GB"/>
              </w:rPr>
              <w:t xml:space="preserve"> equivalent</w:t>
            </w:r>
          </w:p>
        </w:tc>
      </w:tr>
      <w:tr w:rsidR="001D2587" w:rsidRPr="000855B2" w14:paraId="2ED9E986"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6D5DE4B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Volatile </w:t>
            </w:r>
            <w:r w:rsidR="008D42CA" w:rsidRPr="000855B2">
              <w:rPr>
                <w:rFonts w:ascii="Open Sans" w:hAnsi="Open Sans" w:cs="Open Sans"/>
                <w:sz w:val="18"/>
                <w:lang w:val="en-GB"/>
              </w:rPr>
              <w:t>o</w:t>
            </w:r>
            <w:r w:rsidRPr="000855B2">
              <w:rPr>
                <w:rFonts w:ascii="Open Sans" w:hAnsi="Open Sans" w:cs="Open Sans"/>
                <w:sz w:val="18"/>
                <w:lang w:val="en-GB"/>
              </w:rPr>
              <w:t xml:space="preserve">rganic </w:t>
            </w:r>
            <w:r w:rsidR="008D42CA" w:rsidRPr="000855B2">
              <w:rPr>
                <w:rFonts w:ascii="Open Sans" w:hAnsi="Open Sans" w:cs="Open Sans"/>
                <w:sz w:val="18"/>
                <w:lang w:val="en-GB"/>
              </w:rPr>
              <w:t>c</w:t>
            </w:r>
            <w:r w:rsidRPr="000855B2">
              <w:rPr>
                <w:rFonts w:ascii="Open Sans" w:hAnsi="Open Sans" w:cs="Open Sans"/>
                <w:sz w:val="18"/>
                <w:lang w:val="en-GB"/>
              </w:rPr>
              <w:t>ompounds (VOC</w:t>
            </w:r>
            <w:r w:rsidR="008D42CA" w:rsidRPr="000855B2">
              <w:rPr>
                <w:rFonts w:ascii="Open Sans" w:hAnsi="Open Sans" w:cs="Open Sans"/>
                <w:sz w:val="18"/>
                <w:lang w:val="en-GB"/>
              </w:rPr>
              <w:t>s</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461BAD7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CH</w:t>
            </w:r>
            <w:r w:rsidRPr="000855B2">
              <w:rPr>
                <w:rFonts w:ascii="Open Sans" w:hAnsi="Open Sans" w:cs="Open Sans"/>
                <w:sz w:val="18"/>
                <w:vertAlign w:val="subscript"/>
                <w:lang w:val="en-GB"/>
              </w:rPr>
              <w:t>1,85</w:t>
            </w:r>
            <w:r w:rsidRPr="000855B2">
              <w:rPr>
                <w:rFonts w:ascii="Open Sans" w:hAnsi="Open Sans" w:cs="Open Sans"/>
                <w:sz w:val="18"/>
                <w:lang w:val="en-GB"/>
              </w:rPr>
              <w:t xml:space="preserve"> equivalent</w:t>
            </w:r>
            <w:r w:rsidRPr="000855B2">
              <w:rPr>
                <w:rFonts w:ascii="Open Sans" w:hAnsi="Open Sans" w:cs="Open Sans"/>
                <w:sz w:val="18"/>
                <w:lang w:val="en-GB"/>
              </w:rPr>
              <w:br/>
              <w:t>(</w:t>
            </w:r>
            <w:r w:rsidR="008D42CA" w:rsidRPr="000855B2">
              <w:rPr>
                <w:rFonts w:ascii="Open Sans" w:hAnsi="Open Sans" w:cs="Open Sans"/>
                <w:sz w:val="18"/>
                <w:lang w:val="en-GB"/>
              </w:rPr>
              <w:t>a</w:t>
            </w:r>
            <w:r w:rsidRPr="000855B2">
              <w:rPr>
                <w:rFonts w:ascii="Open Sans" w:hAnsi="Open Sans" w:cs="Open Sans"/>
                <w:sz w:val="18"/>
                <w:lang w:val="en-GB"/>
              </w:rPr>
              <w:t>lso given as HC in emission standards)</w:t>
            </w:r>
          </w:p>
        </w:tc>
      </w:tr>
      <w:tr w:rsidR="001D2587" w:rsidRPr="000855B2" w14:paraId="36CF06F9"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78E07DD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Methane (CH</w:t>
            </w:r>
            <w:r w:rsidRPr="000855B2">
              <w:rPr>
                <w:rFonts w:ascii="Open Sans" w:hAnsi="Open Sans" w:cs="Open Sans"/>
                <w:sz w:val="18"/>
                <w:vertAlign w:val="subscript"/>
                <w:lang w:val="en-GB"/>
              </w:rPr>
              <w:t>4</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57496C5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CH</w:t>
            </w:r>
            <w:r w:rsidRPr="000855B2">
              <w:rPr>
                <w:rFonts w:ascii="Open Sans" w:hAnsi="Open Sans" w:cs="Open Sans"/>
                <w:sz w:val="18"/>
                <w:vertAlign w:val="subscript"/>
                <w:lang w:val="en-GB"/>
              </w:rPr>
              <w:t>4</w:t>
            </w:r>
          </w:p>
        </w:tc>
      </w:tr>
      <w:tr w:rsidR="001D2587" w:rsidRPr="000855B2" w14:paraId="02DAFB61"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3F4B5A7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Non</w:t>
            </w:r>
            <w:r w:rsidR="008D42CA" w:rsidRPr="000855B2">
              <w:rPr>
                <w:rFonts w:ascii="Open Sans" w:hAnsi="Open Sans" w:cs="Open Sans"/>
                <w:sz w:val="18"/>
                <w:lang w:val="en-GB"/>
              </w:rPr>
              <w:t>-m</w:t>
            </w:r>
            <w:r w:rsidRPr="000855B2">
              <w:rPr>
                <w:rFonts w:ascii="Open Sans" w:hAnsi="Open Sans" w:cs="Open Sans"/>
                <w:sz w:val="18"/>
                <w:lang w:val="en-GB"/>
              </w:rPr>
              <w:t>ethane VOC</w:t>
            </w:r>
            <w:r w:rsidR="008D42CA" w:rsidRPr="000855B2">
              <w:rPr>
                <w:rFonts w:ascii="Open Sans" w:hAnsi="Open Sans" w:cs="Open Sans"/>
                <w:sz w:val="18"/>
                <w:lang w:val="en-GB"/>
              </w:rPr>
              <w:t>s</w:t>
            </w:r>
            <w:r w:rsidRPr="000855B2">
              <w:rPr>
                <w:rFonts w:ascii="Open Sans" w:hAnsi="Open Sans" w:cs="Open Sans"/>
                <w:sz w:val="18"/>
                <w:lang w:val="en-GB"/>
              </w:rPr>
              <w:t xml:space="preserve"> (NMVOC</w:t>
            </w:r>
            <w:r w:rsidR="008D42CA" w:rsidRPr="000855B2">
              <w:rPr>
                <w:rFonts w:ascii="Open Sans" w:hAnsi="Open Sans" w:cs="Open Sans"/>
                <w:sz w:val="18"/>
                <w:lang w:val="en-GB"/>
              </w:rPr>
              <w:t>s</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48DA8988" w14:textId="77777777" w:rsidR="001D2587" w:rsidRPr="000855B2" w:rsidRDefault="001D2587" w:rsidP="005C7955">
            <w:pPr>
              <w:pStyle w:val="Table"/>
              <w:spacing w:line="240" w:lineRule="atLeast"/>
              <w:jc w:val="center"/>
              <w:rPr>
                <w:rFonts w:ascii="Open Sans" w:hAnsi="Open Sans" w:cs="Open Sans"/>
                <w:sz w:val="18"/>
                <w:vertAlign w:val="subscript"/>
                <w:lang w:val="en-GB"/>
              </w:rPr>
            </w:pPr>
            <w:r w:rsidRPr="000855B2">
              <w:rPr>
                <w:rFonts w:ascii="Open Sans" w:hAnsi="Open Sans" w:cs="Open Sans"/>
                <w:sz w:val="18"/>
                <w:lang w:val="en-GB"/>
              </w:rPr>
              <w:t>Given as VOC</w:t>
            </w:r>
            <w:r w:rsidR="008D42CA" w:rsidRPr="000855B2">
              <w:rPr>
                <w:rFonts w:ascii="Open Sans" w:hAnsi="Open Sans" w:cs="Open Sans"/>
                <w:sz w:val="18"/>
                <w:lang w:val="en-GB"/>
              </w:rPr>
              <w:t>s</w:t>
            </w:r>
            <w:r w:rsidRPr="000855B2">
              <w:rPr>
                <w:rFonts w:ascii="Open Sans" w:hAnsi="Open Sans" w:cs="Open Sans"/>
                <w:sz w:val="18"/>
                <w:lang w:val="en-GB"/>
              </w:rPr>
              <w:t xml:space="preserve"> </w:t>
            </w:r>
            <w:r w:rsidR="008D42CA" w:rsidRPr="000855B2">
              <w:rPr>
                <w:rFonts w:ascii="Open Sans" w:hAnsi="Open Sans" w:cs="Open Sans"/>
                <w:sz w:val="18"/>
                <w:lang w:val="en-GB"/>
              </w:rPr>
              <w:t xml:space="preserve">(or </w:t>
            </w:r>
            <w:r w:rsidR="00D31480" w:rsidRPr="000855B2">
              <w:rPr>
                <w:rFonts w:ascii="Open Sans" w:hAnsi="Open Sans" w:cs="Open Sans"/>
                <w:sz w:val="18"/>
                <w:lang w:val="en-GB"/>
              </w:rPr>
              <w:t>H</w:t>
            </w:r>
            <w:r w:rsidR="008D42CA" w:rsidRPr="000855B2">
              <w:rPr>
                <w:rFonts w:ascii="Open Sans" w:hAnsi="Open Sans" w:cs="Open Sans"/>
                <w:sz w:val="18"/>
                <w:lang w:val="en-GB"/>
              </w:rPr>
              <w:t xml:space="preserve">C) </w:t>
            </w:r>
            <w:r w:rsidRPr="000855B2">
              <w:rPr>
                <w:rFonts w:ascii="Open Sans" w:hAnsi="Open Sans" w:cs="Open Sans"/>
                <w:sz w:val="18"/>
                <w:lang w:val="en-GB"/>
              </w:rPr>
              <w:t>minus CH</w:t>
            </w:r>
            <w:r w:rsidRPr="000855B2">
              <w:rPr>
                <w:rFonts w:ascii="Open Sans" w:hAnsi="Open Sans" w:cs="Open Sans"/>
                <w:sz w:val="18"/>
                <w:vertAlign w:val="subscript"/>
                <w:lang w:val="en-GB"/>
              </w:rPr>
              <w:t>4</w:t>
            </w:r>
          </w:p>
        </w:tc>
      </w:tr>
      <w:tr w:rsidR="001D2587" w:rsidRPr="000855B2" w14:paraId="4E322EA7"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5EA6AF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Nitrous </w:t>
            </w:r>
            <w:r w:rsidR="008D42CA" w:rsidRPr="000855B2">
              <w:rPr>
                <w:rFonts w:ascii="Open Sans" w:hAnsi="Open Sans" w:cs="Open Sans"/>
                <w:sz w:val="18"/>
                <w:lang w:val="en-GB"/>
              </w:rPr>
              <w:t>o</w:t>
            </w:r>
            <w:r w:rsidRPr="000855B2">
              <w:rPr>
                <w:rFonts w:ascii="Open Sans" w:hAnsi="Open Sans" w:cs="Open Sans"/>
                <w:sz w:val="18"/>
                <w:lang w:val="en-GB"/>
              </w:rPr>
              <w:t>xide (N</w:t>
            </w:r>
            <w:r w:rsidRPr="000855B2">
              <w:rPr>
                <w:rFonts w:ascii="Open Sans" w:hAnsi="Open Sans" w:cs="Open Sans"/>
                <w:sz w:val="18"/>
                <w:vertAlign w:val="subscript"/>
                <w:lang w:val="en-GB"/>
              </w:rPr>
              <w:t>2</w:t>
            </w:r>
            <w:r w:rsidRPr="000855B2">
              <w:rPr>
                <w:rFonts w:ascii="Open Sans" w:hAnsi="Open Sans" w:cs="Open Sans"/>
                <w:sz w:val="18"/>
                <w:lang w:val="en-GB"/>
              </w:rPr>
              <w:t>O)</w:t>
            </w:r>
          </w:p>
        </w:tc>
        <w:tc>
          <w:tcPr>
            <w:tcW w:w="4774" w:type="dxa"/>
            <w:tcBorders>
              <w:top w:val="single" w:sz="6" w:space="0" w:color="000000"/>
              <w:left w:val="nil"/>
              <w:bottom w:val="single" w:sz="6" w:space="0" w:color="000000"/>
              <w:right w:val="double" w:sz="6" w:space="0" w:color="auto"/>
            </w:tcBorders>
            <w:vAlign w:val="center"/>
          </w:tcPr>
          <w:p w14:paraId="2D165E7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w:t>
            </w:r>
            <w:r w:rsidRPr="000855B2">
              <w:rPr>
                <w:rFonts w:ascii="Open Sans" w:hAnsi="Open Sans" w:cs="Open Sans"/>
                <w:sz w:val="18"/>
                <w:vertAlign w:val="subscript"/>
                <w:lang w:val="en-GB"/>
              </w:rPr>
              <w:t>2</w:t>
            </w:r>
            <w:r w:rsidRPr="000855B2">
              <w:rPr>
                <w:rFonts w:ascii="Open Sans" w:hAnsi="Open Sans" w:cs="Open Sans"/>
                <w:sz w:val="18"/>
                <w:lang w:val="en-GB"/>
              </w:rPr>
              <w:t>O</w:t>
            </w:r>
          </w:p>
        </w:tc>
      </w:tr>
      <w:tr w:rsidR="001D2587" w:rsidRPr="000855B2" w14:paraId="6C63A29B" w14:textId="77777777" w:rsidTr="008A3855">
        <w:tc>
          <w:tcPr>
            <w:tcW w:w="3544" w:type="dxa"/>
            <w:tcBorders>
              <w:top w:val="nil"/>
              <w:left w:val="double" w:sz="6" w:space="0" w:color="auto"/>
              <w:bottom w:val="single" w:sz="6" w:space="0" w:color="000000"/>
              <w:right w:val="single" w:sz="2" w:space="0" w:color="000000"/>
            </w:tcBorders>
            <w:vAlign w:val="center"/>
          </w:tcPr>
          <w:p w14:paraId="7634A47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Ammonia (NH</w:t>
            </w:r>
            <w:r w:rsidRPr="000855B2">
              <w:rPr>
                <w:rFonts w:ascii="Open Sans" w:hAnsi="Open Sans" w:cs="Open Sans"/>
                <w:sz w:val="18"/>
                <w:vertAlign w:val="subscript"/>
                <w:lang w:val="en-GB"/>
              </w:rPr>
              <w:t>3</w:t>
            </w:r>
            <w:r w:rsidRPr="000855B2">
              <w:rPr>
                <w:rFonts w:ascii="Open Sans" w:hAnsi="Open Sans" w:cs="Open Sans"/>
                <w:sz w:val="18"/>
                <w:lang w:val="en-GB"/>
              </w:rPr>
              <w:t>)</w:t>
            </w:r>
          </w:p>
        </w:tc>
        <w:tc>
          <w:tcPr>
            <w:tcW w:w="4774" w:type="dxa"/>
            <w:tcBorders>
              <w:top w:val="nil"/>
              <w:left w:val="nil"/>
              <w:bottom w:val="single" w:sz="6" w:space="0" w:color="000000"/>
              <w:right w:val="double" w:sz="6" w:space="0" w:color="auto"/>
            </w:tcBorders>
            <w:vAlign w:val="center"/>
          </w:tcPr>
          <w:p w14:paraId="5C9572D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NH</w:t>
            </w:r>
            <w:r w:rsidRPr="000855B2">
              <w:rPr>
                <w:rFonts w:ascii="Open Sans" w:hAnsi="Open Sans" w:cs="Open Sans"/>
                <w:sz w:val="18"/>
                <w:vertAlign w:val="subscript"/>
                <w:lang w:val="en-GB"/>
              </w:rPr>
              <w:t>3</w:t>
            </w:r>
          </w:p>
        </w:tc>
      </w:tr>
      <w:tr w:rsidR="001D2587" w:rsidRPr="000855B2" w14:paraId="53411FB2"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456201D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Particulate </w:t>
            </w:r>
            <w:r w:rsidR="008D42CA" w:rsidRPr="000855B2">
              <w:rPr>
                <w:rFonts w:ascii="Open Sans" w:hAnsi="Open Sans" w:cs="Open Sans"/>
                <w:sz w:val="18"/>
                <w:lang w:val="en-GB"/>
              </w:rPr>
              <w:t>m</w:t>
            </w:r>
            <w:r w:rsidRPr="000855B2">
              <w:rPr>
                <w:rFonts w:ascii="Open Sans" w:hAnsi="Open Sans" w:cs="Open Sans"/>
                <w:sz w:val="18"/>
                <w:lang w:val="en-GB"/>
              </w:rPr>
              <w:t>atter (PM)</w:t>
            </w:r>
          </w:p>
        </w:tc>
        <w:tc>
          <w:tcPr>
            <w:tcW w:w="4774" w:type="dxa"/>
            <w:tcBorders>
              <w:top w:val="single" w:sz="6" w:space="0" w:color="000000"/>
              <w:left w:val="nil"/>
              <w:bottom w:val="single" w:sz="6" w:space="0" w:color="000000"/>
              <w:right w:val="double" w:sz="6" w:space="0" w:color="auto"/>
            </w:tcBorders>
            <w:vAlign w:val="center"/>
          </w:tcPr>
          <w:p w14:paraId="5BEDF79D" w14:textId="77777777" w:rsidR="001D2587" w:rsidRPr="000855B2" w:rsidRDefault="000E4644"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T</w:t>
            </w:r>
            <w:r w:rsidR="001D2587" w:rsidRPr="000855B2">
              <w:rPr>
                <w:rFonts w:ascii="Open Sans" w:hAnsi="Open Sans" w:cs="Open Sans"/>
                <w:sz w:val="18"/>
                <w:lang w:val="en-GB"/>
              </w:rPr>
              <w:t xml:space="preserve">he mass of </w:t>
            </w:r>
            <w:r w:rsidRPr="000855B2">
              <w:rPr>
                <w:rFonts w:ascii="Open Sans" w:hAnsi="Open Sans" w:cs="Open Sans"/>
                <w:sz w:val="18"/>
                <w:lang w:val="en-GB"/>
              </w:rPr>
              <w:t xml:space="preserve">particles </w:t>
            </w:r>
            <w:r w:rsidR="001D2587" w:rsidRPr="000855B2">
              <w:rPr>
                <w:rFonts w:ascii="Open Sans" w:hAnsi="Open Sans" w:cs="Open Sans"/>
                <w:sz w:val="18"/>
                <w:lang w:val="en-GB"/>
              </w:rPr>
              <w:t xml:space="preserve">collected on a filter </w:t>
            </w:r>
            <w:r w:rsidRPr="000855B2">
              <w:rPr>
                <w:rFonts w:ascii="Open Sans" w:hAnsi="Open Sans" w:cs="Open Sans"/>
                <w:sz w:val="18"/>
                <w:lang w:val="en-GB"/>
              </w:rPr>
              <w:t xml:space="preserve">kept </w:t>
            </w:r>
            <w:r w:rsidR="001D2587" w:rsidRPr="000855B2">
              <w:rPr>
                <w:rFonts w:ascii="Open Sans" w:hAnsi="Open Sans" w:cs="Open Sans"/>
                <w:sz w:val="18"/>
                <w:lang w:val="en-GB"/>
              </w:rPr>
              <w:t xml:space="preserve">below </w:t>
            </w:r>
            <w:r w:rsidRPr="000855B2">
              <w:rPr>
                <w:rFonts w:ascii="Open Sans" w:hAnsi="Open Sans" w:cs="Open Sans"/>
                <w:sz w:val="18"/>
                <w:lang w:val="en-GB"/>
              </w:rPr>
              <w:t>52</w:t>
            </w:r>
            <w:r w:rsidR="005A61D9" w:rsidRPr="000855B2">
              <w:rPr>
                <w:rFonts w:ascii="Open Sans" w:hAnsi="Open Sans" w:cs="Open Sans"/>
                <w:sz w:val="18"/>
                <w:lang w:val="en-GB"/>
              </w:rPr>
              <w:t> </w:t>
            </w:r>
            <w:r w:rsidRPr="000855B2">
              <w:rPr>
                <w:rFonts w:ascii="Open Sans" w:hAnsi="Open Sans" w:cs="Open Sans"/>
                <w:sz w:val="18"/>
                <w:lang w:val="en-GB"/>
              </w:rPr>
              <w:t>°C during diluted exhaust sampling</w:t>
            </w:r>
            <w:r w:rsidR="001D2587" w:rsidRPr="000855B2">
              <w:rPr>
                <w:rFonts w:ascii="Open Sans" w:hAnsi="Open Sans" w:cs="Open Sans"/>
                <w:sz w:val="18"/>
                <w:lang w:val="en-GB"/>
              </w:rPr>
              <w:t xml:space="preserve">. This corresponds to </w:t>
            </w:r>
            <w:r w:rsidR="00172BF0" w:rsidRPr="000855B2">
              <w:rPr>
                <w:rFonts w:ascii="Open Sans" w:hAnsi="Open Sans" w:cs="Open Sans"/>
                <w:sz w:val="18"/>
                <w:lang w:val="en-GB"/>
              </w:rPr>
              <w:t xml:space="preserve">total (filterable and condensable) </w:t>
            </w:r>
            <w:r w:rsidR="001D2587" w:rsidRPr="000855B2">
              <w:rPr>
                <w:rFonts w:ascii="Open Sans" w:hAnsi="Open Sans" w:cs="Open Sans"/>
                <w:sz w:val="18"/>
                <w:lang w:val="en-GB"/>
              </w:rPr>
              <w:t>PM</w:t>
            </w:r>
            <w:r w:rsidR="001D2587" w:rsidRPr="000855B2">
              <w:rPr>
                <w:rFonts w:ascii="Open Sans" w:hAnsi="Open Sans" w:cs="Open Sans"/>
                <w:sz w:val="18"/>
                <w:vertAlign w:val="subscript"/>
                <w:lang w:val="en-GB"/>
              </w:rPr>
              <w:t>2.5</w:t>
            </w:r>
            <w:r w:rsidR="001D2587" w:rsidRPr="000855B2">
              <w:rPr>
                <w:rFonts w:ascii="Open Sans" w:hAnsi="Open Sans" w:cs="Open Sans"/>
                <w:sz w:val="18"/>
                <w:lang w:val="en-GB"/>
              </w:rPr>
              <w:t xml:space="preserve">. Coarse exhaust PM </w:t>
            </w:r>
            <w:r w:rsidR="008D42CA" w:rsidRPr="000855B2">
              <w:rPr>
                <w:rFonts w:ascii="Open Sans" w:hAnsi="Open Sans" w:cs="Open Sans"/>
                <w:sz w:val="18"/>
                <w:lang w:val="en-GB"/>
              </w:rPr>
              <w:t>(</w:t>
            </w:r>
            <w:r w:rsidR="00D205E2" w:rsidRPr="000855B2">
              <w:rPr>
                <w:rFonts w:ascii="Open Sans" w:hAnsi="Open Sans" w:cs="Open Sans"/>
                <w:sz w:val="18"/>
                <w:lang w:val="en-GB"/>
              </w:rPr>
              <w:t>i.e</w:t>
            </w:r>
            <w:r w:rsidR="008D42CA" w:rsidRPr="000855B2">
              <w:rPr>
                <w:rFonts w:ascii="Open Sans" w:hAnsi="Open Sans" w:cs="Open Sans"/>
                <w:sz w:val="18"/>
                <w:lang w:val="en-GB"/>
              </w:rPr>
              <w:t xml:space="preserve">. </w:t>
            </w:r>
            <w:r w:rsidR="00972A38" w:rsidRPr="000855B2">
              <w:rPr>
                <w:rFonts w:ascii="Open Sans" w:hAnsi="Open Sans" w:cs="Open Sans"/>
                <w:sz w:val="18"/>
                <w:lang w:val="en-GB"/>
              </w:rPr>
              <w:t>&gt; </w:t>
            </w:r>
            <w:r w:rsidR="008D42CA" w:rsidRPr="000855B2">
              <w:rPr>
                <w:rFonts w:ascii="Open Sans" w:hAnsi="Open Sans" w:cs="Open Sans"/>
                <w:sz w:val="18"/>
                <w:lang w:val="en-GB"/>
              </w:rPr>
              <w:t>2.5</w:t>
            </w:r>
            <w:r w:rsidR="005A61D9" w:rsidRPr="000855B2">
              <w:rPr>
                <w:rFonts w:ascii="Open Sans" w:hAnsi="Open Sans" w:cs="Open Sans"/>
                <w:sz w:val="18"/>
                <w:lang w:val="en-GB"/>
              </w:rPr>
              <w:t> </w:t>
            </w:r>
            <w:r w:rsidR="008D42CA" w:rsidRPr="000855B2">
              <w:rPr>
                <w:rFonts w:ascii="Open Sans" w:hAnsi="Open Sans" w:cs="Open Sans"/>
                <w:sz w:val="18"/>
                <w:lang w:val="en-GB"/>
              </w:rPr>
              <w:t xml:space="preserve">μm diameter) </w:t>
            </w:r>
            <w:r w:rsidR="001D2587" w:rsidRPr="000855B2">
              <w:rPr>
                <w:rFonts w:ascii="Open Sans" w:hAnsi="Open Sans" w:cs="Open Sans"/>
                <w:sz w:val="18"/>
                <w:lang w:val="en-GB"/>
              </w:rPr>
              <w:t xml:space="preserve">is considered </w:t>
            </w:r>
            <w:r w:rsidR="008D42CA" w:rsidRPr="000855B2">
              <w:rPr>
                <w:rFonts w:ascii="Open Sans" w:hAnsi="Open Sans" w:cs="Open Sans"/>
                <w:sz w:val="18"/>
                <w:lang w:val="en-GB"/>
              </w:rPr>
              <w:t xml:space="preserve">to be </w:t>
            </w:r>
            <w:r w:rsidR="001D2587" w:rsidRPr="000855B2">
              <w:rPr>
                <w:rFonts w:ascii="Open Sans" w:hAnsi="Open Sans" w:cs="Open Sans"/>
                <w:sz w:val="18"/>
                <w:lang w:val="en-GB"/>
              </w:rPr>
              <w:t>negligible, hence PM=PM</w:t>
            </w:r>
            <w:r w:rsidR="008D42CA" w:rsidRPr="000855B2">
              <w:rPr>
                <w:rFonts w:ascii="Open Sans" w:hAnsi="Open Sans" w:cs="Open Sans"/>
                <w:sz w:val="18"/>
                <w:vertAlign w:val="subscript"/>
                <w:lang w:val="en-GB"/>
              </w:rPr>
              <w:t>2.5</w:t>
            </w:r>
            <w:r w:rsidR="001D2587" w:rsidRPr="000855B2">
              <w:rPr>
                <w:rFonts w:ascii="Open Sans" w:hAnsi="Open Sans" w:cs="Open Sans"/>
                <w:sz w:val="18"/>
                <w:lang w:val="en-GB"/>
              </w:rPr>
              <w:t>.</w:t>
            </w:r>
          </w:p>
        </w:tc>
      </w:tr>
      <w:tr w:rsidR="001D2587" w:rsidRPr="000855B2" w14:paraId="760DC150" w14:textId="77777777" w:rsidTr="008A3855">
        <w:tc>
          <w:tcPr>
            <w:tcW w:w="3544" w:type="dxa"/>
            <w:tcBorders>
              <w:top w:val="single" w:sz="6" w:space="0" w:color="000000"/>
              <w:left w:val="double" w:sz="6" w:space="0" w:color="auto"/>
              <w:bottom w:val="double" w:sz="6" w:space="0" w:color="auto"/>
              <w:right w:val="single" w:sz="2" w:space="0" w:color="000000"/>
            </w:tcBorders>
            <w:vAlign w:val="center"/>
          </w:tcPr>
          <w:p w14:paraId="0469CB75"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PM </w:t>
            </w:r>
            <w:r w:rsidR="008D42CA" w:rsidRPr="000855B2">
              <w:rPr>
                <w:rFonts w:ascii="Open Sans" w:hAnsi="Open Sans" w:cs="Open Sans"/>
                <w:sz w:val="18"/>
                <w:lang w:val="en-GB"/>
              </w:rPr>
              <w:t>n</w:t>
            </w:r>
            <w:r w:rsidRPr="000855B2">
              <w:rPr>
                <w:rFonts w:ascii="Open Sans" w:hAnsi="Open Sans" w:cs="Open Sans"/>
                <w:sz w:val="18"/>
                <w:lang w:val="en-GB"/>
              </w:rPr>
              <w:t xml:space="preserve">umber and </w:t>
            </w:r>
            <w:r w:rsidR="008D42CA" w:rsidRPr="000855B2">
              <w:rPr>
                <w:rFonts w:ascii="Open Sans" w:hAnsi="Open Sans" w:cs="Open Sans"/>
                <w:sz w:val="18"/>
                <w:lang w:val="en-GB"/>
              </w:rPr>
              <w:t>s</w:t>
            </w:r>
            <w:r w:rsidRPr="000855B2">
              <w:rPr>
                <w:rFonts w:ascii="Open Sans" w:hAnsi="Open Sans" w:cs="Open Sans"/>
                <w:sz w:val="18"/>
                <w:lang w:val="en-GB"/>
              </w:rPr>
              <w:t>urface</w:t>
            </w:r>
            <w:r w:rsidR="008D42CA" w:rsidRPr="000855B2">
              <w:rPr>
                <w:rFonts w:ascii="Open Sans" w:hAnsi="Open Sans" w:cs="Open Sans"/>
                <w:sz w:val="18"/>
                <w:lang w:val="en-GB"/>
              </w:rPr>
              <w:t xml:space="preserve"> area</w:t>
            </w:r>
          </w:p>
        </w:tc>
        <w:tc>
          <w:tcPr>
            <w:tcW w:w="4774" w:type="dxa"/>
            <w:tcBorders>
              <w:top w:val="single" w:sz="6" w:space="0" w:color="000000"/>
              <w:left w:val="nil"/>
              <w:bottom w:val="double" w:sz="6" w:space="0" w:color="auto"/>
              <w:right w:val="double" w:sz="6" w:space="0" w:color="auto"/>
            </w:tcBorders>
            <w:vAlign w:val="center"/>
          </w:tcPr>
          <w:p w14:paraId="69AEE82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particle number and particle active surface per kilometre, respectively</w:t>
            </w:r>
          </w:p>
        </w:tc>
      </w:tr>
    </w:tbl>
    <w:p w14:paraId="08BE1865" w14:textId="3FF02D9F" w:rsidR="001D2587" w:rsidRPr="000855B2" w:rsidRDefault="00A040D1" w:rsidP="00E43131">
      <w:pPr>
        <w:pStyle w:val="Caption"/>
      </w:pPr>
      <w:bookmarkStart w:id="57" w:name="_Ref172093511"/>
      <w:bookmarkStart w:id="58" w:name="_Ref467604679"/>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w:t>
      </w:r>
      <w:r w:rsidR="00FB454C">
        <w:rPr>
          <w:noProof/>
        </w:rPr>
        <w:fldChar w:fldCharType="end"/>
      </w:r>
      <w:bookmarkEnd w:id="57"/>
      <w:bookmarkEnd w:id="58"/>
      <w:r w:rsidR="001D2587" w:rsidRPr="000855B2">
        <w:t xml:space="preserve">: Pollutants included in Group 2 and </w:t>
      </w:r>
      <w:r w:rsidR="00F53C80" w:rsidRPr="000855B2">
        <w:t xml:space="preserve">equivalent terms in </w:t>
      </w:r>
      <w:r w:rsidR="001D2587" w:rsidRPr="000855B2">
        <w:t>methodology</w:t>
      </w:r>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668DDDCA" w14:textId="77777777" w:rsidTr="008A3855">
        <w:tc>
          <w:tcPr>
            <w:tcW w:w="3544" w:type="dxa"/>
            <w:tcBorders>
              <w:top w:val="double" w:sz="6" w:space="0" w:color="auto"/>
              <w:left w:val="double" w:sz="6" w:space="0" w:color="auto"/>
              <w:bottom w:val="single" w:sz="12" w:space="0" w:color="000000"/>
              <w:right w:val="single" w:sz="2" w:space="0" w:color="000000"/>
            </w:tcBorders>
            <w:vAlign w:val="center"/>
          </w:tcPr>
          <w:p w14:paraId="7FBA97C1"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p>
        </w:tc>
        <w:tc>
          <w:tcPr>
            <w:tcW w:w="4774" w:type="dxa"/>
            <w:tcBorders>
              <w:top w:val="double" w:sz="6" w:space="0" w:color="auto"/>
              <w:left w:val="nil"/>
              <w:bottom w:val="single" w:sz="12" w:space="0" w:color="000000"/>
              <w:right w:val="double" w:sz="6" w:space="0" w:color="auto"/>
            </w:tcBorders>
            <w:vAlign w:val="center"/>
          </w:tcPr>
          <w:p w14:paraId="345CC8BE"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0855B2" w14:paraId="636D3B51" w14:textId="77777777" w:rsidTr="008A3855">
        <w:tc>
          <w:tcPr>
            <w:tcW w:w="3544" w:type="dxa"/>
            <w:tcBorders>
              <w:top w:val="nil"/>
              <w:left w:val="double" w:sz="6" w:space="0" w:color="auto"/>
              <w:bottom w:val="single" w:sz="6" w:space="0" w:color="000000"/>
              <w:right w:val="single" w:sz="2" w:space="0" w:color="000000"/>
            </w:tcBorders>
            <w:vAlign w:val="center"/>
          </w:tcPr>
          <w:p w14:paraId="6B82742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Carbon </w:t>
            </w:r>
            <w:r w:rsidR="00F53C80" w:rsidRPr="000855B2">
              <w:rPr>
                <w:rFonts w:ascii="Open Sans" w:hAnsi="Open Sans" w:cs="Open Sans"/>
                <w:sz w:val="18"/>
                <w:lang w:val="en-GB"/>
              </w:rPr>
              <w:t>d</w:t>
            </w:r>
            <w:r w:rsidRPr="000855B2">
              <w:rPr>
                <w:rFonts w:ascii="Open Sans" w:hAnsi="Open Sans" w:cs="Open Sans"/>
                <w:sz w:val="18"/>
                <w:lang w:val="en-GB"/>
              </w:rPr>
              <w:t>ioxide (CO</w:t>
            </w:r>
            <w:r w:rsidRPr="000855B2">
              <w:rPr>
                <w:rFonts w:ascii="Open Sans" w:hAnsi="Open Sans" w:cs="Open Sans"/>
                <w:sz w:val="18"/>
                <w:vertAlign w:val="subscript"/>
                <w:lang w:val="en-GB"/>
              </w:rPr>
              <w:t>2</w:t>
            </w:r>
            <w:r w:rsidRPr="000855B2">
              <w:rPr>
                <w:rFonts w:ascii="Open Sans" w:hAnsi="Open Sans" w:cs="Open Sans"/>
                <w:sz w:val="18"/>
                <w:lang w:val="en-GB"/>
              </w:rPr>
              <w:t>)</w:t>
            </w:r>
          </w:p>
        </w:tc>
        <w:tc>
          <w:tcPr>
            <w:tcW w:w="4774" w:type="dxa"/>
            <w:tcBorders>
              <w:top w:val="nil"/>
              <w:left w:val="nil"/>
              <w:bottom w:val="single" w:sz="6" w:space="0" w:color="000000"/>
              <w:right w:val="double" w:sz="6" w:space="0" w:color="auto"/>
            </w:tcBorders>
            <w:vAlign w:val="center"/>
          </w:tcPr>
          <w:p w14:paraId="06AE2FD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CO</w:t>
            </w:r>
            <w:r w:rsidRPr="000855B2">
              <w:rPr>
                <w:rFonts w:ascii="Open Sans" w:hAnsi="Open Sans" w:cs="Open Sans"/>
                <w:sz w:val="18"/>
                <w:vertAlign w:val="subscript"/>
                <w:lang w:val="en-GB"/>
              </w:rPr>
              <w:t>2</w:t>
            </w:r>
          </w:p>
        </w:tc>
      </w:tr>
      <w:tr w:rsidR="001D2587" w:rsidRPr="000855B2" w14:paraId="742E2C2C"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70897CD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Sulphur </w:t>
            </w:r>
            <w:r w:rsidR="00F53C80" w:rsidRPr="000855B2">
              <w:rPr>
                <w:rFonts w:ascii="Open Sans" w:hAnsi="Open Sans" w:cs="Open Sans"/>
                <w:sz w:val="18"/>
                <w:lang w:val="en-GB"/>
              </w:rPr>
              <w:t>d</w:t>
            </w:r>
            <w:r w:rsidRPr="000855B2">
              <w:rPr>
                <w:rFonts w:ascii="Open Sans" w:hAnsi="Open Sans" w:cs="Open Sans"/>
                <w:sz w:val="18"/>
                <w:lang w:val="en-GB"/>
              </w:rPr>
              <w:t>ioxide (SO</w:t>
            </w:r>
            <w:r w:rsidRPr="000855B2">
              <w:rPr>
                <w:rFonts w:ascii="Open Sans" w:hAnsi="Open Sans" w:cs="Open Sans"/>
                <w:sz w:val="18"/>
                <w:vertAlign w:val="subscript"/>
                <w:lang w:val="en-GB"/>
              </w:rPr>
              <w:t>2</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658681C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SO</w:t>
            </w:r>
            <w:r w:rsidRPr="000855B2">
              <w:rPr>
                <w:rFonts w:ascii="Open Sans" w:hAnsi="Open Sans" w:cs="Open Sans"/>
                <w:sz w:val="18"/>
                <w:vertAlign w:val="subscript"/>
                <w:lang w:val="en-GB"/>
              </w:rPr>
              <w:t>2</w:t>
            </w:r>
          </w:p>
        </w:tc>
      </w:tr>
      <w:tr w:rsidR="001D2587" w:rsidRPr="000855B2" w14:paraId="55E8F239"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A61959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Lead (Pb)</w:t>
            </w:r>
          </w:p>
        </w:tc>
        <w:tc>
          <w:tcPr>
            <w:tcW w:w="4774" w:type="dxa"/>
            <w:tcBorders>
              <w:top w:val="single" w:sz="6" w:space="0" w:color="000000"/>
              <w:left w:val="nil"/>
              <w:bottom w:val="single" w:sz="6" w:space="0" w:color="000000"/>
              <w:right w:val="double" w:sz="6" w:space="0" w:color="auto"/>
            </w:tcBorders>
            <w:vAlign w:val="center"/>
          </w:tcPr>
          <w:p w14:paraId="7CB564C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Pb</w:t>
            </w:r>
          </w:p>
        </w:tc>
      </w:tr>
      <w:tr w:rsidR="006F72DF" w:rsidRPr="000855B2" w14:paraId="748ADF2E"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64A16852"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Arsenic (As)</w:t>
            </w:r>
          </w:p>
        </w:tc>
        <w:tc>
          <w:tcPr>
            <w:tcW w:w="4774" w:type="dxa"/>
            <w:tcBorders>
              <w:top w:val="single" w:sz="6" w:space="0" w:color="000000"/>
              <w:left w:val="nil"/>
              <w:bottom w:val="single" w:sz="6" w:space="0" w:color="000000"/>
              <w:right w:val="double" w:sz="6" w:space="0" w:color="auto"/>
            </w:tcBorders>
            <w:vAlign w:val="center"/>
          </w:tcPr>
          <w:p w14:paraId="1F2BF60C"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As</w:t>
            </w:r>
          </w:p>
        </w:tc>
      </w:tr>
      <w:tr w:rsidR="001D2587" w:rsidRPr="000855B2" w14:paraId="34F2646E"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0EA0EA1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Cadmium (Cd)</w:t>
            </w:r>
          </w:p>
        </w:tc>
        <w:tc>
          <w:tcPr>
            <w:tcW w:w="4774" w:type="dxa"/>
            <w:tcBorders>
              <w:top w:val="single" w:sz="6" w:space="0" w:color="000000"/>
              <w:left w:val="nil"/>
              <w:bottom w:val="single" w:sz="6" w:space="0" w:color="000000"/>
              <w:right w:val="double" w:sz="6" w:space="0" w:color="auto"/>
            </w:tcBorders>
            <w:vAlign w:val="center"/>
          </w:tcPr>
          <w:p w14:paraId="4E4129E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Cd</w:t>
            </w:r>
          </w:p>
        </w:tc>
      </w:tr>
      <w:tr w:rsidR="001D2587" w:rsidRPr="000855B2" w14:paraId="514414EC"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5203A90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Chromium (Cr)</w:t>
            </w:r>
          </w:p>
        </w:tc>
        <w:tc>
          <w:tcPr>
            <w:tcW w:w="4774" w:type="dxa"/>
            <w:tcBorders>
              <w:top w:val="single" w:sz="6" w:space="0" w:color="000000"/>
              <w:left w:val="nil"/>
              <w:bottom w:val="single" w:sz="6" w:space="0" w:color="000000"/>
              <w:right w:val="double" w:sz="6" w:space="0" w:color="auto"/>
            </w:tcBorders>
            <w:vAlign w:val="center"/>
          </w:tcPr>
          <w:p w14:paraId="7179306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Cr</w:t>
            </w:r>
          </w:p>
        </w:tc>
      </w:tr>
      <w:tr w:rsidR="001D2587" w:rsidRPr="000855B2" w14:paraId="0C10809F"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3BE392A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Copper (Cu)</w:t>
            </w:r>
          </w:p>
        </w:tc>
        <w:tc>
          <w:tcPr>
            <w:tcW w:w="4774" w:type="dxa"/>
            <w:tcBorders>
              <w:top w:val="single" w:sz="6" w:space="0" w:color="000000"/>
              <w:left w:val="nil"/>
              <w:bottom w:val="single" w:sz="6" w:space="0" w:color="000000"/>
              <w:right w:val="double" w:sz="6" w:space="0" w:color="auto"/>
            </w:tcBorders>
            <w:vAlign w:val="center"/>
          </w:tcPr>
          <w:p w14:paraId="247DE03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Cu</w:t>
            </w:r>
          </w:p>
        </w:tc>
      </w:tr>
      <w:tr w:rsidR="006F72DF" w:rsidRPr="000855B2" w14:paraId="49A7CF5A"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7022FBEC"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Mercury (Hg)</w:t>
            </w:r>
          </w:p>
        </w:tc>
        <w:tc>
          <w:tcPr>
            <w:tcW w:w="4774" w:type="dxa"/>
            <w:tcBorders>
              <w:top w:val="single" w:sz="6" w:space="0" w:color="000000"/>
              <w:left w:val="nil"/>
              <w:bottom w:val="single" w:sz="6" w:space="0" w:color="000000"/>
              <w:right w:val="double" w:sz="6" w:space="0" w:color="auto"/>
            </w:tcBorders>
            <w:vAlign w:val="center"/>
          </w:tcPr>
          <w:p w14:paraId="0927745D" w14:textId="77777777" w:rsidR="006F72DF" w:rsidRPr="000855B2" w:rsidRDefault="006F72DF"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Hg</w:t>
            </w:r>
          </w:p>
        </w:tc>
      </w:tr>
      <w:tr w:rsidR="001D2587" w:rsidRPr="000855B2" w14:paraId="1E8B4DCF"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45CA990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Nickel (Ni)</w:t>
            </w:r>
          </w:p>
        </w:tc>
        <w:tc>
          <w:tcPr>
            <w:tcW w:w="4774" w:type="dxa"/>
            <w:tcBorders>
              <w:top w:val="single" w:sz="6" w:space="0" w:color="000000"/>
              <w:left w:val="nil"/>
              <w:bottom w:val="single" w:sz="6" w:space="0" w:color="000000"/>
              <w:right w:val="double" w:sz="6" w:space="0" w:color="auto"/>
            </w:tcBorders>
            <w:vAlign w:val="center"/>
          </w:tcPr>
          <w:p w14:paraId="085E23A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Ni</w:t>
            </w:r>
          </w:p>
        </w:tc>
      </w:tr>
      <w:tr w:rsidR="001D2587" w:rsidRPr="000855B2" w14:paraId="05ABFE79"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6134CD3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Selenium (Se)</w:t>
            </w:r>
          </w:p>
        </w:tc>
        <w:tc>
          <w:tcPr>
            <w:tcW w:w="4774" w:type="dxa"/>
            <w:tcBorders>
              <w:top w:val="single" w:sz="6" w:space="0" w:color="000000"/>
              <w:left w:val="nil"/>
              <w:bottom w:val="single" w:sz="6" w:space="0" w:color="000000"/>
              <w:right w:val="double" w:sz="6" w:space="0" w:color="auto"/>
            </w:tcBorders>
            <w:vAlign w:val="center"/>
          </w:tcPr>
          <w:p w14:paraId="41B2DBE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Se</w:t>
            </w:r>
          </w:p>
        </w:tc>
      </w:tr>
      <w:tr w:rsidR="001D2587" w:rsidRPr="000855B2" w14:paraId="5135ABBC" w14:textId="77777777" w:rsidTr="008A3855">
        <w:tc>
          <w:tcPr>
            <w:tcW w:w="3544" w:type="dxa"/>
            <w:tcBorders>
              <w:top w:val="single" w:sz="6" w:space="0" w:color="000000"/>
              <w:left w:val="double" w:sz="6" w:space="0" w:color="auto"/>
              <w:bottom w:val="double" w:sz="6" w:space="0" w:color="auto"/>
              <w:right w:val="single" w:sz="2" w:space="0" w:color="000000"/>
            </w:tcBorders>
            <w:vAlign w:val="center"/>
          </w:tcPr>
          <w:p w14:paraId="324E2699"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Zinc (Zn)</w:t>
            </w:r>
          </w:p>
        </w:tc>
        <w:tc>
          <w:tcPr>
            <w:tcW w:w="4774" w:type="dxa"/>
            <w:tcBorders>
              <w:top w:val="single" w:sz="6" w:space="0" w:color="000000"/>
              <w:left w:val="nil"/>
              <w:bottom w:val="double" w:sz="6" w:space="0" w:color="auto"/>
              <w:right w:val="double" w:sz="6" w:space="0" w:color="auto"/>
            </w:tcBorders>
            <w:vAlign w:val="center"/>
          </w:tcPr>
          <w:p w14:paraId="7B2B8FB9"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Zn</w:t>
            </w:r>
          </w:p>
        </w:tc>
      </w:tr>
    </w:tbl>
    <w:p w14:paraId="130A2B22" w14:textId="54B5F240" w:rsidR="00AC1E78" w:rsidRPr="000855B2" w:rsidRDefault="00AC1E78" w:rsidP="00E43131">
      <w:pPr>
        <w:pStyle w:val="Caption"/>
      </w:pPr>
      <w:bookmarkStart w:id="59" w:name="_Ref140399397"/>
      <w:bookmarkStart w:id="60" w:name="_Toc496265258"/>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w:t>
      </w:r>
      <w:r w:rsidR="00FB454C">
        <w:rPr>
          <w:noProof/>
        </w:rPr>
        <w:fldChar w:fldCharType="end"/>
      </w:r>
      <w:bookmarkEnd w:id="59"/>
      <w:r w:rsidRPr="000855B2">
        <w:t>: Pollutants included in Group 3 and equivalent terms in methodology</w:t>
      </w:r>
      <w:bookmarkEnd w:id="60"/>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6A155D81" w14:textId="77777777" w:rsidTr="008A3855">
        <w:tc>
          <w:tcPr>
            <w:tcW w:w="3544" w:type="dxa"/>
            <w:tcBorders>
              <w:top w:val="double" w:sz="6" w:space="0" w:color="auto"/>
              <w:left w:val="double" w:sz="6" w:space="0" w:color="auto"/>
              <w:bottom w:val="single" w:sz="12" w:space="0" w:color="000000"/>
              <w:right w:val="single" w:sz="2" w:space="0" w:color="000000"/>
            </w:tcBorders>
            <w:vAlign w:val="center"/>
          </w:tcPr>
          <w:p w14:paraId="0825770B"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p>
        </w:tc>
        <w:tc>
          <w:tcPr>
            <w:tcW w:w="4774" w:type="dxa"/>
            <w:tcBorders>
              <w:top w:val="double" w:sz="6" w:space="0" w:color="auto"/>
              <w:left w:val="nil"/>
              <w:bottom w:val="single" w:sz="12" w:space="0" w:color="000000"/>
              <w:right w:val="double" w:sz="6" w:space="0" w:color="auto"/>
            </w:tcBorders>
            <w:vAlign w:val="center"/>
          </w:tcPr>
          <w:p w14:paraId="2054A39C"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0855B2" w14:paraId="6BA82505"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50B102CA"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Poly</w:t>
            </w:r>
            <w:r w:rsidR="00F53C80" w:rsidRPr="000855B2">
              <w:rPr>
                <w:rFonts w:ascii="Open Sans" w:hAnsi="Open Sans" w:cs="Open Sans"/>
                <w:sz w:val="18"/>
                <w:lang w:val="en-GB"/>
              </w:rPr>
              <w:t xml:space="preserve">cyclic </w:t>
            </w:r>
            <w:r w:rsidRPr="000855B2">
              <w:rPr>
                <w:rFonts w:ascii="Open Sans" w:hAnsi="Open Sans" w:cs="Open Sans"/>
                <w:sz w:val="18"/>
                <w:lang w:val="en-GB"/>
              </w:rPr>
              <w:t xml:space="preserve">aromatic </w:t>
            </w:r>
            <w:r w:rsidR="00F53C80" w:rsidRPr="000855B2">
              <w:rPr>
                <w:rFonts w:ascii="Open Sans" w:hAnsi="Open Sans" w:cs="Open Sans"/>
                <w:sz w:val="18"/>
                <w:lang w:val="en-GB"/>
              </w:rPr>
              <w:t>h</w:t>
            </w:r>
            <w:r w:rsidRPr="000855B2">
              <w:rPr>
                <w:rFonts w:ascii="Open Sans" w:hAnsi="Open Sans" w:cs="Open Sans"/>
                <w:sz w:val="18"/>
                <w:lang w:val="en-GB"/>
              </w:rPr>
              <w:t xml:space="preserve">ydrocarbons (PAHs) and </w:t>
            </w:r>
            <w:r w:rsidR="00F53C80" w:rsidRPr="000855B2">
              <w:rPr>
                <w:rFonts w:ascii="Open Sans" w:hAnsi="Open Sans" w:cs="Open Sans"/>
                <w:sz w:val="18"/>
                <w:lang w:val="en-GB"/>
              </w:rPr>
              <w:t>p</w:t>
            </w:r>
            <w:r w:rsidRPr="000855B2">
              <w:rPr>
                <w:rFonts w:ascii="Open Sans" w:hAnsi="Open Sans" w:cs="Open Sans"/>
                <w:sz w:val="18"/>
                <w:lang w:val="en-GB"/>
              </w:rPr>
              <w:t xml:space="preserve">ersistent </w:t>
            </w:r>
            <w:r w:rsidR="00F53C80" w:rsidRPr="000855B2">
              <w:rPr>
                <w:rFonts w:ascii="Open Sans" w:hAnsi="Open Sans" w:cs="Open Sans"/>
                <w:sz w:val="18"/>
                <w:lang w:val="en-GB"/>
              </w:rPr>
              <w:t>o</w:t>
            </w:r>
            <w:r w:rsidRPr="000855B2">
              <w:rPr>
                <w:rFonts w:ascii="Open Sans" w:hAnsi="Open Sans" w:cs="Open Sans"/>
                <w:sz w:val="18"/>
                <w:lang w:val="en-GB"/>
              </w:rPr>
              <w:t xml:space="preserve">rganic </w:t>
            </w:r>
            <w:r w:rsidR="00F53C80" w:rsidRPr="000855B2">
              <w:rPr>
                <w:rFonts w:ascii="Open Sans" w:hAnsi="Open Sans" w:cs="Open Sans"/>
                <w:sz w:val="18"/>
                <w:lang w:val="en-GB"/>
              </w:rPr>
              <w:t>p</w:t>
            </w:r>
            <w:r w:rsidRPr="000855B2">
              <w:rPr>
                <w:rFonts w:ascii="Open Sans" w:hAnsi="Open Sans" w:cs="Open Sans"/>
                <w:sz w:val="18"/>
                <w:lang w:val="en-GB"/>
              </w:rPr>
              <w:t>ollutants (POPs)</w:t>
            </w:r>
          </w:p>
        </w:tc>
        <w:tc>
          <w:tcPr>
            <w:tcW w:w="4774" w:type="dxa"/>
            <w:tcBorders>
              <w:top w:val="single" w:sz="6" w:space="0" w:color="000000"/>
              <w:left w:val="nil"/>
              <w:bottom w:val="single" w:sz="6" w:space="0" w:color="000000"/>
              <w:right w:val="double" w:sz="6" w:space="0" w:color="auto"/>
            </w:tcBorders>
            <w:vAlign w:val="center"/>
          </w:tcPr>
          <w:p w14:paraId="31C4F2E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Detailed speciation</w:t>
            </w:r>
            <w:r w:rsidR="00F53C80" w:rsidRPr="000855B2">
              <w:rPr>
                <w:rFonts w:ascii="Open Sans" w:hAnsi="Open Sans" w:cs="Open Sans"/>
                <w:sz w:val="18"/>
                <w:lang w:val="en-GB"/>
              </w:rPr>
              <w:t>,</w:t>
            </w:r>
            <w:r w:rsidRPr="000855B2">
              <w:rPr>
                <w:rFonts w:ascii="Open Sans" w:hAnsi="Open Sans" w:cs="Open Sans"/>
                <w:sz w:val="18"/>
                <w:lang w:val="en-GB"/>
              </w:rPr>
              <w:t xml:space="preserve"> including </w:t>
            </w:r>
            <w:r w:rsidRPr="000855B2">
              <w:rPr>
                <w:rFonts w:ascii="Open Sans" w:hAnsi="Open Sans" w:cs="Open Sans"/>
                <w:snapToGrid w:val="0"/>
                <w:sz w:val="18"/>
                <w:lang w:val="en-GB" w:eastAsia="en-US"/>
              </w:rPr>
              <w:t>indeno(1,2,3-cd)</w:t>
            </w:r>
            <w:r w:rsidR="005A61D9" w:rsidRPr="000855B2">
              <w:rPr>
                <w:rFonts w:ascii="Open Sans" w:hAnsi="Open Sans" w:cs="Open Sans"/>
                <w:snapToGrid w:val="0"/>
                <w:sz w:val="18"/>
                <w:lang w:val="en-GB" w:eastAsia="en-US"/>
              </w:rPr>
              <w:t xml:space="preserve"> </w:t>
            </w:r>
            <w:r w:rsidRPr="000855B2">
              <w:rPr>
                <w:rFonts w:ascii="Open Sans" w:hAnsi="Open Sans" w:cs="Open Sans"/>
                <w:snapToGrid w:val="0"/>
                <w:sz w:val="18"/>
                <w:lang w:val="en-GB" w:eastAsia="en-US"/>
              </w:rPr>
              <w:t>pyrene, benzo(k)fluoranthene, benzo(b)fluoranthene, benzo(g</w:t>
            </w:r>
            <w:r w:rsidR="00F53C80"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h</w:t>
            </w:r>
            <w:r w:rsidR="00F53C80"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i)perylene, fluoranthene, benzo(a)pyrene</w:t>
            </w:r>
          </w:p>
        </w:tc>
      </w:tr>
      <w:tr w:rsidR="001D2587" w:rsidRPr="000855B2" w14:paraId="729024CC"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2CA11020" w14:textId="77777777" w:rsidR="001D2587" w:rsidRPr="00FC6D86" w:rsidRDefault="001D2587" w:rsidP="005C7955">
            <w:pPr>
              <w:pStyle w:val="Table"/>
              <w:spacing w:line="240" w:lineRule="atLeast"/>
              <w:jc w:val="center"/>
              <w:rPr>
                <w:rFonts w:ascii="Open Sans" w:hAnsi="Open Sans" w:cs="Open Sans"/>
                <w:sz w:val="18"/>
                <w:szCs w:val="24"/>
                <w:lang w:val="en-GB"/>
              </w:rPr>
            </w:pPr>
            <w:r w:rsidRPr="00FC6D86">
              <w:rPr>
                <w:rFonts w:ascii="Open Sans" w:hAnsi="Open Sans" w:cs="Open Sans"/>
                <w:sz w:val="18"/>
                <w:lang w:val="en-GB"/>
              </w:rPr>
              <w:t xml:space="preserve">Polychlorinated </w:t>
            </w:r>
            <w:r w:rsidR="00F53C80" w:rsidRPr="00FC6D86">
              <w:rPr>
                <w:rFonts w:ascii="Open Sans" w:hAnsi="Open Sans" w:cs="Open Sans"/>
                <w:sz w:val="18"/>
                <w:lang w:val="en-GB"/>
              </w:rPr>
              <w:t>d</w:t>
            </w:r>
            <w:r w:rsidRPr="00FC6D86">
              <w:rPr>
                <w:rFonts w:ascii="Open Sans" w:hAnsi="Open Sans" w:cs="Open Sans"/>
                <w:sz w:val="18"/>
                <w:lang w:val="en-GB"/>
              </w:rPr>
              <w:t xml:space="preserve">ibenzo </w:t>
            </w:r>
            <w:r w:rsidR="00F53C80" w:rsidRPr="00FC6D86">
              <w:rPr>
                <w:rFonts w:ascii="Open Sans" w:hAnsi="Open Sans" w:cs="Open Sans"/>
                <w:sz w:val="18"/>
                <w:lang w:val="en-GB"/>
              </w:rPr>
              <w:t>d</w:t>
            </w:r>
            <w:r w:rsidRPr="00FC6D86">
              <w:rPr>
                <w:rFonts w:ascii="Open Sans" w:hAnsi="Open Sans" w:cs="Open Sans"/>
                <w:sz w:val="18"/>
                <w:lang w:val="en-GB"/>
              </w:rPr>
              <w:t xml:space="preserve">ioxins (PCDDs) and </w:t>
            </w:r>
            <w:r w:rsidR="00F53C80" w:rsidRPr="00FC6D86">
              <w:rPr>
                <w:rFonts w:ascii="Open Sans" w:hAnsi="Open Sans" w:cs="Open Sans"/>
                <w:sz w:val="18"/>
                <w:lang w:val="en-GB"/>
              </w:rPr>
              <w:t>p</w:t>
            </w:r>
            <w:r w:rsidRPr="00FC6D86">
              <w:rPr>
                <w:rFonts w:ascii="Open Sans" w:hAnsi="Open Sans" w:cs="Open Sans"/>
                <w:sz w:val="18"/>
                <w:lang w:val="en-GB"/>
              </w:rPr>
              <w:t xml:space="preserve">olychlorinated </w:t>
            </w:r>
            <w:r w:rsidR="00F53C80" w:rsidRPr="00FC6D86">
              <w:rPr>
                <w:rFonts w:ascii="Open Sans" w:hAnsi="Open Sans" w:cs="Open Sans"/>
                <w:sz w:val="18"/>
                <w:lang w:val="en-GB"/>
              </w:rPr>
              <w:t>d</w:t>
            </w:r>
            <w:r w:rsidRPr="00FC6D86">
              <w:rPr>
                <w:rFonts w:ascii="Open Sans" w:hAnsi="Open Sans" w:cs="Open Sans"/>
                <w:sz w:val="18"/>
                <w:lang w:val="en-GB"/>
              </w:rPr>
              <w:t xml:space="preserve">ibenzo </w:t>
            </w:r>
            <w:r w:rsidR="00F53C80" w:rsidRPr="00FC6D86">
              <w:rPr>
                <w:rFonts w:ascii="Open Sans" w:hAnsi="Open Sans" w:cs="Open Sans"/>
                <w:sz w:val="18"/>
                <w:lang w:val="en-GB"/>
              </w:rPr>
              <w:t>f</w:t>
            </w:r>
            <w:r w:rsidRPr="00FC6D86">
              <w:rPr>
                <w:rFonts w:ascii="Open Sans" w:hAnsi="Open Sans" w:cs="Open Sans"/>
                <w:sz w:val="18"/>
                <w:lang w:val="en-GB"/>
              </w:rPr>
              <w:t>urans (PCDFs)</w:t>
            </w:r>
          </w:p>
        </w:tc>
        <w:tc>
          <w:tcPr>
            <w:tcW w:w="4774" w:type="dxa"/>
            <w:tcBorders>
              <w:top w:val="single" w:sz="6" w:space="0" w:color="000000"/>
              <w:left w:val="nil"/>
              <w:bottom w:val="single" w:sz="6" w:space="0" w:color="000000"/>
              <w:right w:val="double" w:sz="6" w:space="0" w:color="auto"/>
            </w:tcBorders>
            <w:vAlign w:val="center"/>
          </w:tcPr>
          <w:p w14:paraId="39F47743"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as </w:t>
            </w:r>
            <w:r w:rsidR="00F53C80" w:rsidRPr="000855B2">
              <w:rPr>
                <w:rFonts w:ascii="Open Sans" w:hAnsi="Open Sans" w:cs="Open Sans"/>
                <w:sz w:val="18"/>
                <w:lang w:val="en-GB"/>
              </w:rPr>
              <w:t>d</w:t>
            </w:r>
            <w:r w:rsidRPr="000855B2">
              <w:rPr>
                <w:rFonts w:ascii="Open Sans" w:hAnsi="Open Sans" w:cs="Open Sans"/>
                <w:sz w:val="18"/>
                <w:lang w:val="en-GB"/>
              </w:rPr>
              <w:t xml:space="preserve">ioxins and </w:t>
            </w:r>
            <w:r w:rsidR="00F53C80" w:rsidRPr="000855B2">
              <w:rPr>
                <w:rFonts w:ascii="Open Sans" w:hAnsi="Open Sans" w:cs="Open Sans"/>
                <w:sz w:val="18"/>
                <w:lang w:val="en-GB"/>
              </w:rPr>
              <w:t>f</w:t>
            </w:r>
            <w:r w:rsidRPr="000855B2">
              <w:rPr>
                <w:rFonts w:ascii="Open Sans" w:hAnsi="Open Sans" w:cs="Open Sans"/>
                <w:sz w:val="18"/>
                <w:lang w:val="en-GB"/>
              </w:rPr>
              <w:t>urans respectively</w:t>
            </w:r>
          </w:p>
        </w:tc>
      </w:tr>
      <w:tr w:rsidR="007303A3" w:rsidRPr="000855B2" w14:paraId="7DA22693" w14:textId="77777777" w:rsidTr="008A3855">
        <w:tc>
          <w:tcPr>
            <w:tcW w:w="3544" w:type="dxa"/>
            <w:tcBorders>
              <w:top w:val="single" w:sz="6" w:space="0" w:color="000000"/>
              <w:left w:val="double" w:sz="6" w:space="0" w:color="auto"/>
              <w:bottom w:val="double" w:sz="6" w:space="0" w:color="auto"/>
              <w:right w:val="single" w:sz="2" w:space="0" w:color="000000"/>
            </w:tcBorders>
            <w:vAlign w:val="center"/>
          </w:tcPr>
          <w:p w14:paraId="1EE08FB0" w14:textId="77777777" w:rsidR="007303A3" w:rsidRPr="00FC6D86" w:rsidRDefault="007303A3" w:rsidP="005C7955">
            <w:pPr>
              <w:pStyle w:val="Table"/>
              <w:spacing w:line="240" w:lineRule="atLeast"/>
              <w:jc w:val="center"/>
              <w:rPr>
                <w:rFonts w:ascii="Open Sans" w:hAnsi="Open Sans" w:cs="Open Sans"/>
                <w:sz w:val="18"/>
                <w:szCs w:val="24"/>
                <w:lang w:val="en-GB"/>
              </w:rPr>
            </w:pPr>
            <w:r w:rsidRPr="00FC6D86">
              <w:rPr>
                <w:rFonts w:ascii="Open Sans" w:hAnsi="Open Sans" w:cs="Open Sans"/>
                <w:sz w:val="18"/>
                <w:lang w:val="en-GB"/>
              </w:rPr>
              <w:t>Polychlorinated biphenyls (PCBs) and hexachlorobenzene (HCB)</w:t>
            </w:r>
          </w:p>
        </w:tc>
        <w:tc>
          <w:tcPr>
            <w:tcW w:w="4774" w:type="dxa"/>
            <w:tcBorders>
              <w:top w:val="single" w:sz="6" w:space="0" w:color="000000"/>
              <w:left w:val="nil"/>
              <w:bottom w:val="double" w:sz="6" w:space="0" w:color="auto"/>
              <w:right w:val="double" w:sz="6" w:space="0" w:color="auto"/>
            </w:tcBorders>
            <w:vAlign w:val="center"/>
          </w:tcPr>
          <w:p w14:paraId="27F503DE" w14:textId="77777777" w:rsidR="007303A3" w:rsidRPr="000855B2" w:rsidRDefault="007303A3"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Given as PCB and HCB respectively</w:t>
            </w:r>
          </w:p>
        </w:tc>
      </w:tr>
    </w:tbl>
    <w:p w14:paraId="50AEC7D1" w14:textId="23BDBE11" w:rsidR="001D2587" w:rsidRPr="000855B2" w:rsidRDefault="00A040D1" w:rsidP="00E43131">
      <w:pPr>
        <w:pStyle w:val="Caption"/>
      </w:pPr>
      <w:bookmarkStart w:id="61" w:name="_Ref140399408"/>
      <w:bookmarkStart w:id="62" w:name="_Ref467604685"/>
      <w:bookmarkStart w:id="63" w:name="_Toc496265259"/>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w:t>
      </w:r>
      <w:r w:rsidR="00FB454C">
        <w:rPr>
          <w:noProof/>
        </w:rPr>
        <w:fldChar w:fldCharType="end"/>
      </w:r>
      <w:bookmarkEnd w:id="61"/>
      <w:bookmarkEnd w:id="62"/>
      <w:r w:rsidR="001D2587" w:rsidRPr="000855B2">
        <w:t>: Pollutants included in Group 4</w:t>
      </w:r>
      <w:r w:rsidR="00F53C80" w:rsidRPr="000855B2">
        <w:t xml:space="preserve"> </w:t>
      </w:r>
      <w:r w:rsidR="001D2587" w:rsidRPr="000855B2">
        <w:t xml:space="preserve">and </w:t>
      </w:r>
      <w:r w:rsidR="00F53C80" w:rsidRPr="000855B2">
        <w:t xml:space="preserve">equivalent terms in </w:t>
      </w:r>
      <w:r w:rsidR="001D2587" w:rsidRPr="000855B2">
        <w:t>methodology</w:t>
      </w:r>
      <w:bookmarkEnd w:id="63"/>
    </w:p>
    <w:tbl>
      <w:tblPr>
        <w:tblW w:w="831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544"/>
        <w:gridCol w:w="4774"/>
      </w:tblGrid>
      <w:tr w:rsidR="001D2587" w:rsidRPr="000855B2" w14:paraId="62A64435" w14:textId="77777777" w:rsidTr="008A3855">
        <w:tc>
          <w:tcPr>
            <w:tcW w:w="3544" w:type="dxa"/>
            <w:tcBorders>
              <w:top w:val="double" w:sz="6" w:space="0" w:color="auto"/>
              <w:left w:val="double" w:sz="6" w:space="0" w:color="auto"/>
              <w:bottom w:val="single" w:sz="12" w:space="0" w:color="000000"/>
              <w:right w:val="single" w:sz="2" w:space="0" w:color="000000"/>
            </w:tcBorders>
            <w:vAlign w:val="center"/>
          </w:tcPr>
          <w:p w14:paraId="5C3484DA"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lastRenderedPageBreak/>
              <w:t>Pollutant</w:t>
            </w:r>
          </w:p>
        </w:tc>
        <w:tc>
          <w:tcPr>
            <w:tcW w:w="4774" w:type="dxa"/>
            <w:tcBorders>
              <w:top w:val="double" w:sz="6" w:space="0" w:color="auto"/>
              <w:left w:val="nil"/>
              <w:bottom w:val="single" w:sz="12" w:space="0" w:color="000000"/>
              <w:right w:val="double" w:sz="6" w:space="0" w:color="auto"/>
            </w:tcBorders>
            <w:vAlign w:val="center"/>
          </w:tcPr>
          <w:p w14:paraId="65D9768F"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Equivalent</w:t>
            </w:r>
          </w:p>
        </w:tc>
      </w:tr>
      <w:tr w:rsidR="001D2587" w:rsidRPr="000855B2" w14:paraId="6976FADE" w14:textId="77777777" w:rsidTr="008A3855">
        <w:tc>
          <w:tcPr>
            <w:tcW w:w="3544" w:type="dxa"/>
            <w:tcBorders>
              <w:top w:val="nil"/>
              <w:left w:val="double" w:sz="6" w:space="0" w:color="auto"/>
              <w:bottom w:val="single" w:sz="6" w:space="0" w:color="000000"/>
              <w:right w:val="single" w:sz="2" w:space="0" w:color="000000"/>
            </w:tcBorders>
            <w:vAlign w:val="center"/>
          </w:tcPr>
          <w:p w14:paraId="1F93938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Alkanes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2n+2</w:t>
            </w:r>
            <w:r w:rsidRPr="000855B2">
              <w:rPr>
                <w:rFonts w:ascii="Open Sans" w:hAnsi="Open Sans" w:cs="Open Sans"/>
                <w:sz w:val="18"/>
                <w:lang w:val="en-GB"/>
              </w:rPr>
              <w:t>):</w:t>
            </w:r>
          </w:p>
        </w:tc>
        <w:tc>
          <w:tcPr>
            <w:tcW w:w="4774" w:type="dxa"/>
            <w:tcBorders>
              <w:top w:val="nil"/>
              <w:left w:val="nil"/>
              <w:bottom w:val="single" w:sz="6" w:space="0" w:color="000000"/>
              <w:right w:val="double" w:sz="6" w:space="0" w:color="auto"/>
            </w:tcBorders>
            <w:vAlign w:val="center"/>
          </w:tcPr>
          <w:p w14:paraId="7B904A15"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lkanes speciation</w:t>
            </w:r>
          </w:p>
        </w:tc>
      </w:tr>
      <w:tr w:rsidR="001D2587" w:rsidRPr="000855B2" w14:paraId="76286B76"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1482FE9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Alkenes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006D24C6"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lkenes speciation</w:t>
            </w:r>
          </w:p>
        </w:tc>
      </w:tr>
      <w:tr w:rsidR="001D2587" w:rsidRPr="000855B2" w14:paraId="61FA3338"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07AF7C2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Alk</w:t>
            </w:r>
            <w:r w:rsidR="00DD26BD" w:rsidRPr="000855B2">
              <w:rPr>
                <w:rFonts w:ascii="Open Sans" w:hAnsi="Open Sans" w:cs="Open Sans"/>
                <w:sz w:val="18"/>
                <w:lang w:val="en-GB"/>
              </w:rPr>
              <w:t>y</w:t>
            </w:r>
            <w:r w:rsidRPr="000855B2">
              <w:rPr>
                <w:rFonts w:ascii="Open Sans" w:hAnsi="Open Sans" w:cs="Open Sans"/>
                <w:sz w:val="18"/>
                <w:lang w:val="en-GB"/>
              </w:rPr>
              <w:t>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2n-2</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723B24A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lk</w:t>
            </w:r>
            <w:r w:rsidR="00F53C80" w:rsidRPr="000855B2">
              <w:rPr>
                <w:rFonts w:ascii="Open Sans" w:hAnsi="Open Sans" w:cs="Open Sans"/>
                <w:sz w:val="18"/>
                <w:lang w:val="en-GB"/>
              </w:rPr>
              <w:t>y</w:t>
            </w:r>
            <w:r w:rsidRPr="000855B2">
              <w:rPr>
                <w:rFonts w:ascii="Open Sans" w:hAnsi="Open Sans" w:cs="Open Sans"/>
                <w:sz w:val="18"/>
                <w:lang w:val="en-GB"/>
              </w:rPr>
              <w:t>nes speciation</w:t>
            </w:r>
          </w:p>
        </w:tc>
      </w:tr>
      <w:tr w:rsidR="001D2587" w:rsidRPr="000855B2" w14:paraId="6EBCCBDA"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568BE4A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Aldehydes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O)</w:t>
            </w:r>
          </w:p>
        </w:tc>
        <w:tc>
          <w:tcPr>
            <w:tcW w:w="4774" w:type="dxa"/>
            <w:tcBorders>
              <w:top w:val="single" w:sz="6" w:space="0" w:color="000000"/>
              <w:left w:val="nil"/>
              <w:bottom w:val="single" w:sz="6" w:space="0" w:color="000000"/>
              <w:right w:val="double" w:sz="6" w:space="0" w:color="auto"/>
            </w:tcBorders>
            <w:vAlign w:val="center"/>
          </w:tcPr>
          <w:p w14:paraId="4FCFB76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ldehydes speciation</w:t>
            </w:r>
          </w:p>
        </w:tc>
      </w:tr>
      <w:tr w:rsidR="001D2587" w:rsidRPr="000855B2" w14:paraId="5E47CA38"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5BE562A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Ketones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O)</w:t>
            </w:r>
          </w:p>
        </w:tc>
        <w:tc>
          <w:tcPr>
            <w:tcW w:w="4774" w:type="dxa"/>
            <w:tcBorders>
              <w:top w:val="single" w:sz="6" w:space="0" w:color="000000"/>
              <w:left w:val="nil"/>
              <w:bottom w:val="single" w:sz="6" w:space="0" w:color="000000"/>
              <w:right w:val="double" w:sz="6" w:space="0" w:color="auto"/>
            </w:tcBorders>
            <w:vAlign w:val="center"/>
          </w:tcPr>
          <w:p w14:paraId="0A078A0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k</w:t>
            </w:r>
            <w:r w:rsidRPr="000855B2">
              <w:rPr>
                <w:rFonts w:ascii="Open Sans" w:hAnsi="Open Sans" w:cs="Open Sans"/>
                <w:sz w:val="18"/>
                <w:lang w:val="en-GB"/>
              </w:rPr>
              <w:t>etones speciation</w:t>
            </w:r>
          </w:p>
        </w:tc>
      </w:tr>
      <w:tr w:rsidR="001D2587" w:rsidRPr="000855B2" w14:paraId="01117214" w14:textId="77777777" w:rsidTr="008A3855">
        <w:tc>
          <w:tcPr>
            <w:tcW w:w="3544" w:type="dxa"/>
            <w:tcBorders>
              <w:top w:val="single" w:sz="6" w:space="0" w:color="000000"/>
              <w:left w:val="double" w:sz="6" w:space="0" w:color="auto"/>
              <w:bottom w:val="single" w:sz="6" w:space="0" w:color="000000"/>
              <w:right w:val="single" w:sz="2" w:space="0" w:color="000000"/>
            </w:tcBorders>
            <w:vAlign w:val="center"/>
          </w:tcPr>
          <w:p w14:paraId="0325BAB6"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Cycloalkanes (C</w:t>
            </w:r>
            <w:r w:rsidRPr="000855B2">
              <w:rPr>
                <w:rFonts w:ascii="Open Sans" w:hAnsi="Open Sans" w:cs="Open Sans"/>
                <w:sz w:val="18"/>
                <w:vertAlign w:val="subscript"/>
                <w:lang w:val="en-GB"/>
              </w:rPr>
              <w:t>n</w:t>
            </w:r>
            <w:r w:rsidRPr="000855B2">
              <w:rPr>
                <w:rFonts w:ascii="Open Sans" w:hAnsi="Open Sans" w:cs="Open Sans"/>
                <w:sz w:val="18"/>
                <w:lang w:val="en-GB"/>
              </w:rPr>
              <w:t>H</w:t>
            </w:r>
            <w:r w:rsidRPr="000855B2">
              <w:rPr>
                <w:rFonts w:ascii="Open Sans" w:hAnsi="Open Sans" w:cs="Open Sans"/>
                <w:sz w:val="18"/>
                <w:vertAlign w:val="subscript"/>
                <w:lang w:val="en-GB"/>
              </w:rPr>
              <w:t>2n</w:t>
            </w:r>
            <w:r w:rsidRPr="000855B2">
              <w:rPr>
                <w:rFonts w:ascii="Open Sans" w:hAnsi="Open Sans" w:cs="Open Sans"/>
                <w:sz w:val="18"/>
                <w:lang w:val="en-GB"/>
              </w:rPr>
              <w:t>)</w:t>
            </w:r>
          </w:p>
        </w:tc>
        <w:tc>
          <w:tcPr>
            <w:tcW w:w="4774" w:type="dxa"/>
            <w:tcBorders>
              <w:top w:val="single" w:sz="6" w:space="0" w:color="000000"/>
              <w:left w:val="nil"/>
              <w:bottom w:val="single" w:sz="6" w:space="0" w:color="000000"/>
              <w:right w:val="double" w:sz="6" w:space="0" w:color="auto"/>
            </w:tcBorders>
            <w:vAlign w:val="center"/>
          </w:tcPr>
          <w:p w14:paraId="59788EF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as </w:t>
            </w:r>
            <w:r w:rsidR="00F53C80" w:rsidRPr="000855B2">
              <w:rPr>
                <w:rFonts w:ascii="Open Sans" w:hAnsi="Open Sans" w:cs="Open Sans"/>
                <w:sz w:val="18"/>
                <w:lang w:val="en-GB"/>
              </w:rPr>
              <w:t>c</w:t>
            </w:r>
            <w:r w:rsidRPr="000855B2">
              <w:rPr>
                <w:rFonts w:ascii="Open Sans" w:hAnsi="Open Sans" w:cs="Open Sans"/>
                <w:sz w:val="18"/>
                <w:lang w:val="en-GB"/>
              </w:rPr>
              <w:t>ycloalkanes</w:t>
            </w:r>
          </w:p>
        </w:tc>
      </w:tr>
      <w:tr w:rsidR="001D2587" w:rsidRPr="000855B2" w14:paraId="139F5156" w14:textId="77777777" w:rsidTr="008A3855">
        <w:tc>
          <w:tcPr>
            <w:tcW w:w="3544" w:type="dxa"/>
            <w:tcBorders>
              <w:top w:val="single" w:sz="6" w:space="0" w:color="000000"/>
              <w:left w:val="double" w:sz="6" w:space="0" w:color="auto"/>
              <w:bottom w:val="double" w:sz="6" w:space="0" w:color="auto"/>
              <w:right w:val="single" w:sz="2" w:space="0" w:color="000000"/>
            </w:tcBorders>
            <w:vAlign w:val="center"/>
          </w:tcPr>
          <w:p w14:paraId="1552134E"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Aromatic</w:t>
            </w:r>
            <w:r w:rsidR="00F53C80" w:rsidRPr="000855B2">
              <w:rPr>
                <w:rFonts w:ascii="Open Sans" w:hAnsi="Open Sans" w:cs="Open Sans"/>
                <w:sz w:val="18"/>
                <w:lang w:val="en-GB"/>
              </w:rPr>
              <w:t xml:space="preserve"> compounds</w:t>
            </w:r>
          </w:p>
        </w:tc>
        <w:tc>
          <w:tcPr>
            <w:tcW w:w="4774" w:type="dxa"/>
            <w:tcBorders>
              <w:top w:val="single" w:sz="6" w:space="0" w:color="000000"/>
              <w:left w:val="nil"/>
              <w:bottom w:val="double" w:sz="6" w:space="0" w:color="auto"/>
              <w:right w:val="double" w:sz="6" w:space="0" w:color="auto"/>
            </w:tcBorders>
            <w:vAlign w:val="center"/>
          </w:tcPr>
          <w:p w14:paraId="08BB46F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Given in </w:t>
            </w:r>
            <w:r w:rsidR="00F53C80" w:rsidRPr="000855B2">
              <w:rPr>
                <w:rFonts w:ascii="Open Sans" w:hAnsi="Open Sans" w:cs="Open Sans"/>
                <w:sz w:val="18"/>
                <w:lang w:val="en-GB"/>
              </w:rPr>
              <w:t>a</w:t>
            </w:r>
            <w:r w:rsidRPr="000855B2">
              <w:rPr>
                <w:rFonts w:ascii="Open Sans" w:hAnsi="Open Sans" w:cs="Open Sans"/>
                <w:sz w:val="18"/>
                <w:lang w:val="en-GB"/>
              </w:rPr>
              <w:t>romatics speciation</w:t>
            </w:r>
          </w:p>
        </w:tc>
      </w:tr>
    </w:tbl>
    <w:p w14:paraId="61FFFDE9" w14:textId="77777777" w:rsidR="00AC1E78" w:rsidRPr="000855B2" w:rsidRDefault="00AC1E78" w:rsidP="00AC1E78">
      <w:pPr>
        <w:pStyle w:val="Heading2"/>
      </w:pPr>
      <w:bookmarkStart w:id="64" w:name="_Toc200272610"/>
      <w:bookmarkStart w:id="65" w:name="_Toc482003897"/>
      <w:r w:rsidRPr="000855B2">
        <w:t>Choice of method</w:t>
      </w:r>
      <w:bookmarkEnd w:id="64"/>
      <w:bookmarkEnd w:id="65"/>
    </w:p>
    <w:p w14:paraId="34BCB58A" w14:textId="2A371BA0" w:rsidR="001D2587" w:rsidRPr="000855B2" w:rsidRDefault="001D2587" w:rsidP="00CC108F">
      <w:pPr>
        <w:pStyle w:val="BodyText"/>
      </w:pPr>
      <w:r w:rsidRPr="000855B2">
        <w:t xml:space="preserve">In </w:t>
      </w:r>
      <w:r w:rsidR="00FB454C">
        <w:fldChar w:fldCharType="begin"/>
      </w:r>
      <w:r w:rsidR="00FB454C">
        <w:instrText xml:space="preserve"> REF _Ref164657652 \h  \* MERGEFORMAT </w:instrText>
      </w:r>
      <w:r w:rsidR="00FB454C">
        <w:fldChar w:fldCharType="separate"/>
      </w:r>
      <w:r w:rsidR="0071604C" w:rsidRPr="000855B2">
        <w:t>Figure </w:t>
      </w:r>
      <w:r w:rsidR="0071604C">
        <w:t>3</w:t>
      </w:r>
      <w:r w:rsidR="0071604C" w:rsidRPr="000855B2">
        <w:noBreakHyphen/>
      </w:r>
      <w:r w:rsidR="0071604C">
        <w:t>1</w:t>
      </w:r>
      <w:r w:rsidR="00FB454C">
        <w:fldChar w:fldCharType="end"/>
      </w:r>
      <w:r w:rsidRPr="000855B2">
        <w:t xml:space="preserve"> a procedure is presented to </w:t>
      </w:r>
      <w:r w:rsidR="00E1372F" w:rsidRPr="000855B2">
        <w:t>enable a method for estimating exhaust</w:t>
      </w:r>
      <w:r w:rsidRPr="000855B2">
        <w:t xml:space="preserve"> emissions from road transport</w:t>
      </w:r>
      <w:r w:rsidR="00E1372F" w:rsidRPr="000855B2">
        <w:t xml:space="preserve"> to be selected</w:t>
      </w:r>
      <w:r w:rsidR="00D31480" w:rsidRPr="000855B2">
        <w:t xml:space="preserve">. </w:t>
      </w:r>
      <w:r w:rsidRPr="000855B2">
        <w:t>This decision tree is applicable to all nations.</w:t>
      </w:r>
    </w:p>
    <w:p w14:paraId="468D41DB" w14:textId="106E85D9" w:rsidR="00002FF2" w:rsidRPr="000855B2" w:rsidRDefault="001D2587" w:rsidP="00CC108F">
      <w:pPr>
        <w:pStyle w:val="BodyText"/>
      </w:pPr>
      <w:r w:rsidRPr="000855B2">
        <w:t>The Tie</w:t>
      </w:r>
      <w:r w:rsidR="00D73F59" w:rsidRPr="000855B2">
        <w:t>r 1</w:t>
      </w:r>
      <w:r w:rsidRPr="000855B2">
        <w:t xml:space="preserve"> methodology uses fuel as the activity indicator</w:t>
      </w:r>
      <w:r w:rsidR="00002FF2" w:rsidRPr="000855B2">
        <w:t>,</w:t>
      </w:r>
      <w:r w:rsidRPr="000855B2">
        <w:t xml:space="preserve"> </w:t>
      </w:r>
      <w:r w:rsidR="00002FF2" w:rsidRPr="000855B2">
        <w:t xml:space="preserve">in combination </w:t>
      </w:r>
      <w:r w:rsidRPr="000855B2">
        <w:t>with average fuel</w:t>
      </w:r>
      <w:r w:rsidR="00002FF2" w:rsidRPr="000855B2">
        <w:t>-</w:t>
      </w:r>
      <w:r w:rsidRPr="000855B2">
        <w:t>specific emission factors. It is similar to the Tie</w:t>
      </w:r>
      <w:r w:rsidR="00D73F59" w:rsidRPr="000855B2">
        <w:t>r 1</w:t>
      </w:r>
      <w:r w:rsidRPr="000855B2">
        <w:t xml:space="preserve"> methodology described in the IPCC 2006 </w:t>
      </w:r>
      <w:r w:rsidR="000D493C" w:rsidRPr="000855B2">
        <w:t>guidelines</w:t>
      </w:r>
      <w:r w:rsidRPr="000855B2">
        <w:t>, and provides an inventory that is disaggregated according to the four NFR codes</w:t>
      </w:r>
      <w:r w:rsidR="00002FF2" w:rsidRPr="000855B2">
        <w:t xml:space="preserve"> for exhaust emissions</w:t>
      </w:r>
      <w:r w:rsidRPr="000855B2">
        <w:t xml:space="preserve">. It is also similar to the </w:t>
      </w:r>
      <w:r w:rsidR="00002FF2" w:rsidRPr="000855B2">
        <w:t>‘</w:t>
      </w:r>
      <w:r w:rsidRPr="000855B2">
        <w:t>simpler methodology</w:t>
      </w:r>
      <w:r w:rsidR="00002FF2" w:rsidRPr="000855B2">
        <w:t>’</w:t>
      </w:r>
      <w:r w:rsidRPr="000855B2">
        <w:t xml:space="preserve"> described in previous version</w:t>
      </w:r>
      <w:r w:rsidR="003614D3">
        <w:t>s</w:t>
      </w:r>
      <w:r w:rsidRPr="000855B2">
        <w:t xml:space="preserve"> of th</w:t>
      </w:r>
      <w:r w:rsidR="00002FF2" w:rsidRPr="000855B2">
        <w:t>is</w:t>
      </w:r>
      <w:r w:rsidRPr="000855B2">
        <w:t xml:space="preserve"> Guidebook (Ntziachristos and Kouridis, 2007)</w:t>
      </w:r>
      <w:r w:rsidR="00002FF2" w:rsidRPr="000855B2">
        <w:t>,</w:t>
      </w:r>
      <w:r w:rsidRPr="000855B2">
        <w:t xml:space="preserve"> except that default emission factors are provided for all nations, with appropriately wide upper and lower values. Country</w:t>
      </w:r>
      <w:r w:rsidR="00002FF2" w:rsidRPr="000855B2">
        <w:t>-</w:t>
      </w:r>
      <w:r w:rsidRPr="000855B2">
        <w:t xml:space="preserve">specific values are provided in </w:t>
      </w:r>
      <w:r w:rsidR="00FB454C">
        <w:fldChar w:fldCharType="begin"/>
      </w:r>
      <w:r w:rsidR="00FB454C">
        <w:instrText xml:space="preserve"> REF _Ref172093469 \h  \* MERGEFORMAT </w:instrText>
      </w:r>
      <w:r w:rsidR="00FB454C">
        <w:fldChar w:fldCharType="separate"/>
      </w:r>
      <w:r w:rsidR="0071604C" w:rsidRPr="000855B2">
        <w:t>Table</w:t>
      </w:r>
      <w:r w:rsidR="0071604C">
        <w:t xml:space="preserve"> A1</w:t>
      </w:r>
      <w:r w:rsidR="0071604C" w:rsidRPr="000855B2">
        <w:noBreakHyphen/>
      </w:r>
      <w:r w:rsidR="0071604C">
        <w:t>0.1</w:t>
      </w:r>
      <w:r w:rsidR="00FB454C">
        <w:fldChar w:fldCharType="end"/>
      </w:r>
      <w:r w:rsidRPr="000855B2">
        <w:t xml:space="preserve"> to </w:t>
      </w:r>
      <w:r w:rsidR="00FB454C">
        <w:fldChar w:fldCharType="begin"/>
      </w:r>
      <w:r w:rsidR="00FB454C">
        <w:instrText xml:space="preserve"> REF _Ref201137280 \h  \* MERGEFORMAT </w:instrText>
      </w:r>
      <w:r w:rsidR="00FB454C">
        <w:fldChar w:fldCharType="separate"/>
      </w:r>
      <w:r w:rsidR="0071604C" w:rsidRPr="000855B2">
        <w:t>Table </w:t>
      </w:r>
      <w:r w:rsidR="0071604C">
        <w:t>A1</w:t>
      </w:r>
      <w:r w:rsidR="0071604C" w:rsidRPr="000855B2">
        <w:noBreakHyphen/>
      </w:r>
      <w:r w:rsidR="0071604C">
        <w:t>0.31</w:t>
      </w:r>
      <w:r w:rsidR="00FB454C">
        <w:fldChar w:fldCharType="end"/>
      </w:r>
      <w:r w:rsidRPr="000855B2">
        <w:t xml:space="preserve"> of </w:t>
      </w:r>
      <w:r w:rsidR="00BA10D2">
        <w:t>Appendix 1</w:t>
      </w:r>
      <w:r w:rsidRPr="000855B2">
        <w:t>.</w:t>
      </w:r>
    </w:p>
    <w:p w14:paraId="3424366A" w14:textId="77777777" w:rsidR="00AC1E78" w:rsidRPr="000855B2" w:rsidRDefault="001D2587" w:rsidP="00CC108F">
      <w:pPr>
        <w:pStyle w:val="BodyText"/>
      </w:pPr>
      <w:r w:rsidRPr="000855B2">
        <w:t>In practice</w:t>
      </w:r>
      <w:r w:rsidR="00002FF2" w:rsidRPr="000855B2">
        <w:t>,</w:t>
      </w:r>
      <w:r w:rsidRPr="000855B2">
        <w:t xml:space="preserve"> road transp</w:t>
      </w:r>
      <w:r w:rsidR="009317C3" w:rsidRPr="000855B2">
        <w:t>ort is very probably a key category</w:t>
      </w:r>
      <w:r w:rsidRPr="000855B2">
        <w:t xml:space="preserve"> in all countries. Therefore, the Tie</w:t>
      </w:r>
      <w:r w:rsidR="00D73F59" w:rsidRPr="000855B2">
        <w:t>r 1</w:t>
      </w:r>
      <w:r w:rsidRPr="000855B2">
        <w:t xml:space="preserve"> method should only be used in the absence of any more detailed information than fuel statistics. </w:t>
      </w:r>
      <w:r w:rsidR="00002FF2" w:rsidRPr="000855B2">
        <w:t>Furthermore, i</w:t>
      </w:r>
      <w:r w:rsidRPr="000855B2">
        <w:t>n such</w:t>
      </w:r>
      <w:r w:rsidR="00002FF2" w:rsidRPr="000855B2">
        <w:t xml:space="preserve"> a situation</w:t>
      </w:r>
      <w:r w:rsidRPr="000855B2">
        <w:t xml:space="preserve"> the country needs to make every effort to collect the detailed statistics required </w:t>
      </w:r>
      <w:r w:rsidR="00002FF2" w:rsidRPr="000855B2">
        <w:t>for</w:t>
      </w:r>
      <w:r w:rsidRPr="000855B2">
        <w:t xml:space="preserve"> use </w:t>
      </w:r>
      <w:r w:rsidR="00002FF2" w:rsidRPr="000855B2">
        <w:t>with the</w:t>
      </w:r>
      <w:r w:rsidRPr="000855B2">
        <w:t xml:space="preserve"> higher Tier method</w:t>
      </w:r>
      <w:r w:rsidR="00002FF2" w:rsidRPr="000855B2">
        <w:t>s</w:t>
      </w:r>
      <w:r w:rsidRPr="000855B2">
        <w:t>, preferably Tie</w:t>
      </w:r>
      <w:r w:rsidR="00E0302E" w:rsidRPr="000855B2">
        <w:t>r 3</w:t>
      </w:r>
      <w:r w:rsidRPr="000855B2">
        <w:t>.</w:t>
      </w:r>
    </w:p>
    <w:p w14:paraId="6C4861C3" w14:textId="621474E5" w:rsidR="00AC1E78" w:rsidRPr="000855B2" w:rsidRDefault="00AC1E78" w:rsidP="00E43131">
      <w:pPr>
        <w:pStyle w:val="Caption"/>
      </w:pPr>
      <w:bookmarkStart w:id="66" w:name="_Ref164657652"/>
      <w:r w:rsidRPr="000855B2">
        <w:lastRenderedPageBreak/>
        <w:t>Figure </w:t>
      </w:r>
      <w:r w:rsidR="00E17971" w:rsidRPr="000855B2">
        <w:fldChar w:fldCharType="begin"/>
      </w:r>
      <w:r w:rsidRPr="000855B2">
        <w:instrText xml:space="preserve"> STYLEREF 1 \s </w:instrText>
      </w:r>
      <w:r w:rsidR="00E17971" w:rsidRPr="000855B2">
        <w:fldChar w:fldCharType="separate"/>
      </w:r>
      <w:r w:rsidR="0071604C">
        <w:rPr>
          <w:noProof/>
        </w:rPr>
        <w:t>3</w:t>
      </w:r>
      <w:r w:rsidR="00E17971" w:rsidRPr="000855B2">
        <w:rPr>
          <w:noProof/>
        </w:rPr>
        <w:fldChar w:fldCharType="end"/>
      </w:r>
      <w:r w:rsidRPr="000855B2">
        <w:noBreakHyphen/>
      </w:r>
      <w:r w:rsidR="00E17971" w:rsidRPr="000855B2">
        <w:fldChar w:fldCharType="begin"/>
      </w:r>
      <w:r w:rsidRPr="000855B2">
        <w:instrText xml:space="preserve"> SEQ Figure \* ARABIC \s 1 </w:instrText>
      </w:r>
      <w:r w:rsidR="00E17971" w:rsidRPr="000855B2">
        <w:fldChar w:fldCharType="separate"/>
      </w:r>
      <w:r w:rsidR="0071604C">
        <w:rPr>
          <w:noProof/>
        </w:rPr>
        <w:t>1</w:t>
      </w:r>
      <w:r w:rsidR="00E17971" w:rsidRPr="000855B2">
        <w:rPr>
          <w:noProof/>
        </w:rPr>
        <w:fldChar w:fldCharType="end"/>
      </w:r>
      <w:bookmarkEnd w:id="66"/>
      <w:r w:rsidR="004D13A5">
        <w:t xml:space="preserve">: </w:t>
      </w:r>
      <w:r w:rsidRPr="000855B2">
        <w:t>Decision tree for exhaust emissions from road transport</w:t>
      </w:r>
    </w:p>
    <w:p w14:paraId="2FDB6D34" w14:textId="77777777" w:rsidR="001D2587" w:rsidRPr="000855B2" w:rsidRDefault="009317C3" w:rsidP="00ED27AC">
      <w:pPr>
        <w:pStyle w:val="Figure"/>
        <w:rPr>
          <w:noProof/>
          <w:lang w:eastAsia="el-GR"/>
        </w:rPr>
      </w:pPr>
      <w:r w:rsidRPr="000855B2">
        <w:rPr>
          <w:szCs w:val="24"/>
          <w:lang w:eastAsia="el-GR"/>
        </w:rPr>
        <w:t xml:space="preserve"> </w:t>
      </w:r>
      <w:r w:rsidR="007E5273">
        <w:rPr>
          <w:noProof/>
          <w:lang w:val="en-US" w:eastAsia="en-US"/>
        </w:rPr>
        <w:drawing>
          <wp:inline distT="0" distB="0" distL="0" distR="0" wp14:anchorId="7175BB9E" wp14:editId="4CAB8AEB">
            <wp:extent cx="3868420" cy="509968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68420" cy="5099685"/>
                    </a:xfrm>
                    <a:prstGeom prst="rect">
                      <a:avLst/>
                    </a:prstGeom>
                    <a:noFill/>
                    <a:ln w="9525">
                      <a:noFill/>
                      <a:miter lim="800000"/>
                      <a:headEnd/>
                      <a:tailEnd/>
                    </a:ln>
                  </pic:spPr>
                </pic:pic>
              </a:graphicData>
            </a:graphic>
          </wp:inline>
        </w:drawing>
      </w:r>
    </w:p>
    <w:p w14:paraId="0FF92502" w14:textId="77777777" w:rsidR="00AC1E78" w:rsidRPr="000855B2" w:rsidRDefault="00AC1E78" w:rsidP="00AC1E78">
      <w:pPr>
        <w:pStyle w:val="Figure"/>
        <w:jc w:val="left"/>
      </w:pPr>
    </w:p>
    <w:p w14:paraId="640D6B48" w14:textId="77777777" w:rsidR="001D2587" w:rsidRPr="000855B2" w:rsidRDefault="001D2587" w:rsidP="00F516D0">
      <w:pPr>
        <w:pStyle w:val="Heading2"/>
      </w:pPr>
      <w:bookmarkStart w:id="67" w:name="_Ref197484263"/>
      <w:bookmarkStart w:id="68" w:name="_Toc200272611"/>
      <w:bookmarkStart w:id="69" w:name="_Toc482003898"/>
      <w:r w:rsidRPr="000855B2">
        <w:t xml:space="preserve">Tier 1 </w:t>
      </w:r>
      <w:r w:rsidR="0058677D" w:rsidRPr="000855B2">
        <w:t>method</w:t>
      </w:r>
      <w:bookmarkEnd w:id="67"/>
      <w:bookmarkEnd w:id="68"/>
      <w:bookmarkEnd w:id="69"/>
    </w:p>
    <w:p w14:paraId="71D993C7" w14:textId="77777777" w:rsidR="001D2587" w:rsidRPr="000855B2" w:rsidRDefault="001D2587" w:rsidP="00AC1E78">
      <w:pPr>
        <w:pStyle w:val="Heading3"/>
      </w:pPr>
      <w:r w:rsidRPr="000855B2">
        <w:t>Algorithm</w:t>
      </w:r>
    </w:p>
    <w:p w14:paraId="43072557" w14:textId="77777777" w:rsidR="001D2587" w:rsidRPr="000855B2" w:rsidRDefault="001D2587" w:rsidP="00CC108F">
      <w:pPr>
        <w:pStyle w:val="BodyText"/>
      </w:pPr>
      <w:r w:rsidRPr="000855B2">
        <w:t>The Tie</w:t>
      </w:r>
      <w:r w:rsidR="00D73F59" w:rsidRPr="000855B2">
        <w:t>r 1</w:t>
      </w:r>
      <w:r w:rsidRPr="000855B2">
        <w:t xml:space="preserve"> approach for </w:t>
      </w:r>
      <w:r w:rsidR="00943139" w:rsidRPr="000855B2">
        <w:t>exhaust emissions</w:t>
      </w:r>
      <w:r w:rsidRPr="000855B2">
        <w:t xml:space="preserve"> uses the </w:t>
      </w:r>
      <w:r w:rsidR="00943139" w:rsidRPr="000855B2">
        <w:t>following</w:t>
      </w:r>
      <w:r w:rsidR="008C317E" w:rsidRPr="000855B2">
        <w:t xml:space="preserve"> </w:t>
      </w:r>
      <w:r w:rsidRPr="000855B2">
        <w:t>general equation:</w:t>
      </w:r>
    </w:p>
    <w:p w14:paraId="043051C0" w14:textId="77777777" w:rsidR="001D2587" w:rsidRPr="000855B2" w:rsidRDefault="001D2587" w:rsidP="00674475">
      <w:pPr>
        <w:numPr>
          <w:ilvl w:val="12"/>
          <w:numId w:val="0"/>
        </w:numPr>
        <w:spacing w:line="240" w:lineRule="auto"/>
        <w:rPr>
          <w:lang w:val="en-GB"/>
        </w:rPr>
      </w:pPr>
    </w:p>
    <w:tbl>
      <w:tblPr>
        <w:tblW w:w="0" w:type="auto"/>
        <w:tblBorders>
          <w:insideH w:val="single" w:sz="4" w:space="0" w:color="auto"/>
        </w:tblBorders>
        <w:tblCellMar>
          <w:top w:w="57" w:type="dxa"/>
          <w:left w:w="85" w:type="dxa"/>
          <w:bottom w:w="57" w:type="dxa"/>
          <w:right w:w="85" w:type="dxa"/>
        </w:tblCellMar>
        <w:tblLook w:val="01E0" w:firstRow="1" w:lastRow="1" w:firstColumn="1" w:lastColumn="1" w:noHBand="0" w:noVBand="0"/>
      </w:tblPr>
      <w:tblGrid>
        <w:gridCol w:w="7715"/>
        <w:gridCol w:w="748"/>
      </w:tblGrid>
      <w:tr w:rsidR="001D2587" w:rsidRPr="000855B2" w14:paraId="2852AA87" w14:textId="77777777">
        <w:tc>
          <w:tcPr>
            <w:tcW w:w="8240" w:type="dxa"/>
            <w:tcMar>
              <w:left w:w="0" w:type="dxa"/>
              <w:right w:w="0" w:type="dxa"/>
            </w:tcMar>
            <w:vAlign w:val="center"/>
          </w:tcPr>
          <w:p w14:paraId="4CBCEFBE" w14:textId="77777777" w:rsidR="001D2587" w:rsidRPr="000855B2" w:rsidRDefault="001D2587">
            <w:pPr>
              <w:numPr>
                <w:ilvl w:val="12"/>
                <w:numId w:val="0"/>
              </w:numPr>
              <w:rPr>
                <w:lang w:val="en-GB"/>
              </w:rPr>
            </w:pPr>
            <w:r w:rsidRPr="000855B2">
              <w:rPr>
                <w:lang w:val="en-GB"/>
              </w:rPr>
              <w:t>E</w:t>
            </w:r>
            <w:r w:rsidR="009E2FC4" w:rsidRPr="000855B2">
              <w:rPr>
                <w:vertAlign w:val="subscript"/>
                <w:lang w:val="en-GB"/>
              </w:rPr>
              <w:t>i</w:t>
            </w:r>
            <w:r w:rsidRPr="000855B2">
              <w:rPr>
                <w:lang w:val="en-GB"/>
              </w:rPr>
              <w:t xml:space="preserve"> = </w:t>
            </w:r>
            <w:r w:rsidRPr="000855B2">
              <w:rPr>
                <w:sz w:val="32"/>
                <w:lang w:val="en-GB"/>
              </w:rPr>
              <w:sym w:font="Symbol" w:char="F053"/>
            </w:r>
            <w:r w:rsidR="009E2FC4" w:rsidRPr="000855B2">
              <w:rPr>
                <w:vertAlign w:val="subscript"/>
                <w:lang w:val="en-GB"/>
              </w:rPr>
              <w:t>j</w:t>
            </w:r>
            <w:r w:rsidR="00E357C4" w:rsidRPr="000855B2">
              <w:rPr>
                <w:sz w:val="32"/>
                <w:lang w:val="en-GB"/>
              </w:rPr>
              <w:t xml:space="preserve"> (</w:t>
            </w:r>
            <w:r w:rsidR="00E357C4" w:rsidRPr="000855B2">
              <w:rPr>
                <w:sz w:val="32"/>
                <w:lang w:val="en-GB"/>
              </w:rPr>
              <w:sym w:font="Symbol" w:char="F053"/>
            </w:r>
            <w:r w:rsidR="009E2FC4" w:rsidRPr="000855B2">
              <w:rPr>
                <w:vertAlign w:val="subscript"/>
                <w:lang w:val="en-GB"/>
              </w:rPr>
              <w:t>m</w:t>
            </w:r>
            <w:r w:rsidR="00E357C4" w:rsidRPr="000855B2">
              <w:rPr>
                <w:lang w:val="en-GB"/>
              </w:rPr>
              <w:t xml:space="preserve"> </w:t>
            </w:r>
            <w:r w:rsidRPr="000855B2">
              <w:rPr>
                <w:lang w:val="en-GB"/>
              </w:rPr>
              <w:t>(FC</w:t>
            </w:r>
            <w:r w:rsidR="00E357C4" w:rsidRPr="000855B2">
              <w:rPr>
                <w:vertAlign w:val="subscript"/>
                <w:lang w:val="en-GB"/>
              </w:rPr>
              <w:t>j</w:t>
            </w:r>
            <w:r w:rsidR="009E2FC4" w:rsidRPr="000855B2">
              <w:rPr>
                <w:vertAlign w:val="subscript"/>
                <w:lang w:val="en-GB"/>
              </w:rPr>
              <w:t>,</w:t>
            </w:r>
            <w:r w:rsidRPr="000855B2">
              <w:rPr>
                <w:vertAlign w:val="subscript"/>
                <w:lang w:val="en-GB"/>
              </w:rPr>
              <w:t>m</w:t>
            </w:r>
            <w:r w:rsidRPr="000855B2">
              <w:rPr>
                <w:lang w:val="en-GB"/>
              </w:rPr>
              <w:t xml:space="preserve"> </w:t>
            </w:r>
            <w:r w:rsidRPr="000855B2">
              <w:rPr>
                <w:lang w:val="en-GB"/>
              </w:rPr>
              <w:sym w:font="Symbol" w:char="F0B4"/>
            </w:r>
            <w:r w:rsidRPr="000855B2">
              <w:rPr>
                <w:lang w:val="en-GB"/>
              </w:rPr>
              <w:t xml:space="preserve"> EF</w:t>
            </w:r>
            <w:r w:rsidRPr="000855B2">
              <w:rPr>
                <w:vertAlign w:val="subscript"/>
                <w:lang w:val="en-GB"/>
              </w:rPr>
              <w:t>i,</w:t>
            </w:r>
            <w:r w:rsidR="009E2FC4" w:rsidRPr="000855B2">
              <w:rPr>
                <w:vertAlign w:val="subscript"/>
                <w:lang w:val="en-GB"/>
              </w:rPr>
              <w:t>j</w:t>
            </w:r>
            <w:r w:rsidRPr="000855B2">
              <w:rPr>
                <w:vertAlign w:val="subscript"/>
                <w:lang w:val="en-GB"/>
              </w:rPr>
              <w:t>,m</w:t>
            </w:r>
            <w:r w:rsidRPr="000855B2">
              <w:rPr>
                <w:lang w:val="en-GB"/>
              </w:rPr>
              <w:t>)</w:t>
            </w:r>
            <w:r w:rsidR="00E357C4" w:rsidRPr="000855B2">
              <w:rPr>
                <w:sz w:val="32"/>
                <w:szCs w:val="32"/>
                <w:lang w:val="en-GB"/>
              </w:rPr>
              <w:t>)</w:t>
            </w:r>
          </w:p>
        </w:tc>
        <w:tc>
          <w:tcPr>
            <w:tcW w:w="787" w:type="dxa"/>
            <w:tcMar>
              <w:left w:w="0" w:type="dxa"/>
              <w:right w:w="0" w:type="dxa"/>
            </w:tcMar>
            <w:vAlign w:val="center"/>
          </w:tcPr>
          <w:p w14:paraId="07462052" w14:textId="4EDEA1B3" w:rsidR="001D2587" w:rsidRPr="000855B2" w:rsidRDefault="001D2587">
            <w:pPr>
              <w:numPr>
                <w:ilvl w:val="12"/>
                <w:numId w:val="0"/>
              </w:numPr>
              <w:jc w:val="center"/>
              <w:rPr>
                <w:lang w:val="en-GB"/>
              </w:rPr>
            </w:pPr>
            <w:bookmarkStart w:id="70" w:name="_Ref201987592"/>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w:t>
            </w:r>
            <w:r w:rsidR="00E17971">
              <w:rPr>
                <w:lang w:val="en-GB"/>
              </w:rPr>
              <w:fldChar w:fldCharType="end"/>
            </w:r>
            <w:r w:rsidRPr="000855B2">
              <w:rPr>
                <w:lang w:val="en-GB"/>
              </w:rPr>
              <w:t>)</w:t>
            </w:r>
            <w:bookmarkEnd w:id="70"/>
          </w:p>
        </w:tc>
      </w:tr>
    </w:tbl>
    <w:p w14:paraId="0664D47D" w14:textId="77777777" w:rsidR="00943139" w:rsidRPr="000855B2" w:rsidRDefault="00943139">
      <w:pPr>
        <w:numPr>
          <w:ilvl w:val="12"/>
          <w:numId w:val="0"/>
        </w:numPr>
        <w:rPr>
          <w:lang w:val="en-GB"/>
        </w:rPr>
      </w:pPr>
    </w:p>
    <w:p w14:paraId="653871E9" w14:textId="77777777" w:rsidR="001D2587" w:rsidRPr="000855B2" w:rsidRDefault="00943139" w:rsidP="00CC108F">
      <w:pPr>
        <w:numPr>
          <w:ilvl w:val="12"/>
          <w:numId w:val="0"/>
        </w:numPr>
        <w:rPr>
          <w:lang w:val="en-GB"/>
        </w:rPr>
      </w:pPr>
      <w:r w:rsidRPr="000855B2">
        <w:rPr>
          <w:lang w:val="en-GB"/>
        </w:rPr>
        <w:t>W</w:t>
      </w:r>
      <w:r w:rsidR="001D2587" w:rsidRPr="000855B2">
        <w:rPr>
          <w:lang w:val="en-GB"/>
        </w:rPr>
        <w:t>here</w:t>
      </w:r>
      <w:r w:rsidRPr="000855B2">
        <w:rPr>
          <w:lang w:val="en-GB"/>
        </w:rPr>
        <w:t>:</w:t>
      </w:r>
    </w:p>
    <w:p w14:paraId="4176E1D1" w14:textId="77777777" w:rsidR="00943139" w:rsidRPr="000855B2" w:rsidRDefault="00943139" w:rsidP="00CC108F">
      <w:pPr>
        <w:numPr>
          <w:ilvl w:val="12"/>
          <w:numId w:val="0"/>
        </w:numPr>
        <w:rPr>
          <w:lang w:val="en-GB"/>
        </w:rPr>
      </w:pPr>
    </w:p>
    <w:p w14:paraId="08C1F788" w14:textId="77777777" w:rsidR="001D2587" w:rsidRPr="000855B2" w:rsidRDefault="001D2587" w:rsidP="00CC108F">
      <w:pPr>
        <w:numPr>
          <w:ilvl w:val="12"/>
          <w:numId w:val="0"/>
        </w:numPr>
        <w:tabs>
          <w:tab w:val="left" w:pos="1080"/>
          <w:tab w:val="left" w:pos="1440"/>
        </w:tabs>
        <w:spacing w:after="120" w:line="320" w:lineRule="atLeast"/>
        <w:ind w:left="357"/>
        <w:rPr>
          <w:lang w:val="en-GB"/>
        </w:rPr>
      </w:pPr>
      <w:r w:rsidRPr="000855B2">
        <w:rPr>
          <w:lang w:val="en-GB"/>
        </w:rPr>
        <w:t>E</w:t>
      </w:r>
      <w:r w:rsidRPr="000855B2">
        <w:rPr>
          <w:vertAlign w:val="subscript"/>
          <w:lang w:val="en-GB"/>
        </w:rPr>
        <w:t>i</w:t>
      </w:r>
      <w:r w:rsidRPr="000855B2">
        <w:rPr>
          <w:lang w:val="en-GB"/>
        </w:rPr>
        <w:tab/>
      </w:r>
      <w:r w:rsidR="00E357C4" w:rsidRPr="000855B2">
        <w:rPr>
          <w:lang w:val="en-GB"/>
        </w:rPr>
        <w:tab/>
      </w:r>
      <w:r w:rsidR="00943139" w:rsidRPr="000855B2">
        <w:rPr>
          <w:lang w:val="en-GB"/>
        </w:rPr>
        <w:t>=</w:t>
      </w:r>
      <w:r w:rsidR="00943139" w:rsidRPr="000855B2">
        <w:rPr>
          <w:lang w:val="en-GB"/>
        </w:rPr>
        <w:tab/>
      </w:r>
      <w:r w:rsidR="005A61D9" w:rsidRPr="000855B2">
        <w:rPr>
          <w:lang w:val="en-GB"/>
        </w:rPr>
        <w:t>e</w:t>
      </w:r>
      <w:r w:rsidR="00E357C4" w:rsidRPr="000855B2">
        <w:rPr>
          <w:lang w:val="en-GB"/>
        </w:rPr>
        <w:t>mission of pollutant i</w:t>
      </w:r>
      <w:r w:rsidR="00943139" w:rsidRPr="000855B2">
        <w:rPr>
          <w:lang w:val="en-GB"/>
        </w:rPr>
        <w:t xml:space="preserve"> </w:t>
      </w:r>
      <w:r w:rsidRPr="000855B2">
        <w:rPr>
          <w:lang w:val="en-GB"/>
        </w:rPr>
        <w:t>[g]</w:t>
      </w:r>
      <w:r w:rsidR="005A61D9" w:rsidRPr="000855B2">
        <w:rPr>
          <w:lang w:val="en-GB"/>
        </w:rPr>
        <w:t>,</w:t>
      </w:r>
    </w:p>
    <w:p w14:paraId="1441BF67" w14:textId="77777777" w:rsidR="001D2587" w:rsidRPr="000855B2" w:rsidRDefault="001D2587" w:rsidP="00CC108F">
      <w:pPr>
        <w:numPr>
          <w:ilvl w:val="12"/>
          <w:numId w:val="0"/>
        </w:numPr>
        <w:tabs>
          <w:tab w:val="left" w:pos="1080"/>
          <w:tab w:val="left" w:pos="1440"/>
        </w:tabs>
        <w:spacing w:after="120" w:line="320" w:lineRule="atLeast"/>
        <w:ind w:left="357"/>
        <w:rPr>
          <w:lang w:val="en-GB"/>
        </w:rPr>
      </w:pPr>
      <w:r w:rsidRPr="000855B2">
        <w:rPr>
          <w:lang w:val="en-GB"/>
        </w:rPr>
        <w:t>FC</w:t>
      </w:r>
      <w:r w:rsidR="009E2FC4" w:rsidRPr="000855B2">
        <w:rPr>
          <w:vertAlign w:val="subscript"/>
          <w:lang w:val="en-GB"/>
        </w:rPr>
        <w:t>j</w:t>
      </w:r>
      <w:r w:rsidR="00943139" w:rsidRPr="000855B2">
        <w:rPr>
          <w:vertAlign w:val="subscript"/>
          <w:lang w:val="en-GB"/>
        </w:rPr>
        <w:t>,m</w:t>
      </w:r>
      <w:r w:rsidR="00943139" w:rsidRPr="000855B2">
        <w:rPr>
          <w:vertAlign w:val="subscript"/>
          <w:lang w:val="en-GB"/>
        </w:rPr>
        <w:tab/>
      </w:r>
      <w:r w:rsidR="00E357C4" w:rsidRPr="000855B2">
        <w:rPr>
          <w:vertAlign w:val="subscript"/>
          <w:lang w:val="en-GB"/>
        </w:rPr>
        <w:tab/>
      </w:r>
      <w:r w:rsidR="00943139" w:rsidRPr="000855B2">
        <w:rPr>
          <w:lang w:val="en-GB"/>
        </w:rPr>
        <w:t>=</w:t>
      </w:r>
      <w:r w:rsidR="00943139" w:rsidRPr="000855B2">
        <w:rPr>
          <w:lang w:val="en-GB"/>
        </w:rPr>
        <w:tab/>
      </w:r>
      <w:r w:rsidR="005A61D9" w:rsidRPr="000855B2">
        <w:rPr>
          <w:lang w:val="en-GB"/>
        </w:rPr>
        <w:t>f</w:t>
      </w:r>
      <w:r w:rsidRPr="000855B2">
        <w:rPr>
          <w:lang w:val="en-GB"/>
        </w:rPr>
        <w:t>uel c</w:t>
      </w:r>
      <w:r w:rsidR="00E357C4" w:rsidRPr="000855B2">
        <w:rPr>
          <w:lang w:val="en-GB"/>
        </w:rPr>
        <w:t>onsumption of vehicle category j</w:t>
      </w:r>
      <w:r w:rsidRPr="000855B2">
        <w:rPr>
          <w:lang w:val="en-GB"/>
        </w:rPr>
        <w:t xml:space="preserve"> </w:t>
      </w:r>
      <w:r w:rsidR="00943139" w:rsidRPr="000855B2">
        <w:rPr>
          <w:lang w:val="en-GB"/>
        </w:rPr>
        <w:t xml:space="preserve">using fuel m </w:t>
      </w:r>
      <w:r w:rsidRPr="000855B2">
        <w:rPr>
          <w:lang w:val="en-GB"/>
        </w:rPr>
        <w:t>[kg]</w:t>
      </w:r>
      <w:r w:rsidR="005A61D9" w:rsidRPr="000855B2">
        <w:rPr>
          <w:lang w:val="en-GB"/>
        </w:rPr>
        <w:t>,</w:t>
      </w:r>
    </w:p>
    <w:p w14:paraId="39587F3A" w14:textId="77777777" w:rsidR="001D2587" w:rsidRPr="000855B2" w:rsidRDefault="001D2587" w:rsidP="00CC108F">
      <w:pPr>
        <w:numPr>
          <w:ilvl w:val="12"/>
          <w:numId w:val="0"/>
        </w:numPr>
        <w:tabs>
          <w:tab w:val="left" w:pos="1080"/>
          <w:tab w:val="left" w:pos="1440"/>
        </w:tabs>
        <w:spacing w:after="120" w:line="320" w:lineRule="atLeast"/>
        <w:ind w:left="357"/>
        <w:rPr>
          <w:lang w:val="en-GB"/>
        </w:rPr>
      </w:pPr>
      <w:r w:rsidRPr="000855B2">
        <w:rPr>
          <w:lang w:val="en-GB"/>
        </w:rPr>
        <w:lastRenderedPageBreak/>
        <w:t>EF</w:t>
      </w:r>
      <w:r w:rsidRPr="000855B2">
        <w:rPr>
          <w:vertAlign w:val="subscript"/>
          <w:lang w:val="en-GB"/>
        </w:rPr>
        <w:t>i,</w:t>
      </w:r>
      <w:r w:rsidR="009E2FC4" w:rsidRPr="000855B2">
        <w:rPr>
          <w:vertAlign w:val="subscript"/>
          <w:lang w:val="en-GB"/>
        </w:rPr>
        <w:t>j</w:t>
      </w:r>
      <w:r w:rsidR="00943139" w:rsidRPr="000855B2">
        <w:rPr>
          <w:vertAlign w:val="subscript"/>
          <w:lang w:val="en-GB"/>
        </w:rPr>
        <w:t>,m</w:t>
      </w:r>
      <w:r w:rsidR="00943139" w:rsidRPr="000855B2">
        <w:rPr>
          <w:vertAlign w:val="subscript"/>
          <w:lang w:val="en-GB"/>
        </w:rPr>
        <w:tab/>
      </w:r>
      <w:r w:rsidR="009E2FC4" w:rsidRPr="000855B2">
        <w:rPr>
          <w:vertAlign w:val="subscript"/>
          <w:lang w:val="en-GB"/>
        </w:rPr>
        <w:tab/>
      </w:r>
      <w:r w:rsidR="00943139" w:rsidRPr="000855B2">
        <w:rPr>
          <w:lang w:val="en-GB"/>
        </w:rPr>
        <w:t>=</w:t>
      </w:r>
      <w:r w:rsidR="00943139" w:rsidRPr="000855B2">
        <w:rPr>
          <w:lang w:val="en-GB"/>
        </w:rPr>
        <w:tab/>
      </w:r>
      <w:r w:rsidR="005A61D9" w:rsidRPr="000855B2">
        <w:rPr>
          <w:lang w:val="en-GB"/>
        </w:rPr>
        <w:t>f</w:t>
      </w:r>
      <w:r w:rsidRPr="000855B2">
        <w:rPr>
          <w:lang w:val="en-GB"/>
        </w:rPr>
        <w:t>uel consumption</w:t>
      </w:r>
      <w:r w:rsidR="00943139" w:rsidRPr="000855B2">
        <w:rPr>
          <w:lang w:val="en-GB"/>
        </w:rPr>
        <w:t>-</w:t>
      </w:r>
      <w:r w:rsidRPr="000855B2">
        <w:rPr>
          <w:lang w:val="en-GB"/>
        </w:rPr>
        <w:t xml:space="preserve">specific emission factor of pollutant i for vehicle </w:t>
      </w:r>
      <w:r w:rsidR="00E357C4" w:rsidRPr="000855B2">
        <w:rPr>
          <w:lang w:val="en-GB"/>
        </w:rPr>
        <w:br/>
        <w:t xml:space="preserve"> </w:t>
      </w:r>
      <w:r w:rsidR="00E357C4" w:rsidRPr="000855B2">
        <w:rPr>
          <w:lang w:val="en-GB"/>
        </w:rPr>
        <w:tab/>
      </w:r>
      <w:r w:rsidR="00E357C4" w:rsidRPr="000855B2">
        <w:rPr>
          <w:lang w:val="en-GB"/>
        </w:rPr>
        <w:tab/>
      </w:r>
      <w:r w:rsidR="00E357C4" w:rsidRPr="000855B2">
        <w:rPr>
          <w:lang w:val="en-GB"/>
        </w:rPr>
        <w:tab/>
        <w:t>category j</w:t>
      </w:r>
      <w:r w:rsidRPr="000855B2">
        <w:rPr>
          <w:lang w:val="en-GB"/>
        </w:rPr>
        <w:t xml:space="preserve"> </w:t>
      </w:r>
      <w:r w:rsidR="00943139" w:rsidRPr="000855B2">
        <w:rPr>
          <w:lang w:val="en-GB"/>
        </w:rPr>
        <w:t xml:space="preserve">and fuel m </w:t>
      </w:r>
      <w:r w:rsidRPr="000855B2">
        <w:rPr>
          <w:lang w:val="en-GB"/>
        </w:rPr>
        <w:t>[g/kg].</w:t>
      </w:r>
    </w:p>
    <w:p w14:paraId="13159F60" w14:textId="77777777" w:rsidR="001D2587" w:rsidRPr="000855B2" w:rsidRDefault="008C317E" w:rsidP="00CC108F">
      <w:pPr>
        <w:numPr>
          <w:ilvl w:val="12"/>
          <w:numId w:val="0"/>
        </w:numPr>
        <w:tabs>
          <w:tab w:val="left" w:pos="1080"/>
          <w:tab w:val="left" w:pos="1440"/>
        </w:tabs>
        <w:spacing w:before="240" w:after="120" w:line="240" w:lineRule="auto"/>
        <w:rPr>
          <w:lang w:val="en-GB"/>
        </w:rPr>
      </w:pPr>
      <w:r w:rsidRPr="000855B2">
        <w:rPr>
          <w:lang w:val="en-GB"/>
        </w:rPr>
        <w:t>The v</w:t>
      </w:r>
      <w:r w:rsidR="001D2587" w:rsidRPr="000855B2">
        <w:rPr>
          <w:lang w:val="en-GB"/>
        </w:rPr>
        <w:t xml:space="preserve">ehicle categories </w:t>
      </w:r>
      <w:r w:rsidRPr="000855B2">
        <w:rPr>
          <w:lang w:val="en-GB"/>
        </w:rPr>
        <w:t xml:space="preserve">to be considered are </w:t>
      </w:r>
      <w:r w:rsidR="001D2587" w:rsidRPr="000855B2">
        <w:rPr>
          <w:lang w:val="en-GB"/>
        </w:rPr>
        <w:t xml:space="preserve">passenger cars, </w:t>
      </w:r>
      <w:r w:rsidR="00CF67A4" w:rsidRPr="000855B2">
        <w:rPr>
          <w:lang w:val="en-GB"/>
        </w:rPr>
        <w:t>light commercial</w:t>
      </w:r>
      <w:r w:rsidR="001D2587" w:rsidRPr="000855B2">
        <w:rPr>
          <w:lang w:val="en-GB"/>
        </w:rPr>
        <w:t xml:space="preserve"> vehicles, heavy</w:t>
      </w:r>
      <w:r w:rsidR="006F1553" w:rsidRPr="000855B2">
        <w:rPr>
          <w:lang w:val="en-GB"/>
        </w:rPr>
        <w:t>-</w:t>
      </w:r>
      <w:r w:rsidR="001D2587" w:rsidRPr="000855B2">
        <w:rPr>
          <w:lang w:val="en-GB"/>
        </w:rPr>
        <w:t>duty vehicles</w:t>
      </w:r>
      <w:r w:rsidRPr="000855B2">
        <w:rPr>
          <w:lang w:val="en-GB"/>
        </w:rPr>
        <w:t>,</w:t>
      </w:r>
      <w:r w:rsidR="001D2587" w:rsidRPr="000855B2">
        <w:rPr>
          <w:lang w:val="en-GB"/>
        </w:rPr>
        <w:t xml:space="preserve"> motorcycles and mopeds</w:t>
      </w:r>
      <w:r w:rsidRPr="000855B2">
        <w:rPr>
          <w:lang w:val="en-GB"/>
        </w:rPr>
        <w:t>.</w:t>
      </w:r>
      <w:r w:rsidR="00E357C4" w:rsidRPr="000855B2">
        <w:rPr>
          <w:lang w:val="en-GB"/>
        </w:rPr>
        <w:t xml:space="preserve"> </w:t>
      </w:r>
      <w:r w:rsidRPr="000855B2">
        <w:rPr>
          <w:lang w:val="en-GB"/>
        </w:rPr>
        <w:t>T</w:t>
      </w:r>
      <w:r w:rsidR="001D2587" w:rsidRPr="000855B2">
        <w:rPr>
          <w:lang w:val="en-GB"/>
        </w:rPr>
        <w:t xml:space="preserve">he fuels to be considered include </w:t>
      </w:r>
      <w:r w:rsidR="005E4DC4">
        <w:rPr>
          <w:lang w:val="en-GB"/>
        </w:rPr>
        <w:t>petrol</w:t>
      </w:r>
      <w:r w:rsidR="001D2587" w:rsidRPr="000855B2">
        <w:rPr>
          <w:lang w:val="en-GB"/>
        </w:rPr>
        <w:t xml:space="preserve">, diesel, LPG and natural gas. </w:t>
      </w:r>
    </w:p>
    <w:p w14:paraId="3F8FEE68" w14:textId="4874F108" w:rsidR="007303A3" w:rsidRPr="000855B2" w:rsidRDefault="001D2587" w:rsidP="00CC108F">
      <w:pPr>
        <w:pStyle w:val="BodyText"/>
      </w:pPr>
      <w:r w:rsidRPr="000855B2">
        <w:t>This equation requires the fuel consumption/sales statistics to be split by vehicle category</w:t>
      </w:r>
      <w:r w:rsidR="003930A6" w:rsidRPr="000855B2">
        <w:t>,</w:t>
      </w:r>
      <w:r w:rsidRPr="000855B2">
        <w:t xml:space="preserve"> as national statistics do not provide vehicle category details. Guidance on splitting fuel consumption/sales for </w:t>
      </w:r>
      <w:r w:rsidR="004C5668" w:rsidRPr="000855B2">
        <w:t>T</w:t>
      </w:r>
      <w:r w:rsidRPr="000855B2">
        <w:t>ie</w:t>
      </w:r>
      <w:r w:rsidR="00D73F59" w:rsidRPr="000855B2">
        <w:t>r 1</w:t>
      </w:r>
      <w:r w:rsidRPr="000855B2">
        <w:t xml:space="preserve"> is provided in </w:t>
      </w:r>
      <w:r w:rsidR="005A61D9" w:rsidRPr="000855B2">
        <w:t>sub</w:t>
      </w:r>
      <w:r w:rsidRPr="000855B2">
        <w:t xml:space="preserve">section </w:t>
      </w:r>
      <w:r w:rsidR="00FB454C">
        <w:fldChar w:fldCharType="begin"/>
      </w:r>
      <w:r w:rsidR="00FB454C">
        <w:instrText xml:space="preserve"> REF _Ref197836220 \r \h  \* MERGEFORMAT </w:instrText>
      </w:r>
      <w:r w:rsidR="00FB454C">
        <w:fldChar w:fldCharType="separate"/>
      </w:r>
      <w:r w:rsidR="0071604C">
        <w:t>3.2.3</w:t>
      </w:r>
      <w:r w:rsidR="00FB454C">
        <w:fldChar w:fldCharType="end"/>
      </w:r>
      <w:r w:rsidRPr="000855B2">
        <w:t>.</w:t>
      </w:r>
    </w:p>
    <w:p w14:paraId="0FB9DF08" w14:textId="77777777" w:rsidR="001D2587" w:rsidRPr="009B003D" w:rsidRDefault="008451A3" w:rsidP="00AC1E78">
      <w:pPr>
        <w:pStyle w:val="Heading3"/>
      </w:pPr>
      <w:r w:rsidRPr="009B003D">
        <w:t>Tier 1 emission factors</w:t>
      </w:r>
    </w:p>
    <w:p w14:paraId="68ADE1D0" w14:textId="1B10995F" w:rsidR="001D2587" w:rsidRPr="000855B2" w:rsidRDefault="003930A6" w:rsidP="00CC108F">
      <w:pPr>
        <w:pStyle w:val="BodyText"/>
      </w:pPr>
      <w:r w:rsidRPr="000855B2">
        <w:t xml:space="preserve">The </w:t>
      </w:r>
      <w:r w:rsidR="001D2587" w:rsidRPr="000855B2">
        <w:t>Tie</w:t>
      </w:r>
      <w:r w:rsidR="00D73F59" w:rsidRPr="000855B2">
        <w:t>r 1</w:t>
      </w:r>
      <w:r w:rsidR="001D2587" w:rsidRPr="000855B2">
        <w:t xml:space="preserve"> emission factors (EF</w:t>
      </w:r>
      <w:r w:rsidR="001D2587" w:rsidRPr="000855B2">
        <w:rPr>
          <w:vertAlign w:val="subscript"/>
        </w:rPr>
        <w:t>i,</w:t>
      </w:r>
      <w:r w:rsidR="009E2FC4" w:rsidRPr="000855B2">
        <w:rPr>
          <w:vertAlign w:val="subscript"/>
        </w:rPr>
        <w:t>j</w:t>
      </w:r>
      <w:r w:rsidRPr="000855B2">
        <w:rPr>
          <w:vertAlign w:val="subscript"/>
        </w:rPr>
        <w:t>,m</w:t>
      </w:r>
      <w:r w:rsidR="001D2587" w:rsidRPr="000855B2">
        <w:t xml:space="preserve">) have been calculated based on the </w:t>
      </w:r>
      <w:r w:rsidRPr="000855B2">
        <w:t>T</w:t>
      </w:r>
      <w:r w:rsidR="001D2587" w:rsidRPr="000855B2">
        <w:t>ie</w:t>
      </w:r>
      <w:r w:rsidR="00E0302E" w:rsidRPr="000855B2">
        <w:t>r 3</w:t>
      </w:r>
      <w:r w:rsidR="001D2587" w:rsidRPr="000855B2">
        <w:t xml:space="preserve"> method</w:t>
      </w:r>
      <w:r w:rsidRPr="000855B2">
        <w:t>,</w:t>
      </w:r>
      <w:r w:rsidR="001D2587" w:rsidRPr="000855B2">
        <w:t xml:space="preserve"> assuming a typical EU</w:t>
      </w:r>
      <w:r w:rsidRPr="000855B2">
        <w:t>-</w:t>
      </w:r>
      <w:r w:rsidR="001D2587" w:rsidRPr="000855B2">
        <w:t>15 fleet and activity data for 1995</w:t>
      </w:r>
      <w:r w:rsidRPr="000855B2">
        <w:t>,</w:t>
      </w:r>
      <w:r w:rsidR="001D2587" w:rsidRPr="000855B2">
        <w:t xml:space="preserve"> taken from </w:t>
      </w:r>
      <w:hyperlink r:id="rId13" w:history="1">
        <w:r w:rsidR="00B02A77" w:rsidRPr="000855B2">
          <w:rPr>
            <w:rStyle w:val="Hyperlink"/>
          </w:rPr>
          <w:t>EC4MACS</w:t>
        </w:r>
      </w:hyperlink>
      <w:r w:rsidR="00B02A77" w:rsidRPr="000855B2">
        <w:t xml:space="preserve"> – www.ec4macs.eu</w:t>
      </w:r>
      <w:r w:rsidR="00E357C4" w:rsidRPr="000855B2">
        <w:t>)</w:t>
      </w:r>
      <w:r w:rsidRPr="000855B2">
        <w:t>,</w:t>
      </w:r>
      <w:r w:rsidR="001D2587" w:rsidRPr="000855B2">
        <w:t xml:space="preserve"> so as to be applicable to </w:t>
      </w:r>
      <w:r w:rsidRPr="000855B2">
        <w:t>c</w:t>
      </w:r>
      <w:r w:rsidR="001D2587" w:rsidRPr="000855B2">
        <w:t>ountrie</w:t>
      </w:r>
      <w:r w:rsidRPr="000855B2">
        <w:t>s</w:t>
      </w:r>
      <w:r w:rsidR="00E357C4" w:rsidRPr="000855B2">
        <w:t xml:space="preserve"> with older vehicle fleets.</w:t>
      </w:r>
      <w:r w:rsidR="00774D7F" w:rsidRPr="000855B2">
        <w:t xml:space="preserve"> The emission factors are given in </w:t>
      </w:r>
      <w:r w:rsidR="00E17971">
        <w:fldChar w:fldCharType="begin"/>
      </w:r>
      <w:r w:rsidR="00D713F1">
        <w:instrText xml:space="preserve"> REF _Ref467604762 \h </w:instrText>
      </w:r>
      <w:r w:rsidR="00E17971">
        <w:fldChar w:fldCharType="separate"/>
      </w:r>
      <w:r w:rsidR="0071604C" w:rsidRPr="000855B2">
        <w:t>Table </w:t>
      </w:r>
      <w:r w:rsidR="0071604C">
        <w:rPr>
          <w:noProof/>
        </w:rPr>
        <w:t>3</w:t>
      </w:r>
      <w:r w:rsidR="0071604C">
        <w:t>.</w:t>
      </w:r>
      <w:r w:rsidR="0071604C">
        <w:rPr>
          <w:noProof/>
        </w:rPr>
        <w:t>5</w:t>
      </w:r>
      <w:r w:rsidR="00E17971">
        <w:fldChar w:fldCharType="end"/>
      </w:r>
      <w:r w:rsidR="00774D7F" w:rsidRPr="000855B2">
        <w:t xml:space="preserve"> to</w:t>
      </w:r>
      <w:r w:rsidR="00BF2F38" w:rsidRPr="000855B2">
        <w:t xml:space="preserve"> </w:t>
      </w:r>
      <w:r w:rsidR="00FB454C">
        <w:fldChar w:fldCharType="begin"/>
      </w:r>
      <w:r w:rsidR="00FB454C">
        <w:instrText xml:space="preserve"> REF _Ref201722158 \h  \* MERGEFORMAT </w:instrText>
      </w:r>
      <w:r w:rsidR="00FB454C">
        <w:fldChar w:fldCharType="separate"/>
      </w:r>
      <w:r w:rsidR="0071604C" w:rsidRPr="000855B2">
        <w:t>Table </w:t>
      </w:r>
      <w:r w:rsidR="0071604C">
        <w:t>3.12</w:t>
      </w:r>
      <w:r w:rsidR="00FB454C">
        <w:fldChar w:fldCharType="end"/>
      </w:r>
      <w:r w:rsidR="00774D7F" w:rsidRPr="000855B2">
        <w:t>.</w:t>
      </w:r>
      <w:r w:rsidR="006F72DF" w:rsidRPr="000855B2">
        <w:t xml:space="preserve"> The lead emission factors originate from the Danish heavy metal inventory by Winther and Slentø (2010)</w:t>
      </w:r>
      <w:r w:rsidR="00BF2F38" w:rsidRPr="000855B2">
        <w:t xml:space="preserve">. </w:t>
      </w:r>
    </w:p>
    <w:p w14:paraId="71BCD355" w14:textId="77777777" w:rsidR="001D2587" w:rsidRPr="000855B2" w:rsidRDefault="001D2587" w:rsidP="00CC108F">
      <w:pPr>
        <w:pStyle w:val="BodyText"/>
      </w:pPr>
      <w:r w:rsidRPr="000855B2">
        <w:t>However, a consequence of this approach, in the context of the legislative emission requirements for more modern vehicles, is that the Tie</w:t>
      </w:r>
      <w:r w:rsidR="00D73F59" w:rsidRPr="000855B2">
        <w:t>r 1</w:t>
      </w:r>
      <w:r w:rsidRPr="000855B2">
        <w:t xml:space="preserve"> emission factors will give somewhat higher emission values than a Tie</w:t>
      </w:r>
      <w:r w:rsidR="00E0302E" w:rsidRPr="000855B2">
        <w:t>r 2</w:t>
      </w:r>
      <w:r w:rsidRPr="000855B2">
        <w:t xml:space="preserve"> or 3 methodology for countries whose fleet comprises vehicles which comply with more recent (</w:t>
      </w:r>
      <w:r w:rsidR="00D205E2" w:rsidRPr="000855B2">
        <w:t>i.e</w:t>
      </w:r>
      <w:r w:rsidRPr="000855B2">
        <w:t xml:space="preserve">. </w:t>
      </w:r>
      <w:r w:rsidR="008D1415" w:rsidRPr="000855B2">
        <w:t>Euro </w:t>
      </w:r>
      <w:r w:rsidRPr="000855B2">
        <w:t xml:space="preserve">2 / </w:t>
      </w:r>
      <w:r w:rsidR="008D1415" w:rsidRPr="000855B2">
        <w:t>Euro </w:t>
      </w:r>
      <w:r w:rsidRPr="000855B2">
        <w:t>II and later) emission standards.</w:t>
      </w:r>
    </w:p>
    <w:p w14:paraId="74045DDC" w14:textId="5CD18BF3" w:rsidR="00652B4E" w:rsidRPr="000855B2" w:rsidRDefault="001A7497" w:rsidP="006C572F">
      <w:pPr>
        <w:pStyle w:val="BodyText"/>
      </w:pPr>
      <w:r w:rsidRPr="000855B2">
        <w:t xml:space="preserve">In </w:t>
      </w:r>
      <w:r w:rsidR="00E17971">
        <w:fldChar w:fldCharType="begin"/>
      </w:r>
      <w:r w:rsidR="00D713F1">
        <w:instrText xml:space="preserve"> REF _Ref467604762 \h </w:instrText>
      </w:r>
      <w:r w:rsidR="00E17971">
        <w:fldChar w:fldCharType="separate"/>
      </w:r>
      <w:r w:rsidR="0071604C" w:rsidRPr="000855B2">
        <w:t>Table </w:t>
      </w:r>
      <w:r w:rsidR="0071604C">
        <w:rPr>
          <w:noProof/>
        </w:rPr>
        <w:t>3</w:t>
      </w:r>
      <w:r w:rsidR="0071604C">
        <w:t>.</w:t>
      </w:r>
      <w:r w:rsidR="0071604C">
        <w:rPr>
          <w:noProof/>
        </w:rPr>
        <w:t>5</w:t>
      </w:r>
      <w:r w:rsidR="00E17971">
        <w:fldChar w:fldCharType="end"/>
      </w:r>
      <w:r w:rsidRPr="000855B2">
        <w:t xml:space="preserve"> to </w:t>
      </w:r>
      <w:r w:rsidR="00FB454C">
        <w:fldChar w:fldCharType="begin"/>
      </w:r>
      <w:r w:rsidR="00FB454C">
        <w:instrText xml:space="preserve"> REF _Ref200249282 \h  \* MERGEFORMAT </w:instrText>
      </w:r>
      <w:r w:rsidR="00FB454C">
        <w:fldChar w:fldCharType="separate"/>
      </w:r>
      <w:r w:rsidR="0071604C" w:rsidRPr="000855B2">
        <w:t>Table </w:t>
      </w:r>
      <w:r w:rsidR="0071604C">
        <w:t>3.9</w:t>
      </w:r>
      <w:r w:rsidR="00FB454C">
        <w:fldChar w:fldCharType="end"/>
      </w:r>
      <w:r w:rsidRPr="000855B2">
        <w:t xml:space="preserve">, the maximum values correspond to uncontrolled vehicle technology, and the minimum values correspond to a European average in 2005 (before the introduction of </w:t>
      </w:r>
      <w:r w:rsidR="008D1415" w:rsidRPr="000855B2">
        <w:t>Euro </w:t>
      </w:r>
      <w:r w:rsidRPr="000855B2">
        <w:t>4).</w:t>
      </w:r>
      <w:r w:rsidR="0071699C" w:rsidRPr="000855B2">
        <w:t xml:space="preserve"> </w:t>
      </w:r>
      <w:r w:rsidR="00E17971" w:rsidRPr="000855B2">
        <w:fldChar w:fldCharType="begin"/>
      </w:r>
      <w:r w:rsidR="0071699C" w:rsidRPr="000855B2">
        <w:instrText xml:space="preserve"> REF _Ref451177144 \h </w:instrText>
      </w:r>
      <w:r w:rsidR="00E17971" w:rsidRPr="000855B2">
        <w:fldChar w:fldCharType="separate"/>
      </w:r>
      <w:r w:rsidR="0071604C" w:rsidRPr="00E43131">
        <w:t>Table </w:t>
      </w:r>
      <w:r w:rsidR="0071604C">
        <w:rPr>
          <w:noProof/>
        </w:rPr>
        <w:t>3</w:t>
      </w:r>
      <w:r w:rsidR="0071604C">
        <w:t>.</w:t>
      </w:r>
      <w:r w:rsidR="0071604C">
        <w:rPr>
          <w:noProof/>
        </w:rPr>
        <w:t>11</w:t>
      </w:r>
      <w:r w:rsidR="00E17971" w:rsidRPr="000855B2">
        <w:fldChar w:fldCharType="end"/>
      </w:r>
      <w:r w:rsidR="0071699C" w:rsidRPr="000855B2">
        <w:t xml:space="preserve"> proposes black carbon (BC) fractions </w:t>
      </w:r>
      <w:r w:rsidR="00EB15EF" w:rsidRPr="000855B2">
        <w:t>of</w:t>
      </w:r>
      <w:r w:rsidR="0071699C" w:rsidRPr="000855B2">
        <w:t xml:space="preserve"> PM.</w:t>
      </w:r>
      <w:bookmarkStart w:id="71" w:name="_Ref164659241"/>
    </w:p>
    <w:p w14:paraId="6691B608" w14:textId="72FDF0EE" w:rsidR="001D2587" w:rsidRPr="000855B2" w:rsidRDefault="00A040D1" w:rsidP="00652B4E">
      <w:pPr>
        <w:pStyle w:val="Caption"/>
      </w:pPr>
      <w:bookmarkStart w:id="72" w:name="_Ref467604762"/>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w:t>
      </w:r>
      <w:r w:rsidR="00FB454C">
        <w:rPr>
          <w:noProof/>
        </w:rPr>
        <w:fldChar w:fldCharType="end"/>
      </w:r>
      <w:bookmarkEnd w:id="71"/>
      <w:bookmarkEnd w:id="72"/>
      <w:r w:rsidR="00944F54">
        <w:t xml:space="preserve">: </w:t>
      </w:r>
      <w:r w:rsidR="001D2587" w:rsidRPr="000855B2">
        <w:t xml:space="preserve">Tier 1 emission factors for </w:t>
      </w:r>
      <w:r w:rsidR="00C37161" w:rsidRPr="000855B2">
        <w:t>CO</w:t>
      </w:r>
      <w:r w:rsidR="001D2587" w:rsidRPr="000855B2">
        <w:t xml:space="preserve"> and NMVOCs</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8A3855" w14:paraId="47F11C7F" w14:textId="77777777" w:rsidTr="00887829">
        <w:trPr>
          <w:trHeight w:val="242"/>
        </w:trPr>
        <w:tc>
          <w:tcPr>
            <w:tcW w:w="1272" w:type="dxa"/>
            <w:vMerge w:val="restart"/>
            <w:vAlign w:val="center"/>
          </w:tcPr>
          <w:p w14:paraId="7F014D82"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Category</w:t>
            </w:r>
          </w:p>
        </w:tc>
        <w:tc>
          <w:tcPr>
            <w:tcW w:w="1491" w:type="dxa"/>
            <w:vMerge w:val="restart"/>
            <w:vAlign w:val="center"/>
          </w:tcPr>
          <w:p w14:paraId="7007770C"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Fuel</w:t>
            </w:r>
          </w:p>
        </w:tc>
        <w:tc>
          <w:tcPr>
            <w:tcW w:w="2791" w:type="dxa"/>
            <w:gridSpan w:val="3"/>
            <w:vAlign w:val="center"/>
          </w:tcPr>
          <w:p w14:paraId="696F0D41"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CO</w:t>
            </w:r>
          </w:p>
        </w:tc>
        <w:tc>
          <w:tcPr>
            <w:tcW w:w="2791" w:type="dxa"/>
            <w:gridSpan w:val="3"/>
            <w:vAlign w:val="center"/>
          </w:tcPr>
          <w:p w14:paraId="645C673B"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NMVOC</w:t>
            </w:r>
          </w:p>
        </w:tc>
      </w:tr>
      <w:tr w:rsidR="008A3855" w:rsidRPr="008A3855" w14:paraId="5F1D5287" w14:textId="77777777" w:rsidTr="00887829">
        <w:trPr>
          <w:trHeight w:val="242"/>
        </w:trPr>
        <w:tc>
          <w:tcPr>
            <w:tcW w:w="1272" w:type="dxa"/>
            <w:vMerge/>
            <w:vAlign w:val="center"/>
          </w:tcPr>
          <w:p w14:paraId="07DF1AB8"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1491" w:type="dxa"/>
            <w:vMerge/>
            <w:vAlign w:val="center"/>
          </w:tcPr>
          <w:p w14:paraId="1510AB82"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2791" w:type="dxa"/>
            <w:gridSpan w:val="3"/>
            <w:vAlign w:val="center"/>
          </w:tcPr>
          <w:p w14:paraId="3B906994"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(g/kg fuel)</w:t>
            </w:r>
          </w:p>
        </w:tc>
        <w:tc>
          <w:tcPr>
            <w:tcW w:w="2791" w:type="dxa"/>
            <w:gridSpan w:val="3"/>
            <w:vAlign w:val="center"/>
          </w:tcPr>
          <w:p w14:paraId="2E2F13F4"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(g/kg fuel)</w:t>
            </w:r>
          </w:p>
        </w:tc>
      </w:tr>
      <w:tr w:rsidR="008A3855" w:rsidRPr="008A3855" w14:paraId="500090AB" w14:textId="77777777" w:rsidTr="00246BA6">
        <w:trPr>
          <w:trHeight w:val="255"/>
        </w:trPr>
        <w:tc>
          <w:tcPr>
            <w:tcW w:w="1272" w:type="dxa"/>
            <w:vMerge/>
            <w:tcBorders>
              <w:bottom w:val="single" w:sz="12" w:space="0" w:color="auto"/>
            </w:tcBorders>
            <w:vAlign w:val="center"/>
          </w:tcPr>
          <w:p w14:paraId="02F3EB8D"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1491" w:type="dxa"/>
            <w:vMerge/>
            <w:tcBorders>
              <w:bottom w:val="single" w:sz="12" w:space="0" w:color="auto"/>
            </w:tcBorders>
            <w:vAlign w:val="center"/>
          </w:tcPr>
          <w:p w14:paraId="62A01FEA" w14:textId="77777777" w:rsidR="008A3855" w:rsidRPr="008A3855" w:rsidRDefault="008A3855" w:rsidP="005C7955">
            <w:pPr>
              <w:keepNext/>
              <w:keepLines/>
              <w:suppressAutoHyphens/>
              <w:spacing w:line="240" w:lineRule="atLeast"/>
              <w:jc w:val="center"/>
              <w:rPr>
                <w:rFonts w:cs="Open Sans"/>
                <w:b/>
                <w:color w:val="000000"/>
                <w:szCs w:val="20"/>
                <w:lang w:val="en-GB"/>
              </w:rPr>
            </w:pPr>
          </w:p>
        </w:tc>
        <w:tc>
          <w:tcPr>
            <w:tcW w:w="930" w:type="dxa"/>
            <w:tcBorders>
              <w:bottom w:val="single" w:sz="12" w:space="0" w:color="auto"/>
            </w:tcBorders>
            <w:vAlign w:val="center"/>
          </w:tcPr>
          <w:p w14:paraId="33F54DD8"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Mean</w:t>
            </w:r>
          </w:p>
        </w:tc>
        <w:tc>
          <w:tcPr>
            <w:tcW w:w="930" w:type="dxa"/>
            <w:tcBorders>
              <w:bottom w:val="single" w:sz="12" w:space="0" w:color="auto"/>
            </w:tcBorders>
            <w:vAlign w:val="center"/>
          </w:tcPr>
          <w:p w14:paraId="64B82F48"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Min</w:t>
            </w:r>
          </w:p>
        </w:tc>
        <w:tc>
          <w:tcPr>
            <w:tcW w:w="931" w:type="dxa"/>
            <w:tcBorders>
              <w:bottom w:val="single" w:sz="12" w:space="0" w:color="auto"/>
            </w:tcBorders>
            <w:vAlign w:val="center"/>
          </w:tcPr>
          <w:p w14:paraId="08FAD8DE"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Max</w:t>
            </w:r>
          </w:p>
        </w:tc>
        <w:tc>
          <w:tcPr>
            <w:tcW w:w="930" w:type="dxa"/>
            <w:tcBorders>
              <w:bottom w:val="single" w:sz="12" w:space="0" w:color="auto"/>
            </w:tcBorders>
            <w:vAlign w:val="center"/>
          </w:tcPr>
          <w:p w14:paraId="1A5E6BDB"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Mean</w:t>
            </w:r>
          </w:p>
        </w:tc>
        <w:tc>
          <w:tcPr>
            <w:tcW w:w="930" w:type="dxa"/>
            <w:tcBorders>
              <w:bottom w:val="single" w:sz="12" w:space="0" w:color="auto"/>
            </w:tcBorders>
            <w:vAlign w:val="center"/>
          </w:tcPr>
          <w:p w14:paraId="335C74AB"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Min</w:t>
            </w:r>
          </w:p>
        </w:tc>
        <w:tc>
          <w:tcPr>
            <w:tcW w:w="931" w:type="dxa"/>
            <w:tcBorders>
              <w:bottom w:val="single" w:sz="12" w:space="0" w:color="auto"/>
            </w:tcBorders>
            <w:vAlign w:val="center"/>
          </w:tcPr>
          <w:p w14:paraId="7CF4A23A" w14:textId="77777777" w:rsidR="008A3855" w:rsidRPr="008A3855" w:rsidRDefault="008A3855" w:rsidP="005C7955">
            <w:pPr>
              <w:keepNext/>
              <w:keepLines/>
              <w:suppressAutoHyphens/>
              <w:spacing w:line="240" w:lineRule="atLeast"/>
              <w:jc w:val="center"/>
              <w:rPr>
                <w:rFonts w:cs="Open Sans"/>
                <w:b/>
                <w:color w:val="000000"/>
                <w:szCs w:val="20"/>
                <w:lang w:val="en-GB"/>
              </w:rPr>
            </w:pPr>
            <w:r w:rsidRPr="008A3855">
              <w:rPr>
                <w:rFonts w:cs="Open Sans"/>
                <w:b/>
                <w:color w:val="000000"/>
                <w:szCs w:val="20"/>
                <w:lang w:val="en-GB"/>
              </w:rPr>
              <w:t>Max</w:t>
            </w:r>
          </w:p>
        </w:tc>
      </w:tr>
      <w:tr w:rsidR="00E11887" w:rsidRPr="000855B2" w14:paraId="45C72DC1" w14:textId="77777777" w:rsidTr="00246BA6">
        <w:trPr>
          <w:trHeight w:val="242"/>
        </w:trPr>
        <w:tc>
          <w:tcPr>
            <w:tcW w:w="1272" w:type="dxa"/>
            <w:vMerge w:val="restart"/>
            <w:tcBorders>
              <w:top w:val="single" w:sz="12" w:space="0" w:color="auto"/>
            </w:tcBorders>
            <w:vAlign w:val="center"/>
          </w:tcPr>
          <w:p w14:paraId="40BAC4DE"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PC</w:t>
            </w:r>
          </w:p>
        </w:tc>
        <w:tc>
          <w:tcPr>
            <w:tcW w:w="1491" w:type="dxa"/>
            <w:tcBorders>
              <w:top w:val="single" w:sz="12" w:space="0" w:color="auto"/>
            </w:tcBorders>
            <w:vAlign w:val="center"/>
          </w:tcPr>
          <w:p w14:paraId="581F3CD5" w14:textId="77777777" w:rsidR="00E11887" w:rsidRPr="000855B2" w:rsidRDefault="00E11887" w:rsidP="005C7955">
            <w:pPr>
              <w:keepNext/>
              <w:keepLines/>
              <w:suppressAutoHyphens/>
              <w:spacing w:line="240" w:lineRule="atLeast"/>
              <w:rPr>
                <w:rFonts w:cs="Open Sans"/>
                <w:color w:val="000000"/>
                <w:szCs w:val="20"/>
                <w:lang w:val="en-GB"/>
              </w:rPr>
            </w:pPr>
            <w:r>
              <w:rPr>
                <w:rFonts w:cs="Open Sans"/>
                <w:color w:val="000000"/>
                <w:szCs w:val="20"/>
                <w:lang w:val="en-GB"/>
              </w:rPr>
              <w:t>Petrol</w:t>
            </w:r>
          </w:p>
        </w:tc>
        <w:tc>
          <w:tcPr>
            <w:tcW w:w="930" w:type="dxa"/>
            <w:tcBorders>
              <w:top w:val="single" w:sz="12" w:space="0" w:color="auto"/>
            </w:tcBorders>
            <w:vAlign w:val="center"/>
          </w:tcPr>
          <w:p w14:paraId="416D9C75"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84.7</w:t>
            </w:r>
          </w:p>
        </w:tc>
        <w:tc>
          <w:tcPr>
            <w:tcW w:w="930" w:type="dxa"/>
            <w:tcBorders>
              <w:top w:val="single" w:sz="12" w:space="0" w:color="auto"/>
            </w:tcBorders>
            <w:vAlign w:val="center"/>
          </w:tcPr>
          <w:p w14:paraId="25180F9E"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49.0</w:t>
            </w:r>
          </w:p>
        </w:tc>
        <w:tc>
          <w:tcPr>
            <w:tcW w:w="931" w:type="dxa"/>
            <w:tcBorders>
              <w:top w:val="single" w:sz="12" w:space="0" w:color="auto"/>
            </w:tcBorders>
            <w:vAlign w:val="center"/>
          </w:tcPr>
          <w:p w14:paraId="271BF57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269.5</w:t>
            </w:r>
          </w:p>
        </w:tc>
        <w:tc>
          <w:tcPr>
            <w:tcW w:w="930" w:type="dxa"/>
            <w:tcBorders>
              <w:top w:val="single" w:sz="12" w:space="0" w:color="auto"/>
            </w:tcBorders>
            <w:vAlign w:val="center"/>
          </w:tcPr>
          <w:p w14:paraId="76A3D01B"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10.05</w:t>
            </w:r>
          </w:p>
        </w:tc>
        <w:tc>
          <w:tcPr>
            <w:tcW w:w="930" w:type="dxa"/>
            <w:tcBorders>
              <w:top w:val="single" w:sz="12" w:space="0" w:color="auto"/>
            </w:tcBorders>
            <w:vAlign w:val="center"/>
          </w:tcPr>
          <w:p w14:paraId="057396C5"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5.55</w:t>
            </w:r>
          </w:p>
        </w:tc>
        <w:tc>
          <w:tcPr>
            <w:tcW w:w="931" w:type="dxa"/>
            <w:tcBorders>
              <w:top w:val="single" w:sz="12" w:space="0" w:color="auto"/>
            </w:tcBorders>
            <w:vAlign w:val="center"/>
          </w:tcPr>
          <w:p w14:paraId="3E6BB9E4"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34.42</w:t>
            </w:r>
          </w:p>
        </w:tc>
      </w:tr>
      <w:tr w:rsidR="00E11887" w:rsidRPr="000855B2" w14:paraId="6F44D95C" w14:textId="77777777" w:rsidTr="00887829">
        <w:trPr>
          <w:trHeight w:val="242"/>
        </w:trPr>
        <w:tc>
          <w:tcPr>
            <w:tcW w:w="1272" w:type="dxa"/>
            <w:vMerge/>
            <w:vAlign w:val="center"/>
          </w:tcPr>
          <w:p w14:paraId="05331B5C"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14AD4E86"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Diesel</w:t>
            </w:r>
          </w:p>
        </w:tc>
        <w:tc>
          <w:tcPr>
            <w:tcW w:w="930" w:type="dxa"/>
            <w:vAlign w:val="center"/>
          </w:tcPr>
          <w:p w14:paraId="57AA23B3"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3.33</w:t>
            </w:r>
          </w:p>
        </w:tc>
        <w:tc>
          <w:tcPr>
            <w:tcW w:w="930" w:type="dxa"/>
            <w:vAlign w:val="center"/>
          </w:tcPr>
          <w:p w14:paraId="35286CA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2.05</w:t>
            </w:r>
          </w:p>
        </w:tc>
        <w:tc>
          <w:tcPr>
            <w:tcW w:w="931" w:type="dxa"/>
            <w:vAlign w:val="center"/>
          </w:tcPr>
          <w:p w14:paraId="6ADC5E30"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8.19</w:t>
            </w:r>
          </w:p>
        </w:tc>
        <w:tc>
          <w:tcPr>
            <w:tcW w:w="930" w:type="dxa"/>
            <w:vAlign w:val="center"/>
          </w:tcPr>
          <w:p w14:paraId="23164163"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0.70</w:t>
            </w:r>
          </w:p>
        </w:tc>
        <w:tc>
          <w:tcPr>
            <w:tcW w:w="930" w:type="dxa"/>
            <w:vAlign w:val="center"/>
          </w:tcPr>
          <w:p w14:paraId="27D746D0"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0.41</w:t>
            </w:r>
          </w:p>
        </w:tc>
        <w:tc>
          <w:tcPr>
            <w:tcW w:w="931" w:type="dxa"/>
            <w:vAlign w:val="center"/>
          </w:tcPr>
          <w:p w14:paraId="08C456DC"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1.88</w:t>
            </w:r>
          </w:p>
        </w:tc>
      </w:tr>
      <w:tr w:rsidR="00E11887" w:rsidRPr="000855B2" w14:paraId="2BC457A3" w14:textId="77777777" w:rsidTr="00887829">
        <w:trPr>
          <w:trHeight w:val="255"/>
        </w:trPr>
        <w:tc>
          <w:tcPr>
            <w:tcW w:w="1272" w:type="dxa"/>
            <w:vMerge/>
            <w:vAlign w:val="center"/>
          </w:tcPr>
          <w:p w14:paraId="3F539B67"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057D975D"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LPG</w:t>
            </w:r>
          </w:p>
        </w:tc>
        <w:tc>
          <w:tcPr>
            <w:tcW w:w="930" w:type="dxa"/>
            <w:vAlign w:val="center"/>
          </w:tcPr>
          <w:p w14:paraId="3E246F33"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84.7</w:t>
            </w:r>
          </w:p>
        </w:tc>
        <w:tc>
          <w:tcPr>
            <w:tcW w:w="930" w:type="dxa"/>
            <w:vAlign w:val="center"/>
          </w:tcPr>
          <w:p w14:paraId="16CADC0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38.7</w:t>
            </w:r>
          </w:p>
        </w:tc>
        <w:tc>
          <w:tcPr>
            <w:tcW w:w="931" w:type="dxa"/>
            <w:vAlign w:val="center"/>
          </w:tcPr>
          <w:p w14:paraId="7F670274"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117.0</w:t>
            </w:r>
          </w:p>
        </w:tc>
        <w:tc>
          <w:tcPr>
            <w:tcW w:w="930" w:type="dxa"/>
            <w:vAlign w:val="center"/>
          </w:tcPr>
          <w:p w14:paraId="2DD61227"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13.64</w:t>
            </w:r>
          </w:p>
        </w:tc>
        <w:tc>
          <w:tcPr>
            <w:tcW w:w="930" w:type="dxa"/>
            <w:vAlign w:val="center"/>
          </w:tcPr>
          <w:p w14:paraId="08833F4F"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6.10</w:t>
            </w:r>
          </w:p>
        </w:tc>
        <w:tc>
          <w:tcPr>
            <w:tcW w:w="931" w:type="dxa"/>
            <w:vAlign w:val="center"/>
          </w:tcPr>
          <w:p w14:paraId="2E2064B6"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25.66</w:t>
            </w:r>
          </w:p>
        </w:tc>
      </w:tr>
      <w:tr w:rsidR="00E11887" w:rsidRPr="000855B2" w14:paraId="3F9F7FAD" w14:textId="77777777" w:rsidTr="00887829">
        <w:trPr>
          <w:trHeight w:val="242"/>
        </w:trPr>
        <w:tc>
          <w:tcPr>
            <w:tcW w:w="1272" w:type="dxa"/>
            <w:vMerge w:val="restart"/>
            <w:vAlign w:val="center"/>
          </w:tcPr>
          <w:p w14:paraId="2662C090"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LCV</w:t>
            </w:r>
          </w:p>
        </w:tc>
        <w:tc>
          <w:tcPr>
            <w:tcW w:w="1491" w:type="dxa"/>
            <w:vAlign w:val="center"/>
          </w:tcPr>
          <w:p w14:paraId="35821E91" w14:textId="77777777" w:rsidR="00E11887" w:rsidRPr="000855B2" w:rsidRDefault="00E11887" w:rsidP="005C7955">
            <w:pPr>
              <w:keepNext/>
              <w:keepLines/>
              <w:suppressAutoHyphens/>
              <w:spacing w:line="240" w:lineRule="atLeast"/>
              <w:rPr>
                <w:rFonts w:cs="Open Sans"/>
                <w:color w:val="000000"/>
                <w:szCs w:val="20"/>
                <w:lang w:val="en-GB"/>
              </w:rPr>
            </w:pPr>
            <w:r>
              <w:rPr>
                <w:rFonts w:cs="Open Sans"/>
                <w:color w:val="000000"/>
                <w:szCs w:val="20"/>
                <w:lang w:val="en-GB"/>
              </w:rPr>
              <w:t>Petrol</w:t>
            </w:r>
          </w:p>
        </w:tc>
        <w:tc>
          <w:tcPr>
            <w:tcW w:w="930" w:type="dxa"/>
            <w:vAlign w:val="center"/>
          </w:tcPr>
          <w:p w14:paraId="5BDB7AB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152.3</w:t>
            </w:r>
          </w:p>
        </w:tc>
        <w:tc>
          <w:tcPr>
            <w:tcW w:w="930" w:type="dxa"/>
            <w:vAlign w:val="center"/>
          </w:tcPr>
          <w:p w14:paraId="0E008B3E"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68.7</w:t>
            </w:r>
          </w:p>
        </w:tc>
        <w:tc>
          <w:tcPr>
            <w:tcW w:w="931" w:type="dxa"/>
            <w:vAlign w:val="center"/>
          </w:tcPr>
          <w:p w14:paraId="45EA7030"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238.3</w:t>
            </w:r>
          </w:p>
        </w:tc>
        <w:tc>
          <w:tcPr>
            <w:tcW w:w="930" w:type="dxa"/>
            <w:vAlign w:val="center"/>
          </w:tcPr>
          <w:p w14:paraId="4DDEB0C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14.59</w:t>
            </w:r>
          </w:p>
        </w:tc>
        <w:tc>
          <w:tcPr>
            <w:tcW w:w="930" w:type="dxa"/>
            <w:vAlign w:val="center"/>
          </w:tcPr>
          <w:p w14:paraId="7330F691"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3.91</w:t>
            </w:r>
          </w:p>
        </w:tc>
        <w:tc>
          <w:tcPr>
            <w:tcW w:w="931" w:type="dxa"/>
            <w:vAlign w:val="center"/>
          </w:tcPr>
          <w:p w14:paraId="387019EE"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26.08</w:t>
            </w:r>
          </w:p>
        </w:tc>
      </w:tr>
      <w:tr w:rsidR="00E11887" w:rsidRPr="000855B2" w14:paraId="3DC42693" w14:textId="77777777" w:rsidTr="00887829">
        <w:trPr>
          <w:trHeight w:val="255"/>
        </w:trPr>
        <w:tc>
          <w:tcPr>
            <w:tcW w:w="1272" w:type="dxa"/>
            <w:vMerge/>
            <w:vAlign w:val="center"/>
          </w:tcPr>
          <w:p w14:paraId="64F1DCDF"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2DB34CBA"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Diesel</w:t>
            </w:r>
          </w:p>
        </w:tc>
        <w:tc>
          <w:tcPr>
            <w:tcW w:w="930" w:type="dxa"/>
            <w:vAlign w:val="center"/>
          </w:tcPr>
          <w:p w14:paraId="52933CC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7.40</w:t>
            </w:r>
          </w:p>
        </w:tc>
        <w:tc>
          <w:tcPr>
            <w:tcW w:w="930" w:type="dxa"/>
            <w:vAlign w:val="center"/>
          </w:tcPr>
          <w:p w14:paraId="758EB95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6.37</w:t>
            </w:r>
          </w:p>
        </w:tc>
        <w:tc>
          <w:tcPr>
            <w:tcW w:w="931" w:type="dxa"/>
            <w:vAlign w:val="center"/>
          </w:tcPr>
          <w:p w14:paraId="7F6A0B4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11.71</w:t>
            </w:r>
          </w:p>
        </w:tc>
        <w:tc>
          <w:tcPr>
            <w:tcW w:w="930" w:type="dxa"/>
            <w:vAlign w:val="center"/>
          </w:tcPr>
          <w:p w14:paraId="223FDBF1"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1.54</w:t>
            </w:r>
          </w:p>
        </w:tc>
        <w:tc>
          <w:tcPr>
            <w:tcW w:w="930" w:type="dxa"/>
            <w:vAlign w:val="center"/>
          </w:tcPr>
          <w:p w14:paraId="06E5801A"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1.29</w:t>
            </w:r>
          </w:p>
        </w:tc>
        <w:tc>
          <w:tcPr>
            <w:tcW w:w="931" w:type="dxa"/>
            <w:vAlign w:val="center"/>
          </w:tcPr>
          <w:p w14:paraId="2D7006DD"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1.96</w:t>
            </w:r>
          </w:p>
        </w:tc>
      </w:tr>
      <w:tr w:rsidR="00E11887" w:rsidRPr="000855B2" w14:paraId="000EBD28" w14:textId="77777777" w:rsidTr="00887829">
        <w:trPr>
          <w:trHeight w:val="242"/>
        </w:trPr>
        <w:tc>
          <w:tcPr>
            <w:tcW w:w="1272" w:type="dxa"/>
            <w:vMerge w:val="restart"/>
            <w:vAlign w:val="center"/>
          </w:tcPr>
          <w:p w14:paraId="2908AA86"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HDV</w:t>
            </w:r>
          </w:p>
        </w:tc>
        <w:tc>
          <w:tcPr>
            <w:tcW w:w="1491" w:type="dxa"/>
            <w:vAlign w:val="center"/>
          </w:tcPr>
          <w:p w14:paraId="4C829758"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Diesel</w:t>
            </w:r>
          </w:p>
        </w:tc>
        <w:tc>
          <w:tcPr>
            <w:tcW w:w="930" w:type="dxa"/>
            <w:vAlign w:val="center"/>
          </w:tcPr>
          <w:p w14:paraId="48F4DB71"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7.58</w:t>
            </w:r>
          </w:p>
        </w:tc>
        <w:tc>
          <w:tcPr>
            <w:tcW w:w="930" w:type="dxa"/>
            <w:vAlign w:val="center"/>
          </w:tcPr>
          <w:p w14:paraId="74935B09"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5.73</w:t>
            </w:r>
          </w:p>
        </w:tc>
        <w:tc>
          <w:tcPr>
            <w:tcW w:w="931" w:type="dxa"/>
            <w:vAlign w:val="center"/>
          </w:tcPr>
          <w:p w14:paraId="54185211"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10.57</w:t>
            </w:r>
          </w:p>
        </w:tc>
        <w:tc>
          <w:tcPr>
            <w:tcW w:w="930" w:type="dxa"/>
            <w:vAlign w:val="center"/>
          </w:tcPr>
          <w:p w14:paraId="4411424C"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1.92</w:t>
            </w:r>
          </w:p>
        </w:tc>
        <w:tc>
          <w:tcPr>
            <w:tcW w:w="930" w:type="dxa"/>
            <w:vAlign w:val="center"/>
          </w:tcPr>
          <w:p w14:paraId="65293B91"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1.33</w:t>
            </w:r>
          </w:p>
        </w:tc>
        <w:tc>
          <w:tcPr>
            <w:tcW w:w="931" w:type="dxa"/>
            <w:vAlign w:val="center"/>
          </w:tcPr>
          <w:p w14:paraId="79DF2155"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3.77</w:t>
            </w:r>
          </w:p>
        </w:tc>
      </w:tr>
      <w:tr w:rsidR="00E11887" w:rsidRPr="000855B2" w14:paraId="71B354BC" w14:textId="77777777" w:rsidTr="00887829">
        <w:trPr>
          <w:trHeight w:val="255"/>
        </w:trPr>
        <w:tc>
          <w:tcPr>
            <w:tcW w:w="1272" w:type="dxa"/>
            <w:vMerge/>
            <w:vAlign w:val="center"/>
          </w:tcPr>
          <w:p w14:paraId="507B63FF" w14:textId="77777777" w:rsidR="00E11887" w:rsidRPr="000855B2" w:rsidRDefault="00E11887" w:rsidP="005C7955">
            <w:pPr>
              <w:keepNext/>
              <w:keepLines/>
              <w:suppressAutoHyphens/>
              <w:spacing w:line="240" w:lineRule="atLeast"/>
              <w:rPr>
                <w:rFonts w:cs="Open Sans"/>
                <w:color w:val="000000"/>
                <w:szCs w:val="20"/>
                <w:lang w:val="en-GB"/>
              </w:rPr>
            </w:pPr>
          </w:p>
        </w:tc>
        <w:tc>
          <w:tcPr>
            <w:tcW w:w="1491" w:type="dxa"/>
            <w:vAlign w:val="center"/>
          </w:tcPr>
          <w:p w14:paraId="28B81DE2" w14:textId="77777777" w:rsidR="00E11887" w:rsidRPr="000855B2" w:rsidRDefault="00E11887" w:rsidP="005C7955">
            <w:pPr>
              <w:keepNext/>
              <w:keepLines/>
              <w:suppressAutoHyphens/>
              <w:spacing w:line="240" w:lineRule="atLeast"/>
              <w:rPr>
                <w:rFonts w:cs="Open Sans"/>
                <w:color w:val="000000"/>
                <w:szCs w:val="20"/>
                <w:lang w:val="en-GB"/>
              </w:rPr>
            </w:pPr>
            <w:r w:rsidRPr="000855B2">
              <w:rPr>
                <w:rFonts w:cs="Open Sans"/>
                <w:color w:val="000000"/>
                <w:szCs w:val="20"/>
                <w:lang w:val="en-GB"/>
              </w:rPr>
              <w:t>CNG (Buses)</w:t>
            </w:r>
          </w:p>
        </w:tc>
        <w:tc>
          <w:tcPr>
            <w:tcW w:w="930" w:type="dxa"/>
            <w:vAlign w:val="center"/>
          </w:tcPr>
          <w:p w14:paraId="3A5F2BF6"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5.70</w:t>
            </w:r>
          </w:p>
        </w:tc>
        <w:tc>
          <w:tcPr>
            <w:tcW w:w="930" w:type="dxa"/>
            <w:vAlign w:val="center"/>
          </w:tcPr>
          <w:p w14:paraId="7026536E"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2.20</w:t>
            </w:r>
          </w:p>
        </w:tc>
        <w:tc>
          <w:tcPr>
            <w:tcW w:w="931" w:type="dxa"/>
            <w:vAlign w:val="center"/>
          </w:tcPr>
          <w:p w14:paraId="095BA5B7"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15.00</w:t>
            </w:r>
          </w:p>
        </w:tc>
        <w:tc>
          <w:tcPr>
            <w:tcW w:w="930" w:type="dxa"/>
            <w:vAlign w:val="center"/>
          </w:tcPr>
          <w:p w14:paraId="1BF10F9C"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0.26</w:t>
            </w:r>
          </w:p>
        </w:tc>
        <w:tc>
          <w:tcPr>
            <w:tcW w:w="930" w:type="dxa"/>
            <w:vAlign w:val="center"/>
          </w:tcPr>
          <w:p w14:paraId="09F09B02"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0.10</w:t>
            </w:r>
          </w:p>
        </w:tc>
        <w:tc>
          <w:tcPr>
            <w:tcW w:w="931" w:type="dxa"/>
            <w:vAlign w:val="center"/>
          </w:tcPr>
          <w:p w14:paraId="6E774C34" w14:textId="77777777" w:rsidR="00E11887" w:rsidRPr="000855B2" w:rsidRDefault="00E11887"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0.67</w:t>
            </w:r>
          </w:p>
        </w:tc>
      </w:tr>
      <w:tr w:rsidR="00AC4066" w:rsidRPr="000855B2" w14:paraId="7A64B36F" w14:textId="77777777" w:rsidTr="00887829">
        <w:trPr>
          <w:trHeight w:val="255"/>
        </w:trPr>
        <w:tc>
          <w:tcPr>
            <w:tcW w:w="1272" w:type="dxa"/>
            <w:vAlign w:val="center"/>
          </w:tcPr>
          <w:p w14:paraId="07C6953B" w14:textId="77777777" w:rsidR="00AC4066" w:rsidRPr="000855B2" w:rsidRDefault="00AC4066" w:rsidP="005C7955">
            <w:pPr>
              <w:keepNext/>
              <w:keepLines/>
              <w:suppressAutoHyphens/>
              <w:spacing w:line="240" w:lineRule="atLeast"/>
              <w:rPr>
                <w:rFonts w:cs="Open Sans"/>
                <w:color w:val="000000"/>
                <w:szCs w:val="20"/>
                <w:lang w:val="en-GB"/>
              </w:rPr>
            </w:pPr>
            <w:r w:rsidRPr="000855B2">
              <w:rPr>
                <w:rFonts w:cs="Open Sans"/>
                <w:color w:val="000000"/>
                <w:szCs w:val="20"/>
                <w:lang w:val="en-GB"/>
              </w:rPr>
              <w:t>Two-wheel</w:t>
            </w:r>
          </w:p>
        </w:tc>
        <w:tc>
          <w:tcPr>
            <w:tcW w:w="1491" w:type="dxa"/>
            <w:vAlign w:val="center"/>
          </w:tcPr>
          <w:p w14:paraId="68579F52" w14:textId="77777777" w:rsidR="00AC4066" w:rsidRPr="000855B2" w:rsidRDefault="00E11887" w:rsidP="005C7955">
            <w:pPr>
              <w:keepNext/>
              <w:keepLines/>
              <w:suppressAutoHyphens/>
              <w:spacing w:line="240" w:lineRule="atLeast"/>
              <w:rPr>
                <w:rFonts w:cs="Open Sans"/>
                <w:color w:val="000000"/>
                <w:szCs w:val="20"/>
                <w:lang w:val="en-GB"/>
              </w:rPr>
            </w:pPr>
            <w:r>
              <w:rPr>
                <w:rFonts w:cs="Open Sans"/>
                <w:color w:val="000000"/>
                <w:szCs w:val="20"/>
                <w:lang w:val="en-GB"/>
              </w:rPr>
              <w:t>Petrol</w:t>
            </w:r>
          </w:p>
        </w:tc>
        <w:tc>
          <w:tcPr>
            <w:tcW w:w="930" w:type="dxa"/>
            <w:vAlign w:val="center"/>
          </w:tcPr>
          <w:p w14:paraId="0487F10C"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497.7</w:t>
            </w:r>
          </w:p>
        </w:tc>
        <w:tc>
          <w:tcPr>
            <w:tcW w:w="930" w:type="dxa"/>
            <w:vAlign w:val="center"/>
          </w:tcPr>
          <w:p w14:paraId="6E370E2E"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331.</w:t>
            </w:r>
            <w:r w:rsidR="00D23190" w:rsidRPr="000855B2">
              <w:rPr>
                <w:rFonts w:cs="Open Sans"/>
                <w:color w:val="000000"/>
                <w:szCs w:val="20"/>
                <w:lang w:val="en-GB"/>
              </w:rPr>
              <w:t>2</w:t>
            </w:r>
          </w:p>
        </w:tc>
        <w:tc>
          <w:tcPr>
            <w:tcW w:w="931" w:type="dxa"/>
            <w:vAlign w:val="center"/>
          </w:tcPr>
          <w:p w14:paraId="5127FD16"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664.5</w:t>
            </w:r>
          </w:p>
        </w:tc>
        <w:tc>
          <w:tcPr>
            <w:tcW w:w="930" w:type="dxa"/>
            <w:vAlign w:val="center"/>
          </w:tcPr>
          <w:p w14:paraId="062510EF" w14:textId="77777777" w:rsidR="00AC4066" w:rsidRPr="000855B2" w:rsidRDefault="00AC4066"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131.4</w:t>
            </w:r>
          </w:p>
        </w:tc>
        <w:tc>
          <w:tcPr>
            <w:tcW w:w="930" w:type="dxa"/>
            <w:vAlign w:val="center"/>
          </w:tcPr>
          <w:p w14:paraId="57074F6E" w14:textId="77777777" w:rsidR="00AC4066" w:rsidRPr="000855B2" w:rsidRDefault="00D23190"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30</w:t>
            </w:r>
            <w:r w:rsidR="00AC4066" w:rsidRPr="000855B2">
              <w:rPr>
                <w:rFonts w:cs="Open Sans"/>
                <w:color w:val="000000"/>
                <w:szCs w:val="20"/>
                <w:lang w:val="en-GB"/>
              </w:rPr>
              <w:t>.</w:t>
            </w:r>
            <w:r w:rsidRPr="000855B2">
              <w:rPr>
                <w:rFonts w:cs="Open Sans"/>
                <w:color w:val="000000"/>
                <w:szCs w:val="20"/>
                <w:lang w:val="en-GB"/>
              </w:rPr>
              <w:t>0</w:t>
            </w:r>
          </w:p>
        </w:tc>
        <w:tc>
          <w:tcPr>
            <w:tcW w:w="931" w:type="dxa"/>
            <w:vAlign w:val="center"/>
          </w:tcPr>
          <w:p w14:paraId="4E7F080D" w14:textId="77777777" w:rsidR="00AC4066" w:rsidRPr="000855B2" w:rsidRDefault="00D23190" w:rsidP="005C7955">
            <w:pPr>
              <w:keepNext/>
              <w:keepLines/>
              <w:suppressAutoHyphens/>
              <w:spacing w:line="240" w:lineRule="atLeast"/>
              <w:jc w:val="center"/>
              <w:rPr>
                <w:rFonts w:cs="Open Sans"/>
                <w:color w:val="000000"/>
                <w:szCs w:val="20"/>
                <w:lang w:val="en-GB"/>
              </w:rPr>
            </w:pPr>
            <w:r w:rsidRPr="000855B2">
              <w:rPr>
                <w:rFonts w:cs="Open Sans"/>
                <w:color w:val="000000"/>
                <w:szCs w:val="20"/>
                <w:lang w:val="en-GB"/>
              </w:rPr>
              <w:t>364.8</w:t>
            </w:r>
          </w:p>
        </w:tc>
      </w:tr>
    </w:tbl>
    <w:p w14:paraId="0444ABEE" w14:textId="77777777" w:rsidR="00652B4E" w:rsidRPr="000855B2" w:rsidRDefault="00652B4E" w:rsidP="00853B30">
      <w:pPr>
        <w:pStyle w:val="BodyText"/>
      </w:pPr>
    </w:p>
    <w:p w14:paraId="59846DA6" w14:textId="0C07C419" w:rsidR="001D2587" w:rsidRPr="000855B2" w:rsidRDefault="00652B4E" w:rsidP="00652B4E">
      <w:pPr>
        <w:pStyle w:val="Caption"/>
      </w:pPr>
      <w:r w:rsidRPr="000855B2">
        <w:br w:type="page"/>
      </w:r>
      <w:bookmarkStart w:id="73" w:name="_Ref356818551"/>
      <w:r w:rsidR="00A040D1"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w:t>
      </w:r>
      <w:r w:rsidR="00FB454C">
        <w:rPr>
          <w:noProof/>
        </w:rPr>
        <w:fldChar w:fldCharType="end"/>
      </w:r>
      <w:bookmarkEnd w:id="73"/>
      <w:r w:rsidR="00944F54">
        <w:t xml:space="preserve">: </w:t>
      </w:r>
      <w:r w:rsidR="001D2587" w:rsidRPr="000855B2">
        <w:t xml:space="preserve">Tier 1 emission factors for </w:t>
      </w:r>
      <w:smartTag w:uri="urn:schemas-microsoft-com:office:smarttags" w:element="stockticker">
        <w:r w:rsidR="001D2587" w:rsidRPr="000855B2">
          <w:t>NO</w:t>
        </w:r>
        <w:r w:rsidR="001D2587" w:rsidRPr="000855B2">
          <w:rPr>
            <w:vertAlign w:val="subscript"/>
          </w:rPr>
          <w:t>X</w:t>
        </w:r>
      </w:smartTag>
      <w:r w:rsidR="001D2587" w:rsidRPr="000855B2">
        <w:t xml:space="preserve"> and PM</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32668E48" w14:textId="77777777" w:rsidTr="00887829">
        <w:trPr>
          <w:trHeight w:val="242"/>
        </w:trPr>
        <w:tc>
          <w:tcPr>
            <w:tcW w:w="1272" w:type="dxa"/>
            <w:vMerge w:val="restart"/>
            <w:vAlign w:val="center"/>
          </w:tcPr>
          <w:p w14:paraId="486F6F3E"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760B739D"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305F42ED"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NO</w:t>
            </w:r>
            <w:r w:rsidRPr="000855B2">
              <w:rPr>
                <w:b/>
                <w:color w:val="000000"/>
                <w:szCs w:val="20"/>
                <w:vertAlign w:val="subscript"/>
                <w:lang w:val="en-GB"/>
              </w:rPr>
              <w:t>x</w:t>
            </w:r>
          </w:p>
        </w:tc>
        <w:tc>
          <w:tcPr>
            <w:tcW w:w="2791" w:type="dxa"/>
            <w:gridSpan w:val="3"/>
            <w:vAlign w:val="center"/>
          </w:tcPr>
          <w:p w14:paraId="51973F5C"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PM</w:t>
            </w:r>
          </w:p>
        </w:tc>
      </w:tr>
      <w:tr w:rsidR="008A3855" w:rsidRPr="000855B2" w14:paraId="58276C05" w14:textId="77777777" w:rsidTr="00887829">
        <w:trPr>
          <w:trHeight w:val="242"/>
        </w:trPr>
        <w:tc>
          <w:tcPr>
            <w:tcW w:w="1272" w:type="dxa"/>
            <w:vMerge/>
            <w:vAlign w:val="center"/>
          </w:tcPr>
          <w:p w14:paraId="236D1C2D"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2BDEB0C8"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1930B89C"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7D26E4E0"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423A64C6" w14:textId="77777777" w:rsidTr="00246BA6">
        <w:trPr>
          <w:trHeight w:val="255"/>
        </w:trPr>
        <w:tc>
          <w:tcPr>
            <w:tcW w:w="1272" w:type="dxa"/>
            <w:vMerge/>
            <w:tcBorders>
              <w:bottom w:val="single" w:sz="12" w:space="0" w:color="auto"/>
            </w:tcBorders>
            <w:vAlign w:val="center"/>
          </w:tcPr>
          <w:p w14:paraId="7B67E563"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5BD8048B"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093332D3"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0C317277"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60010057"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217703E4"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6DDD0616"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533F660A"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180217CC" w14:textId="77777777" w:rsidTr="00246BA6">
        <w:trPr>
          <w:trHeight w:val="242"/>
        </w:trPr>
        <w:tc>
          <w:tcPr>
            <w:tcW w:w="1272" w:type="dxa"/>
            <w:vMerge w:val="restart"/>
            <w:tcBorders>
              <w:top w:val="single" w:sz="12" w:space="0" w:color="auto"/>
            </w:tcBorders>
            <w:vAlign w:val="center"/>
          </w:tcPr>
          <w:p w14:paraId="5538E349"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02743BD1"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402781A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8.73</w:t>
            </w:r>
          </w:p>
        </w:tc>
        <w:tc>
          <w:tcPr>
            <w:tcW w:w="930" w:type="dxa"/>
            <w:tcBorders>
              <w:top w:val="single" w:sz="12" w:space="0" w:color="auto"/>
            </w:tcBorders>
            <w:vAlign w:val="center"/>
          </w:tcPr>
          <w:p w14:paraId="46A62E3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4.48</w:t>
            </w:r>
          </w:p>
        </w:tc>
        <w:tc>
          <w:tcPr>
            <w:tcW w:w="931" w:type="dxa"/>
            <w:tcBorders>
              <w:top w:val="single" w:sz="12" w:space="0" w:color="auto"/>
            </w:tcBorders>
            <w:vAlign w:val="center"/>
          </w:tcPr>
          <w:p w14:paraId="70474A6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29.89</w:t>
            </w:r>
          </w:p>
        </w:tc>
        <w:tc>
          <w:tcPr>
            <w:tcW w:w="930" w:type="dxa"/>
            <w:tcBorders>
              <w:top w:val="single" w:sz="12" w:space="0" w:color="auto"/>
            </w:tcBorders>
            <w:vAlign w:val="center"/>
          </w:tcPr>
          <w:p w14:paraId="79FDE5C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w:t>
            </w:r>
          </w:p>
        </w:tc>
        <w:tc>
          <w:tcPr>
            <w:tcW w:w="930" w:type="dxa"/>
            <w:tcBorders>
              <w:top w:val="single" w:sz="12" w:space="0" w:color="auto"/>
            </w:tcBorders>
            <w:vAlign w:val="center"/>
          </w:tcPr>
          <w:p w14:paraId="1C65AC8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1" w:type="dxa"/>
            <w:tcBorders>
              <w:top w:val="single" w:sz="12" w:space="0" w:color="auto"/>
            </w:tcBorders>
            <w:vAlign w:val="center"/>
          </w:tcPr>
          <w:p w14:paraId="0398CD2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0.04</w:t>
            </w:r>
          </w:p>
        </w:tc>
      </w:tr>
      <w:tr w:rsidR="00E11887" w:rsidRPr="000855B2" w14:paraId="1D7F489B" w14:textId="77777777" w:rsidTr="00887829">
        <w:trPr>
          <w:trHeight w:val="242"/>
        </w:trPr>
        <w:tc>
          <w:tcPr>
            <w:tcW w:w="1272" w:type="dxa"/>
            <w:vMerge/>
            <w:vAlign w:val="center"/>
          </w:tcPr>
          <w:p w14:paraId="2357B86A"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774A8309"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0091E9E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12.96</w:t>
            </w:r>
          </w:p>
        </w:tc>
        <w:tc>
          <w:tcPr>
            <w:tcW w:w="930" w:type="dxa"/>
            <w:vAlign w:val="center"/>
          </w:tcPr>
          <w:p w14:paraId="78C62F1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11.20</w:t>
            </w:r>
          </w:p>
        </w:tc>
        <w:tc>
          <w:tcPr>
            <w:tcW w:w="931" w:type="dxa"/>
            <w:vAlign w:val="center"/>
          </w:tcPr>
          <w:p w14:paraId="66092A5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13.88</w:t>
            </w:r>
          </w:p>
        </w:tc>
        <w:tc>
          <w:tcPr>
            <w:tcW w:w="930" w:type="dxa"/>
            <w:vAlign w:val="center"/>
          </w:tcPr>
          <w:p w14:paraId="08AB598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1.10</w:t>
            </w:r>
          </w:p>
        </w:tc>
        <w:tc>
          <w:tcPr>
            <w:tcW w:w="930" w:type="dxa"/>
            <w:vAlign w:val="center"/>
          </w:tcPr>
          <w:p w14:paraId="3097444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0.80</w:t>
            </w:r>
          </w:p>
        </w:tc>
        <w:tc>
          <w:tcPr>
            <w:tcW w:w="931" w:type="dxa"/>
            <w:vAlign w:val="center"/>
          </w:tcPr>
          <w:p w14:paraId="3623FBC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2.64</w:t>
            </w:r>
          </w:p>
        </w:tc>
      </w:tr>
      <w:tr w:rsidR="00E11887" w:rsidRPr="000855B2" w14:paraId="628A56B9" w14:textId="77777777" w:rsidTr="00887829">
        <w:trPr>
          <w:trHeight w:val="255"/>
        </w:trPr>
        <w:tc>
          <w:tcPr>
            <w:tcW w:w="1272" w:type="dxa"/>
            <w:vMerge/>
            <w:vAlign w:val="center"/>
          </w:tcPr>
          <w:p w14:paraId="37111C14"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66F06D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0C65CB8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15.20</w:t>
            </w:r>
          </w:p>
        </w:tc>
        <w:tc>
          <w:tcPr>
            <w:tcW w:w="930" w:type="dxa"/>
            <w:vAlign w:val="center"/>
          </w:tcPr>
          <w:p w14:paraId="383D018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4.18</w:t>
            </w:r>
          </w:p>
        </w:tc>
        <w:tc>
          <w:tcPr>
            <w:tcW w:w="931" w:type="dxa"/>
            <w:vAlign w:val="center"/>
          </w:tcPr>
          <w:p w14:paraId="1771A1C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34.30</w:t>
            </w:r>
          </w:p>
        </w:tc>
        <w:tc>
          <w:tcPr>
            <w:tcW w:w="930" w:type="dxa"/>
            <w:vAlign w:val="center"/>
          </w:tcPr>
          <w:p w14:paraId="7D58B03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w:t>
            </w:r>
          </w:p>
        </w:tc>
        <w:tc>
          <w:tcPr>
            <w:tcW w:w="930" w:type="dxa"/>
            <w:vAlign w:val="center"/>
          </w:tcPr>
          <w:p w14:paraId="4E6D85D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w:t>
            </w:r>
          </w:p>
        </w:tc>
        <w:tc>
          <w:tcPr>
            <w:tcW w:w="931" w:type="dxa"/>
            <w:vAlign w:val="center"/>
          </w:tcPr>
          <w:p w14:paraId="5AB4BB8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w:t>
            </w:r>
          </w:p>
        </w:tc>
      </w:tr>
      <w:tr w:rsidR="00E11887" w:rsidRPr="000855B2" w14:paraId="7D7A0BCF" w14:textId="77777777" w:rsidTr="00887829">
        <w:trPr>
          <w:trHeight w:val="242"/>
        </w:trPr>
        <w:tc>
          <w:tcPr>
            <w:tcW w:w="1272" w:type="dxa"/>
            <w:vMerge w:val="restart"/>
            <w:vAlign w:val="center"/>
          </w:tcPr>
          <w:p w14:paraId="702DD1A5"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28D08A00"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634ADA9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13.22</w:t>
            </w:r>
          </w:p>
        </w:tc>
        <w:tc>
          <w:tcPr>
            <w:tcW w:w="930" w:type="dxa"/>
            <w:vAlign w:val="center"/>
          </w:tcPr>
          <w:p w14:paraId="49AFF23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3.24</w:t>
            </w:r>
          </w:p>
        </w:tc>
        <w:tc>
          <w:tcPr>
            <w:tcW w:w="931" w:type="dxa"/>
            <w:vAlign w:val="center"/>
          </w:tcPr>
          <w:p w14:paraId="7DEB5C3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25.46</w:t>
            </w:r>
          </w:p>
        </w:tc>
        <w:tc>
          <w:tcPr>
            <w:tcW w:w="930" w:type="dxa"/>
            <w:vAlign w:val="center"/>
          </w:tcPr>
          <w:p w14:paraId="493E04C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0" w:type="dxa"/>
            <w:vAlign w:val="center"/>
          </w:tcPr>
          <w:p w14:paraId="6B49E26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1" w:type="dxa"/>
            <w:vAlign w:val="center"/>
          </w:tcPr>
          <w:p w14:paraId="0C7EF49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w:t>
            </w:r>
          </w:p>
        </w:tc>
      </w:tr>
      <w:tr w:rsidR="00E11887" w:rsidRPr="000855B2" w14:paraId="37E113A2" w14:textId="77777777" w:rsidTr="00887829">
        <w:trPr>
          <w:trHeight w:val="255"/>
        </w:trPr>
        <w:tc>
          <w:tcPr>
            <w:tcW w:w="1272" w:type="dxa"/>
            <w:vMerge/>
            <w:vAlign w:val="center"/>
          </w:tcPr>
          <w:p w14:paraId="4E2404ED"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56DDD455"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1727B1B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14.91</w:t>
            </w:r>
          </w:p>
        </w:tc>
        <w:tc>
          <w:tcPr>
            <w:tcW w:w="930" w:type="dxa"/>
            <w:vAlign w:val="center"/>
          </w:tcPr>
          <w:p w14:paraId="68D9CEC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13.36</w:t>
            </w:r>
          </w:p>
        </w:tc>
        <w:tc>
          <w:tcPr>
            <w:tcW w:w="931" w:type="dxa"/>
            <w:vAlign w:val="center"/>
          </w:tcPr>
          <w:p w14:paraId="06DFDBC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18.43</w:t>
            </w:r>
          </w:p>
        </w:tc>
        <w:tc>
          <w:tcPr>
            <w:tcW w:w="930" w:type="dxa"/>
            <w:vAlign w:val="center"/>
          </w:tcPr>
          <w:p w14:paraId="54FF2F7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1.52</w:t>
            </w:r>
          </w:p>
        </w:tc>
        <w:tc>
          <w:tcPr>
            <w:tcW w:w="930" w:type="dxa"/>
            <w:vAlign w:val="center"/>
          </w:tcPr>
          <w:p w14:paraId="5CCBED3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1.10</w:t>
            </w:r>
          </w:p>
        </w:tc>
        <w:tc>
          <w:tcPr>
            <w:tcW w:w="931" w:type="dxa"/>
            <w:vAlign w:val="center"/>
          </w:tcPr>
          <w:p w14:paraId="16578DA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2.99</w:t>
            </w:r>
          </w:p>
        </w:tc>
      </w:tr>
      <w:tr w:rsidR="00E11887" w:rsidRPr="000855B2" w14:paraId="54FB6798" w14:textId="77777777" w:rsidTr="00887829">
        <w:trPr>
          <w:trHeight w:val="242"/>
        </w:trPr>
        <w:tc>
          <w:tcPr>
            <w:tcW w:w="1272" w:type="dxa"/>
            <w:vMerge w:val="restart"/>
            <w:vAlign w:val="center"/>
          </w:tcPr>
          <w:p w14:paraId="50BB05E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31DDE61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8D0567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33.37</w:t>
            </w:r>
          </w:p>
        </w:tc>
        <w:tc>
          <w:tcPr>
            <w:tcW w:w="930" w:type="dxa"/>
            <w:vAlign w:val="center"/>
          </w:tcPr>
          <w:p w14:paraId="5B92253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28.34</w:t>
            </w:r>
          </w:p>
        </w:tc>
        <w:tc>
          <w:tcPr>
            <w:tcW w:w="931" w:type="dxa"/>
            <w:vAlign w:val="center"/>
          </w:tcPr>
          <w:p w14:paraId="10A99C5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38.29</w:t>
            </w:r>
          </w:p>
        </w:tc>
        <w:tc>
          <w:tcPr>
            <w:tcW w:w="930" w:type="dxa"/>
            <w:vAlign w:val="center"/>
          </w:tcPr>
          <w:p w14:paraId="55DFCA1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0.94</w:t>
            </w:r>
          </w:p>
        </w:tc>
        <w:tc>
          <w:tcPr>
            <w:tcW w:w="930" w:type="dxa"/>
            <w:vAlign w:val="center"/>
          </w:tcPr>
          <w:p w14:paraId="055994D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0.61</w:t>
            </w:r>
          </w:p>
        </w:tc>
        <w:tc>
          <w:tcPr>
            <w:tcW w:w="931" w:type="dxa"/>
            <w:vAlign w:val="center"/>
          </w:tcPr>
          <w:p w14:paraId="58AF37C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1.57</w:t>
            </w:r>
          </w:p>
        </w:tc>
      </w:tr>
      <w:tr w:rsidR="00E11887" w:rsidRPr="000855B2" w14:paraId="70B46D88" w14:textId="77777777" w:rsidTr="00887829">
        <w:trPr>
          <w:trHeight w:val="255"/>
        </w:trPr>
        <w:tc>
          <w:tcPr>
            <w:tcW w:w="1272" w:type="dxa"/>
            <w:vMerge/>
            <w:vAlign w:val="center"/>
          </w:tcPr>
          <w:p w14:paraId="4BC202B1"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6CEE1D49"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05E6635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13.00</w:t>
            </w:r>
          </w:p>
        </w:tc>
        <w:tc>
          <w:tcPr>
            <w:tcW w:w="930" w:type="dxa"/>
            <w:vAlign w:val="center"/>
          </w:tcPr>
          <w:p w14:paraId="727D068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5.50</w:t>
            </w:r>
          </w:p>
        </w:tc>
        <w:tc>
          <w:tcPr>
            <w:tcW w:w="931" w:type="dxa"/>
            <w:vAlign w:val="center"/>
          </w:tcPr>
          <w:p w14:paraId="417106D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30.00</w:t>
            </w:r>
          </w:p>
        </w:tc>
        <w:tc>
          <w:tcPr>
            <w:tcW w:w="930" w:type="dxa"/>
            <w:vAlign w:val="center"/>
          </w:tcPr>
          <w:p w14:paraId="281F77B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w:t>
            </w:r>
          </w:p>
        </w:tc>
        <w:tc>
          <w:tcPr>
            <w:tcW w:w="930" w:type="dxa"/>
            <w:vAlign w:val="center"/>
          </w:tcPr>
          <w:p w14:paraId="5A41522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w:t>
            </w:r>
          </w:p>
        </w:tc>
        <w:tc>
          <w:tcPr>
            <w:tcW w:w="931" w:type="dxa"/>
            <w:vAlign w:val="center"/>
          </w:tcPr>
          <w:p w14:paraId="16F9300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0.04</w:t>
            </w:r>
          </w:p>
        </w:tc>
      </w:tr>
      <w:tr w:rsidR="001D5100" w:rsidRPr="000855B2" w14:paraId="3F56B42A" w14:textId="77777777" w:rsidTr="00887829">
        <w:trPr>
          <w:trHeight w:val="255"/>
        </w:trPr>
        <w:tc>
          <w:tcPr>
            <w:tcW w:w="1272" w:type="dxa"/>
            <w:vAlign w:val="center"/>
          </w:tcPr>
          <w:p w14:paraId="54DAF750" w14:textId="77777777" w:rsidR="001D5100" w:rsidRPr="000855B2" w:rsidRDefault="001D5100" w:rsidP="005C7955">
            <w:pPr>
              <w:keepNext/>
              <w:keepLines/>
              <w:suppressAutoHyphens/>
              <w:spacing w:line="240" w:lineRule="atLeast"/>
              <w:rPr>
                <w:color w:val="000000"/>
                <w:szCs w:val="20"/>
                <w:lang w:val="en-GB"/>
              </w:rPr>
            </w:pPr>
            <w:r w:rsidRPr="000855B2">
              <w:rPr>
                <w:color w:val="000000"/>
                <w:szCs w:val="20"/>
                <w:lang w:val="en-GB"/>
              </w:rPr>
              <w:t>Two-wheel</w:t>
            </w:r>
          </w:p>
        </w:tc>
        <w:tc>
          <w:tcPr>
            <w:tcW w:w="1491" w:type="dxa"/>
            <w:vAlign w:val="center"/>
          </w:tcPr>
          <w:p w14:paraId="6F4E8A1B" w14:textId="77777777" w:rsidR="001D5100"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33152A0A"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6.64</w:t>
            </w:r>
          </w:p>
        </w:tc>
        <w:tc>
          <w:tcPr>
            <w:tcW w:w="930" w:type="dxa"/>
            <w:vAlign w:val="center"/>
          </w:tcPr>
          <w:p w14:paraId="4DFAA1C4"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1.99</w:t>
            </w:r>
          </w:p>
        </w:tc>
        <w:tc>
          <w:tcPr>
            <w:tcW w:w="931" w:type="dxa"/>
            <w:vAlign w:val="center"/>
          </w:tcPr>
          <w:p w14:paraId="231CB7C5"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10.73</w:t>
            </w:r>
          </w:p>
        </w:tc>
        <w:tc>
          <w:tcPr>
            <w:tcW w:w="930" w:type="dxa"/>
            <w:vAlign w:val="center"/>
          </w:tcPr>
          <w:p w14:paraId="1FC2B2B2"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2.20</w:t>
            </w:r>
          </w:p>
        </w:tc>
        <w:tc>
          <w:tcPr>
            <w:tcW w:w="930" w:type="dxa"/>
            <w:vAlign w:val="center"/>
          </w:tcPr>
          <w:p w14:paraId="0B4E1E00"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0.55</w:t>
            </w:r>
          </w:p>
        </w:tc>
        <w:tc>
          <w:tcPr>
            <w:tcW w:w="931" w:type="dxa"/>
            <w:vAlign w:val="center"/>
          </w:tcPr>
          <w:p w14:paraId="4EE1967A" w14:textId="77777777" w:rsidR="001D5100" w:rsidRPr="000855B2" w:rsidRDefault="001D5100" w:rsidP="005C7955">
            <w:pPr>
              <w:keepNext/>
              <w:keepLines/>
              <w:suppressAutoHyphens/>
              <w:spacing w:line="240" w:lineRule="atLeast"/>
              <w:jc w:val="center"/>
              <w:rPr>
                <w:color w:val="000000"/>
                <w:szCs w:val="20"/>
                <w:lang w:val="en-GB"/>
              </w:rPr>
            </w:pPr>
            <w:r w:rsidRPr="000855B2">
              <w:rPr>
                <w:color w:val="000000"/>
                <w:szCs w:val="20"/>
                <w:lang w:val="en-GB"/>
              </w:rPr>
              <w:t>6.02</w:t>
            </w:r>
          </w:p>
        </w:tc>
      </w:tr>
    </w:tbl>
    <w:p w14:paraId="7C4A9408" w14:textId="74CB1A4D"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w:t>
      </w:r>
      <w:r w:rsidR="00FB454C">
        <w:rPr>
          <w:noProof/>
        </w:rPr>
        <w:fldChar w:fldCharType="end"/>
      </w:r>
      <w:r w:rsidR="00944F54">
        <w:t xml:space="preserve">: </w:t>
      </w:r>
      <w:r w:rsidR="001D2587" w:rsidRPr="000855B2">
        <w:t>Tier 1 emission factors for N</w:t>
      </w:r>
      <w:r w:rsidR="001D2587" w:rsidRPr="000855B2">
        <w:rPr>
          <w:vertAlign w:val="subscript"/>
        </w:rPr>
        <w:t>2</w:t>
      </w:r>
      <w:r w:rsidR="001D2587" w:rsidRPr="000855B2">
        <w:t>O and NH</w:t>
      </w:r>
      <w:r w:rsidR="001D2587" w:rsidRPr="000855B2">
        <w:rPr>
          <w:vertAlign w:val="subscript"/>
        </w:rPr>
        <w:t>3</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7D5B657C" w14:textId="77777777" w:rsidTr="00887829">
        <w:trPr>
          <w:trHeight w:val="242"/>
        </w:trPr>
        <w:tc>
          <w:tcPr>
            <w:tcW w:w="1272" w:type="dxa"/>
            <w:vMerge w:val="restart"/>
            <w:vAlign w:val="center"/>
          </w:tcPr>
          <w:p w14:paraId="541E02DF"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1E610A8B"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0BDE2EB2"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N</w:t>
            </w:r>
            <w:r w:rsidRPr="000855B2">
              <w:rPr>
                <w:b/>
                <w:color w:val="000000"/>
                <w:szCs w:val="20"/>
                <w:vertAlign w:val="subscript"/>
                <w:lang w:val="en-GB"/>
              </w:rPr>
              <w:t>2</w:t>
            </w:r>
            <w:r w:rsidRPr="000855B2">
              <w:rPr>
                <w:b/>
                <w:color w:val="000000"/>
                <w:szCs w:val="20"/>
                <w:lang w:val="en-GB"/>
              </w:rPr>
              <w:t>O</w:t>
            </w:r>
          </w:p>
        </w:tc>
        <w:tc>
          <w:tcPr>
            <w:tcW w:w="2791" w:type="dxa"/>
            <w:gridSpan w:val="3"/>
            <w:vAlign w:val="center"/>
          </w:tcPr>
          <w:p w14:paraId="65B21EFB"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NH</w:t>
            </w:r>
            <w:r w:rsidRPr="000855B2">
              <w:rPr>
                <w:b/>
                <w:color w:val="000000"/>
                <w:szCs w:val="20"/>
                <w:vertAlign w:val="subscript"/>
                <w:lang w:val="en-GB"/>
              </w:rPr>
              <w:t>3</w:t>
            </w:r>
          </w:p>
        </w:tc>
      </w:tr>
      <w:tr w:rsidR="008A3855" w:rsidRPr="000855B2" w14:paraId="3BC55431" w14:textId="77777777" w:rsidTr="00887829">
        <w:trPr>
          <w:trHeight w:val="242"/>
        </w:trPr>
        <w:tc>
          <w:tcPr>
            <w:tcW w:w="1272" w:type="dxa"/>
            <w:vMerge/>
            <w:vAlign w:val="center"/>
          </w:tcPr>
          <w:p w14:paraId="3651523D"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68CCC24D"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12470381"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495E252F"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66D7ACC7" w14:textId="77777777" w:rsidTr="00246BA6">
        <w:trPr>
          <w:trHeight w:val="255"/>
        </w:trPr>
        <w:tc>
          <w:tcPr>
            <w:tcW w:w="1272" w:type="dxa"/>
            <w:vMerge/>
            <w:tcBorders>
              <w:bottom w:val="single" w:sz="12" w:space="0" w:color="auto"/>
            </w:tcBorders>
            <w:vAlign w:val="center"/>
          </w:tcPr>
          <w:p w14:paraId="1C3BA6A8"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3775401E"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28298482"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5BCD3F40"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6C0053C9"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639B488B"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573AE685"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09AA56FC"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7A96BB25" w14:textId="77777777" w:rsidTr="00246BA6">
        <w:trPr>
          <w:trHeight w:val="242"/>
        </w:trPr>
        <w:tc>
          <w:tcPr>
            <w:tcW w:w="1272" w:type="dxa"/>
            <w:vMerge w:val="restart"/>
            <w:tcBorders>
              <w:top w:val="single" w:sz="12" w:space="0" w:color="auto"/>
            </w:tcBorders>
            <w:vAlign w:val="center"/>
          </w:tcPr>
          <w:p w14:paraId="7B0C471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210F9C9D"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6EF7FE7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0.206</w:t>
            </w:r>
          </w:p>
        </w:tc>
        <w:tc>
          <w:tcPr>
            <w:tcW w:w="930" w:type="dxa"/>
            <w:tcBorders>
              <w:top w:val="single" w:sz="12" w:space="0" w:color="auto"/>
            </w:tcBorders>
            <w:vAlign w:val="center"/>
          </w:tcPr>
          <w:p w14:paraId="3AEAD7E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0.133</w:t>
            </w:r>
          </w:p>
        </w:tc>
        <w:tc>
          <w:tcPr>
            <w:tcW w:w="931" w:type="dxa"/>
            <w:tcBorders>
              <w:top w:val="single" w:sz="12" w:space="0" w:color="auto"/>
            </w:tcBorders>
            <w:vAlign w:val="center"/>
          </w:tcPr>
          <w:p w14:paraId="5E689DE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0.320</w:t>
            </w:r>
          </w:p>
        </w:tc>
        <w:tc>
          <w:tcPr>
            <w:tcW w:w="930" w:type="dxa"/>
            <w:tcBorders>
              <w:top w:val="single" w:sz="12" w:space="0" w:color="auto"/>
            </w:tcBorders>
            <w:vAlign w:val="center"/>
          </w:tcPr>
          <w:p w14:paraId="6E7E14C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1.106</w:t>
            </w:r>
          </w:p>
        </w:tc>
        <w:tc>
          <w:tcPr>
            <w:tcW w:w="930" w:type="dxa"/>
            <w:tcBorders>
              <w:top w:val="single" w:sz="12" w:space="0" w:color="auto"/>
            </w:tcBorders>
            <w:vAlign w:val="center"/>
          </w:tcPr>
          <w:p w14:paraId="75F03E8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0.330</w:t>
            </w:r>
          </w:p>
        </w:tc>
        <w:tc>
          <w:tcPr>
            <w:tcW w:w="931" w:type="dxa"/>
            <w:tcBorders>
              <w:top w:val="single" w:sz="12" w:space="0" w:color="auto"/>
            </w:tcBorders>
            <w:vAlign w:val="center"/>
          </w:tcPr>
          <w:p w14:paraId="1C9AD2D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1.444</w:t>
            </w:r>
          </w:p>
        </w:tc>
      </w:tr>
      <w:tr w:rsidR="00E11887" w:rsidRPr="000855B2" w14:paraId="219F8CDA" w14:textId="77777777" w:rsidTr="00887829">
        <w:trPr>
          <w:trHeight w:val="242"/>
        </w:trPr>
        <w:tc>
          <w:tcPr>
            <w:tcW w:w="1272" w:type="dxa"/>
            <w:vMerge/>
            <w:vAlign w:val="center"/>
          </w:tcPr>
          <w:p w14:paraId="03967A20"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ED7BE85"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75B4C43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0.087</w:t>
            </w:r>
          </w:p>
        </w:tc>
        <w:tc>
          <w:tcPr>
            <w:tcW w:w="930" w:type="dxa"/>
            <w:vAlign w:val="center"/>
          </w:tcPr>
          <w:p w14:paraId="32D7576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0.044</w:t>
            </w:r>
          </w:p>
        </w:tc>
        <w:tc>
          <w:tcPr>
            <w:tcW w:w="931" w:type="dxa"/>
            <w:vAlign w:val="center"/>
          </w:tcPr>
          <w:p w14:paraId="0A40EEE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0.107</w:t>
            </w:r>
          </w:p>
        </w:tc>
        <w:tc>
          <w:tcPr>
            <w:tcW w:w="930" w:type="dxa"/>
            <w:vAlign w:val="center"/>
          </w:tcPr>
          <w:p w14:paraId="7819B74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0.065</w:t>
            </w:r>
          </w:p>
        </w:tc>
        <w:tc>
          <w:tcPr>
            <w:tcW w:w="930" w:type="dxa"/>
            <w:vAlign w:val="center"/>
          </w:tcPr>
          <w:p w14:paraId="0D993B2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0.024</w:t>
            </w:r>
          </w:p>
        </w:tc>
        <w:tc>
          <w:tcPr>
            <w:tcW w:w="931" w:type="dxa"/>
            <w:vAlign w:val="center"/>
          </w:tcPr>
          <w:p w14:paraId="4A7FBDC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0.082</w:t>
            </w:r>
          </w:p>
        </w:tc>
      </w:tr>
      <w:tr w:rsidR="00E11887" w:rsidRPr="000855B2" w14:paraId="3B061031" w14:textId="77777777" w:rsidTr="00887829">
        <w:trPr>
          <w:trHeight w:val="255"/>
        </w:trPr>
        <w:tc>
          <w:tcPr>
            <w:tcW w:w="1272" w:type="dxa"/>
            <w:vMerge/>
            <w:vAlign w:val="center"/>
          </w:tcPr>
          <w:p w14:paraId="00EB44B7"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5CB7D8D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1406074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0.089</w:t>
            </w:r>
          </w:p>
        </w:tc>
        <w:tc>
          <w:tcPr>
            <w:tcW w:w="930" w:type="dxa"/>
            <w:vAlign w:val="center"/>
          </w:tcPr>
          <w:p w14:paraId="4651C79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0.024</w:t>
            </w:r>
          </w:p>
        </w:tc>
        <w:tc>
          <w:tcPr>
            <w:tcW w:w="931" w:type="dxa"/>
            <w:vAlign w:val="center"/>
          </w:tcPr>
          <w:p w14:paraId="4A62F0C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0.202</w:t>
            </w:r>
          </w:p>
        </w:tc>
        <w:tc>
          <w:tcPr>
            <w:tcW w:w="930" w:type="dxa"/>
            <w:vAlign w:val="center"/>
          </w:tcPr>
          <w:p w14:paraId="50BBE4F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0.080</w:t>
            </w:r>
          </w:p>
        </w:tc>
        <w:tc>
          <w:tcPr>
            <w:tcW w:w="930" w:type="dxa"/>
            <w:vAlign w:val="center"/>
          </w:tcPr>
          <w:p w14:paraId="534C06C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0.022</w:t>
            </w:r>
          </w:p>
        </w:tc>
        <w:tc>
          <w:tcPr>
            <w:tcW w:w="931" w:type="dxa"/>
            <w:vAlign w:val="center"/>
          </w:tcPr>
          <w:p w14:paraId="26AC4CA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0.108</w:t>
            </w:r>
          </w:p>
        </w:tc>
      </w:tr>
      <w:tr w:rsidR="00E11887" w:rsidRPr="000855B2" w14:paraId="04169D31" w14:textId="77777777" w:rsidTr="00887829">
        <w:trPr>
          <w:trHeight w:val="242"/>
        </w:trPr>
        <w:tc>
          <w:tcPr>
            <w:tcW w:w="1272" w:type="dxa"/>
            <w:vMerge w:val="restart"/>
            <w:vAlign w:val="center"/>
          </w:tcPr>
          <w:p w14:paraId="72A7F9F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312E8F71"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6241B9C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0.186</w:t>
            </w:r>
          </w:p>
        </w:tc>
        <w:tc>
          <w:tcPr>
            <w:tcW w:w="930" w:type="dxa"/>
            <w:vAlign w:val="center"/>
          </w:tcPr>
          <w:p w14:paraId="0E816F2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0.103</w:t>
            </w:r>
          </w:p>
        </w:tc>
        <w:tc>
          <w:tcPr>
            <w:tcW w:w="931" w:type="dxa"/>
            <w:vAlign w:val="center"/>
          </w:tcPr>
          <w:p w14:paraId="1690D1F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0.316</w:t>
            </w:r>
          </w:p>
        </w:tc>
        <w:tc>
          <w:tcPr>
            <w:tcW w:w="930" w:type="dxa"/>
            <w:vAlign w:val="center"/>
          </w:tcPr>
          <w:p w14:paraId="4CD3416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0.667</w:t>
            </w:r>
          </w:p>
        </w:tc>
        <w:tc>
          <w:tcPr>
            <w:tcW w:w="930" w:type="dxa"/>
            <w:vAlign w:val="center"/>
          </w:tcPr>
          <w:p w14:paraId="5F7FE18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0.324</w:t>
            </w:r>
          </w:p>
        </w:tc>
        <w:tc>
          <w:tcPr>
            <w:tcW w:w="931" w:type="dxa"/>
            <w:vAlign w:val="center"/>
          </w:tcPr>
          <w:p w14:paraId="47FB05B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1.114</w:t>
            </w:r>
          </w:p>
        </w:tc>
      </w:tr>
      <w:tr w:rsidR="00E11887" w:rsidRPr="000855B2" w14:paraId="153E7BDC" w14:textId="77777777" w:rsidTr="00887829">
        <w:trPr>
          <w:trHeight w:val="255"/>
        </w:trPr>
        <w:tc>
          <w:tcPr>
            <w:tcW w:w="1272" w:type="dxa"/>
            <w:vMerge/>
            <w:vAlign w:val="center"/>
          </w:tcPr>
          <w:p w14:paraId="72990942"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74052C79"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058815C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0.056</w:t>
            </w:r>
          </w:p>
        </w:tc>
        <w:tc>
          <w:tcPr>
            <w:tcW w:w="930" w:type="dxa"/>
            <w:vAlign w:val="center"/>
          </w:tcPr>
          <w:p w14:paraId="50B7EB2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0.025</w:t>
            </w:r>
          </w:p>
        </w:tc>
        <w:tc>
          <w:tcPr>
            <w:tcW w:w="931" w:type="dxa"/>
            <w:vAlign w:val="center"/>
          </w:tcPr>
          <w:p w14:paraId="3AC40C2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0.072</w:t>
            </w:r>
          </w:p>
        </w:tc>
        <w:tc>
          <w:tcPr>
            <w:tcW w:w="930" w:type="dxa"/>
            <w:vAlign w:val="center"/>
          </w:tcPr>
          <w:p w14:paraId="0E142D9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0.038</w:t>
            </w:r>
          </w:p>
        </w:tc>
        <w:tc>
          <w:tcPr>
            <w:tcW w:w="930" w:type="dxa"/>
            <w:vAlign w:val="center"/>
          </w:tcPr>
          <w:p w14:paraId="3725840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0.018</w:t>
            </w:r>
          </w:p>
        </w:tc>
        <w:tc>
          <w:tcPr>
            <w:tcW w:w="931" w:type="dxa"/>
            <w:vAlign w:val="center"/>
          </w:tcPr>
          <w:p w14:paraId="35478EC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0.056</w:t>
            </w:r>
          </w:p>
        </w:tc>
      </w:tr>
      <w:tr w:rsidR="00E11887" w:rsidRPr="000855B2" w14:paraId="6B2B19D2" w14:textId="77777777" w:rsidTr="00887829">
        <w:trPr>
          <w:trHeight w:val="242"/>
        </w:trPr>
        <w:tc>
          <w:tcPr>
            <w:tcW w:w="1272" w:type="dxa"/>
            <w:vMerge w:val="restart"/>
            <w:vAlign w:val="center"/>
          </w:tcPr>
          <w:p w14:paraId="1922668A"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57C477C6"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733D74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0.051</w:t>
            </w:r>
          </w:p>
        </w:tc>
        <w:tc>
          <w:tcPr>
            <w:tcW w:w="930" w:type="dxa"/>
            <w:vAlign w:val="center"/>
          </w:tcPr>
          <w:p w14:paraId="0AD5707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0.030</w:t>
            </w:r>
          </w:p>
        </w:tc>
        <w:tc>
          <w:tcPr>
            <w:tcW w:w="931" w:type="dxa"/>
            <w:vAlign w:val="center"/>
          </w:tcPr>
          <w:p w14:paraId="39476FC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0.089</w:t>
            </w:r>
          </w:p>
        </w:tc>
        <w:tc>
          <w:tcPr>
            <w:tcW w:w="930" w:type="dxa"/>
            <w:vAlign w:val="center"/>
          </w:tcPr>
          <w:p w14:paraId="0496E44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0.013</w:t>
            </w:r>
          </w:p>
        </w:tc>
        <w:tc>
          <w:tcPr>
            <w:tcW w:w="930" w:type="dxa"/>
            <w:vAlign w:val="center"/>
          </w:tcPr>
          <w:p w14:paraId="2BC0553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0.010</w:t>
            </w:r>
          </w:p>
        </w:tc>
        <w:tc>
          <w:tcPr>
            <w:tcW w:w="931" w:type="dxa"/>
            <w:vAlign w:val="center"/>
          </w:tcPr>
          <w:p w14:paraId="0C927F5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0.018</w:t>
            </w:r>
          </w:p>
        </w:tc>
      </w:tr>
      <w:tr w:rsidR="00E11887" w:rsidRPr="000855B2" w14:paraId="467F8526" w14:textId="77777777" w:rsidTr="00887829">
        <w:trPr>
          <w:trHeight w:val="255"/>
        </w:trPr>
        <w:tc>
          <w:tcPr>
            <w:tcW w:w="1272" w:type="dxa"/>
            <w:vMerge/>
            <w:vAlign w:val="center"/>
          </w:tcPr>
          <w:p w14:paraId="6F8A6D7F"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C9783AB"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4BA30B9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48FF885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c>
          <w:tcPr>
            <w:tcW w:w="931" w:type="dxa"/>
            <w:vAlign w:val="center"/>
          </w:tcPr>
          <w:p w14:paraId="0E1EB3E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c>
          <w:tcPr>
            <w:tcW w:w="930" w:type="dxa"/>
            <w:vAlign w:val="center"/>
          </w:tcPr>
          <w:p w14:paraId="4AE831C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48CB8EF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c>
          <w:tcPr>
            <w:tcW w:w="931" w:type="dxa"/>
            <w:vAlign w:val="center"/>
          </w:tcPr>
          <w:p w14:paraId="44387F7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0.000</w:t>
            </w:r>
          </w:p>
        </w:tc>
      </w:tr>
      <w:tr w:rsidR="00E377F6" w:rsidRPr="000855B2" w14:paraId="53DF1595" w14:textId="77777777" w:rsidTr="00887829">
        <w:trPr>
          <w:trHeight w:val="255"/>
        </w:trPr>
        <w:tc>
          <w:tcPr>
            <w:tcW w:w="1272" w:type="dxa"/>
            <w:vAlign w:val="center"/>
          </w:tcPr>
          <w:p w14:paraId="2523D920" w14:textId="77777777" w:rsidR="00E377F6" w:rsidRPr="000855B2" w:rsidRDefault="00E377F6" w:rsidP="005C7955">
            <w:pPr>
              <w:keepNext/>
              <w:keepLines/>
              <w:suppressAutoHyphens/>
              <w:spacing w:line="240" w:lineRule="atLeast"/>
              <w:rPr>
                <w:color w:val="000000"/>
                <w:szCs w:val="20"/>
                <w:lang w:val="en-GB"/>
              </w:rPr>
            </w:pPr>
            <w:r w:rsidRPr="000855B2">
              <w:rPr>
                <w:color w:val="000000"/>
                <w:szCs w:val="20"/>
                <w:lang w:val="en-GB"/>
              </w:rPr>
              <w:t>Two-wheel</w:t>
            </w:r>
          </w:p>
        </w:tc>
        <w:tc>
          <w:tcPr>
            <w:tcW w:w="1491" w:type="dxa"/>
            <w:vAlign w:val="center"/>
          </w:tcPr>
          <w:p w14:paraId="6B4D5DB0" w14:textId="77777777" w:rsidR="00E377F6"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12102A91"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0.059</w:t>
            </w:r>
          </w:p>
        </w:tc>
        <w:tc>
          <w:tcPr>
            <w:tcW w:w="930" w:type="dxa"/>
            <w:vAlign w:val="center"/>
          </w:tcPr>
          <w:p w14:paraId="113DB972"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0.048</w:t>
            </w:r>
          </w:p>
        </w:tc>
        <w:tc>
          <w:tcPr>
            <w:tcW w:w="931" w:type="dxa"/>
            <w:vAlign w:val="center"/>
          </w:tcPr>
          <w:p w14:paraId="080009CF"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0.067</w:t>
            </w:r>
          </w:p>
        </w:tc>
        <w:tc>
          <w:tcPr>
            <w:tcW w:w="930" w:type="dxa"/>
            <w:vAlign w:val="center"/>
          </w:tcPr>
          <w:p w14:paraId="0484F0F1"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0.059</w:t>
            </w:r>
          </w:p>
        </w:tc>
        <w:tc>
          <w:tcPr>
            <w:tcW w:w="930" w:type="dxa"/>
            <w:vAlign w:val="center"/>
          </w:tcPr>
          <w:p w14:paraId="7B1BFD80"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0.048</w:t>
            </w:r>
          </w:p>
        </w:tc>
        <w:tc>
          <w:tcPr>
            <w:tcW w:w="931" w:type="dxa"/>
            <w:vAlign w:val="center"/>
          </w:tcPr>
          <w:p w14:paraId="7BD9214A" w14:textId="77777777" w:rsidR="00E377F6" w:rsidRPr="000855B2" w:rsidRDefault="00E377F6" w:rsidP="005C7955">
            <w:pPr>
              <w:keepNext/>
              <w:keepLines/>
              <w:suppressAutoHyphens/>
              <w:spacing w:line="240" w:lineRule="atLeast"/>
              <w:jc w:val="center"/>
              <w:rPr>
                <w:color w:val="000000"/>
                <w:szCs w:val="20"/>
                <w:lang w:val="en-GB"/>
              </w:rPr>
            </w:pPr>
            <w:r w:rsidRPr="000855B2">
              <w:rPr>
                <w:color w:val="000000"/>
                <w:szCs w:val="20"/>
                <w:lang w:val="en-GB"/>
              </w:rPr>
              <w:t>0.067</w:t>
            </w:r>
          </w:p>
        </w:tc>
      </w:tr>
    </w:tbl>
    <w:p w14:paraId="304BDF27" w14:textId="4D8D0820"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w:t>
      </w:r>
      <w:r w:rsidR="00FB454C">
        <w:rPr>
          <w:noProof/>
        </w:rPr>
        <w:fldChar w:fldCharType="end"/>
      </w:r>
      <w:r w:rsidR="00944F54">
        <w:t>: T</w:t>
      </w:r>
      <w:r w:rsidR="001D2587" w:rsidRPr="000855B2">
        <w:t>ier 1 emiss</w:t>
      </w:r>
      <w:r w:rsidR="00774D7F" w:rsidRPr="000855B2">
        <w:t>ion factors for ID(1,2,3-cd)P and B</w:t>
      </w:r>
      <w:r w:rsidR="001D2587" w:rsidRPr="000855B2">
        <w:t>(k)F</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7A612463" w14:textId="77777777" w:rsidTr="00887829">
        <w:trPr>
          <w:trHeight w:val="242"/>
        </w:trPr>
        <w:tc>
          <w:tcPr>
            <w:tcW w:w="1272" w:type="dxa"/>
            <w:vMerge w:val="restart"/>
            <w:vAlign w:val="center"/>
          </w:tcPr>
          <w:p w14:paraId="69BCB5D4"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07987DFB"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0025B23F"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ID(1,2,3-</w:t>
            </w:r>
            <w:r w:rsidRPr="00EA0EF5">
              <w:rPr>
                <w:b/>
                <w:color w:val="000000"/>
                <w:szCs w:val="20"/>
                <w:lang w:val="en-GB"/>
              </w:rPr>
              <w:t>cd)P</w:t>
            </w:r>
          </w:p>
        </w:tc>
        <w:tc>
          <w:tcPr>
            <w:tcW w:w="2791" w:type="dxa"/>
            <w:gridSpan w:val="3"/>
            <w:vAlign w:val="center"/>
          </w:tcPr>
          <w:p w14:paraId="4133C6DF"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B(k)F</w:t>
            </w:r>
          </w:p>
        </w:tc>
      </w:tr>
      <w:tr w:rsidR="008A3855" w:rsidRPr="000855B2" w14:paraId="49F7F0D2" w14:textId="77777777" w:rsidTr="00887829">
        <w:trPr>
          <w:trHeight w:val="242"/>
        </w:trPr>
        <w:tc>
          <w:tcPr>
            <w:tcW w:w="1272" w:type="dxa"/>
            <w:vMerge/>
            <w:vAlign w:val="center"/>
          </w:tcPr>
          <w:p w14:paraId="7BBDEE36"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40687E62"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03C55DAE"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45A79B27"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09F17C0B" w14:textId="77777777" w:rsidTr="00246BA6">
        <w:trPr>
          <w:trHeight w:val="255"/>
        </w:trPr>
        <w:tc>
          <w:tcPr>
            <w:tcW w:w="1272" w:type="dxa"/>
            <w:vMerge/>
            <w:tcBorders>
              <w:bottom w:val="single" w:sz="12" w:space="0" w:color="auto"/>
            </w:tcBorders>
            <w:vAlign w:val="center"/>
          </w:tcPr>
          <w:p w14:paraId="47DE9755"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41607910"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2D1124D8"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05BF37A2"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13C5E811"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2A64A014"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715DF92D"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3D2D325A"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737A830B" w14:textId="77777777" w:rsidTr="00246BA6">
        <w:trPr>
          <w:trHeight w:val="242"/>
        </w:trPr>
        <w:tc>
          <w:tcPr>
            <w:tcW w:w="1272" w:type="dxa"/>
            <w:vMerge w:val="restart"/>
            <w:tcBorders>
              <w:top w:val="single" w:sz="12" w:space="0" w:color="auto"/>
            </w:tcBorders>
            <w:vAlign w:val="center"/>
          </w:tcPr>
          <w:p w14:paraId="1030613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2B0DCC01"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4B57FA1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0922E36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1.33</w:t>
            </w:r>
            <w:r w:rsidR="009F3B82">
              <w:rPr>
                <w:color w:val="000000"/>
                <w:szCs w:val="20"/>
                <w:lang w:val="en-GB"/>
              </w:rPr>
              <w:t>E</w:t>
            </w:r>
            <w:r w:rsidRPr="000855B2">
              <w:rPr>
                <w:color w:val="000000"/>
                <w:szCs w:val="20"/>
                <w:vertAlign w:val="superscript"/>
                <w:lang w:val="en-GB"/>
              </w:rPr>
              <w:t>-05</w:t>
            </w:r>
          </w:p>
        </w:tc>
        <w:tc>
          <w:tcPr>
            <w:tcW w:w="931" w:type="dxa"/>
            <w:tcBorders>
              <w:top w:val="single" w:sz="12" w:space="0" w:color="auto"/>
            </w:tcBorders>
            <w:vAlign w:val="center"/>
          </w:tcPr>
          <w:p w14:paraId="1A7AE17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7727DC5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4F3D784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c>
          <w:tcPr>
            <w:tcW w:w="931" w:type="dxa"/>
            <w:tcBorders>
              <w:top w:val="single" w:sz="12" w:space="0" w:color="auto"/>
            </w:tcBorders>
            <w:vAlign w:val="center"/>
          </w:tcPr>
          <w:p w14:paraId="043B56B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r>
      <w:tr w:rsidR="00E11887" w:rsidRPr="000855B2" w14:paraId="6EA270CB" w14:textId="77777777" w:rsidTr="00887829">
        <w:trPr>
          <w:trHeight w:val="242"/>
        </w:trPr>
        <w:tc>
          <w:tcPr>
            <w:tcW w:w="1272" w:type="dxa"/>
            <w:vMerge/>
            <w:vAlign w:val="center"/>
          </w:tcPr>
          <w:p w14:paraId="3E0231A9"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7537F330"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7E796D9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2.12</w:t>
            </w:r>
            <w:r w:rsidR="009F3B82">
              <w:rPr>
                <w:color w:val="000000"/>
                <w:szCs w:val="20"/>
                <w:lang w:val="en-GB"/>
              </w:rPr>
              <w:t>E</w:t>
            </w:r>
            <w:r w:rsidRPr="000855B2">
              <w:rPr>
                <w:color w:val="000000"/>
                <w:szCs w:val="20"/>
                <w:vertAlign w:val="superscript"/>
                <w:lang w:val="en-GB"/>
              </w:rPr>
              <w:t>-05</w:t>
            </w:r>
          </w:p>
        </w:tc>
        <w:tc>
          <w:tcPr>
            <w:tcW w:w="930" w:type="dxa"/>
            <w:vAlign w:val="center"/>
          </w:tcPr>
          <w:p w14:paraId="136F704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4.05</w:t>
            </w:r>
            <w:r w:rsidR="009F3B82">
              <w:rPr>
                <w:color w:val="000000"/>
                <w:szCs w:val="20"/>
                <w:lang w:val="en-GB"/>
              </w:rPr>
              <w:t>E</w:t>
            </w:r>
            <w:r w:rsidRPr="000855B2">
              <w:rPr>
                <w:color w:val="000000"/>
                <w:szCs w:val="20"/>
                <w:vertAlign w:val="superscript"/>
                <w:lang w:val="en-GB"/>
              </w:rPr>
              <w:t>-05</w:t>
            </w:r>
          </w:p>
        </w:tc>
        <w:tc>
          <w:tcPr>
            <w:tcW w:w="931" w:type="dxa"/>
            <w:vAlign w:val="center"/>
          </w:tcPr>
          <w:p w14:paraId="35328BC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1.11</w:t>
            </w:r>
            <w:r w:rsidR="009F3B82">
              <w:rPr>
                <w:color w:val="000000"/>
                <w:szCs w:val="20"/>
                <w:lang w:val="en-GB"/>
              </w:rPr>
              <w:t>E</w:t>
            </w:r>
            <w:r w:rsidRPr="000855B2">
              <w:rPr>
                <w:color w:val="000000"/>
                <w:szCs w:val="20"/>
                <w:vertAlign w:val="superscript"/>
                <w:lang w:val="en-GB"/>
              </w:rPr>
              <w:t>-05</w:t>
            </w:r>
          </w:p>
        </w:tc>
        <w:tc>
          <w:tcPr>
            <w:tcW w:w="930" w:type="dxa"/>
            <w:vAlign w:val="center"/>
          </w:tcPr>
          <w:p w14:paraId="6F2988D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1.18</w:t>
            </w:r>
            <w:r w:rsidR="009F3B82">
              <w:rPr>
                <w:color w:val="000000"/>
                <w:szCs w:val="20"/>
                <w:lang w:val="en-GB"/>
              </w:rPr>
              <w:t>E</w:t>
            </w:r>
            <w:r w:rsidRPr="000855B2">
              <w:rPr>
                <w:color w:val="000000"/>
                <w:szCs w:val="20"/>
                <w:vertAlign w:val="superscript"/>
                <w:lang w:val="en-GB"/>
              </w:rPr>
              <w:t>-05</w:t>
            </w:r>
          </w:p>
        </w:tc>
        <w:tc>
          <w:tcPr>
            <w:tcW w:w="930" w:type="dxa"/>
            <w:vAlign w:val="center"/>
          </w:tcPr>
          <w:p w14:paraId="2774873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4.58</w:t>
            </w:r>
            <w:r w:rsidR="009F3B82">
              <w:rPr>
                <w:color w:val="000000"/>
                <w:szCs w:val="20"/>
                <w:lang w:val="en-GB"/>
              </w:rPr>
              <w:t>E</w:t>
            </w:r>
            <w:r w:rsidRPr="000855B2">
              <w:rPr>
                <w:color w:val="000000"/>
                <w:szCs w:val="20"/>
                <w:vertAlign w:val="superscript"/>
                <w:lang w:val="en-GB"/>
              </w:rPr>
              <w:t>-05</w:t>
            </w:r>
          </w:p>
        </w:tc>
        <w:tc>
          <w:tcPr>
            <w:tcW w:w="931" w:type="dxa"/>
            <w:vAlign w:val="center"/>
          </w:tcPr>
          <w:p w14:paraId="3C74F9D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3.00</w:t>
            </w:r>
            <w:r w:rsidR="009F3B82">
              <w:rPr>
                <w:color w:val="000000"/>
                <w:szCs w:val="20"/>
                <w:lang w:val="en-GB"/>
              </w:rPr>
              <w:t>E</w:t>
            </w:r>
            <w:r w:rsidRPr="000855B2">
              <w:rPr>
                <w:color w:val="000000"/>
                <w:szCs w:val="20"/>
                <w:vertAlign w:val="superscript"/>
                <w:lang w:val="en-GB"/>
              </w:rPr>
              <w:t>-06</w:t>
            </w:r>
          </w:p>
        </w:tc>
      </w:tr>
      <w:tr w:rsidR="00E11887" w:rsidRPr="000855B2" w14:paraId="7B5B44E2" w14:textId="77777777" w:rsidTr="00887829">
        <w:trPr>
          <w:trHeight w:val="255"/>
        </w:trPr>
        <w:tc>
          <w:tcPr>
            <w:tcW w:w="1272" w:type="dxa"/>
            <w:vMerge/>
            <w:vAlign w:val="center"/>
          </w:tcPr>
          <w:p w14:paraId="68CE0FF5"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44471FB7"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7798970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33E6E8C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1" w:type="dxa"/>
            <w:vAlign w:val="center"/>
          </w:tcPr>
          <w:p w14:paraId="3C7D9A5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39962F2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519CC70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1" w:type="dxa"/>
            <w:vAlign w:val="center"/>
          </w:tcPr>
          <w:p w14:paraId="068D720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r>
      <w:tr w:rsidR="00E11887" w:rsidRPr="000855B2" w14:paraId="38D95BAC" w14:textId="77777777" w:rsidTr="00887829">
        <w:trPr>
          <w:trHeight w:val="242"/>
        </w:trPr>
        <w:tc>
          <w:tcPr>
            <w:tcW w:w="1272" w:type="dxa"/>
            <w:vMerge w:val="restart"/>
            <w:vAlign w:val="center"/>
          </w:tcPr>
          <w:p w14:paraId="776E9EF7"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69D55626"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3856E9B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6.90</w:t>
            </w:r>
            <w:r w:rsidR="009F3B82">
              <w:rPr>
                <w:color w:val="000000"/>
                <w:szCs w:val="20"/>
                <w:lang w:val="en-GB"/>
              </w:rPr>
              <w:t>E</w:t>
            </w:r>
            <w:r w:rsidRPr="000855B2">
              <w:rPr>
                <w:color w:val="000000"/>
                <w:szCs w:val="20"/>
                <w:vertAlign w:val="superscript"/>
                <w:lang w:val="en-GB"/>
              </w:rPr>
              <w:t>-06</w:t>
            </w:r>
          </w:p>
        </w:tc>
        <w:tc>
          <w:tcPr>
            <w:tcW w:w="930" w:type="dxa"/>
            <w:vAlign w:val="center"/>
          </w:tcPr>
          <w:p w14:paraId="7950D94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1.21</w:t>
            </w:r>
            <w:r w:rsidR="009F3B82">
              <w:rPr>
                <w:color w:val="000000"/>
                <w:szCs w:val="20"/>
                <w:lang w:val="en-GB"/>
              </w:rPr>
              <w:t>E</w:t>
            </w:r>
            <w:r w:rsidRPr="000855B2">
              <w:rPr>
                <w:color w:val="000000"/>
                <w:szCs w:val="20"/>
                <w:vertAlign w:val="superscript"/>
                <w:lang w:val="en-GB"/>
              </w:rPr>
              <w:t>-05</w:t>
            </w:r>
          </w:p>
        </w:tc>
        <w:tc>
          <w:tcPr>
            <w:tcW w:w="931" w:type="dxa"/>
            <w:vAlign w:val="center"/>
          </w:tcPr>
          <w:p w14:paraId="2DABB9A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3.90</w:t>
            </w:r>
            <w:r w:rsidR="009F3B82">
              <w:rPr>
                <w:color w:val="000000"/>
                <w:szCs w:val="20"/>
                <w:lang w:val="en-GB"/>
              </w:rPr>
              <w:t>E</w:t>
            </w:r>
            <w:r w:rsidRPr="000855B2">
              <w:rPr>
                <w:color w:val="000000"/>
                <w:szCs w:val="20"/>
                <w:vertAlign w:val="superscript"/>
                <w:lang w:val="en-GB"/>
              </w:rPr>
              <w:t>-06</w:t>
            </w:r>
          </w:p>
        </w:tc>
        <w:tc>
          <w:tcPr>
            <w:tcW w:w="930" w:type="dxa"/>
            <w:vAlign w:val="center"/>
          </w:tcPr>
          <w:p w14:paraId="2FFD2AA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3.00</w:t>
            </w:r>
            <w:r w:rsidR="009F3B82">
              <w:rPr>
                <w:color w:val="000000"/>
                <w:szCs w:val="20"/>
                <w:lang w:val="en-GB"/>
              </w:rPr>
              <w:t>E</w:t>
            </w:r>
            <w:r w:rsidRPr="000855B2">
              <w:rPr>
                <w:color w:val="000000"/>
                <w:szCs w:val="20"/>
                <w:vertAlign w:val="superscript"/>
                <w:lang w:val="en-GB"/>
              </w:rPr>
              <w:t>-06</w:t>
            </w:r>
          </w:p>
        </w:tc>
        <w:tc>
          <w:tcPr>
            <w:tcW w:w="930" w:type="dxa"/>
            <w:vAlign w:val="center"/>
          </w:tcPr>
          <w:p w14:paraId="1E5B433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3.50</w:t>
            </w:r>
            <w:r w:rsidR="009F3B82">
              <w:rPr>
                <w:color w:val="000000"/>
                <w:szCs w:val="20"/>
                <w:lang w:val="en-GB"/>
              </w:rPr>
              <w:t>E</w:t>
            </w:r>
            <w:r w:rsidRPr="000855B2">
              <w:rPr>
                <w:color w:val="000000"/>
                <w:szCs w:val="20"/>
                <w:vertAlign w:val="superscript"/>
                <w:lang w:val="en-GB"/>
              </w:rPr>
              <w:t>-06</w:t>
            </w:r>
          </w:p>
        </w:tc>
        <w:tc>
          <w:tcPr>
            <w:tcW w:w="931" w:type="dxa"/>
            <w:vAlign w:val="center"/>
          </w:tcPr>
          <w:p w14:paraId="2E2E149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2.60</w:t>
            </w:r>
            <w:r w:rsidR="009F3B82">
              <w:rPr>
                <w:color w:val="000000"/>
                <w:szCs w:val="20"/>
                <w:lang w:val="en-GB"/>
              </w:rPr>
              <w:t>E</w:t>
            </w:r>
            <w:r w:rsidRPr="000855B2">
              <w:rPr>
                <w:color w:val="000000"/>
                <w:szCs w:val="20"/>
                <w:vertAlign w:val="superscript"/>
                <w:lang w:val="en-GB"/>
              </w:rPr>
              <w:t>-06</w:t>
            </w:r>
          </w:p>
        </w:tc>
      </w:tr>
      <w:tr w:rsidR="00E11887" w:rsidRPr="000855B2" w14:paraId="6E145971" w14:textId="77777777" w:rsidTr="00887829">
        <w:trPr>
          <w:trHeight w:val="255"/>
        </w:trPr>
        <w:tc>
          <w:tcPr>
            <w:tcW w:w="1272" w:type="dxa"/>
            <w:vMerge/>
            <w:vAlign w:val="center"/>
          </w:tcPr>
          <w:p w14:paraId="059E9567"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FD64192"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499E5DD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1.58</w:t>
            </w:r>
            <w:r w:rsidR="009F3B82">
              <w:rPr>
                <w:color w:val="000000"/>
                <w:szCs w:val="20"/>
                <w:lang w:val="en-GB"/>
              </w:rPr>
              <w:t>E</w:t>
            </w:r>
            <w:r w:rsidRPr="000855B2">
              <w:rPr>
                <w:color w:val="000000"/>
                <w:szCs w:val="20"/>
                <w:vertAlign w:val="superscript"/>
                <w:lang w:val="en-GB"/>
              </w:rPr>
              <w:t>-05</w:t>
            </w:r>
          </w:p>
        </w:tc>
        <w:tc>
          <w:tcPr>
            <w:tcW w:w="930" w:type="dxa"/>
            <w:vAlign w:val="center"/>
          </w:tcPr>
          <w:p w14:paraId="5B841A1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2.84</w:t>
            </w:r>
            <w:r w:rsidR="009F3B82">
              <w:rPr>
                <w:color w:val="000000"/>
                <w:szCs w:val="20"/>
                <w:lang w:val="en-GB"/>
              </w:rPr>
              <w:t>E</w:t>
            </w:r>
            <w:r w:rsidRPr="000855B2">
              <w:rPr>
                <w:color w:val="000000"/>
                <w:szCs w:val="20"/>
                <w:vertAlign w:val="superscript"/>
                <w:lang w:val="en-GB"/>
              </w:rPr>
              <w:t>-05</w:t>
            </w:r>
          </w:p>
        </w:tc>
        <w:tc>
          <w:tcPr>
            <w:tcW w:w="931" w:type="dxa"/>
            <w:vAlign w:val="center"/>
          </w:tcPr>
          <w:p w14:paraId="75E8C0C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8.70</w:t>
            </w:r>
            <w:r w:rsidR="009F3B82">
              <w:rPr>
                <w:color w:val="000000"/>
                <w:szCs w:val="20"/>
                <w:lang w:val="en-GB"/>
              </w:rPr>
              <w:t>E</w:t>
            </w:r>
            <w:r w:rsidRPr="000855B2">
              <w:rPr>
                <w:color w:val="000000"/>
                <w:szCs w:val="20"/>
                <w:vertAlign w:val="superscript"/>
                <w:lang w:val="en-GB"/>
              </w:rPr>
              <w:t>-06</w:t>
            </w:r>
          </w:p>
        </w:tc>
        <w:tc>
          <w:tcPr>
            <w:tcW w:w="930" w:type="dxa"/>
            <w:vAlign w:val="center"/>
          </w:tcPr>
          <w:p w14:paraId="7D38CB3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8.70</w:t>
            </w:r>
            <w:r w:rsidR="009F3B82">
              <w:rPr>
                <w:color w:val="000000"/>
                <w:szCs w:val="20"/>
                <w:lang w:val="en-GB"/>
              </w:rPr>
              <w:t>E</w:t>
            </w:r>
            <w:r w:rsidRPr="000855B2">
              <w:rPr>
                <w:color w:val="000000"/>
                <w:szCs w:val="20"/>
                <w:vertAlign w:val="superscript"/>
                <w:lang w:val="en-GB"/>
              </w:rPr>
              <w:t>-06</w:t>
            </w:r>
          </w:p>
        </w:tc>
        <w:tc>
          <w:tcPr>
            <w:tcW w:w="930" w:type="dxa"/>
            <w:vAlign w:val="center"/>
          </w:tcPr>
          <w:p w14:paraId="06D8E1E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3.21</w:t>
            </w:r>
            <w:r w:rsidR="009F3B82">
              <w:rPr>
                <w:color w:val="000000"/>
                <w:szCs w:val="20"/>
                <w:lang w:val="en-GB"/>
              </w:rPr>
              <w:t>E</w:t>
            </w:r>
            <w:r w:rsidRPr="000855B2">
              <w:rPr>
                <w:color w:val="000000"/>
                <w:szCs w:val="20"/>
                <w:vertAlign w:val="superscript"/>
                <w:lang w:val="en-GB"/>
              </w:rPr>
              <w:t>-05</w:t>
            </w:r>
          </w:p>
        </w:tc>
        <w:tc>
          <w:tcPr>
            <w:tcW w:w="931" w:type="dxa"/>
            <w:vAlign w:val="center"/>
          </w:tcPr>
          <w:p w14:paraId="495F74E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2.40</w:t>
            </w:r>
            <w:r w:rsidR="009F3B82">
              <w:rPr>
                <w:color w:val="000000"/>
                <w:szCs w:val="20"/>
                <w:lang w:val="en-GB"/>
              </w:rPr>
              <w:t>E</w:t>
            </w:r>
            <w:r w:rsidRPr="000855B2">
              <w:rPr>
                <w:color w:val="000000"/>
                <w:szCs w:val="20"/>
                <w:vertAlign w:val="superscript"/>
                <w:lang w:val="en-GB"/>
              </w:rPr>
              <w:t>-06</w:t>
            </w:r>
          </w:p>
        </w:tc>
      </w:tr>
      <w:tr w:rsidR="00E11887" w:rsidRPr="000855B2" w14:paraId="33B55EAA" w14:textId="77777777" w:rsidTr="00887829">
        <w:trPr>
          <w:trHeight w:val="242"/>
        </w:trPr>
        <w:tc>
          <w:tcPr>
            <w:tcW w:w="1272" w:type="dxa"/>
            <w:vMerge w:val="restart"/>
            <w:vAlign w:val="center"/>
          </w:tcPr>
          <w:p w14:paraId="1DB8459B"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41530108"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85B72D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7.90</w:t>
            </w:r>
            <w:r w:rsidR="009F3B82">
              <w:rPr>
                <w:color w:val="000000"/>
                <w:szCs w:val="20"/>
                <w:lang w:val="en-GB"/>
              </w:rPr>
              <w:t>E</w:t>
            </w:r>
            <w:r w:rsidRPr="000855B2">
              <w:rPr>
                <w:color w:val="000000"/>
                <w:szCs w:val="20"/>
                <w:vertAlign w:val="superscript"/>
                <w:lang w:val="en-GB"/>
              </w:rPr>
              <w:t>-06</w:t>
            </w:r>
          </w:p>
        </w:tc>
        <w:tc>
          <w:tcPr>
            <w:tcW w:w="930" w:type="dxa"/>
            <w:vAlign w:val="center"/>
          </w:tcPr>
          <w:p w14:paraId="5750666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8.60</w:t>
            </w:r>
            <w:r w:rsidR="009F3B82">
              <w:rPr>
                <w:color w:val="000000"/>
                <w:szCs w:val="20"/>
                <w:lang w:val="en-GB"/>
              </w:rPr>
              <w:t>E</w:t>
            </w:r>
            <w:r w:rsidRPr="000855B2">
              <w:rPr>
                <w:color w:val="000000"/>
                <w:szCs w:val="20"/>
                <w:vertAlign w:val="superscript"/>
                <w:lang w:val="en-GB"/>
              </w:rPr>
              <w:t>-06</w:t>
            </w:r>
          </w:p>
        </w:tc>
        <w:tc>
          <w:tcPr>
            <w:tcW w:w="931" w:type="dxa"/>
            <w:vAlign w:val="center"/>
          </w:tcPr>
          <w:p w14:paraId="4275A39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7.30</w:t>
            </w:r>
            <w:r w:rsidR="009F3B82">
              <w:rPr>
                <w:color w:val="000000"/>
                <w:szCs w:val="20"/>
                <w:lang w:val="en-GB"/>
              </w:rPr>
              <w:t>E</w:t>
            </w:r>
            <w:r w:rsidRPr="000855B2">
              <w:rPr>
                <w:color w:val="000000"/>
                <w:szCs w:val="20"/>
                <w:vertAlign w:val="superscript"/>
                <w:lang w:val="en-GB"/>
              </w:rPr>
              <w:t>-06</w:t>
            </w:r>
          </w:p>
        </w:tc>
        <w:tc>
          <w:tcPr>
            <w:tcW w:w="930" w:type="dxa"/>
            <w:vAlign w:val="center"/>
          </w:tcPr>
          <w:p w14:paraId="36126CD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3.44</w:t>
            </w:r>
            <w:r w:rsidR="009F3B82">
              <w:rPr>
                <w:color w:val="000000"/>
                <w:szCs w:val="20"/>
                <w:lang w:val="en-GB"/>
              </w:rPr>
              <w:t>E</w:t>
            </w:r>
            <w:r w:rsidRPr="000855B2">
              <w:rPr>
                <w:color w:val="000000"/>
                <w:szCs w:val="20"/>
                <w:vertAlign w:val="superscript"/>
                <w:lang w:val="en-GB"/>
              </w:rPr>
              <w:t>-05</w:t>
            </w:r>
          </w:p>
        </w:tc>
        <w:tc>
          <w:tcPr>
            <w:tcW w:w="930" w:type="dxa"/>
            <w:vAlign w:val="center"/>
          </w:tcPr>
          <w:p w14:paraId="7BE7484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3.72</w:t>
            </w:r>
            <w:r w:rsidR="009F3B82">
              <w:rPr>
                <w:color w:val="000000"/>
                <w:szCs w:val="20"/>
                <w:lang w:val="en-GB"/>
              </w:rPr>
              <w:t>E</w:t>
            </w:r>
            <w:r w:rsidRPr="000855B2">
              <w:rPr>
                <w:color w:val="000000"/>
                <w:szCs w:val="20"/>
                <w:vertAlign w:val="superscript"/>
                <w:lang w:val="en-GB"/>
              </w:rPr>
              <w:t>-05</w:t>
            </w:r>
          </w:p>
        </w:tc>
        <w:tc>
          <w:tcPr>
            <w:tcW w:w="931" w:type="dxa"/>
            <w:vAlign w:val="center"/>
          </w:tcPr>
          <w:p w14:paraId="72CCBE8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3.18</w:t>
            </w:r>
            <w:r w:rsidR="009F3B82">
              <w:rPr>
                <w:color w:val="000000"/>
                <w:szCs w:val="20"/>
                <w:lang w:val="en-GB"/>
              </w:rPr>
              <w:t>E</w:t>
            </w:r>
            <w:r w:rsidRPr="000855B2">
              <w:rPr>
                <w:color w:val="000000"/>
                <w:szCs w:val="20"/>
                <w:vertAlign w:val="superscript"/>
                <w:lang w:val="en-GB"/>
              </w:rPr>
              <w:t>-05</w:t>
            </w:r>
          </w:p>
        </w:tc>
      </w:tr>
      <w:tr w:rsidR="00E11887" w:rsidRPr="000855B2" w14:paraId="6CCC2097" w14:textId="77777777" w:rsidTr="00887829">
        <w:trPr>
          <w:trHeight w:val="255"/>
        </w:trPr>
        <w:tc>
          <w:tcPr>
            <w:tcW w:w="1272" w:type="dxa"/>
            <w:vMerge/>
            <w:vAlign w:val="center"/>
          </w:tcPr>
          <w:p w14:paraId="4FFD66B7"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475A54D8"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6F75BE8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131C307F"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3B7D229F"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4AA6073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5E701143"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0C532557" w14:textId="77777777" w:rsidR="00E11887" w:rsidRPr="000855B2" w:rsidRDefault="00E11887" w:rsidP="005C7955">
            <w:pPr>
              <w:keepNext/>
              <w:keepLines/>
              <w:suppressAutoHyphens/>
              <w:spacing w:line="240" w:lineRule="atLeast"/>
              <w:jc w:val="center"/>
              <w:rPr>
                <w:color w:val="000000"/>
                <w:szCs w:val="20"/>
                <w:lang w:val="en-GB"/>
              </w:rPr>
            </w:pPr>
          </w:p>
        </w:tc>
      </w:tr>
      <w:tr w:rsidR="00686215" w:rsidRPr="000855B2" w14:paraId="1B7CA15C" w14:textId="77777777" w:rsidTr="00887829">
        <w:trPr>
          <w:trHeight w:val="255"/>
        </w:trPr>
        <w:tc>
          <w:tcPr>
            <w:tcW w:w="1272" w:type="dxa"/>
            <w:vAlign w:val="center"/>
          </w:tcPr>
          <w:p w14:paraId="6E0B4494" w14:textId="77777777" w:rsidR="00686215" w:rsidRPr="000855B2" w:rsidRDefault="00686215" w:rsidP="005C7955">
            <w:pPr>
              <w:keepNext/>
              <w:keepLines/>
              <w:suppressAutoHyphens/>
              <w:spacing w:line="240" w:lineRule="atLeast"/>
              <w:rPr>
                <w:color w:val="000000"/>
                <w:szCs w:val="20"/>
                <w:lang w:val="en-GB"/>
              </w:rPr>
            </w:pPr>
            <w:r w:rsidRPr="000855B2">
              <w:rPr>
                <w:color w:val="000000"/>
                <w:szCs w:val="20"/>
                <w:lang w:val="en-GB"/>
              </w:rPr>
              <w:t>Two-wheel</w:t>
            </w:r>
          </w:p>
        </w:tc>
        <w:tc>
          <w:tcPr>
            <w:tcW w:w="1491" w:type="dxa"/>
            <w:vAlign w:val="center"/>
          </w:tcPr>
          <w:p w14:paraId="4152C831" w14:textId="77777777" w:rsidR="00686215"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1FD6E555" w14:textId="77777777" w:rsidR="00686215" w:rsidRPr="000855B2" w:rsidRDefault="00686215" w:rsidP="005C7955">
            <w:pPr>
              <w:keepNext/>
              <w:keepLines/>
              <w:suppressAutoHyphens/>
              <w:spacing w:line="240" w:lineRule="atLeast"/>
              <w:jc w:val="center"/>
              <w:rPr>
                <w:color w:val="000000"/>
                <w:szCs w:val="20"/>
                <w:lang w:val="en-GB"/>
              </w:rPr>
            </w:pPr>
            <w:r w:rsidRPr="000855B2">
              <w:rPr>
                <w:color w:val="000000"/>
                <w:szCs w:val="20"/>
                <w:lang w:val="en-GB"/>
              </w:rPr>
              <w:t>1.02</w:t>
            </w:r>
            <w:r w:rsidR="009F3B82">
              <w:rPr>
                <w:color w:val="000000"/>
                <w:szCs w:val="20"/>
                <w:lang w:val="en-GB"/>
              </w:rPr>
              <w:t>E</w:t>
            </w:r>
            <w:r w:rsidRPr="000855B2">
              <w:rPr>
                <w:color w:val="000000"/>
                <w:szCs w:val="20"/>
                <w:vertAlign w:val="superscript"/>
                <w:lang w:val="en-GB"/>
              </w:rPr>
              <w:t>-05</w:t>
            </w:r>
          </w:p>
        </w:tc>
        <w:tc>
          <w:tcPr>
            <w:tcW w:w="930" w:type="dxa"/>
            <w:vAlign w:val="center"/>
          </w:tcPr>
          <w:p w14:paraId="1228A614" w14:textId="77777777" w:rsidR="00686215" w:rsidRPr="000855B2" w:rsidRDefault="00686215" w:rsidP="005C7955">
            <w:pPr>
              <w:keepNext/>
              <w:keepLines/>
              <w:suppressAutoHyphens/>
              <w:spacing w:line="240" w:lineRule="atLeast"/>
              <w:jc w:val="center"/>
              <w:rPr>
                <w:color w:val="000000"/>
                <w:szCs w:val="20"/>
                <w:lang w:val="en-GB"/>
              </w:rPr>
            </w:pPr>
            <w:r w:rsidRPr="000855B2">
              <w:rPr>
                <w:color w:val="000000"/>
                <w:szCs w:val="20"/>
                <w:lang w:val="en-GB"/>
              </w:rPr>
              <w:t>1.0</w:t>
            </w:r>
            <w:r w:rsidR="0050668B" w:rsidRPr="000855B2">
              <w:rPr>
                <w:color w:val="000000"/>
                <w:szCs w:val="20"/>
                <w:lang w:val="en-GB"/>
              </w:rPr>
              <w:t>4</w:t>
            </w:r>
            <w:r w:rsidR="009F3B82">
              <w:rPr>
                <w:color w:val="000000"/>
                <w:szCs w:val="20"/>
                <w:lang w:val="en-GB"/>
              </w:rPr>
              <w:t>E</w:t>
            </w:r>
            <w:r w:rsidRPr="000855B2">
              <w:rPr>
                <w:color w:val="000000"/>
                <w:szCs w:val="20"/>
                <w:vertAlign w:val="superscript"/>
                <w:lang w:val="en-GB"/>
              </w:rPr>
              <w:t>-05</w:t>
            </w:r>
          </w:p>
        </w:tc>
        <w:tc>
          <w:tcPr>
            <w:tcW w:w="931" w:type="dxa"/>
            <w:vAlign w:val="center"/>
          </w:tcPr>
          <w:p w14:paraId="3C780995" w14:textId="77777777" w:rsidR="00686215" w:rsidRPr="000855B2" w:rsidRDefault="00686215" w:rsidP="005C7955">
            <w:pPr>
              <w:keepNext/>
              <w:keepLines/>
              <w:suppressAutoHyphens/>
              <w:spacing w:line="240" w:lineRule="atLeast"/>
              <w:jc w:val="center"/>
              <w:rPr>
                <w:color w:val="000000"/>
                <w:szCs w:val="20"/>
                <w:lang w:val="en-GB"/>
              </w:rPr>
            </w:pPr>
            <w:r w:rsidRPr="000855B2">
              <w:rPr>
                <w:color w:val="000000"/>
                <w:szCs w:val="20"/>
                <w:lang w:val="en-GB"/>
              </w:rPr>
              <w:t>1.0</w:t>
            </w:r>
            <w:r w:rsidR="0050668B" w:rsidRPr="000855B2">
              <w:rPr>
                <w:color w:val="000000"/>
                <w:szCs w:val="20"/>
                <w:lang w:val="en-GB"/>
              </w:rPr>
              <w:t>0</w:t>
            </w:r>
            <w:r w:rsidR="009F3B82">
              <w:rPr>
                <w:color w:val="000000"/>
                <w:szCs w:val="20"/>
                <w:lang w:val="en-GB"/>
              </w:rPr>
              <w:t>E</w:t>
            </w:r>
            <w:r w:rsidRPr="000855B2">
              <w:rPr>
                <w:color w:val="000000"/>
                <w:szCs w:val="20"/>
                <w:vertAlign w:val="superscript"/>
                <w:lang w:val="en-GB"/>
              </w:rPr>
              <w:t>-05</w:t>
            </w:r>
          </w:p>
        </w:tc>
        <w:tc>
          <w:tcPr>
            <w:tcW w:w="930" w:type="dxa"/>
            <w:vAlign w:val="center"/>
          </w:tcPr>
          <w:p w14:paraId="64147B6F" w14:textId="77777777" w:rsidR="00686215" w:rsidRPr="000855B2" w:rsidRDefault="0050668B" w:rsidP="005C7955">
            <w:pPr>
              <w:keepNext/>
              <w:keepLines/>
              <w:suppressAutoHyphens/>
              <w:spacing w:line="240" w:lineRule="atLeast"/>
              <w:jc w:val="center"/>
              <w:rPr>
                <w:color w:val="000000"/>
                <w:szCs w:val="20"/>
                <w:lang w:val="en-GB"/>
              </w:rPr>
            </w:pPr>
            <w:r w:rsidRPr="000855B2">
              <w:rPr>
                <w:color w:val="000000"/>
                <w:szCs w:val="20"/>
                <w:lang w:val="en-GB"/>
              </w:rPr>
              <w:t>6</w:t>
            </w:r>
            <w:r w:rsidR="00686215" w:rsidRPr="000855B2">
              <w:rPr>
                <w:color w:val="000000"/>
                <w:szCs w:val="20"/>
                <w:lang w:val="en-GB"/>
              </w:rPr>
              <w:t>.</w:t>
            </w:r>
            <w:r w:rsidRPr="000855B2">
              <w:rPr>
                <w:color w:val="000000"/>
                <w:szCs w:val="20"/>
                <w:lang w:val="en-GB"/>
              </w:rPr>
              <w:t>80</w:t>
            </w:r>
            <w:r w:rsidR="009F3B82">
              <w:rPr>
                <w:color w:val="000000"/>
                <w:szCs w:val="20"/>
                <w:lang w:val="en-GB"/>
              </w:rPr>
              <w:t>E</w:t>
            </w:r>
            <w:r w:rsidR="00686215" w:rsidRPr="000855B2">
              <w:rPr>
                <w:color w:val="000000"/>
                <w:szCs w:val="20"/>
                <w:vertAlign w:val="superscript"/>
                <w:lang w:val="en-GB"/>
              </w:rPr>
              <w:t>-0</w:t>
            </w:r>
            <w:r w:rsidRPr="000855B2">
              <w:rPr>
                <w:color w:val="000000"/>
                <w:szCs w:val="20"/>
                <w:vertAlign w:val="superscript"/>
                <w:lang w:val="en-GB"/>
              </w:rPr>
              <w:t>6</w:t>
            </w:r>
          </w:p>
        </w:tc>
        <w:tc>
          <w:tcPr>
            <w:tcW w:w="930" w:type="dxa"/>
            <w:vAlign w:val="center"/>
          </w:tcPr>
          <w:p w14:paraId="00D03728" w14:textId="77777777" w:rsidR="00686215" w:rsidRPr="000855B2" w:rsidRDefault="0050668B" w:rsidP="005C7955">
            <w:pPr>
              <w:keepNext/>
              <w:keepLines/>
              <w:suppressAutoHyphens/>
              <w:spacing w:line="240" w:lineRule="atLeast"/>
              <w:jc w:val="center"/>
              <w:rPr>
                <w:color w:val="000000"/>
                <w:szCs w:val="20"/>
                <w:lang w:val="en-GB"/>
              </w:rPr>
            </w:pPr>
            <w:r w:rsidRPr="000855B2">
              <w:rPr>
                <w:color w:val="000000"/>
                <w:szCs w:val="20"/>
                <w:lang w:val="en-GB"/>
              </w:rPr>
              <w:t>7</w:t>
            </w:r>
            <w:r w:rsidR="00686215" w:rsidRPr="000855B2">
              <w:rPr>
                <w:color w:val="000000"/>
                <w:szCs w:val="20"/>
                <w:lang w:val="en-GB"/>
              </w:rPr>
              <w:t>.0</w:t>
            </w:r>
            <w:r w:rsidRPr="000855B2">
              <w:rPr>
                <w:color w:val="000000"/>
                <w:szCs w:val="20"/>
                <w:lang w:val="en-GB"/>
              </w:rPr>
              <w:t>0</w:t>
            </w:r>
            <w:r w:rsidR="009F3B82">
              <w:rPr>
                <w:color w:val="000000"/>
                <w:szCs w:val="20"/>
                <w:lang w:val="en-GB"/>
              </w:rPr>
              <w:t>E</w:t>
            </w:r>
            <w:r w:rsidR="00686215" w:rsidRPr="000855B2">
              <w:rPr>
                <w:color w:val="000000"/>
                <w:szCs w:val="20"/>
                <w:vertAlign w:val="superscript"/>
                <w:lang w:val="en-GB"/>
              </w:rPr>
              <w:t>-0</w:t>
            </w:r>
            <w:r w:rsidRPr="000855B2">
              <w:rPr>
                <w:color w:val="000000"/>
                <w:szCs w:val="20"/>
                <w:vertAlign w:val="superscript"/>
                <w:lang w:val="en-GB"/>
              </w:rPr>
              <w:t>6</w:t>
            </w:r>
          </w:p>
        </w:tc>
        <w:tc>
          <w:tcPr>
            <w:tcW w:w="931" w:type="dxa"/>
            <w:vAlign w:val="center"/>
          </w:tcPr>
          <w:p w14:paraId="4EE0A73D" w14:textId="77777777" w:rsidR="00686215" w:rsidRPr="000855B2" w:rsidRDefault="0050668B" w:rsidP="005C7955">
            <w:pPr>
              <w:keepNext/>
              <w:keepLines/>
              <w:suppressAutoHyphens/>
              <w:spacing w:line="240" w:lineRule="atLeast"/>
              <w:jc w:val="center"/>
              <w:rPr>
                <w:color w:val="000000"/>
                <w:szCs w:val="20"/>
                <w:lang w:val="en-GB"/>
              </w:rPr>
            </w:pPr>
            <w:r w:rsidRPr="000855B2">
              <w:rPr>
                <w:color w:val="000000"/>
                <w:szCs w:val="20"/>
                <w:lang w:val="en-GB"/>
              </w:rPr>
              <w:t>6</w:t>
            </w:r>
            <w:r w:rsidR="00686215" w:rsidRPr="000855B2">
              <w:rPr>
                <w:color w:val="000000"/>
                <w:szCs w:val="20"/>
                <w:lang w:val="en-GB"/>
              </w:rPr>
              <w:t>.</w:t>
            </w:r>
            <w:r w:rsidRPr="000855B2">
              <w:rPr>
                <w:color w:val="000000"/>
                <w:szCs w:val="20"/>
                <w:lang w:val="en-GB"/>
              </w:rPr>
              <w:t>70</w:t>
            </w:r>
            <w:r w:rsidR="009F3B82">
              <w:rPr>
                <w:color w:val="000000"/>
                <w:szCs w:val="20"/>
                <w:lang w:val="en-GB"/>
              </w:rPr>
              <w:t>E</w:t>
            </w:r>
            <w:r w:rsidR="00686215" w:rsidRPr="000855B2">
              <w:rPr>
                <w:color w:val="000000"/>
                <w:szCs w:val="20"/>
                <w:vertAlign w:val="superscript"/>
                <w:lang w:val="en-GB"/>
              </w:rPr>
              <w:t>-0</w:t>
            </w:r>
            <w:r w:rsidRPr="000855B2">
              <w:rPr>
                <w:color w:val="000000"/>
                <w:szCs w:val="20"/>
                <w:vertAlign w:val="superscript"/>
                <w:lang w:val="en-GB"/>
              </w:rPr>
              <w:t>6</w:t>
            </w:r>
          </w:p>
        </w:tc>
      </w:tr>
    </w:tbl>
    <w:p w14:paraId="17470F54" w14:textId="1CC2D216" w:rsidR="001D2587" w:rsidRPr="000855B2" w:rsidRDefault="00A040D1" w:rsidP="00E43131">
      <w:pPr>
        <w:pStyle w:val="Caption"/>
      </w:pPr>
      <w:bookmarkStart w:id="74" w:name="_Ref200249282"/>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9</w:t>
      </w:r>
      <w:r w:rsidR="00FB454C">
        <w:rPr>
          <w:noProof/>
        </w:rPr>
        <w:fldChar w:fldCharType="end"/>
      </w:r>
      <w:bookmarkEnd w:id="74"/>
      <w:r w:rsidR="00944F54">
        <w:t xml:space="preserve">: </w:t>
      </w:r>
      <w:r w:rsidR="001D2587" w:rsidRPr="000855B2">
        <w:t xml:space="preserve">Tier 1 emission factors for </w:t>
      </w:r>
      <w:r w:rsidR="00201F06" w:rsidRPr="000855B2">
        <w:t>B(b)F and B(a)P</w:t>
      </w:r>
    </w:p>
    <w:tbl>
      <w:tblPr>
        <w:tblW w:w="8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gridCol w:w="930"/>
        <w:gridCol w:w="930"/>
        <w:gridCol w:w="931"/>
      </w:tblGrid>
      <w:tr w:rsidR="008A3855" w:rsidRPr="000855B2" w14:paraId="2C28F62E" w14:textId="77777777" w:rsidTr="00887829">
        <w:trPr>
          <w:trHeight w:val="242"/>
        </w:trPr>
        <w:tc>
          <w:tcPr>
            <w:tcW w:w="1272" w:type="dxa"/>
            <w:vMerge w:val="restart"/>
            <w:vAlign w:val="center"/>
          </w:tcPr>
          <w:p w14:paraId="1C23D93E"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lastRenderedPageBreak/>
              <w:t>Category</w:t>
            </w:r>
          </w:p>
        </w:tc>
        <w:tc>
          <w:tcPr>
            <w:tcW w:w="1491" w:type="dxa"/>
            <w:vMerge w:val="restart"/>
            <w:vAlign w:val="center"/>
          </w:tcPr>
          <w:p w14:paraId="2651DD31"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2D9F6716"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B(b)F</w:t>
            </w:r>
          </w:p>
        </w:tc>
        <w:tc>
          <w:tcPr>
            <w:tcW w:w="2791" w:type="dxa"/>
            <w:gridSpan w:val="3"/>
            <w:vAlign w:val="center"/>
          </w:tcPr>
          <w:p w14:paraId="57427901"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B(a)P</w:t>
            </w:r>
          </w:p>
        </w:tc>
      </w:tr>
      <w:tr w:rsidR="008A3855" w:rsidRPr="000855B2" w14:paraId="5DE28BED" w14:textId="77777777" w:rsidTr="00887829">
        <w:trPr>
          <w:trHeight w:val="242"/>
        </w:trPr>
        <w:tc>
          <w:tcPr>
            <w:tcW w:w="1272" w:type="dxa"/>
            <w:vMerge/>
            <w:vAlign w:val="center"/>
          </w:tcPr>
          <w:p w14:paraId="3A78FBE2"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4E63D748"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6746B840"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c>
          <w:tcPr>
            <w:tcW w:w="2791" w:type="dxa"/>
            <w:gridSpan w:val="3"/>
            <w:vAlign w:val="center"/>
          </w:tcPr>
          <w:p w14:paraId="1F1759F3"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025A54A8" w14:textId="77777777" w:rsidTr="00246BA6">
        <w:trPr>
          <w:trHeight w:val="255"/>
        </w:trPr>
        <w:tc>
          <w:tcPr>
            <w:tcW w:w="1272" w:type="dxa"/>
            <w:vMerge/>
            <w:tcBorders>
              <w:bottom w:val="single" w:sz="12" w:space="0" w:color="auto"/>
            </w:tcBorders>
            <w:vAlign w:val="center"/>
          </w:tcPr>
          <w:p w14:paraId="571EFC55"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5AC31EAC"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0A7C8581"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661A513F"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1AABBE3F"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c>
          <w:tcPr>
            <w:tcW w:w="930" w:type="dxa"/>
            <w:tcBorders>
              <w:bottom w:val="single" w:sz="12" w:space="0" w:color="auto"/>
            </w:tcBorders>
            <w:vAlign w:val="center"/>
          </w:tcPr>
          <w:p w14:paraId="49AE40FE"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3D001C67"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484E63E0"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5EA8CEE6" w14:textId="77777777" w:rsidTr="00246BA6">
        <w:trPr>
          <w:trHeight w:val="242"/>
        </w:trPr>
        <w:tc>
          <w:tcPr>
            <w:tcW w:w="1272" w:type="dxa"/>
            <w:vMerge w:val="restart"/>
            <w:tcBorders>
              <w:top w:val="single" w:sz="12" w:space="0" w:color="auto"/>
            </w:tcBorders>
            <w:vAlign w:val="center"/>
          </w:tcPr>
          <w:p w14:paraId="5E6E610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4B8E66D9"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310C80F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7.90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47BCD11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1.14</w:t>
            </w:r>
            <w:r w:rsidR="009F3B82">
              <w:rPr>
                <w:color w:val="000000"/>
                <w:szCs w:val="20"/>
                <w:lang w:val="en-GB"/>
              </w:rPr>
              <w:t>E</w:t>
            </w:r>
            <w:r w:rsidRPr="000855B2">
              <w:rPr>
                <w:color w:val="000000"/>
                <w:szCs w:val="20"/>
                <w:vertAlign w:val="superscript"/>
                <w:lang w:val="en-GB"/>
              </w:rPr>
              <w:t>-05</w:t>
            </w:r>
          </w:p>
        </w:tc>
        <w:tc>
          <w:tcPr>
            <w:tcW w:w="931" w:type="dxa"/>
            <w:tcBorders>
              <w:top w:val="single" w:sz="12" w:space="0" w:color="auto"/>
            </w:tcBorders>
            <w:vAlign w:val="center"/>
          </w:tcPr>
          <w:p w14:paraId="31AEF44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5.40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1FDEA1E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5.50</w:t>
            </w:r>
            <w:r w:rsidR="009F3B82">
              <w:rPr>
                <w:color w:val="000000"/>
                <w:szCs w:val="20"/>
                <w:lang w:val="en-GB"/>
              </w:rPr>
              <w:t>E</w:t>
            </w:r>
            <w:r w:rsidRPr="000855B2">
              <w:rPr>
                <w:color w:val="000000"/>
                <w:szCs w:val="20"/>
                <w:vertAlign w:val="superscript"/>
                <w:lang w:val="en-GB"/>
              </w:rPr>
              <w:t>-06</w:t>
            </w:r>
          </w:p>
        </w:tc>
        <w:tc>
          <w:tcPr>
            <w:tcW w:w="930" w:type="dxa"/>
            <w:tcBorders>
              <w:top w:val="single" w:sz="12" w:space="0" w:color="auto"/>
            </w:tcBorders>
            <w:vAlign w:val="center"/>
          </w:tcPr>
          <w:p w14:paraId="3AF6381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6.20</w:t>
            </w:r>
            <w:r w:rsidR="009F3B82">
              <w:rPr>
                <w:color w:val="000000"/>
                <w:szCs w:val="20"/>
                <w:lang w:val="en-GB"/>
              </w:rPr>
              <w:t>E</w:t>
            </w:r>
            <w:r w:rsidRPr="000855B2">
              <w:rPr>
                <w:color w:val="000000"/>
                <w:szCs w:val="20"/>
                <w:vertAlign w:val="superscript"/>
                <w:lang w:val="en-GB"/>
              </w:rPr>
              <w:t>-06</w:t>
            </w:r>
          </w:p>
        </w:tc>
        <w:tc>
          <w:tcPr>
            <w:tcW w:w="931" w:type="dxa"/>
            <w:tcBorders>
              <w:top w:val="single" w:sz="12" w:space="0" w:color="auto"/>
            </w:tcBorders>
            <w:vAlign w:val="center"/>
          </w:tcPr>
          <w:p w14:paraId="12D3B3E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4.80</w:t>
            </w:r>
            <w:r w:rsidR="009F3B82">
              <w:rPr>
                <w:color w:val="000000"/>
                <w:szCs w:val="20"/>
                <w:lang w:val="en-GB"/>
              </w:rPr>
              <w:t>E</w:t>
            </w:r>
            <w:r w:rsidRPr="000855B2">
              <w:rPr>
                <w:color w:val="000000"/>
                <w:szCs w:val="20"/>
                <w:vertAlign w:val="superscript"/>
                <w:lang w:val="en-GB"/>
              </w:rPr>
              <w:t>-06</w:t>
            </w:r>
          </w:p>
        </w:tc>
      </w:tr>
      <w:tr w:rsidR="00E11887" w:rsidRPr="000855B2" w14:paraId="7FDEC99C" w14:textId="77777777" w:rsidTr="00887829">
        <w:trPr>
          <w:trHeight w:val="242"/>
        </w:trPr>
        <w:tc>
          <w:tcPr>
            <w:tcW w:w="1272" w:type="dxa"/>
            <w:vMerge/>
            <w:vAlign w:val="center"/>
          </w:tcPr>
          <w:p w14:paraId="0D1639AE"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8AF7FC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6FC6F97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2.24</w:t>
            </w:r>
            <w:r w:rsidR="009F3B82">
              <w:rPr>
                <w:color w:val="000000"/>
                <w:szCs w:val="20"/>
                <w:lang w:val="en-GB"/>
              </w:rPr>
              <w:t>E</w:t>
            </w:r>
            <w:r w:rsidRPr="000855B2">
              <w:rPr>
                <w:color w:val="000000"/>
                <w:szCs w:val="20"/>
                <w:vertAlign w:val="superscript"/>
                <w:lang w:val="en-GB"/>
              </w:rPr>
              <w:t>-05</w:t>
            </w:r>
          </w:p>
        </w:tc>
        <w:tc>
          <w:tcPr>
            <w:tcW w:w="930" w:type="dxa"/>
            <w:vAlign w:val="center"/>
          </w:tcPr>
          <w:p w14:paraId="3F5E5A0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5.26</w:t>
            </w:r>
            <w:r w:rsidR="009F3B82">
              <w:rPr>
                <w:color w:val="000000"/>
                <w:szCs w:val="20"/>
                <w:lang w:val="en-GB"/>
              </w:rPr>
              <w:t>E</w:t>
            </w:r>
            <w:r w:rsidRPr="000855B2">
              <w:rPr>
                <w:color w:val="000000"/>
                <w:szCs w:val="20"/>
                <w:vertAlign w:val="superscript"/>
                <w:lang w:val="en-GB"/>
              </w:rPr>
              <w:t>-05</w:t>
            </w:r>
          </w:p>
        </w:tc>
        <w:tc>
          <w:tcPr>
            <w:tcW w:w="931" w:type="dxa"/>
            <w:vAlign w:val="center"/>
          </w:tcPr>
          <w:p w14:paraId="21B1613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9.60</w:t>
            </w:r>
            <w:r w:rsidR="009F3B82">
              <w:rPr>
                <w:color w:val="000000"/>
                <w:szCs w:val="20"/>
                <w:lang w:val="en-GB"/>
              </w:rPr>
              <w:t>E</w:t>
            </w:r>
            <w:r w:rsidRPr="000855B2">
              <w:rPr>
                <w:color w:val="000000"/>
                <w:szCs w:val="20"/>
                <w:vertAlign w:val="superscript"/>
                <w:lang w:val="en-GB"/>
              </w:rPr>
              <w:t>-06</w:t>
            </w:r>
          </w:p>
        </w:tc>
        <w:tc>
          <w:tcPr>
            <w:tcW w:w="930" w:type="dxa"/>
            <w:vAlign w:val="center"/>
          </w:tcPr>
          <w:p w14:paraId="2CEA5EA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2.14</w:t>
            </w:r>
            <w:r w:rsidR="009F3B82">
              <w:rPr>
                <w:color w:val="000000"/>
                <w:szCs w:val="20"/>
                <w:lang w:val="en-GB"/>
              </w:rPr>
              <w:t>E</w:t>
            </w:r>
            <w:r w:rsidRPr="000855B2">
              <w:rPr>
                <w:color w:val="000000"/>
                <w:szCs w:val="20"/>
                <w:vertAlign w:val="superscript"/>
                <w:lang w:val="en-GB"/>
              </w:rPr>
              <w:t>-05</w:t>
            </w:r>
          </w:p>
        </w:tc>
        <w:tc>
          <w:tcPr>
            <w:tcW w:w="930" w:type="dxa"/>
            <w:vAlign w:val="center"/>
          </w:tcPr>
          <w:p w14:paraId="363F16C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4.55</w:t>
            </w:r>
            <w:r w:rsidR="009F3B82">
              <w:rPr>
                <w:color w:val="000000"/>
                <w:szCs w:val="20"/>
                <w:lang w:val="en-GB"/>
              </w:rPr>
              <w:t>E</w:t>
            </w:r>
            <w:r w:rsidRPr="000855B2">
              <w:rPr>
                <w:color w:val="000000"/>
                <w:szCs w:val="20"/>
                <w:vertAlign w:val="superscript"/>
                <w:lang w:val="en-GB"/>
              </w:rPr>
              <w:t>-05</w:t>
            </w:r>
          </w:p>
        </w:tc>
        <w:tc>
          <w:tcPr>
            <w:tcW w:w="931" w:type="dxa"/>
            <w:vAlign w:val="center"/>
          </w:tcPr>
          <w:p w14:paraId="2D5A64E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1.00</w:t>
            </w:r>
            <w:r w:rsidR="009F3B82">
              <w:rPr>
                <w:color w:val="000000"/>
                <w:szCs w:val="20"/>
                <w:lang w:val="en-GB"/>
              </w:rPr>
              <w:t>E</w:t>
            </w:r>
            <w:r w:rsidRPr="000855B2">
              <w:rPr>
                <w:color w:val="000000"/>
                <w:szCs w:val="20"/>
                <w:vertAlign w:val="superscript"/>
                <w:lang w:val="en-GB"/>
              </w:rPr>
              <w:t>-05</w:t>
            </w:r>
          </w:p>
        </w:tc>
      </w:tr>
      <w:tr w:rsidR="00E11887" w:rsidRPr="000855B2" w14:paraId="3A4176F1" w14:textId="77777777" w:rsidTr="00887829">
        <w:trPr>
          <w:trHeight w:val="255"/>
        </w:trPr>
        <w:tc>
          <w:tcPr>
            <w:tcW w:w="1272" w:type="dxa"/>
            <w:vMerge/>
            <w:vAlign w:val="center"/>
          </w:tcPr>
          <w:p w14:paraId="20E96CFF"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60727E9"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4B92F51A"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5FD1D005"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0F262709"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45B4483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0" w:type="dxa"/>
            <w:vAlign w:val="center"/>
          </w:tcPr>
          <w:p w14:paraId="3043CF9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c>
          <w:tcPr>
            <w:tcW w:w="931" w:type="dxa"/>
            <w:vAlign w:val="center"/>
          </w:tcPr>
          <w:p w14:paraId="348054C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-07</w:t>
            </w:r>
          </w:p>
        </w:tc>
      </w:tr>
      <w:tr w:rsidR="00E11887" w:rsidRPr="000855B2" w14:paraId="660452D9" w14:textId="77777777" w:rsidTr="00887829">
        <w:trPr>
          <w:trHeight w:val="242"/>
        </w:trPr>
        <w:tc>
          <w:tcPr>
            <w:tcW w:w="1272" w:type="dxa"/>
            <w:vMerge w:val="restart"/>
            <w:vAlign w:val="center"/>
          </w:tcPr>
          <w:p w14:paraId="7C7CBFC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58D7543F"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57C7CC0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6.10</w:t>
            </w:r>
            <w:r w:rsidR="009F3B82">
              <w:rPr>
                <w:color w:val="000000"/>
                <w:szCs w:val="20"/>
                <w:lang w:val="en-GB"/>
              </w:rPr>
              <w:t>E</w:t>
            </w:r>
            <w:r w:rsidRPr="000855B2">
              <w:rPr>
                <w:color w:val="000000"/>
                <w:szCs w:val="20"/>
                <w:vertAlign w:val="superscript"/>
                <w:lang w:val="en-GB"/>
              </w:rPr>
              <w:t>-06</w:t>
            </w:r>
          </w:p>
        </w:tc>
        <w:tc>
          <w:tcPr>
            <w:tcW w:w="930" w:type="dxa"/>
            <w:vAlign w:val="center"/>
          </w:tcPr>
          <w:p w14:paraId="26EB0BE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1.03</w:t>
            </w:r>
            <w:r w:rsidR="009F3B82">
              <w:rPr>
                <w:color w:val="000000"/>
                <w:szCs w:val="20"/>
                <w:lang w:val="en-GB"/>
              </w:rPr>
              <w:t>E</w:t>
            </w:r>
            <w:r w:rsidRPr="000855B2">
              <w:rPr>
                <w:color w:val="000000"/>
                <w:szCs w:val="20"/>
                <w:vertAlign w:val="superscript"/>
                <w:lang w:val="en-GB"/>
              </w:rPr>
              <w:t>-05</w:t>
            </w:r>
          </w:p>
        </w:tc>
        <w:tc>
          <w:tcPr>
            <w:tcW w:w="931" w:type="dxa"/>
            <w:vAlign w:val="center"/>
          </w:tcPr>
          <w:p w14:paraId="22344AD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3.60</w:t>
            </w:r>
            <w:r w:rsidR="009F3B82">
              <w:rPr>
                <w:color w:val="000000"/>
                <w:szCs w:val="20"/>
                <w:lang w:val="en-GB"/>
              </w:rPr>
              <w:t>E</w:t>
            </w:r>
            <w:r w:rsidRPr="000855B2">
              <w:rPr>
                <w:color w:val="000000"/>
                <w:szCs w:val="20"/>
                <w:vertAlign w:val="superscript"/>
                <w:lang w:val="en-GB"/>
              </w:rPr>
              <w:t>-06</w:t>
            </w:r>
          </w:p>
        </w:tc>
        <w:tc>
          <w:tcPr>
            <w:tcW w:w="930" w:type="dxa"/>
            <w:vAlign w:val="center"/>
          </w:tcPr>
          <w:p w14:paraId="4B284DEF"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4.20</w:t>
            </w:r>
            <w:r w:rsidR="009F3B82">
              <w:rPr>
                <w:color w:val="000000"/>
                <w:szCs w:val="20"/>
                <w:lang w:val="en-GB"/>
              </w:rPr>
              <w:t>E</w:t>
            </w:r>
            <w:r w:rsidRPr="000855B2">
              <w:rPr>
                <w:color w:val="000000"/>
                <w:szCs w:val="20"/>
                <w:vertAlign w:val="superscript"/>
                <w:lang w:val="en-GB"/>
              </w:rPr>
              <w:t>-06</w:t>
            </w:r>
          </w:p>
        </w:tc>
        <w:tc>
          <w:tcPr>
            <w:tcW w:w="930" w:type="dxa"/>
            <w:vAlign w:val="center"/>
          </w:tcPr>
          <w:p w14:paraId="6442A14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5.60</w:t>
            </w:r>
            <w:r w:rsidR="009F3B82">
              <w:rPr>
                <w:color w:val="000000"/>
                <w:szCs w:val="20"/>
                <w:lang w:val="en-GB"/>
              </w:rPr>
              <w:t>E</w:t>
            </w:r>
            <w:r w:rsidRPr="000855B2">
              <w:rPr>
                <w:color w:val="000000"/>
                <w:szCs w:val="20"/>
                <w:vertAlign w:val="superscript"/>
                <w:lang w:val="en-GB"/>
              </w:rPr>
              <w:t>-06</w:t>
            </w:r>
          </w:p>
        </w:tc>
        <w:tc>
          <w:tcPr>
            <w:tcW w:w="931" w:type="dxa"/>
            <w:vAlign w:val="center"/>
          </w:tcPr>
          <w:p w14:paraId="6B31869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3.20</w:t>
            </w:r>
            <w:r w:rsidR="009F3B82">
              <w:rPr>
                <w:color w:val="000000"/>
                <w:szCs w:val="20"/>
                <w:lang w:val="en-GB"/>
              </w:rPr>
              <w:t>E</w:t>
            </w:r>
            <w:r w:rsidRPr="000855B2">
              <w:rPr>
                <w:color w:val="000000"/>
                <w:szCs w:val="20"/>
                <w:vertAlign w:val="superscript"/>
                <w:lang w:val="en-GB"/>
              </w:rPr>
              <w:t>-06</w:t>
            </w:r>
          </w:p>
        </w:tc>
      </w:tr>
      <w:tr w:rsidR="00E11887" w:rsidRPr="000855B2" w14:paraId="49E91470" w14:textId="77777777" w:rsidTr="00887829">
        <w:trPr>
          <w:trHeight w:val="255"/>
        </w:trPr>
        <w:tc>
          <w:tcPr>
            <w:tcW w:w="1272" w:type="dxa"/>
            <w:vMerge/>
            <w:vAlign w:val="center"/>
          </w:tcPr>
          <w:p w14:paraId="4EEB3782"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0BD468D"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68485E4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1.66</w:t>
            </w:r>
            <w:r w:rsidR="009F3B82">
              <w:rPr>
                <w:color w:val="000000"/>
                <w:szCs w:val="20"/>
                <w:lang w:val="en-GB"/>
              </w:rPr>
              <w:t>E</w:t>
            </w:r>
            <w:r w:rsidRPr="000855B2">
              <w:rPr>
                <w:color w:val="000000"/>
                <w:szCs w:val="20"/>
                <w:vertAlign w:val="superscript"/>
                <w:lang w:val="en-GB"/>
              </w:rPr>
              <w:t>-05</w:t>
            </w:r>
          </w:p>
        </w:tc>
        <w:tc>
          <w:tcPr>
            <w:tcW w:w="930" w:type="dxa"/>
            <w:vAlign w:val="center"/>
          </w:tcPr>
          <w:p w14:paraId="3B556F1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3.69</w:t>
            </w:r>
            <w:r w:rsidR="009F3B82">
              <w:rPr>
                <w:color w:val="000000"/>
                <w:szCs w:val="20"/>
                <w:lang w:val="en-GB"/>
              </w:rPr>
              <w:t>E</w:t>
            </w:r>
            <w:r w:rsidRPr="000855B2">
              <w:rPr>
                <w:color w:val="000000"/>
                <w:szCs w:val="20"/>
                <w:vertAlign w:val="superscript"/>
                <w:lang w:val="en-GB"/>
              </w:rPr>
              <w:t>-05</w:t>
            </w:r>
          </w:p>
        </w:tc>
        <w:tc>
          <w:tcPr>
            <w:tcW w:w="931" w:type="dxa"/>
            <w:vAlign w:val="center"/>
          </w:tcPr>
          <w:p w14:paraId="57944A2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7.50</w:t>
            </w:r>
            <w:r w:rsidR="009F3B82">
              <w:rPr>
                <w:color w:val="000000"/>
                <w:szCs w:val="20"/>
                <w:lang w:val="en-GB"/>
              </w:rPr>
              <w:t>E</w:t>
            </w:r>
            <w:r w:rsidRPr="000855B2">
              <w:rPr>
                <w:color w:val="000000"/>
                <w:szCs w:val="20"/>
                <w:vertAlign w:val="superscript"/>
                <w:lang w:val="en-GB"/>
              </w:rPr>
              <w:t>-06</w:t>
            </w:r>
          </w:p>
        </w:tc>
        <w:tc>
          <w:tcPr>
            <w:tcW w:w="930" w:type="dxa"/>
            <w:vAlign w:val="center"/>
          </w:tcPr>
          <w:p w14:paraId="6EEEABB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1.58</w:t>
            </w:r>
            <w:r w:rsidR="009F3B82">
              <w:rPr>
                <w:color w:val="000000"/>
                <w:szCs w:val="20"/>
                <w:lang w:val="en-GB"/>
              </w:rPr>
              <w:t>E</w:t>
            </w:r>
            <w:r w:rsidRPr="000855B2">
              <w:rPr>
                <w:color w:val="000000"/>
                <w:szCs w:val="20"/>
                <w:vertAlign w:val="superscript"/>
                <w:lang w:val="en-GB"/>
              </w:rPr>
              <w:t>-05</w:t>
            </w:r>
          </w:p>
        </w:tc>
        <w:tc>
          <w:tcPr>
            <w:tcW w:w="930" w:type="dxa"/>
            <w:vAlign w:val="center"/>
          </w:tcPr>
          <w:p w14:paraId="553E5FA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3.19</w:t>
            </w:r>
            <w:r w:rsidR="009F3B82">
              <w:rPr>
                <w:color w:val="000000"/>
                <w:szCs w:val="20"/>
                <w:lang w:val="en-GB"/>
              </w:rPr>
              <w:t>E</w:t>
            </w:r>
            <w:r w:rsidRPr="000855B2">
              <w:rPr>
                <w:color w:val="000000"/>
                <w:szCs w:val="20"/>
                <w:vertAlign w:val="superscript"/>
                <w:lang w:val="en-GB"/>
              </w:rPr>
              <w:t>-05</w:t>
            </w:r>
          </w:p>
        </w:tc>
        <w:tc>
          <w:tcPr>
            <w:tcW w:w="931" w:type="dxa"/>
            <w:vAlign w:val="center"/>
          </w:tcPr>
          <w:p w14:paraId="54E7565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7.90</w:t>
            </w:r>
            <w:r w:rsidR="009F3B82">
              <w:rPr>
                <w:color w:val="000000"/>
                <w:szCs w:val="20"/>
                <w:lang w:val="en-GB"/>
              </w:rPr>
              <w:t>E</w:t>
            </w:r>
            <w:r w:rsidRPr="000855B2">
              <w:rPr>
                <w:color w:val="000000"/>
                <w:szCs w:val="20"/>
                <w:vertAlign w:val="superscript"/>
                <w:lang w:val="en-GB"/>
              </w:rPr>
              <w:t>-06</w:t>
            </w:r>
          </w:p>
        </w:tc>
      </w:tr>
      <w:tr w:rsidR="00E11887" w:rsidRPr="000855B2" w14:paraId="446BF34C" w14:textId="77777777" w:rsidTr="00887829">
        <w:trPr>
          <w:trHeight w:val="242"/>
        </w:trPr>
        <w:tc>
          <w:tcPr>
            <w:tcW w:w="1272" w:type="dxa"/>
            <w:vMerge w:val="restart"/>
            <w:vAlign w:val="center"/>
          </w:tcPr>
          <w:p w14:paraId="0DC1E0A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61D564CD"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5288F46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3.08</w:t>
            </w:r>
            <w:r w:rsidR="009F3B82">
              <w:rPr>
                <w:color w:val="000000"/>
                <w:szCs w:val="20"/>
                <w:lang w:val="en-GB"/>
              </w:rPr>
              <w:t>E</w:t>
            </w:r>
            <w:r w:rsidRPr="000855B2">
              <w:rPr>
                <w:color w:val="000000"/>
                <w:szCs w:val="20"/>
                <w:vertAlign w:val="superscript"/>
                <w:lang w:val="en-GB"/>
              </w:rPr>
              <w:t>-05</w:t>
            </w:r>
          </w:p>
        </w:tc>
        <w:tc>
          <w:tcPr>
            <w:tcW w:w="930" w:type="dxa"/>
            <w:vAlign w:val="center"/>
          </w:tcPr>
          <w:p w14:paraId="6B14C46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3.33</w:t>
            </w:r>
            <w:r w:rsidR="009F3B82">
              <w:rPr>
                <w:color w:val="000000"/>
                <w:szCs w:val="20"/>
                <w:lang w:val="en-GB"/>
              </w:rPr>
              <w:t>E</w:t>
            </w:r>
            <w:r w:rsidRPr="000855B2">
              <w:rPr>
                <w:color w:val="000000"/>
                <w:szCs w:val="20"/>
                <w:vertAlign w:val="superscript"/>
                <w:lang w:val="en-GB"/>
              </w:rPr>
              <w:t>-05</w:t>
            </w:r>
          </w:p>
        </w:tc>
        <w:tc>
          <w:tcPr>
            <w:tcW w:w="931" w:type="dxa"/>
            <w:vAlign w:val="center"/>
          </w:tcPr>
          <w:p w14:paraId="16C0352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2.84</w:t>
            </w:r>
            <w:r w:rsidR="009F3B82">
              <w:rPr>
                <w:color w:val="000000"/>
                <w:szCs w:val="20"/>
                <w:lang w:val="en-GB"/>
              </w:rPr>
              <w:t>E</w:t>
            </w:r>
            <w:r w:rsidRPr="000855B2">
              <w:rPr>
                <w:color w:val="000000"/>
                <w:szCs w:val="20"/>
                <w:vertAlign w:val="superscript"/>
                <w:lang w:val="en-GB"/>
              </w:rPr>
              <w:t>-05</w:t>
            </w:r>
          </w:p>
        </w:tc>
        <w:tc>
          <w:tcPr>
            <w:tcW w:w="930" w:type="dxa"/>
            <w:vAlign w:val="center"/>
          </w:tcPr>
          <w:p w14:paraId="66C3215B"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5.10</w:t>
            </w:r>
            <w:r w:rsidR="009F3B82">
              <w:rPr>
                <w:color w:val="000000"/>
                <w:szCs w:val="20"/>
                <w:lang w:val="en-GB"/>
              </w:rPr>
              <w:t>E</w:t>
            </w:r>
            <w:r w:rsidRPr="000855B2">
              <w:rPr>
                <w:color w:val="000000"/>
                <w:szCs w:val="20"/>
                <w:vertAlign w:val="superscript"/>
                <w:lang w:val="en-GB"/>
              </w:rPr>
              <w:t>-06</w:t>
            </w:r>
          </w:p>
        </w:tc>
        <w:tc>
          <w:tcPr>
            <w:tcW w:w="930" w:type="dxa"/>
            <w:vAlign w:val="center"/>
          </w:tcPr>
          <w:p w14:paraId="66E38F40"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5.50</w:t>
            </w:r>
            <w:r w:rsidR="009F3B82">
              <w:rPr>
                <w:color w:val="000000"/>
                <w:szCs w:val="20"/>
                <w:lang w:val="en-GB"/>
              </w:rPr>
              <w:t>E</w:t>
            </w:r>
            <w:r w:rsidRPr="000855B2">
              <w:rPr>
                <w:color w:val="000000"/>
                <w:szCs w:val="20"/>
                <w:vertAlign w:val="superscript"/>
                <w:lang w:val="en-GB"/>
              </w:rPr>
              <w:t>-06</w:t>
            </w:r>
          </w:p>
        </w:tc>
        <w:tc>
          <w:tcPr>
            <w:tcW w:w="931" w:type="dxa"/>
            <w:vAlign w:val="center"/>
          </w:tcPr>
          <w:p w14:paraId="42FB795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4.70</w:t>
            </w:r>
            <w:r w:rsidR="009F3B82">
              <w:rPr>
                <w:color w:val="000000"/>
                <w:szCs w:val="20"/>
                <w:lang w:val="en-GB"/>
              </w:rPr>
              <w:t>E</w:t>
            </w:r>
            <w:r w:rsidRPr="000855B2">
              <w:rPr>
                <w:color w:val="000000"/>
                <w:szCs w:val="20"/>
                <w:vertAlign w:val="superscript"/>
                <w:lang w:val="en-GB"/>
              </w:rPr>
              <w:t>-06</w:t>
            </w:r>
          </w:p>
        </w:tc>
      </w:tr>
      <w:tr w:rsidR="00E11887" w:rsidRPr="000855B2" w14:paraId="5162CAE2" w14:textId="77777777" w:rsidTr="00887829">
        <w:trPr>
          <w:trHeight w:val="255"/>
        </w:trPr>
        <w:tc>
          <w:tcPr>
            <w:tcW w:w="1272" w:type="dxa"/>
            <w:vMerge/>
            <w:vAlign w:val="center"/>
          </w:tcPr>
          <w:p w14:paraId="7C6196E1"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46E621A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05A5334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2DACBBBA"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56AAAA5B" w14:textId="77777777" w:rsidR="00E11887" w:rsidRPr="000855B2" w:rsidRDefault="00E11887" w:rsidP="005C7955">
            <w:pPr>
              <w:keepNext/>
              <w:keepLines/>
              <w:suppressAutoHyphens/>
              <w:spacing w:line="240" w:lineRule="atLeast"/>
              <w:jc w:val="center"/>
              <w:rPr>
                <w:color w:val="000000"/>
                <w:szCs w:val="20"/>
                <w:lang w:val="en-GB"/>
              </w:rPr>
            </w:pPr>
          </w:p>
        </w:tc>
        <w:tc>
          <w:tcPr>
            <w:tcW w:w="930" w:type="dxa"/>
            <w:vAlign w:val="center"/>
          </w:tcPr>
          <w:p w14:paraId="6C565274"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46A60D79"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6B5FB2FF" w14:textId="77777777" w:rsidR="00E11887" w:rsidRPr="000855B2" w:rsidRDefault="00E11887" w:rsidP="005C7955">
            <w:pPr>
              <w:keepNext/>
              <w:keepLines/>
              <w:suppressAutoHyphens/>
              <w:spacing w:line="240" w:lineRule="atLeast"/>
              <w:jc w:val="center"/>
              <w:rPr>
                <w:color w:val="000000"/>
                <w:szCs w:val="20"/>
                <w:lang w:val="en-GB"/>
              </w:rPr>
            </w:pPr>
          </w:p>
        </w:tc>
      </w:tr>
      <w:tr w:rsidR="00FB0205" w:rsidRPr="000855B2" w14:paraId="273836E8" w14:textId="77777777" w:rsidTr="00887829">
        <w:trPr>
          <w:trHeight w:val="255"/>
        </w:trPr>
        <w:tc>
          <w:tcPr>
            <w:tcW w:w="1272" w:type="dxa"/>
            <w:vAlign w:val="center"/>
          </w:tcPr>
          <w:p w14:paraId="560E2FD2" w14:textId="77777777" w:rsidR="00FB0205" w:rsidRPr="000855B2" w:rsidRDefault="00FB0205" w:rsidP="005C7955">
            <w:pPr>
              <w:keepNext/>
              <w:keepLines/>
              <w:suppressAutoHyphens/>
              <w:spacing w:line="240" w:lineRule="atLeast"/>
              <w:rPr>
                <w:color w:val="000000"/>
                <w:szCs w:val="20"/>
                <w:lang w:val="en-GB"/>
              </w:rPr>
            </w:pPr>
            <w:r w:rsidRPr="000855B2">
              <w:rPr>
                <w:color w:val="000000"/>
                <w:szCs w:val="20"/>
                <w:lang w:val="en-GB"/>
              </w:rPr>
              <w:t>Two-wheel</w:t>
            </w:r>
          </w:p>
        </w:tc>
        <w:tc>
          <w:tcPr>
            <w:tcW w:w="1491" w:type="dxa"/>
            <w:vAlign w:val="center"/>
          </w:tcPr>
          <w:p w14:paraId="794D5E75" w14:textId="77777777" w:rsidR="00FB0205"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282DA02C" w14:textId="77777777" w:rsidR="00FB0205" w:rsidRPr="000855B2" w:rsidRDefault="00DA0285" w:rsidP="005C7955">
            <w:pPr>
              <w:keepNext/>
              <w:keepLines/>
              <w:suppressAutoHyphens/>
              <w:spacing w:line="240" w:lineRule="atLeast"/>
              <w:jc w:val="center"/>
              <w:rPr>
                <w:color w:val="000000"/>
                <w:szCs w:val="20"/>
                <w:lang w:val="en-GB"/>
              </w:rPr>
            </w:pPr>
            <w:r w:rsidRPr="000855B2">
              <w:rPr>
                <w:color w:val="000000"/>
                <w:szCs w:val="20"/>
                <w:lang w:val="en-GB"/>
              </w:rPr>
              <w:t>9.40</w:t>
            </w:r>
            <w:r w:rsidR="009F3B82">
              <w:rPr>
                <w:color w:val="000000"/>
                <w:szCs w:val="20"/>
                <w:lang w:val="en-GB"/>
              </w:rPr>
              <w:t>E</w:t>
            </w:r>
            <w:r w:rsidR="00FB0205" w:rsidRPr="000855B2">
              <w:rPr>
                <w:color w:val="000000"/>
                <w:szCs w:val="20"/>
                <w:vertAlign w:val="superscript"/>
                <w:lang w:val="en-GB"/>
              </w:rPr>
              <w:t>-0</w:t>
            </w:r>
            <w:r w:rsidRPr="000855B2">
              <w:rPr>
                <w:color w:val="000000"/>
                <w:szCs w:val="20"/>
                <w:vertAlign w:val="superscript"/>
                <w:lang w:val="en-GB"/>
              </w:rPr>
              <w:t>6</w:t>
            </w:r>
          </w:p>
        </w:tc>
        <w:tc>
          <w:tcPr>
            <w:tcW w:w="930" w:type="dxa"/>
            <w:vAlign w:val="center"/>
          </w:tcPr>
          <w:p w14:paraId="79668096" w14:textId="77777777" w:rsidR="00FB0205" w:rsidRPr="000855B2" w:rsidRDefault="00BF7D03" w:rsidP="005C7955">
            <w:pPr>
              <w:keepNext/>
              <w:keepLines/>
              <w:suppressAutoHyphens/>
              <w:spacing w:line="240" w:lineRule="atLeast"/>
              <w:jc w:val="center"/>
              <w:rPr>
                <w:color w:val="000000"/>
                <w:szCs w:val="20"/>
                <w:lang w:val="en-GB"/>
              </w:rPr>
            </w:pPr>
            <w:r w:rsidRPr="000855B2">
              <w:rPr>
                <w:color w:val="000000"/>
                <w:szCs w:val="20"/>
                <w:lang w:val="en-GB"/>
              </w:rPr>
              <w:t>9.60</w:t>
            </w:r>
            <w:r w:rsidR="009F3B82">
              <w:rPr>
                <w:color w:val="000000"/>
                <w:szCs w:val="20"/>
                <w:lang w:val="en-GB"/>
              </w:rPr>
              <w:t>E</w:t>
            </w:r>
            <w:r w:rsidRPr="000855B2">
              <w:rPr>
                <w:color w:val="000000"/>
                <w:szCs w:val="20"/>
                <w:vertAlign w:val="superscript"/>
                <w:lang w:val="en-GB"/>
              </w:rPr>
              <w:t>-06</w:t>
            </w:r>
          </w:p>
        </w:tc>
        <w:tc>
          <w:tcPr>
            <w:tcW w:w="931" w:type="dxa"/>
            <w:vAlign w:val="center"/>
          </w:tcPr>
          <w:p w14:paraId="6C5FFB11" w14:textId="77777777" w:rsidR="00FB0205" w:rsidRPr="000855B2" w:rsidRDefault="00BF7D03" w:rsidP="005C7955">
            <w:pPr>
              <w:keepNext/>
              <w:keepLines/>
              <w:suppressAutoHyphens/>
              <w:spacing w:line="240" w:lineRule="atLeast"/>
              <w:jc w:val="center"/>
              <w:rPr>
                <w:color w:val="000000"/>
                <w:szCs w:val="20"/>
                <w:lang w:val="en-GB"/>
              </w:rPr>
            </w:pPr>
            <w:r w:rsidRPr="000855B2">
              <w:rPr>
                <w:color w:val="000000"/>
                <w:szCs w:val="20"/>
                <w:lang w:val="en-GB"/>
              </w:rPr>
              <w:t>9.20</w:t>
            </w:r>
            <w:r w:rsidR="009F3B82">
              <w:rPr>
                <w:color w:val="000000"/>
                <w:szCs w:val="20"/>
                <w:lang w:val="en-GB"/>
              </w:rPr>
              <w:t>E</w:t>
            </w:r>
            <w:r w:rsidRPr="000855B2">
              <w:rPr>
                <w:color w:val="000000"/>
                <w:szCs w:val="20"/>
                <w:vertAlign w:val="superscript"/>
                <w:lang w:val="en-GB"/>
              </w:rPr>
              <w:t>-06</w:t>
            </w:r>
          </w:p>
        </w:tc>
        <w:tc>
          <w:tcPr>
            <w:tcW w:w="930" w:type="dxa"/>
            <w:vAlign w:val="center"/>
          </w:tcPr>
          <w:p w14:paraId="392FAFB1" w14:textId="77777777" w:rsidR="00FB0205" w:rsidRPr="000855B2" w:rsidRDefault="00BF7D03" w:rsidP="005C7955">
            <w:pPr>
              <w:keepNext/>
              <w:keepLines/>
              <w:suppressAutoHyphens/>
              <w:spacing w:line="240" w:lineRule="atLeast"/>
              <w:jc w:val="center"/>
              <w:rPr>
                <w:color w:val="000000"/>
                <w:szCs w:val="20"/>
                <w:lang w:val="en-GB"/>
              </w:rPr>
            </w:pPr>
            <w:r w:rsidRPr="000855B2">
              <w:rPr>
                <w:color w:val="000000"/>
                <w:szCs w:val="20"/>
                <w:lang w:val="en-GB"/>
              </w:rPr>
              <w:t>8</w:t>
            </w:r>
            <w:r w:rsidR="00FB0205" w:rsidRPr="000855B2">
              <w:rPr>
                <w:color w:val="000000"/>
                <w:szCs w:val="20"/>
                <w:lang w:val="en-GB"/>
              </w:rPr>
              <w:t>.</w:t>
            </w:r>
            <w:r w:rsidRPr="000855B2">
              <w:rPr>
                <w:color w:val="000000"/>
                <w:szCs w:val="20"/>
                <w:lang w:val="en-GB"/>
              </w:rPr>
              <w:t>4</w:t>
            </w:r>
            <w:r w:rsidR="00FB0205" w:rsidRPr="000855B2">
              <w:rPr>
                <w:color w:val="000000"/>
                <w:szCs w:val="20"/>
                <w:lang w:val="en-GB"/>
              </w:rPr>
              <w:t>0</w:t>
            </w:r>
            <w:r w:rsidR="009F3B82">
              <w:rPr>
                <w:color w:val="000000"/>
                <w:szCs w:val="20"/>
                <w:lang w:val="en-GB"/>
              </w:rPr>
              <w:t>E</w:t>
            </w:r>
            <w:r w:rsidR="00FB0205" w:rsidRPr="000855B2">
              <w:rPr>
                <w:color w:val="000000"/>
                <w:szCs w:val="20"/>
                <w:vertAlign w:val="superscript"/>
                <w:lang w:val="en-GB"/>
              </w:rPr>
              <w:t>-06</w:t>
            </w:r>
          </w:p>
        </w:tc>
        <w:tc>
          <w:tcPr>
            <w:tcW w:w="930" w:type="dxa"/>
            <w:vAlign w:val="center"/>
          </w:tcPr>
          <w:p w14:paraId="7573DE28" w14:textId="77777777" w:rsidR="00FB0205" w:rsidRPr="000855B2" w:rsidRDefault="00CA699C" w:rsidP="005C7955">
            <w:pPr>
              <w:keepNext/>
              <w:keepLines/>
              <w:suppressAutoHyphens/>
              <w:spacing w:line="240" w:lineRule="atLeast"/>
              <w:jc w:val="center"/>
              <w:rPr>
                <w:color w:val="000000"/>
                <w:szCs w:val="20"/>
                <w:lang w:val="en-GB"/>
              </w:rPr>
            </w:pPr>
            <w:r w:rsidRPr="000855B2">
              <w:rPr>
                <w:color w:val="000000"/>
                <w:szCs w:val="20"/>
                <w:lang w:val="en-GB"/>
              </w:rPr>
              <w:t>8.60</w:t>
            </w:r>
            <w:r w:rsidR="009F3B82">
              <w:rPr>
                <w:color w:val="000000"/>
                <w:szCs w:val="20"/>
                <w:lang w:val="en-GB"/>
              </w:rPr>
              <w:t>E</w:t>
            </w:r>
            <w:r w:rsidR="00FB0205" w:rsidRPr="000855B2">
              <w:rPr>
                <w:color w:val="000000"/>
                <w:szCs w:val="20"/>
                <w:vertAlign w:val="superscript"/>
                <w:lang w:val="en-GB"/>
              </w:rPr>
              <w:t>-06</w:t>
            </w:r>
          </w:p>
        </w:tc>
        <w:tc>
          <w:tcPr>
            <w:tcW w:w="931" w:type="dxa"/>
            <w:vAlign w:val="center"/>
          </w:tcPr>
          <w:p w14:paraId="791EA1F5" w14:textId="77777777" w:rsidR="00FB0205" w:rsidRPr="000855B2" w:rsidRDefault="00CA699C" w:rsidP="005C7955">
            <w:pPr>
              <w:keepNext/>
              <w:keepLines/>
              <w:suppressAutoHyphens/>
              <w:spacing w:line="240" w:lineRule="atLeast"/>
              <w:jc w:val="center"/>
              <w:rPr>
                <w:color w:val="000000"/>
                <w:szCs w:val="20"/>
                <w:lang w:val="en-GB"/>
              </w:rPr>
            </w:pPr>
            <w:r w:rsidRPr="000855B2">
              <w:rPr>
                <w:color w:val="000000"/>
                <w:szCs w:val="20"/>
                <w:lang w:val="en-GB"/>
              </w:rPr>
              <w:t>8</w:t>
            </w:r>
            <w:r w:rsidR="00FB0205" w:rsidRPr="000855B2">
              <w:rPr>
                <w:color w:val="000000"/>
                <w:szCs w:val="20"/>
                <w:lang w:val="en-GB"/>
              </w:rPr>
              <w:t>.</w:t>
            </w:r>
            <w:r w:rsidRPr="000855B2">
              <w:rPr>
                <w:color w:val="000000"/>
                <w:szCs w:val="20"/>
                <w:lang w:val="en-GB"/>
              </w:rPr>
              <w:t>2</w:t>
            </w:r>
            <w:r w:rsidR="00FB0205" w:rsidRPr="000855B2">
              <w:rPr>
                <w:color w:val="000000"/>
                <w:szCs w:val="20"/>
                <w:lang w:val="en-GB"/>
              </w:rPr>
              <w:t>0</w:t>
            </w:r>
            <w:r w:rsidR="009F3B82">
              <w:rPr>
                <w:color w:val="000000"/>
                <w:szCs w:val="20"/>
                <w:lang w:val="en-GB"/>
              </w:rPr>
              <w:t>E</w:t>
            </w:r>
            <w:r w:rsidR="00FB0205" w:rsidRPr="000855B2">
              <w:rPr>
                <w:color w:val="000000"/>
                <w:szCs w:val="20"/>
                <w:vertAlign w:val="superscript"/>
                <w:lang w:val="en-GB"/>
              </w:rPr>
              <w:t>-06</w:t>
            </w:r>
          </w:p>
        </w:tc>
      </w:tr>
    </w:tbl>
    <w:p w14:paraId="329F2259" w14:textId="010D563D" w:rsidR="00BF2F38" w:rsidRPr="00E43131" w:rsidRDefault="00A040D1" w:rsidP="00E43131">
      <w:pPr>
        <w:pStyle w:val="Caption"/>
      </w:pPr>
      <w:bookmarkStart w:id="75" w:name="_Ref209503554"/>
      <w:r w:rsidRPr="00E43131">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10</w:t>
      </w:r>
      <w:r w:rsidR="00FB454C">
        <w:rPr>
          <w:noProof/>
        </w:rPr>
        <w:fldChar w:fldCharType="end"/>
      </w:r>
      <w:bookmarkEnd w:id="75"/>
      <w:r w:rsidR="00944F54">
        <w:t xml:space="preserve">: </w:t>
      </w:r>
      <w:r w:rsidR="00BF2F38" w:rsidRPr="00E43131">
        <w:t xml:space="preserve">Tier 1 emission factors for </w:t>
      </w:r>
      <w:r w:rsidR="00ED27AC" w:rsidRPr="00E43131">
        <w:t>lea</w:t>
      </w:r>
      <w:r w:rsidR="00BF2F38" w:rsidRPr="00E43131">
        <w:t>d (Pb)</w:t>
      </w:r>
    </w:p>
    <w:tbl>
      <w:tblPr>
        <w:tblW w:w="55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91"/>
        <w:gridCol w:w="930"/>
        <w:gridCol w:w="930"/>
        <w:gridCol w:w="931"/>
      </w:tblGrid>
      <w:tr w:rsidR="008A3855" w:rsidRPr="000855B2" w14:paraId="18C37613" w14:textId="77777777" w:rsidTr="00887829">
        <w:trPr>
          <w:trHeight w:val="242"/>
        </w:trPr>
        <w:tc>
          <w:tcPr>
            <w:tcW w:w="1272" w:type="dxa"/>
            <w:vMerge w:val="restart"/>
            <w:vAlign w:val="center"/>
          </w:tcPr>
          <w:p w14:paraId="1DF56F6D"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6BC059D3"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4D42DA74"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Pb</w:t>
            </w:r>
          </w:p>
        </w:tc>
      </w:tr>
      <w:tr w:rsidR="008A3855" w:rsidRPr="000855B2" w14:paraId="09DBF179" w14:textId="77777777" w:rsidTr="00887829">
        <w:trPr>
          <w:trHeight w:val="242"/>
        </w:trPr>
        <w:tc>
          <w:tcPr>
            <w:tcW w:w="1272" w:type="dxa"/>
            <w:vMerge/>
            <w:vAlign w:val="center"/>
          </w:tcPr>
          <w:p w14:paraId="1D9579E4"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0A71E225"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4DFD4F67"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49E23473" w14:textId="77777777" w:rsidTr="00246BA6">
        <w:trPr>
          <w:trHeight w:val="255"/>
        </w:trPr>
        <w:tc>
          <w:tcPr>
            <w:tcW w:w="1272" w:type="dxa"/>
            <w:vMerge/>
            <w:tcBorders>
              <w:bottom w:val="single" w:sz="12" w:space="0" w:color="auto"/>
            </w:tcBorders>
            <w:vAlign w:val="center"/>
          </w:tcPr>
          <w:p w14:paraId="55CB5445"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746CC670"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0C059BB2"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Mean</w:t>
            </w:r>
          </w:p>
        </w:tc>
        <w:tc>
          <w:tcPr>
            <w:tcW w:w="930" w:type="dxa"/>
            <w:tcBorders>
              <w:bottom w:val="single" w:sz="12" w:space="0" w:color="auto"/>
            </w:tcBorders>
            <w:vAlign w:val="center"/>
          </w:tcPr>
          <w:p w14:paraId="4E32A972"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Min</w:t>
            </w:r>
          </w:p>
        </w:tc>
        <w:tc>
          <w:tcPr>
            <w:tcW w:w="931" w:type="dxa"/>
            <w:tcBorders>
              <w:bottom w:val="single" w:sz="12" w:space="0" w:color="auto"/>
            </w:tcBorders>
            <w:vAlign w:val="center"/>
          </w:tcPr>
          <w:p w14:paraId="089B5395" w14:textId="77777777" w:rsidR="008A3855" w:rsidRPr="008A3855" w:rsidRDefault="008A3855" w:rsidP="005C7955">
            <w:pPr>
              <w:keepNext/>
              <w:keepLines/>
              <w:suppressAutoHyphens/>
              <w:spacing w:line="240" w:lineRule="atLeast"/>
              <w:jc w:val="center"/>
              <w:rPr>
                <w:b/>
                <w:color w:val="000000"/>
                <w:szCs w:val="20"/>
                <w:lang w:val="en-GB"/>
              </w:rPr>
            </w:pPr>
            <w:r w:rsidRPr="008A3855">
              <w:rPr>
                <w:b/>
                <w:color w:val="000000"/>
                <w:szCs w:val="20"/>
                <w:lang w:val="en-GB"/>
              </w:rPr>
              <w:t>Max</w:t>
            </w:r>
          </w:p>
        </w:tc>
      </w:tr>
      <w:tr w:rsidR="00E11887" w:rsidRPr="000855B2" w14:paraId="63A1116E" w14:textId="77777777" w:rsidTr="00246BA6">
        <w:trPr>
          <w:trHeight w:val="242"/>
        </w:trPr>
        <w:tc>
          <w:tcPr>
            <w:tcW w:w="1272" w:type="dxa"/>
            <w:vMerge w:val="restart"/>
            <w:tcBorders>
              <w:top w:val="single" w:sz="12" w:space="0" w:color="auto"/>
            </w:tcBorders>
            <w:vAlign w:val="center"/>
          </w:tcPr>
          <w:p w14:paraId="0602F7E6"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3AECD70C"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2B02AC7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3.30</w:t>
            </w:r>
            <w:r w:rsidR="009F3B82">
              <w:rPr>
                <w:color w:val="000000"/>
                <w:szCs w:val="20"/>
                <w:lang w:val="en-GB"/>
              </w:rPr>
              <w:t>E</w:t>
            </w:r>
            <w:r w:rsidRPr="000855B2">
              <w:rPr>
                <w:color w:val="000000"/>
                <w:szCs w:val="20"/>
                <w:vertAlign w:val="superscript"/>
                <w:lang w:val="en-GB"/>
              </w:rPr>
              <w:t>-05</w:t>
            </w:r>
          </w:p>
        </w:tc>
        <w:tc>
          <w:tcPr>
            <w:tcW w:w="930" w:type="dxa"/>
            <w:tcBorders>
              <w:top w:val="single" w:sz="12" w:space="0" w:color="auto"/>
            </w:tcBorders>
            <w:vAlign w:val="center"/>
          </w:tcPr>
          <w:p w14:paraId="209E570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1.70</w:t>
            </w:r>
            <w:r w:rsidR="009F3B82">
              <w:rPr>
                <w:color w:val="000000"/>
                <w:szCs w:val="20"/>
                <w:lang w:val="en-GB"/>
              </w:rPr>
              <w:t>E</w:t>
            </w:r>
            <w:r w:rsidRPr="000855B2">
              <w:rPr>
                <w:color w:val="000000"/>
                <w:szCs w:val="20"/>
                <w:vertAlign w:val="superscript"/>
                <w:lang w:val="en-GB"/>
              </w:rPr>
              <w:t>-05</w:t>
            </w:r>
          </w:p>
        </w:tc>
        <w:tc>
          <w:tcPr>
            <w:tcW w:w="931" w:type="dxa"/>
            <w:tcBorders>
              <w:top w:val="single" w:sz="12" w:space="0" w:color="auto"/>
            </w:tcBorders>
            <w:vAlign w:val="center"/>
          </w:tcPr>
          <w:p w14:paraId="757D5133"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-04</w:t>
            </w:r>
          </w:p>
        </w:tc>
      </w:tr>
      <w:tr w:rsidR="00E11887" w:rsidRPr="000855B2" w14:paraId="5B2FF5CB" w14:textId="77777777" w:rsidTr="00887829">
        <w:trPr>
          <w:trHeight w:val="242"/>
        </w:trPr>
        <w:tc>
          <w:tcPr>
            <w:tcW w:w="1272" w:type="dxa"/>
            <w:vMerge/>
            <w:vAlign w:val="center"/>
          </w:tcPr>
          <w:p w14:paraId="35268533"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1D0C002"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6062D55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5.20</w:t>
            </w:r>
            <w:r w:rsidR="009F3B82">
              <w:rPr>
                <w:color w:val="000000"/>
                <w:szCs w:val="20"/>
                <w:lang w:val="en-GB"/>
              </w:rPr>
              <w:t>E</w:t>
            </w:r>
            <w:r w:rsidRPr="000855B2">
              <w:rPr>
                <w:color w:val="000000"/>
                <w:szCs w:val="20"/>
                <w:vertAlign w:val="superscript"/>
                <w:lang w:val="en-GB"/>
              </w:rPr>
              <w:t>-05</w:t>
            </w:r>
          </w:p>
        </w:tc>
        <w:tc>
          <w:tcPr>
            <w:tcW w:w="930" w:type="dxa"/>
            <w:vAlign w:val="center"/>
          </w:tcPr>
          <w:p w14:paraId="4A9EF81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1.60</w:t>
            </w:r>
            <w:r w:rsidR="009F3B82">
              <w:rPr>
                <w:color w:val="000000"/>
                <w:szCs w:val="20"/>
                <w:lang w:val="en-GB"/>
              </w:rPr>
              <w:t>E</w:t>
            </w:r>
            <w:r w:rsidRPr="000855B2">
              <w:rPr>
                <w:color w:val="000000"/>
                <w:szCs w:val="20"/>
                <w:vertAlign w:val="superscript"/>
                <w:lang w:val="en-GB"/>
              </w:rPr>
              <w:t>-05</w:t>
            </w:r>
          </w:p>
        </w:tc>
        <w:tc>
          <w:tcPr>
            <w:tcW w:w="931" w:type="dxa"/>
            <w:vAlign w:val="center"/>
          </w:tcPr>
          <w:p w14:paraId="4FA07EDE"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1.94</w:t>
            </w:r>
            <w:r w:rsidR="009F3B82">
              <w:rPr>
                <w:color w:val="000000"/>
                <w:szCs w:val="20"/>
                <w:lang w:val="en-GB"/>
              </w:rPr>
              <w:t>E</w:t>
            </w:r>
            <w:r w:rsidRPr="000855B2">
              <w:rPr>
                <w:color w:val="000000"/>
                <w:szCs w:val="20"/>
                <w:vertAlign w:val="superscript"/>
                <w:lang w:val="en-GB"/>
              </w:rPr>
              <w:t>-04</w:t>
            </w:r>
          </w:p>
        </w:tc>
      </w:tr>
      <w:tr w:rsidR="00E11887" w:rsidRPr="000855B2" w14:paraId="5DD04C21" w14:textId="77777777" w:rsidTr="00887829">
        <w:trPr>
          <w:trHeight w:val="255"/>
        </w:trPr>
        <w:tc>
          <w:tcPr>
            <w:tcW w:w="1272" w:type="dxa"/>
            <w:vMerge/>
            <w:vAlign w:val="center"/>
          </w:tcPr>
          <w:p w14:paraId="59F56335"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5EBC8C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3181B8E2"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589E79FC"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52BAA81D" w14:textId="77777777" w:rsidR="00E11887" w:rsidRPr="000855B2" w:rsidRDefault="00E11887" w:rsidP="005C7955">
            <w:pPr>
              <w:keepNext/>
              <w:keepLines/>
              <w:suppressAutoHyphens/>
              <w:spacing w:line="240" w:lineRule="atLeast"/>
              <w:jc w:val="center"/>
              <w:rPr>
                <w:color w:val="000000"/>
                <w:szCs w:val="20"/>
                <w:lang w:val="en-GB"/>
              </w:rPr>
            </w:pPr>
          </w:p>
        </w:tc>
      </w:tr>
      <w:tr w:rsidR="00E11887" w:rsidRPr="000855B2" w14:paraId="4AACA03A" w14:textId="77777777" w:rsidTr="00887829">
        <w:trPr>
          <w:trHeight w:val="242"/>
        </w:trPr>
        <w:tc>
          <w:tcPr>
            <w:tcW w:w="1272" w:type="dxa"/>
            <w:vMerge w:val="restart"/>
            <w:vAlign w:val="center"/>
          </w:tcPr>
          <w:p w14:paraId="1B0587E6"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3E3B4A56"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039F9F89"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3.30</w:t>
            </w:r>
            <w:r w:rsidR="009F3B82">
              <w:rPr>
                <w:color w:val="000000"/>
                <w:szCs w:val="20"/>
                <w:lang w:val="en-GB"/>
              </w:rPr>
              <w:t>E</w:t>
            </w:r>
            <w:r w:rsidRPr="000855B2">
              <w:rPr>
                <w:color w:val="000000"/>
                <w:szCs w:val="20"/>
                <w:vertAlign w:val="superscript"/>
                <w:lang w:val="en-GB"/>
              </w:rPr>
              <w:t>-05</w:t>
            </w:r>
          </w:p>
        </w:tc>
        <w:tc>
          <w:tcPr>
            <w:tcW w:w="930" w:type="dxa"/>
            <w:vAlign w:val="center"/>
          </w:tcPr>
          <w:p w14:paraId="1DB7F987"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1.70</w:t>
            </w:r>
            <w:r w:rsidR="009F3B82">
              <w:rPr>
                <w:color w:val="000000"/>
                <w:szCs w:val="20"/>
                <w:lang w:val="en-GB"/>
              </w:rPr>
              <w:t>E</w:t>
            </w:r>
            <w:r w:rsidRPr="000855B2">
              <w:rPr>
                <w:color w:val="000000"/>
                <w:szCs w:val="20"/>
                <w:vertAlign w:val="superscript"/>
                <w:lang w:val="en-GB"/>
              </w:rPr>
              <w:t>-05</w:t>
            </w:r>
          </w:p>
        </w:tc>
        <w:tc>
          <w:tcPr>
            <w:tcW w:w="931" w:type="dxa"/>
            <w:vAlign w:val="center"/>
          </w:tcPr>
          <w:p w14:paraId="35EC70B5"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-04</w:t>
            </w:r>
          </w:p>
        </w:tc>
      </w:tr>
      <w:tr w:rsidR="00E11887" w:rsidRPr="000855B2" w14:paraId="63570486" w14:textId="77777777" w:rsidTr="00887829">
        <w:trPr>
          <w:trHeight w:val="255"/>
        </w:trPr>
        <w:tc>
          <w:tcPr>
            <w:tcW w:w="1272" w:type="dxa"/>
            <w:vMerge/>
            <w:vAlign w:val="center"/>
          </w:tcPr>
          <w:p w14:paraId="5B8BAE0E"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18A138E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7C10223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5.20</w:t>
            </w:r>
            <w:r w:rsidR="009F3B82">
              <w:rPr>
                <w:color w:val="000000"/>
                <w:szCs w:val="20"/>
                <w:lang w:val="en-GB"/>
              </w:rPr>
              <w:t>E</w:t>
            </w:r>
            <w:r w:rsidRPr="000855B2">
              <w:rPr>
                <w:color w:val="000000"/>
                <w:szCs w:val="20"/>
                <w:vertAlign w:val="superscript"/>
                <w:lang w:val="en-GB"/>
              </w:rPr>
              <w:t>-05</w:t>
            </w:r>
          </w:p>
        </w:tc>
        <w:tc>
          <w:tcPr>
            <w:tcW w:w="930" w:type="dxa"/>
            <w:vAlign w:val="center"/>
          </w:tcPr>
          <w:p w14:paraId="11FDC2AC"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1.60</w:t>
            </w:r>
            <w:r w:rsidR="009F3B82">
              <w:rPr>
                <w:color w:val="000000"/>
                <w:szCs w:val="20"/>
                <w:lang w:val="en-GB"/>
              </w:rPr>
              <w:t>E</w:t>
            </w:r>
            <w:r w:rsidRPr="000855B2">
              <w:rPr>
                <w:color w:val="000000"/>
                <w:szCs w:val="20"/>
                <w:vertAlign w:val="superscript"/>
                <w:lang w:val="en-GB"/>
              </w:rPr>
              <w:t>-05</w:t>
            </w:r>
          </w:p>
        </w:tc>
        <w:tc>
          <w:tcPr>
            <w:tcW w:w="931" w:type="dxa"/>
            <w:vAlign w:val="center"/>
          </w:tcPr>
          <w:p w14:paraId="4F21EB91"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1.94</w:t>
            </w:r>
            <w:r w:rsidR="009F3B82">
              <w:rPr>
                <w:color w:val="000000"/>
                <w:szCs w:val="20"/>
                <w:lang w:val="en-GB"/>
              </w:rPr>
              <w:t>E</w:t>
            </w:r>
            <w:r w:rsidRPr="000855B2">
              <w:rPr>
                <w:color w:val="000000"/>
                <w:szCs w:val="20"/>
                <w:vertAlign w:val="superscript"/>
                <w:lang w:val="en-GB"/>
              </w:rPr>
              <w:t>-04</w:t>
            </w:r>
          </w:p>
        </w:tc>
      </w:tr>
      <w:tr w:rsidR="00E11887" w:rsidRPr="000855B2" w14:paraId="5C267332" w14:textId="77777777" w:rsidTr="00887829">
        <w:trPr>
          <w:trHeight w:val="242"/>
        </w:trPr>
        <w:tc>
          <w:tcPr>
            <w:tcW w:w="1272" w:type="dxa"/>
            <w:vMerge w:val="restart"/>
            <w:vAlign w:val="center"/>
          </w:tcPr>
          <w:p w14:paraId="1C556345"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12CE18B3"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07963B36"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5.20</w:t>
            </w:r>
            <w:r w:rsidR="009F3B82">
              <w:rPr>
                <w:color w:val="000000"/>
                <w:szCs w:val="20"/>
                <w:lang w:val="en-GB"/>
              </w:rPr>
              <w:t>E</w:t>
            </w:r>
            <w:r w:rsidRPr="000855B2">
              <w:rPr>
                <w:color w:val="000000"/>
                <w:szCs w:val="20"/>
                <w:vertAlign w:val="superscript"/>
                <w:lang w:val="en-GB"/>
              </w:rPr>
              <w:t>-05</w:t>
            </w:r>
          </w:p>
        </w:tc>
        <w:tc>
          <w:tcPr>
            <w:tcW w:w="930" w:type="dxa"/>
            <w:vAlign w:val="center"/>
          </w:tcPr>
          <w:p w14:paraId="296A323A"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1.60</w:t>
            </w:r>
            <w:r w:rsidR="009F3B82">
              <w:rPr>
                <w:color w:val="000000"/>
                <w:szCs w:val="20"/>
                <w:lang w:val="en-GB"/>
              </w:rPr>
              <w:t>E</w:t>
            </w:r>
            <w:r w:rsidRPr="000855B2">
              <w:rPr>
                <w:color w:val="000000"/>
                <w:szCs w:val="20"/>
                <w:vertAlign w:val="superscript"/>
                <w:lang w:val="en-GB"/>
              </w:rPr>
              <w:t>-05</w:t>
            </w:r>
          </w:p>
        </w:tc>
        <w:tc>
          <w:tcPr>
            <w:tcW w:w="931" w:type="dxa"/>
            <w:vAlign w:val="center"/>
          </w:tcPr>
          <w:p w14:paraId="6A15A9F8"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1.94</w:t>
            </w:r>
            <w:r w:rsidR="009F3B82">
              <w:rPr>
                <w:color w:val="000000"/>
                <w:szCs w:val="20"/>
                <w:lang w:val="en-GB"/>
              </w:rPr>
              <w:t>E</w:t>
            </w:r>
            <w:r w:rsidRPr="000855B2">
              <w:rPr>
                <w:color w:val="000000"/>
                <w:szCs w:val="20"/>
                <w:vertAlign w:val="superscript"/>
                <w:lang w:val="en-GB"/>
              </w:rPr>
              <w:t>-04</w:t>
            </w:r>
          </w:p>
        </w:tc>
      </w:tr>
      <w:tr w:rsidR="00E11887" w:rsidRPr="000855B2" w14:paraId="371B4CBF" w14:textId="77777777" w:rsidTr="00887829">
        <w:trPr>
          <w:trHeight w:val="255"/>
        </w:trPr>
        <w:tc>
          <w:tcPr>
            <w:tcW w:w="1272" w:type="dxa"/>
            <w:vMerge/>
            <w:vAlign w:val="center"/>
          </w:tcPr>
          <w:p w14:paraId="4A1E38C7"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04750E8D"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19BBEC0D" w14:textId="77777777" w:rsidR="00E11887" w:rsidRPr="000855B2" w:rsidRDefault="00E11887" w:rsidP="005C7955">
            <w:pPr>
              <w:keepNext/>
              <w:keepLines/>
              <w:suppressAutoHyphens/>
              <w:spacing w:line="240" w:lineRule="atLeast"/>
              <w:jc w:val="center"/>
              <w:rPr>
                <w:color w:val="000000"/>
                <w:szCs w:val="20"/>
                <w:lang w:val="en-GB"/>
              </w:rPr>
            </w:pPr>
            <w:r w:rsidRPr="000855B2">
              <w:rPr>
                <w:color w:val="000000"/>
                <w:szCs w:val="20"/>
                <w:lang w:val="en-GB"/>
              </w:rPr>
              <w:t>n.a</w:t>
            </w:r>
          </w:p>
        </w:tc>
        <w:tc>
          <w:tcPr>
            <w:tcW w:w="930" w:type="dxa"/>
            <w:vAlign w:val="center"/>
          </w:tcPr>
          <w:p w14:paraId="595B645F" w14:textId="77777777" w:rsidR="00E11887" w:rsidRPr="000855B2" w:rsidRDefault="00E11887" w:rsidP="005C7955">
            <w:pPr>
              <w:keepNext/>
              <w:keepLines/>
              <w:suppressAutoHyphens/>
              <w:spacing w:line="240" w:lineRule="atLeast"/>
              <w:jc w:val="center"/>
              <w:rPr>
                <w:color w:val="000000"/>
                <w:szCs w:val="20"/>
                <w:lang w:val="en-GB"/>
              </w:rPr>
            </w:pPr>
          </w:p>
        </w:tc>
        <w:tc>
          <w:tcPr>
            <w:tcW w:w="931" w:type="dxa"/>
            <w:vAlign w:val="center"/>
          </w:tcPr>
          <w:p w14:paraId="22266C73" w14:textId="77777777" w:rsidR="00E11887" w:rsidRPr="000855B2" w:rsidRDefault="00E11887" w:rsidP="005C7955">
            <w:pPr>
              <w:keepNext/>
              <w:keepLines/>
              <w:suppressAutoHyphens/>
              <w:spacing w:line="240" w:lineRule="atLeast"/>
              <w:jc w:val="center"/>
              <w:rPr>
                <w:color w:val="000000"/>
                <w:szCs w:val="20"/>
                <w:lang w:val="en-GB"/>
              </w:rPr>
            </w:pPr>
          </w:p>
        </w:tc>
      </w:tr>
      <w:tr w:rsidR="00C16695" w:rsidRPr="000855B2" w14:paraId="4E9F96A3" w14:textId="77777777" w:rsidTr="00887829">
        <w:trPr>
          <w:trHeight w:val="255"/>
        </w:trPr>
        <w:tc>
          <w:tcPr>
            <w:tcW w:w="1272" w:type="dxa"/>
            <w:vAlign w:val="center"/>
          </w:tcPr>
          <w:p w14:paraId="2D5C147A" w14:textId="77777777" w:rsidR="00C16695" w:rsidRPr="000855B2" w:rsidRDefault="00C16695" w:rsidP="005C7955">
            <w:pPr>
              <w:keepNext/>
              <w:keepLines/>
              <w:suppressAutoHyphens/>
              <w:spacing w:line="240" w:lineRule="atLeast"/>
              <w:rPr>
                <w:color w:val="000000"/>
                <w:szCs w:val="20"/>
                <w:lang w:val="en-GB"/>
              </w:rPr>
            </w:pPr>
            <w:r w:rsidRPr="000855B2">
              <w:rPr>
                <w:color w:val="000000"/>
                <w:szCs w:val="20"/>
                <w:lang w:val="en-GB"/>
              </w:rPr>
              <w:t>Two-wheel</w:t>
            </w:r>
          </w:p>
        </w:tc>
        <w:tc>
          <w:tcPr>
            <w:tcW w:w="1491" w:type="dxa"/>
            <w:vAlign w:val="center"/>
          </w:tcPr>
          <w:p w14:paraId="408A6509" w14:textId="77777777" w:rsidR="00C16695"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1852E682" w14:textId="77777777" w:rsidR="00C16695" w:rsidRPr="000855B2" w:rsidRDefault="00C16695" w:rsidP="005C7955">
            <w:pPr>
              <w:keepNext/>
              <w:keepLines/>
              <w:suppressAutoHyphens/>
              <w:spacing w:line="240" w:lineRule="atLeast"/>
              <w:jc w:val="center"/>
              <w:rPr>
                <w:color w:val="000000"/>
                <w:szCs w:val="20"/>
                <w:lang w:val="en-GB"/>
              </w:rPr>
            </w:pPr>
            <w:r w:rsidRPr="000855B2">
              <w:rPr>
                <w:color w:val="000000"/>
                <w:szCs w:val="20"/>
                <w:lang w:val="en-GB"/>
              </w:rPr>
              <w:t>3.30</w:t>
            </w:r>
            <w:r w:rsidR="009F3B82">
              <w:rPr>
                <w:color w:val="000000"/>
                <w:szCs w:val="20"/>
                <w:lang w:val="en-GB"/>
              </w:rPr>
              <w:t>E</w:t>
            </w:r>
            <w:r w:rsidRPr="000855B2">
              <w:rPr>
                <w:color w:val="000000"/>
                <w:szCs w:val="20"/>
                <w:vertAlign w:val="superscript"/>
                <w:lang w:val="en-GB"/>
              </w:rPr>
              <w:t>-05</w:t>
            </w:r>
          </w:p>
        </w:tc>
        <w:tc>
          <w:tcPr>
            <w:tcW w:w="930" w:type="dxa"/>
            <w:vAlign w:val="center"/>
          </w:tcPr>
          <w:p w14:paraId="3F61D3B5" w14:textId="77777777" w:rsidR="00C16695" w:rsidRPr="000855B2" w:rsidRDefault="00C16695" w:rsidP="005C7955">
            <w:pPr>
              <w:keepNext/>
              <w:keepLines/>
              <w:suppressAutoHyphens/>
              <w:spacing w:line="240" w:lineRule="atLeast"/>
              <w:jc w:val="center"/>
              <w:rPr>
                <w:color w:val="000000"/>
                <w:szCs w:val="20"/>
                <w:lang w:val="en-GB"/>
              </w:rPr>
            </w:pPr>
            <w:r w:rsidRPr="000855B2">
              <w:rPr>
                <w:color w:val="000000"/>
                <w:szCs w:val="20"/>
                <w:lang w:val="en-GB"/>
              </w:rPr>
              <w:t>1.70</w:t>
            </w:r>
            <w:r w:rsidR="009F3B82">
              <w:rPr>
                <w:color w:val="000000"/>
                <w:szCs w:val="20"/>
                <w:lang w:val="en-GB"/>
              </w:rPr>
              <w:t>E</w:t>
            </w:r>
            <w:r w:rsidRPr="000855B2">
              <w:rPr>
                <w:color w:val="000000"/>
                <w:szCs w:val="20"/>
                <w:vertAlign w:val="superscript"/>
                <w:lang w:val="en-GB"/>
              </w:rPr>
              <w:t>-05</w:t>
            </w:r>
          </w:p>
        </w:tc>
        <w:tc>
          <w:tcPr>
            <w:tcW w:w="931" w:type="dxa"/>
            <w:vAlign w:val="center"/>
          </w:tcPr>
          <w:p w14:paraId="27038F5C" w14:textId="77777777" w:rsidR="00C16695" w:rsidRPr="000855B2" w:rsidRDefault="00C16695" w:rsidP="005C7955">
            <w:pPr>
              <w:keepNext/>
              <w:keepLines/>
              <w:suppressAutoHyphens/>
              <w:spacing w:line="240" w:lineRule="atLeast"/>
              <w:jc w:val="center"/>
              <w:rPr>
                <w:color w:val="000000"/>
                <w:szCs w:val="20"/>
                <w:lang w:val="en-GB"/>
              </w:rPr>
            </w:pPr>
            <w:r w:rsidRPr="000855B2">
              <w:rPr>
                <w:color w:val="000000"/>
                <w:szCs w:val="20"/>
                <w:lang w:val="en-GB"/>
              </w:rPr>
              <w:t>2.00</w:t>
            </w:r>
            <w:r w:rsidR="009F3B82">
              <w:rPr>
                <w:color w:val="000000"/>
                <w:szCs w:val="20"/>
                <w:lang w:val="en-GB"/>
              </w:rPr>
              <w:t>E</w:t>
            </w:r>
            <w:r w:rsidRPr="000855B2">
              <w:rPr>
                <w:color w:val="000000"/>
                <w:szCs w:val="20"/>
                <w:vertAlign w:val="superscript"/>
                <w:lang w:val="en-GB"/>
              </w:rPr>
              <w:t>-04</w:t>
            </w:r>
          </w:p>
        </w:tc>
      </w:tr>
    </w:tbl>
    <w:p w14:paraId="5B62B95D" w14:textId="341E1EC2" w:rsidR="0071699C" w:rsidRPr="00E43131" w:rsidRDefault="0071699C" w:rsidP="00E43131">
      <w:pPr>
        <w:pStyle w:val="Caption"/>
      </w:pPr>
      <w:bookmarkStart w:id="76" w:name="_Ref451177144"/>
      <w:r w:rsidRPr="00E43131">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11</w:t>
      </w:r>
      <w:r w:rsidR="00FB454C">
        <w:rPr>
          <w:noProof/>
        </w:rPr>
        <w:fldChar w:fldCharType="end"/>
      </w:r>
      <w:bookmarkEnd w:id="76"/>
      <w:r w:rsidRPr="00E43131">
        <w:t>: Tier 1 BC fractions of PM</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43"/>
        <w:gridCol w:w="851"/>
      </w:tblGrid>
      <w:tr w:rsidR="0071699C" w:rsidRPr="000855B2" w14:paraId="59172551" w14:textId="77777777" w:rsidTr="00246BA6">
        <w:tc>
          <w:tcPr>
            <w:tcW w:w="2943" w:type="dxa"/>
            <w:tcBorders>
              <w:bottom w:val="single" w:sz="12" w:space="0" w:color="auto"/>
            </w:tcBorders>
            <w:shd w:val="clear" w:color="auto" w:fill="auto"/>
            <w:vAlign w:val="center"/>
          </w:tcPr>
          <w:p w14:paraId="756E0FEE" w14:textId="77777777" w:rsidR="0071699C" w:rsidRPr="001843DE" w:rsidRDefault="0071699C" w:rsidP="005C7955">
            <w:pPr>
              <w:keepNext/>
              <w:keepLines/>
              <w:suppressAutoHyphens/>
              <w:spacing w:line="240" w:lineRule="atLeast"/>
              <w:jc w:val="center"/>
              <w:rPr>
                <w:b/>
                <w:szCs w:val="20"/>
                <w:lang w:val="en-GB"/>
              </w:rPr>
            </w:pPr>
            <w:r w:rsidRPr="001843DE">
              <w:rPr>
                <w:b/>
                <w:szCs w:val="20"/>
                <w:lang w:val="en-GB"/>
              </w:rPr>
              <w:t>Vehicle category</w:t>
            </w:r>
          </w:p>
        </w:tc>
        <w:tc>
          <w:tcPr>
            <w:tcW w:w="851" w:type="dxa"/>
            <w:tcBorders>
              <w:bottom w:val="single" w:sz="12" w:space="0" w:color="auto"/>
            </w:tcBorders>
            <w:shd w:val="clear" w:color="auto" w:fill="auto"/>
            <w:vAlign w:val="center"/>
          </w:tcPr>
          <w:p w14:paraId="1A6613ED" w14:textId="77777777" w:rsidR="0071699C" w:rsidRPr="001843DE" w:rsidRDefault="0071699C" w:rsidP="005C7955">
            <w:pPr>
              <w:keepNext/>
              <w:keepLines/>
              <w:suppressAutoHyphens/>
              <w:spacing w:line="240" w:lineRule="atLeast"/>
              <w:jc w:val="center"/>
              <w:rPr>
                <w:b/>
                <w:szCs w:val="20"/>
                <w:lang w:val="en-GB"/>
              </w:rPr>
            </w:pPr>
            <w:r w:rsidRPr="001843DE">
              <w:rPr>
                <w:b/>
                <w:szCs w:val="20"/>
                <w:lang w:val="en-GB"/>
              </w:rPr>
              <w:t>f-BC</w:t>
            </w:r>
          </w:p>
        </w:tc>
      </w:tr>
      <w:tr w:rsidR="0071699C" w:rsidRPr="000855B2" w14:paraId="6380DEB8" w14:textId="77777777" w:rsidTr="00246BA6">
        <w:tc>
          <w:tcPr>
            <w:tcW w:w="2943" w:type="dxa"/>
            <w:tcBorders>
              <w:top w:val="single" w:sz="12" w:space="0" w:color="auto"/>
            </w:tcBorders>
            <w:shd w:val="clear" w:color="auto" w:fill="auto"/>
            <w:vAlign w:val="center"/>
          </w:tcPr>
          <w:p w14:paraId="67FF736F" w14:textId="77777777" w:rsidR="0071699C" w:rsidRPr="000855B2" w:rsidRDefault="00E11887" w:rsidP="005C7955">
            <w:pPr>
              <w:keepNext/>
              <w:keepLines/>
              <w:suppressAutoHyphens/>
              <w:spacing w:line="240" w:lineRule="atLeast"/>
              <w:rPr>
                <w:szCs w:val="20"/>
                <w:lang w:val="en-GB"/>
              </w:rPr>
            </w:pPr>
            <w:r>
              <w:rPr>
                <w:szCs w:val="20"/>
                <w:lang w:val="en-GB"/>
              </w:rPr>
              <w:t>Petrol</w:t>
            </w:r>
            <w:r w:rsidR="0071699C" w:rsidRPr="000855B2">
              <w:rPr>
                <w:szCs w:val="20"/>
                <w:lang w:val="en-GB"/>
              </w:rPr>
              <w:t xml:space="preserve"> passenger cars</w:t>
            </w:r>
          </w:p>
        </w:tc>
        <w:tc>
          <w:tcPr>
            <w:tcW w:w="851" w:type="dxa"/>
            <w:tcBorders>
              <w:top w:val="single" w:sz="12" w:space="0" w:color="auto"/>
            </w:tcBorders>
            <w:shd w:val="clear" w:color="auto" w:fill="auto"/>
            <w:vAlign w:val="center"/>
          </w:tcPr>
          <w:p w14:paraId="4DFC4F73"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0.12</w:t>
            </w:r>
          </w:p>
        </w:tc>
      </w:tr>
      <w:tr w:rsidR="0071699C" w:rsidRPr="000855B2" w14:paraId="73970280" w14:textId="77777777" w:rsidTr="001843DE">
        <w:tc>
          <w:tcPr>
            <w:tcW w:w="2943" w:type="dxa"/>
            <w:shd w:val="clear" w:color="auto" w:fill="auto"/>
            <w:vAlign w:val="center"/>
          </w:tcPr>
          <w:p w14:paraId="61ED20EB" w14:textId="77777777" w:rsidR="0071699C" w:rsidRPr="000855B2" w:rsidRDefault="00E11887" w:rsidP="005C7955">
            <w:pPr>
              <w:keepNext/>
              <w:keepLines/>
              <w:suppressAutoHyphens/>
              <w:spacing w:line="240" w:lineRule="atLeast"/>
              <w:rPr>
                <w:szCs w:val="20"/>
                <w:lang w:val="en-GB"/>
              </w:rPr>
            </w:pPr>
            <w:r>
              <w:rPr>
                <w:szCs w:val="20"/>
                <w:lang w:val="en-GB"/>
              </w:rPr>
              <w:t>Petrol</w:t>
            </w:r>
            <w:r w:rsidR="0071699C" w:rsidRPr="000855B2">
              <w:rPr>
                <w:szCs w:val="20"/>
                <w:lang w:val="en-GB"/>
              </w:rPr>
              <w:t xml:space="preserve"> light duty vehicles</w:t>
            </w:r>
          </w:p>
        </w:tc>
        <w:tc>
          <w:tcPr>
            <w:tcW w:w="851" w:type="dxa"/>
            <w:shd w:val="clear" w:color="auto" w:fill="auto"/>
            <w:vAlign w:val="center"/>
          </w:tcPr>
          <w:p w14:paraId="6114BCAC"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0.05</w:t>
            </w:r>
          </w:p>
        </w:tc>
      </w:tr>
      <w:tr w:rsidR="0071699C" w:rsidRPr="000855B2" w14:paraId="7D6C2CFB" w14:textId="77777777" w:rsidTr="001843DE">
        <w:tc>
          <w:tcPr>
            <w:tcW w:w="2943" w:type="dxa"/>
            <w:shd w:val="clear" w:color="auto" w:fill="auto"/>
            <w:vAlign w:val="center"/>
          </w:tcPr>
          <w:p w14:paraId="0347D78C" w14:textId="77777777" w:rsidR="0071699C" w:rsidRPr="000855B2" w:rsidRDefault="0071699C" w:rsidP="005C7955">
            <w:pPr>
              <w:keepNext/>
              <w:keepLines/>
              <w:suppressAutoHyphens/>
              <w:spacing w:line="240" w:lineRule="atLeast"/>
              <w:rPr>
                <w:szCs w:val="20"/>
                <w:lang w:val="en-GB"/>
              </w:rPr>
            </w:pPr>
            <w:r w:rsidRPr="000855B2">
              <w:rPr>
                <w:szCs w:val="20"/>
                <w:lang w:val="en-GB"/>
              </w:rPr>
              <w:t>Diesel passenger cars</w:t>
            </w:r>
          </w:p>
        </w:tc>
        <w:tc>
          <w:tcPr>
            <w:tcW w:w="851" w:type="dxa"/>
            <w:shd w:val="clear" w:color="auto" w:fill="auto"/>
            <w:vAlign w:val="center"/>
          </w:tcPr>
          <w:p w14:paraId="7624D0D3"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0.57</w:t>
            </w:r>
          </w:p>
        </w:tc>
      </w:tr>
      <w:tr w:rsidR="0071699C" w:rsidRPr="000855B2" w14:paraId="0AACAF02" w14:textId="77777777" w:rsidTr="001843DE">
        <w:tc>
          <w:tcPr>
            <w:tcW w:w="2943" w:type="dxa"/>
            <w:shd w:val="clear" w:color="auto" w:fill="auto"/>
            <w:vAlign w:val="center"/>
          </w:tcPr>
          <w:p w14:paraId="3A06938B" w14:textId="77777777" w:rsidR="0071699C" w:rsidRPr="000855B2" w:rsidRDefault="0071699C" w:rsidP="005C7955">
            <w:pPr>
              <w:keepNext/>
              <w:keepLines/>
              <w:suppressAutoHyphens/>
              <w:spacing w:line="240" w:lineRule="atLeast"/>
              <w:rPr>
                <w:szCs w:val="20"/>
                <w:lang w:val="en-GB"/>
              </w:rPr>
            </w:pPr>
            <w:r w:rsidRPr="000855B2">
              <w:rPr>
                <w:szCs w:val="20"/>
                <w:lang w:val="en-GB"/>
              </w:rPr>
              <w:t>Diesel light duty vehicles</w:t>
            </w:r>
          </w:p>
        </w:tc>
        <w:tc>
          <w:tcPr>
            <w:tcW w:w="851" w:type="dxa"/>
            <w:shd w:val="clear" w:color="auto" w:fill="auto"/>
            <w:vAlign w:val="center"/>
          </w:tcPr>
          <w:p w14:paraId="295706CD"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0.55</w:t>
            </w:r>
          </w:p>
        </w:tc>
      </w:tr>
      <w:tr w:rsidR="0071699C" w:rsidRPr="000855B2" w14:paraId="49DF1E53" w14:textId="77777777" w:rsidTr="001843DE">
        <w:tc>
          <w:tcPr>
            <w:tcW w:w="2943" w:type="dxa"/>
            <w:shd w:val="clear" w:color="auto" w:fill="auto"/>
            <w:vAlign w:val="center"/>
          </w:tcPr>
          <w:p w14:paraId="1DC28C9C" w14:textId="77777777" w:rsidR="0071699C" w:rsidRPr="000855B2" w:rsidRDefault="0071699C" w:rsidP="005C7955">
            <w:pPr>
              <w:keepNext/>
              <w:keepLines/>
              <w:suppressAutoHyphens/>
              <w:spacing w:line="240" w:lineRule="atLeast"/>
              <w:rPr>
                <w:szCs w:val="20"/>
                <w:lang w:val="en-GB"/>
              </w:rPr>
            </w:pPr>
            <w:r w:rsidRPr="000855B2">
              <w:rPr>
                <w:szCs w:val="20"/>
                <w:lang w:val="en-GB"/>
              </w:rPr>
              <w:t>Diesel heavy duty vehicles</w:t>
            </w:r>
          </w:p>
        </w:tc>
        <w:tc>
          <w:tcPr>
            <w:tcW w:w="851" w:type="dxa"/>
            <w:shd w:val="clear" w:color="auto" w:fill="auto"/>
            <w:vAlign w:val="center"/>
          </w:tcPr>
          <w:p w14:paraId="4B990EF1"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0.53</w:t>
            </w:r>
          </w:p>
        </w:tc>
      </w:tr>
      <w:tr w:rsidR="0071699C" w:rsidRPr="000855B2" w14:paraId="2CC96C61" w14:textId="77777777" w:rsidTr="001843DE">
        <w:tc>
          <w:tcPr>
            <w:tcW w:w="2943" w:type="dxa"/>
            <w:shd w:val="clear" w:color="auto" w:fill="auto"/>
            <w:vAlign w:val="center"/>
          </w:tcPr>
          <w:p w14:paraId="0F9B29C7" w14:textId="77777777" w:rsidR="0071699C" w:rsidRPr="000855B2" w:rsidRDefault="00E11887" w:rsidP="005C7955">
            <w:pPr>
              <w:keepNext/>
              <w:keepLines/>
              <w:suppressAutoHyphens/>
              <w:spacing w:line="240" w:lineRule="atLeast"/>
              <w:rPr>
                <w:szCs w:val="20"/>
                <w:lang w:val="en-GB"/>
              </w:rPr>
            </w:pPr>
            <w:r>
              <w:rPr>
                <w:szCs w:val="20"/>
                <w:lang w:val="en-GB"/>
              </w:rPr>
              <w:t>Petrol</w:t>
            </w:r>
            <w:r w:rsidR="0071699C" w:rsidRPr="000855B2">
              <w:rPr>
                <w:szCs w:val="20"/>
                <w:lang w:val="en-GB"/>
              </w:rPr>
              <w:t xml:space="preserve"> 2-wheelers</w:t>
            </w:r>
          </w:p>
        </w:tc>
        <w:tc>
          <w:tcPr>
            <w:tcW w:w="851" w:type="dxa"/>
            <w:shd w:val="clear" w:color="auto" w:fill="auto"/>
            <w:vAlign w:val="center"/>
          </w:tcPr>
          <w:p w14:paraId="4E9E5FAE" w14:textId="77777777" w:rsidR="0071699C" w:rsidRPr="000855B2" w:rsidRDefault="0071699C" w:rsidP="005C7955">
            <w:pPr>
              <w:keepNext/>
              <w:keepLines/>
              <w:suppressAutoHyphens/>
              <w:spacing w:line="240" w:lineRule="atLeast"/>
              <w:jc w:val="center"/>
              <w:rPr>
                <w:szCs w:val="20"/>
                <w:lang w:val="en-GB"/>
              </w:rPr>
            </w:pPr>
            <w:r w:rsidRPr="000855B2">
              <w:rPr>
                <w:szCs w:val="20"/>
                <w:lang w:val="en-GB"/>
              </w:rPr>
              <w:t>0.11</w:t>
            </w:r>
          </w:p>
        </w:tc>
      </w:tr>
    </w:tbl>
    <w:p w14:paraId="464F9ABB" w14:textId="0316A7AE" w:rsidR="001D2587" w:rsidRPr="000855B2" w:rsidRDefault="00A040D1" w:rsidP="00E43131">
      <w:pPr>
        <w:pStyle w:val="Caption"/>
      </w:pPr>
      <w:bookmarkStart w:id="77" w:name="_Ref201722158"/>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12</w:t>
      </w:r>
      <w:r w:rsidR="00FB454C">
        <w:rPr>
          <w:noProof/>
        </w:rPr>
        <w:fldChar w:fldCharType="end"/>
      </w:r>
      <w:bookmarkEnd w:id="77"/>
      <w:r w:rsidR="00944F54">
        <w:t xml:space="preserve">: </w:t>
      </w:r>
      <w:r w:rsidR="001D2587" w:rsidRPr="000855B2">
        <w:t>Tier 1 CO</w:t>
      </w:r>
      <w:r w:rsidR="001D2587" w:rsidRPr="000855B2">
        <w:rPr>
          <w:vertAlign w:val="subscript"/>
        </w:rPr>
        <w:t>2</w:t>
      </w:r>
      <w:r w:rsidR="001D2587" w:rsidRPr="000855B2">
        <w:t xml:space="preserve"> emission factors for different road transport fossil fuels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05"/>
        <w:gridCol w:w="1706"/>
        <w:gridCol w:w="2651"/>
      </w:tblGrid>
      <w:tr w:rsidR="009828F3" w:rsidRPr="000855B2" w14:paraId="5C684E7E" w14:textId="77777777" w:rsidTr="005C7955">
        <w:trPr>
          <w:trHeight w:val="313"/>
        </w:trPr>
        <w:tc>
          <w:tcPr>
            <w:tcW w:w="1705" w:type="dxa"/>
            <w:tcBorders>
              <w:bottom w:val="single" w:sz="12" w:space="0" w:color="auto"/>
            </w:tcBorders>
            <w:vAlign w:val="center"/>
          </w:tcPr>
          <w:p w14:paraId="76EFDB6F" w14:textId="77777777" w:rsidR="009828F3" w:rsidRPr="000855B2" w:rsidRDefault="009828F3" w:rsidP="005C7955">
            <w:pPr>
              <w:keepNext/>
              <w:keepLines/>
              <w:suppressAutoHyphens/>
              <w:spacing w:line="240" w:lineRule="atLeast"/>
              <w:jc w:val="center"/>
              <w:rPr>
                <w:b/>
                <w:szCs w:val="20"/>
                <w:lang w:val="en-GB"/>
              </w:rPr>
            </w:pPr>
            <w:r w:rsidRPr="000855B2">
              <w:rPr>
                <w:b/>
                <w:szCs w:val="20"/>
                <w:lang w:val="en-GB"/>
              </w:rPr>
              <w:t>Subsector units</w:t>
            </w:r>
          </w:p>
        </w:tc>
        <w:tc>
          <w:tcPr>
            <w:tcW w:w="1706" w:type="dxa"/>
            <w:tcBorders>
              <w:bottom w:val="single" w:sz="12" w:space="0" w:color="auto"/>
            </w:tcBorders>
            <w:vAlign w:val="center"/>
          </w:tcPr>
          <w:p w14:paraId="6AC239EB" w14:textId="77777777" w:rsidR="009828F3" w:rsidRPr="000855B2" w:rsidRDefault="009828F3" w:rsidP="005C7955">
            <w:pPr>
              <w:keepNext/>
              <w:keepLines/>
              <w:suppressAutoHyphens/>
              <w:spacing w:line="240" w:lineRule="atLeast"/>
              <w:jc w:val="center"/>
              <w:rPr>
                <w:b/>
                <w:szCs w:val="20"/>
                <w:lang w:val="en-GB"/>
              </w:rPr>
            </w:pPr>
            <w:r w:rsidRPr="000855B2">
              <w:rPr>
                <w:b/>
                <w:szCs w:val="20"/>
                <w:lang w:val="en-GB"/>
              </w:rPr>
              <w:t>Fuel</w:t>
            </w:r>
          </w:p>
        </w:tc>
        <w:tc>
          <w:tcPr>
            <w:tcW w:w="2651" w:type="dxa"/>
            <w:tcBorders>
              <w:bottom w:val="single" w:sz="12" w:space="0" w:color="auto"/>
            </w:tcBorders>
            <w:vAlign w:val="center"/>
          </w:tcPr>
          <w:p w14:paraId="3834CB4E" w14:textId="77777777" w:rsidR="009828F3" w:rsidRPr="000855B2" w:rsidRDefault="009828F3" w:rsidP="005C7955">
            <w:pPr>
              <w:keepNext/>
              <w:keepLines/>
              <w:suppressAutoHyphens/>
              <w:spacing w:line="240" w:lineRule="atLeast"/>
              <w:jc w:val="center"/>
              <w:rPr>
                <w:b/>
                <w:szCs w:val="20"/>
                <w:lang w:val="en-GB"/>
              </w:rPr>
            </w:pPr>
            <w:r w:rsidRPr="000855B2">
              <w:rPr>
                <w:b/>
                <w:szCs w:val="20"/>
                <w:lang w:val="en-GB"/>
              </w:rPr>
              <w:t>kg</w:t>
            </w:r>
            <w:r w:rsidR="00652B4E" w:rsidRPr="000855B2">
              <w:rPr>
                <w:b/>
                <w:szCs w:val="20"/>
                <w:lang w:val="en-GB"/>
              </w:rPr>
              <w:t xml:space="preserve"> </w:t>
            </w:r>
            <w:r w:rsidRPr="000855B2">
              <w:rPr>
                <w:b/>
                <w:szCs w:val="20"/>
                <w:lang w:val="en-GB"/>
              </w:rPr>
              <w:t>CO</w:t>
            </w:r>
            <w:r w:rsidRPr="000855B2">
              <w:rPr>
                <w:b/>
                <w:szCs w:val="20"/>
                <w:vertAlign w:val="subscript"/>
                <w:lang w:val="en-GB"/>
              </w:rPr>
              <w:t>2</w:t>
            </w:r>
            <w:r w:rsidRPr="000855B2">
              <w:rPr>
                <w:b/>
                <w:szCs w:val="20"/>
                <w:lang w:val="en-GB"/>
              </w:rPr>
              <w:t xml:space="preserve"> per kg of fuel</w:t>
            </w:r>
            <w:r w:rsidRPr="000855B2">
              <w:rPr>
                <w:b/>
                <w:szCs w:val="20"/>
                <w:vertAlign w:val="superscript"/>
                <w:lang w:val="en-GB"/>
              </w:rPr>
              <w:t>1</w:t>
            </w:r>
          </w:p>
        </w:tc>
      </w:tr>
      <w:tr w:rsidR="001D2587" w:rsidRPr="000855B2" w14:paraId="51A4E2B5" w14:textId="77777777" w:rsidTr="00246BA6">
        <w:tc>
          <w:tcPr>
            <w:tcW w:w="1705" w:type="dxa"/>
            <w:tcBorders>
              <w:top w:val="single" w:sz="12" w:space="0" w:color="auto"/>
            </w:tcBorders>
          </w:tcPr>
          <w:p w14:paraId="28982BD7"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Borders>
              <w:top w:val="single" w:sz="12" w:space="0" w:color="auto"/>
            </w:tcBorders>
          </w:tcPr>
          <w:p w14:paraId="70D69871" w14:textId="77777777" w:rsidR="001D2587" w:rsidRPr="000855B2" w:rsidRDefault="00E11887" w:rsidP="005C7955">
            <w:pPr>
              <w:keepNext/>
              <w:keepLines/>
              <w:suppressAutoHyphens/>
              <w:spacing w:line="240" w:lineRule="atLeast"/>
              <w:rPr>
                <w:szCs w:val="20"/>
                <w:lang w:val="en-GB"/>
              </w:rPr>
            </w:pPr>
            <w:r>
              <w:rPr>
                <w:szCs w:val="20"/>
                <w:lang w:val="en-GB"/>
              </w:rPr>
              <w:t>Petrol</w:t>
            </w:r>
          </w:p>
        </w:tc>
        <w:tc>
          <w:tcPr>
            <w:tcW w:w="2651" w:type="dxa"/>
            <w:tcBorders>
              <w:top w:val="single" w:sz="12" w:space="0" w:color="auto"/>
            </w:tcBorders>
          </w:tcPr>
          <w:p w14:paraId="73A30FDF" w14:textId="77777777" w:rsidR="001D2587" w:rsidRPr="000855B2" w:rsidRDefault="001D2587" w:rsidP="005C7955">
            <w:pPr>
              <w:keepNext/>
              <w:keepLines/>
              <w:suppressAutoHyphens/>
              <w:spacing w:line="240" w:lineRule="atLeast"/>
              <w:jc w:val="center"/>
              <w:rPr>
                <w:szCs w:val="20"/>
                <w:lang w:val="en-GB"/>
              </w:rPr>
            </w:pPr>
            <w:r w:rsidRPr="000855B2">
              <w:rPr>
                <w:szCs w:val="20"/>
                <w:lang w:val="en-GB"/>
              </w:rPr>
              <w:t>3</w:t>
            </w:r>
            <w:r w:rsidR="002153D3" w:rsidRPr="000855B2">
              <w:rPr>
                <w:szCs w:val="20"/>
                <w:lang w:val="en-GB"/>
              </w:rPr>
              <w:t>.</w:t>
            </w:r>
            <w:r w:rsidRPr="000855B2">
              <w:rPr>
                <w:szCs w:val="20"/>
                <w:lang w:val="en-GB"/>
              </w:rPr>
              <w:t>180</w:t>
            </w:r>
          </w:p>
        </w:tc>
      </w:tr>
      <w:tr w:rsidR="001D2587" w:rsidRPr="000855B2" w14:paraId="38B4A4F2" w14:textId="77777777" w:rsidTr="001843DE">
        <w:tc>
          <w:tcPr>
            <w:tcW w:w="1705" w:type="dxa"/>
          </w:tcPr>
          <w:p w14:paraId="3D9A2DF8"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5EE2525E" w14:textId="77777777" w:rsidR="001D2587" w:rsidRPr="000855B2" w:rsidRDefault="001D2587" w:rsidP="005C7955">
            <w:pPr>
              <w:keepNext/>
              <w:keepLines/>
              <w:suppressAutoHyphens/>
              <w:spacing w:line="240" w:lineRule="atLeast"/>
              <w:rPr>
                <w:szCs w:val="20"/>
                <w:lang w:val="en-GB"/>
              </w:rPr>
            </w:pPr>
            <w:r w:rsidRPr="000855B2">
              <w:rPr>
                <w:szCs w:val="20"/>
                <w:lang w:val="en-GB"/>
              </w:rPr>
              <w:t>Diesel</w:t>
            </w:r>
          </w:p>
        </w:tc>
        <w:tc>
          <w:tcPr>
            <w:tcW w:w="2651" w:type="dxa"/>
          </w:tcPr>
          <w:p w14:paraId="2B7EC0BC" w14:textId="77777777" w:rsidR="001D2587" w:rsidRPr="000855B2" w:rsidRDefault="002153D3" w:rsidP="005C7955">
            <w:pPr>
              <w:keepNext/>
              <w:keepLines/>
              <w:suppressAutoHyphens/>
              <w:spacing w:line="240" w:lineRule="atLeast"/>
              <w:jc w:val="center"/>
              <w:rPr>
                <w:szCs w:val="20"/>
                <w:lang w:val="en-GB"/>
              </w:rPr>
            </w:pPr>
            <w:r w:rsidRPr="000855B2">
              <w:rPr>
                <w:szCs w:val="20"/>
                <w:lang w:val="en-GB"/>
              </w:rPr>
              <w:t>3.</w:t>
            </w:r>
            <w:r w:rsidR="001D2587" w:rsidRPr="000855B2">
              <w:rPr>
                <w:szCs w:val="20"/>
                <w:lang w:val="en-GB"/>
              </w:rPr>
              <w:t>140</w:t>
            </w:r>
          </w:p>
        </w:tc>
      </w:tr>
      <w:tr w:rsidR="001D2587" w:rsidRPr="000855B2" w14:paraId="4D2D75CF" w14:textId="77777777" w:rsidTr="001843DE">
        <w:tc>
          <w:tcPr>
            <w:tcW w:w="1705" w:type="dxa"/>
          </w:tcPr>
          <w:p w14:paraId="052897AF"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014FB7CB" w14:textId="77777777" w:rsidR="001D2587" w:rsidRPr="000855B2" w:rsidRDefault="001D2587" w:rsidP="005C7955">
            <w:pPr>
              <w:keepNext/>
              <w:keepLines/>
              <w:suppressAutoHyphens/>
              <w:spacing w:line="240" w:lineRule="atLeast"/>
              <w:rPr>
                <w:szCs w:val="20"/>
                <w:lang w:val="en-GB"/>
              </w:rPr>
            </w:pPr>
            <w:r w:rsidRPr="000855B2">
              <w:rPr>
                <w:szCs w:val="20"/>
                <w:lang w:val="en-GB"/>
              </w:rPr>
              <w:t>LPG</w:t>
            </w:r>
            <w:r w:rsidRPr="000855B2">
              <w:rPr>
                <w:szCs w:val="20"/>
                <w:vertAlign w:val="superscript"/>
                <w:lang w:val="en-GB"/>
              </w:rPr>
              <w:t>2</w:t>
            </w:r>
          </w:p>
        </w:tc>
        <w:tc>
          <w:tcPr>
            <w:tcW w:w="2651" w:type="dxa"/>
          </w:tcPr>
          <w:p w14:paraId="6A4AA875" w14:textId="77777777" w:rsidR="001D2587" w:rsidRPr="000855B2" w:rsidRDefault="002153D3" w:rsidP="005C7955">
            <w:pPr>
              <w:keepNext/>
              <w:keepLines/>
              <w:suppressAutoHyphens/>
              <w:spacing w:line="240" w:lineRule="atLeast"/>
              <w:jc w:val="center"/>
              <w:rPr>
                <w:szCs w:val="20"/>
                <w:lang w:val="en-GB"/>
              </w:rPr>
            </w:pPr>
            <w:r w:rsidRPr="000855B2">
              <w:rPr>
                <w:szCs w:val="20"/>
                <w:lang w:val="en-GB"/>
              </w:rPr>
              <w:t>3.</w:t>
            </w:r>
            <w:r w:rsidR="001D2587" w:rsidRPr="000855B2">
              <w:rPr>
                <w:szCs w:val="20"/>
                <w:lang w:val="en-GB"/>
              </w:rPr>
              <w:t>017</w:t>
            </w:r>
          </w:p>
        </w:tc>
      </w:tr>
      <w:tr w:rsidR="001D2587" w:rsidRPr="000855B2" w14:paraId="0DEE2F2D" w14:textId="77777777" w:rsidTr="001843DE">
        <w:tc>
          <w:tcPr>
            <w:tcW w:w="1705" w:type="dxa"/>
          </w:tcPr>
          <w:p w14:paraId="640D5B51" w14:textId="77777777" w:rsidR="001D2587" w:rsidRPr="000855B2" w:rsidRDefault="001D2587"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6F751973" w14:textId="77777777" w:rsidR="001D2587" w:rsidRPr="000855B2" w:rsidRDefault="001D2587" w:rsidP="005C7955">
            <w:pPr>
              <w:keepNext/>
              <w:keepLines/>
              <w:suppressAutoHyphens/>
              <w:spacing w:line="240" w:lineRule="atLeast"/>
              <w:rPr>
                <w:szCs w:val="20"/>
                <w:lang w:val="en-GB"/>
              </w:rPr>
            </w:pPr>
            <w:r w:rsidRPr="000855B2">
              <w:rPr>
                <w:szCs w:val="20"/>
                <w:lang w:val="en-GB"/>
              </w:rPr>
              <w:t>CNG</w:t>
            </w:r>
            <w:r w:rsidRPr="000855B2">
              <w:rPr>
                <w:szCs w:val="20"/>
                <w:vertAlign w:val="superscript"/>
                <w:lang w:val="en-GB"/>
              </w:rPr>
              <w:t>3</w:t>
            </w:r>
            <w:r w:rsidRPr="000855B2">
              <w:rPr>
                <w:szCs w:val="20"/>
                <w:lang w:val="en-GB"/>
              </w:rPr>
              <w:t>(or LNG)</w:t>
            </w:r>
          </w:p>
        </w:tc>
        <w:tc>
          <w:tcPr>
            <w:tcW w:w="2651" w:type="dxa"/>
          </w:tcPr>
          <w:p w14:paraId="7A5E479C" w14:textId="77777777" w:rsidR="001D2587" w:rsidRPr="000855B2" w:rsidRDefault="002153D3" w:rsidP="005C7955">
            <w:pPr>
              <w:keepNext/>
              <w:keepLines/>
              <w:suppressAutoHyphens/>
              <w:spacing w:line="240" w:lineRule="atLeast"/>
              <w:jc w:val="center"/>
              <w:rPr>
                <w:szCs w:val="20"/>
                <w:lang w:val="en-GB"/>
              </w:rPr>
            </w:pPr>
            <w:r w:rsidRPr="000855B2">
              <w:rPr>
                <w:szCs w:val="20"/>
                <w:lang w:val="en-GB"/>
              </w:rPr>
              <w:t>2.</w:t>
            </w:r>
            <w:r w:rsidR="001D2587" w:rsidRPr="000855B2">
              <w:rPr>
                <w:szCs w:val="20"/>
                <w:lang w:val="en-GB"/>
              </w:rPr>
              <w:t>750</w:t>
            </w:r>
          </w:p>
        </w:tc>
      </w:tr>
      <w:tr w:rsidR="000D493C" w:rsidRPr="000855B2" w14:paraId="665E9502" w14:textId="77777777" w:rsidTr="001843DE">
        <w:tc>
          <w:tcPr>
            <w:tcW w:w="1705" w:type="dxa"/>
          </w:tcPr>
          <w:p w14:paraId="05947C6F" w14:textId="77777777" w:rsidR="000D493C" w:rsidRPr="000855B2" w:rsidRDefault="000D493C"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2C7672CF" w14:textId="77777777" w:rsidR="000D493C" w:rsidRPr="000855B2" w:rsidRDefault="000D493C" w:rsidP="005C7955">
            <w:pPr>
              <w:keepNext/>
              <w:keepLines/>
              <w:suppressAutoHyphens/>
              <w:spacing w:line="240" w:lineRule="atLeast"/>
              <w:rPr>
                <w:szCs w:val="20"/>
                <w:lang w:val="en-GB"/>
              </w:rPr>
            </w:pPr>
            <w:r w:rsidRPr="000855B2">
              <w:rPr>
                <w:szCs w:val="20"/>
                <w:lang w:val="en-GB"/>
              </w:rPr>
              <w:t xml:space="preserve">E5 </w:t>
            </w:r>
            <w:r w:rsidRPr="000855B2">
              <w:rPr>
                <w:szCs w:val="18"/>
                <w:vertAlign w:val="superscript"/>
                <w:lang w:val="en-GB"/>
              </w:rPr>
              <w:t>4</w:t>
            </w:r>
          </w:p>
        </w:tc>
        <w:tc>
          <w:tcPr>
            <w:tcW w:w="2651" w:type="dxa"/>
          </w:tcPr>
          <w:p w14:paraId="571F49C9" w14:textId="77777777" w:rsidR="000D493C" w:rsidRPr="000855B2" w:rsidRDefault="000D493C" w:rsidP="005C7955">
            <w:pPr>
              <w:keepNext/>
              <w:keepLines/>
              <w:suppressAutoHyphens/>
              <w:spacing w:line="240" w:lineRule="atLeast"/>
              <w:jc w:val="center"/>
              <w:rPr>
                <w:szCs w:val="20"/>
                <w:lang w:val="en-GB"/>
              </w:rPr>
            </w:pPr>
            <w:r w:rsidRPr="000855B2">
              <w:rPr>
                <w:szCs w:val="20"/>
                <w:lang w:val="en-GB"/>
              </w:rPr>
              <w:t>3.125</w:t>
            </w:r>
          </w:p>
        </w:tc>
      </w:tr>
      <w:tr w:rsidR="000D493C" w:rsidRPr="000855B2" w14:paraId="01C08855" w14:textId="77777777" w:rsidTr="001843DE">
        <w:tc>
          <w:tcPr>
            <w:tcW w:w="1705" w:type="dxa"/>
          </w:tcPr>
          <w:p w14:paraId="55876AA2" w14:textId="77777777" w:rsidR="000D493C" w:rsidRPr="000855B2" w:rsidRDefault="000D493C"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47129AD3" w14:textId="77777777" w:rsidR="000D493C" w:rsidRPr="000855B2" w:rsidRDefault="000D493C" w:rsidP="005C7955">
            <w:pPr>
              <w:keepNext/>
              <w:keepLines/>
              <w:suppressAutoHyphens/>
              <w:spacing w:line="240" w:lineRule="atLeast"/>
              <w:rPr>
                <w:szCs w:val="20"/>
                <w:lang w:val="en-GB"/>
              </w:rPr>
            </w:pPr>
            <w:r w:rsidRPr="000855B2">
              <w:rPr>
                <w:szCs w:val="20"/>
                <w:lang w:val="en-GB"/>
              </w:rPr>
              <w:t xml:space="preserve">E10 </w:t>
            </w:r>
            <w:r w:rsidRPr="000855B2">
              <w:rPr>
                <w:szCs w:val="18"/>
                <w:vertAlign w:val="superscript"/>
                <w:lang w:val="en-GB"/>
              </w:rPr>
              <w:t>4</w:t>
            </w:r>
          </w:p>
        </w:tc>
        <w:tc>
          <w:tcPr>
            <w:tcW w:w="2651" w:type="dxa"/>
          </w:tcPr>
          <w:p w14:paraId="2FCA5F8E" w14:textId="77777777" w:rsidR="000D493C" w:rsidRPr="000855B2" w:rsidRDefault="000D493C" w:rsidP="005C7955">
            <w:pPr>
              <w:keepNext/>
              <w:keepLines/>
              <w:suppressAutoHyphens/>
              <w:spacing w:line="240" w:lineRule="atLeast"/>
              <w:jc w:val="center"/>
              <w:rPr>
                <w:szCs w:val="20"/>
                <w:lang w:val="en-GB"/>
              </w:rPr>
            </w:pPr>
            <w:r w:rsidRPr="000855B2">
              <w:rPr>
                <w:szCs w:val="20"/>
                <w:lang w:val="en-GB"/>
              </w:rPr>
              <w:t>3.061</w:t>
            </w:r>
          </w:p>
        </w:tc>
      </w:tr>
      <w:tr w:rsidR="000D493C" w:rsidRPr="000855B2" w14:paraId="5AB9639C" w14:textId="77777777" w:rsidTr="001843DE">
        <w:tc>
          <w:tcPr>
            <w:tcW w:w="1705" w:type="dxa"/>
          </w:tcPr>
          <w:p w14:paraId="523ACBC4" w14:textId="77777777" w:rsidR="000D493C" w:rsidRPr="000855B2" w:rsidRDefault="000D493C" w:rsidP="005C7955">
            <w:pPr>
              <w:keepNext/>
              <w:keepLines/>
              <w:suppressAutoHyphens/>
              <w:spacing w:line="240" w:lineRule="atLeast"/>
              <w:rPr>
                <w:szCs w:val="20"/>
                <w:lang w:val="en-GB"/>
              </w:rPr>
            </w:pPr>
            <w:r w:rsidRPr="000855B2">
              <w:rPr>
                <w:szCs w:val="20"/>
                <w:lang w:val="en-GB"/>
              </w:rPr>
              <w:t>All vehicle types</w:t>
            </w:r>
          </w:p>
        </w:tc>
        <w:tc>
          <w:tcPr>
            <w:tcW w:w="1706" w:type="dxa"/>
          </w:tcPr>
          <w:p w14:paraId="34A80276" w14:textId="77777777" w:rsidR="000D493C" w:rsidRPr="000855B2" w:rsidRDefault="000D493C" w:rsidP="005C7955">
            <w:pPr>
              <w:keepNext/>
              <w:keepLines/>
              <w:suppressAutoHyphens/>
              <w:spacing w:line="240" w:lineRule="atLeast"/>
              <w:rPr>
                <w:szCs w:val="20"/>
                <w:lang w:val="en-GB"/>
              </w:rPr>
            </w:pPr>
            <w:r w:rsidRPr="000855B2">
              <w:rPr>
                <w:szCs w:val="20"/>
                <w:lang w:val="en-GB"/>
              </w:rPr>
              <w:t xml:space="preserve">E85 </w:t>
            </w:r>
            <w:r w:rsidRPr="000855B2">
              <w:rPr>
                <w:szCs w:val="18"/>
                <w:vertAlign w:val="superscript"/>
                <w:lang w:val="en-GB"/>
              </w:rPr>
              <w:t>4</w:t>
            </w:r>
          </w:p>
        </w:tc>
        <w:tc>
          <w:tcPr>
            <w:tcW w:w="2651" w:type="dxa"/>
          </w:tcPr>
          <w:p w14:paraId="2C7334B2" w14:textId="77777777" w:rsidR="000D493C" w:rsidRPr="000855B2" w:rsidRDefault="000D493C" w:rsidP="005C7955">
            <w:pPr>
              <w:keepNext/>
              <w:keepLines/>
              <w:suppressAutoHyphens/>
              <w:spacing w:line="240" w:lineRule="atLeast"/>
              <w:jc w:val="center"/>
              <w:rPr>
                <w:szCs w:val="20"/>
                <w:lang w:val="en-GB"/>
              </w:rPr>
            </w:pPr>
            <w:r w:rsidRPr="000855B2">
              <w:rPr>
                <w:szCs w:val="20"/>
                <w:lang w:val="en-GB"/>
              </w:rPr>
              <w:t>2.104</w:t>
            </w:r>
          </w:p>
        </w:tc>
      </w:tr>
    </w:tbl>
    <w:p w14:paraId="152F3470" w14:textId="77777777" w:rsidR="001D2587" w:rsidRPr="000855B2" w:rsidRDefault="001D2587" w:rsidP="00C42A1C">
      <w:pPr>
        <w:pStyle w:val="BodyText"/>
        <w:spacing w:before="0" w:after="0"/>
        <w:rPr>
          <w:sz w:val="16"/>
          <w:szCs w:val="18"/>
        </w:rPr>
      </w:pPr>
      <w:r w:rsidRPr="000855B2">
        <w:rPr>
          <w:sz w:val="16"/>
          <w:szCs w:val="18"/>
        </w:rPr>
        <w:t>Notes:</w:t>
      </w:r>
      <w:r w:rsidR="009D590F" w:rsidRPr="000855B2">
        <w:rPr>
          <w:sz w:val="16"/>
          <w:szCs w:val="18"/>
        </w:rPr>
        <w:t xml:space="preserve"> </w:t>
      </w:r>
    </w:p>
    <w:p w14:paraId="4EFB5B38" w14:textId="77777777" w:rsidR="001D2587" w:rsidRPr="000855B2" w:rsidRDefault="000D493C" w:rsidP="00C42A1C">
      <w:pPr>
        <w:pStyle w:val="BodyText"/>
        <w:spacing w:before="0" w:after="0"/>
        <w:rPr>
          <w:sz w:val="16"/>
          <w:szCs w:val="18"/>
        </w:rPr>
      </w:pPr>
      <w:r w:rsidRPr="000855B2">
        <w:rPr>
          <w:sz w:val="16"/>
          <w:szCs w:val="18"/>
          <w:vertAlign w:val="superscript"/>
        </w:rPr>
        <w:t>1</w:t>
      </w:r>
      <w:r w:rsidRPr="000855B2">
        <w:rPr>
          <w:sz w:val="16"/>
          <w:szCs w:val="18"/>
        </w:rPr>
        <w:t xml:space="preserve"> </w:t>
      </w:r>
      <w:r w:rsidR="001D2587" w:rsidRPr="000855B2">
        <w:rPr>
          <w:sz w:val="16"/>
          <w:szCs w:val="18"/>
        </w:rPr>
        <w:t>CO</w:t>
      </w:r>
      <w:r w:rsidR="001D2587" w:rsidRPr="000855B2">
        <w:rPr>
          <w:sz w:val="16"/>
          <w:szCs w:val="18"/>
          <w:vertAlign w:val="subscript"/>
        </w:rPr>
        <w:t>2</w:t>
      </w:r>
      <w:r w:rsidR="001D2587" w:rsidRPr="000855B2">
        <w:rPr>
          <w:sz w:val="16"/>
          <w:szCs w:val="18"/>
        </w:rPr>
        <w:t xml:space="preserve"> emission factors are based on </w:t>
      </w:r>
      <w:r w:rsidR="009828F3" w:rsidRPr="000855B2">
        <w:rPr>
          <w:sz w:val="16"/>
          <w:szCs w:val="18"/>
        </w:rPr>
        <w:t xml:space="preserve">an assumed </w:t>
      </w:r>
      <w:r w:rsidR="001D2587" w:rsidRPr="000855B2">
        <w:rPr>
          <w:sz w:val="16"/>
          <w:szCs w:val="18"/>
        </w:rPr>
        <w:t>100% oxidation of the fuel carbon</w:t>
      </w:r>
      <w:r w:rsidR="002153D3" w:rsidRPr="000855B2">
        <w:rPr>
          <w:sz w:val="16"/>
          <w:szCs w:val="18"/>
        </w:rPr>
        <w:t xml:space="preserve"> (ultimate CO</w:t>
      </w:r>
      <w:r w:rsidR="002153D3" w:rsidRPr="000855B2">
        <w:rPr>
          <w:sz w:val="16"/>
          <w:szCs w:val="18"/>
          <w:vertAlign w:val="subscript"/>
        </w:rPr>
        <w:t>2</w:t>
      </w:r>
      <w:r w:rsidR="002153D3" w:rsidRPr="000855B2">
        <w:rPr>
          <w:sz w:val="16"/>
          <w:szCs w:val="18"/>
        </w:rPr>
        <w:t>)</w:t>
      </w:r>
      <w:r w:rsidR="001D2587" w:rsidRPr="000855B2">
        <w:rPr>
          <w:sz w:val="16"/>
          <w:szCs w:val="18"/>
        </w:rPr>
        <w:t>.</w:t>
      </w:r>
    </w:p>
    <w:p w14:paraId="1BE74578" w14:textId="77777777" w:rsidR="001D2587" w:rsidRPr="000855B2" w:rsidRDefault="000D493C" w:rsidP="00C42A1C">
      <w:pPr>
        <w:pStyle w:val="BodyText"/>
        <w:spacing w:before="0" w:after="0"/>
        <w:rPr>
          <w:sz w:val="16"/>
          <w:szCs w:val="18"/>
        </w:rPr>
      </w:pPr>
      <w:r w:rsidRPr="000855B2">
        <w:rPr>
          <w:sz w:val="16"/>
          <w:szCs w:val="18"/>
          <w:vertAlign w:val="superscript"/>
        </w:rPr>
        <w:t>2</w:t>
      </w:r>
      <w:r w:rsidRPr="000855B2">
        <w:rPr>
          <w:sz w:val="16"/>
          <w:szCs w:val="18"/>
        </w:rPr>
        <w:t xml:space="preserve"> </w:t>
      </w:r>
      <w:r w:rsidR="001D2587" w:rsidRPr="000855B2">
        <w:rPr>
          <w:sz w:val="16"/>
          <w:szCs w:val="18"/>
        </w:rPr>
        <w:t>LPG assumed to be 50% propane + 50% butane</w:t>
      </w:r>
      <w:r w:rsidR="00674475" w:rsidRPr="000855B2">
        <w:rPr>
          <w:sz w:val="16"/>
          <w:szCs w:val="18"/>
        </w:rPr>
        <w:t>.</w:t>
      </w:r>
    </w:p>
    <w:p w14:paraId="1260C312" w14:textId="77777777" w:rsidR="001D2587" w:rsidRPr="000855B2" w:rsidRDefault="000D493C" w:rsidP="00C42A1C">
      <w:pPr>
        <w:pStyle w:val="BodyText"/>
        <w:spacing w:before="0" w:after="0"/>
        <w:rPr>
          <w:sz w:val="16"/>
          <w:szCs w:val="18"/>
        </w:rPr>
      </w:pPr>
      <w:r w:rsidRPr="000855B2">
        <w:rPr>
          <w:sz w:val="16"/>
          <w:szCs w:val="18"/>
          <w:vertAlign w:val="superscript"/>
        </w:rPr>
        <w:t>3</w:t>
      </w:r>
      <w:r w:rsidRPr="000855B2">
        <w:rPr>
          <w:sz w:val="16"/>
          <w:szCs w:val="18"/>
        </w:rPr>
        <w:t xml:space="preserve"> </w:t>
      </w:r>
      <w:r w:rsidR="001D2587" w:rsidRPr="000855B2">
        <w:rPr>
          <w:sz w:val="16"/>
          <w:szCs w:val="18"/>
        </w:rPr>
        <w:t>CNG and L</w:t>
      </w:r>
      <w:r w:rsidR="002153D3" w:rsidRPr="000855B2">
        <w:rPr>
          <w:sz w:val="16"/>
          <w:szCs w:val="18"/>
        </w:rPr>
        <w:t>N</w:t>
      </w:r>
      <w:r w:rsidR="001D2587" w:rsidRPr="000855B2">
        <w:rPr>
          <w:sz w:val="16"/>
          <w:szCs w:val="18"/>
        </w:rPr>
        <w:t>G assumed to be 100% methane</w:t>
      </w:r>
      <w:r w:rsidR="00674475" w:rsidRPr="000855B2">
        <w:rPr>
          <w:sz w:val="16"/>
          <w:szCs w:val="18"/>
        </w:rPr>
        <w:t>.</w:t>
      </w:r>
    </w:p>
    <w:p w14:paraId="25283F0A" w14:textId="77777777" w:rsidR="00BE2D32" w:rsidRDefault="000D493C" w:rsidP="00425A22">
      <w:pPr>
        <w:pStyle w:val="BodyText"/>
        <w:spacing w:before="0" w:after="0"/>
        <w:rPr>
          <w:sz w:val="16"/>
          <w:szCs w:val="18"/>
        </w:rPr>
      </w:pPr>
      <w:r w:rsidRPr="000855B2">
        <w:rPr>
          <w:sz w:val="16"/>
          <w:szCs w:val="18"/>
          <w:vertAlign w:val="superscript"/>
        </w:rPr>
        <w:lastRenderedPageBreak/>
        <w:t>4</w:t>
      </w:r>
      <w:r w:rsidRPr="000855B2">
        <w:rPr>
          <w:sz w:val="16"/>
          <w:szCs w:val="18"/>
        </w:rPr>
        <w:t xml:space="preserve"> E5, E10 and E85 </w:t>
      </w:r>
      <w:r w:rsidR="00425A22" w:rsidRPr="000855B2">
        <w:rPr>
          <w:sz w:val="16"/>
          <w:szCs w:val="18"/>
        </w:rPr>
        <w:t xml:space="preserve">blends </w:t>
      </w:r>
      <w:r w:rsidRPr="000855B2">
        <w:rPr>
          <w:sz w:val="16"/>
          <w:szCs w:val="18"/>
        </w:rPr>
        <w:t xml:space="preserve">assumed to </w:t>
      </w:r>
      <w:r w:rsidR="00425A22" w:rsidRPr="000855B2">
        <w:rPr>
          <w:sz w:val="16"/>
          <w:szCs w:val="18"/>
        </w:rPr>
        <w:t>consist of</w:t>
      </w:r>
      <w:r w:rsidRPr="000855B2">
        <w:rPr>
          <w:sz w:val="16"/>
          <w:szCs w:val="18"/>
        </w:rPr>
        <w:t xml:space="preserve"> 5, 10 and 85% </w:t>
      </w:r>
      <w:r w:rsidR="00425A22" w:rsidRPr="000855B2">
        <w:rPr>
          <w:sz w:val="16"/>
          <w:szCs w:val="18"/>
        </w:rPr>
        <w:t xml:space="preserve">vol. </w:t>
      </w:r>
      <w:r w:rsidRPr="000855B2">
        <w:rPr>
          <w:sz w:val="16"/>
          <w:szCs w:val="18"/>
        </w:rPr>
        <w:t xml:space="preserve">respectively ethanol (bio-ethanol or synthetic ethanol) and 95, 90 and 15% respectively </w:t>
      </w:r>
      <w:r w:rsidR="005E4DC4">
        <w:rPr>
          <w:sz w:val="16"/>
          <w:szCs w:val="18"/>
        </w:rPr>
        <w:t>petrol</w:t>
      </w:r>
      <w:r w:rsidRPr="000855B2">
        <w:rPr>
          <w:sz w:val="16"/>
          <w:szCs w:val="18"/>
        </w:rPr>
        <w:t>.</w:t>
      </w:r>
    </w:p>
    <w:p w14:paraId="140730A3" w14:textId="77777777" w:rsidR="00246BA6" w:rsidRDefault="00246BA6" w:rsidP="00425A22">
      <w:pPr>
        <w:pStyle w:val="BodyText"/>
        <w:spacing w:before="0" w:after="0"/>
        <w:rPr>
          <w:sz w:val="16"/>
        </w:rPr>
      </w:pPr>
    </w:p>
    <w:p w14:paraId="72E1940F" w14:textId="77777777" w:rsidR="00246BA6" w:rsidRPr="000855B2" w:rsidRDefault="00246BA6" w:rsidP="00425A22">
      <w:pPr>
        <w:pStyle w:val="BodyText"/>
        <w:spacing w:before="0" w:after="0"/>
        <w:rPr>
          <w:sz w:val="16"/>
        </w:rPr>
      </w:pPr>
    </w:p>
    <w:p w14:paraId="52FA0227" w14:textId="3FF58CF7" w:rsidR="00F85AC8" w:rsidRPr="000855B2" w:rsidRDefault="00F85AC8"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13</w:t>
      </w:r>
      <w:r w:rsidR="00FB454C">
        <w:rPr>
          <w:noProof/>
        </w:rPr>
        <w:fldChar w:fldCharType="end"/>
      </w:r>
      <w:r w:rsidR="00944F54">
        <w:t xml:space="preserve">: </w:t>
      </w:r>
      <w:r w:rsidRPr="000855B2">
        <w:t>Tier 1 CO</w:t>
      </w:r>
      <w:r w:rsidRPr="000855B2">
        <w:rPr>
          <w:vertAlign w:val="subscript"/>
        </w:rPr>
        <w:t>2</w:t>
      </w:r>
      <w:r w:rsidRPr="000855B2">
        <w:t xml:space="preserve"> emission factors from</w:t>
      </w:r>
      <w:r w:rsidR="00D34621" w:rsidRPr="000855B2">
        <w:t xml:space="preserve"> combustion of</w:t>
      </w:r>
      <w:r w:rsidRPr="000855B2">
        <w:t xml:space="preserve"> lubricant</w:t>
      </w:r>
      <w:r w:rsidR="00D34621" w:rsidRPr="000855B2">
        <w:t xml:space="preserve"> oil</w:t>
      </w:r>
      <w:r w:rsidRPr="000855B2">
        <w:rPr>
          <w:vertAlign w:val="superscript"/>
        </w:rPr>
        <w:t>1</w:t>
      </w:r>
    </w:p>
    <w:tbl>
      <w:tblPr>
        <w:tblW w:w="555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1272"/>
        <w:gridCol w:w="1491"/>
        <w:gridCol w:w="930"/>
        <w:gridCol w:w="930"/>
        <w:gridCol w:w="931"/>
      </w:tblGrid>
      <w:tr w:rsidR="008A3855" w:rsidRPr="000855B2" w14:paraId="6504F7EF" w14:textId="77777777" w:rsidTr="00887829">
        <w:trPr>
          <w:trHeight w:val="242"/>
        </w:trPr>
        <w:tc>
          <w:tcPr>
            <w:tcW w:w="1272" w:type="dxa"/>
            <w:vMerge w:val="restart"/>
            <w:vAlign w:val="center"/>
          </w:tcPr>
          <w:p w14:paraId="5C317200"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Category</w:t>
            </w:r>
          </w:p>
        </w:tc>
        <w:tc>
          <w:tcPr>
            <w:tcW w:w="1491" w:type="dxa"/>
            <w:vMerge w:val="restart"/>
            <w:vAlign w:val="center"/>
          </w:tcPr>
          <w:p w14:paraId="6FEF500D" w14:textId="77777777" w:rsidR="008A3855" w:rsidRPr="000855B2" w:rsidRDefault="008A3855" w:rsidP="005C7955">
            <w:pPr>
              <w:keepNext/>
              <w:keepLines/>
              <w:suppressAutoHyphens/>
              <w:spacing w:line="240" w:lineRule="atLeast"/>
              <w:jc w:val="center"/>
              <w:rPr>
                <w:color w:val="000000"/>
                <w:szCs w:val="20"/>
                <w:lang w:val="en-GB"/>
              </w:rPr>
            </w:pPr>
            <w:r w:rsidRPr="000855B2">
              <w:rPr>
                <w:b/>
                <w:color w:val="000000"/>
                <w:szCs w:val="20"/>
                <w:lang w:val="en-GB"/>
              </w:rPr>
              <w:t>Fuel</w:t>
            </w:r>
          </w:p>
        </w:tc>
        <w:tc>
          <w:tcPr>
            <w:tcW w:w="2791" w:type="dxa"/>
            <w:gridSpan w:val="3"/>
            <w:vAlign w:val="center"/>
          </w:tcPr>
          <w:p w14:paraId="4ADEEBB2"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CO</w:t>
            </w:r>
            <w:r w:rsidRPr="000855B2">
              <w:rPr>
                <w:b/>
                <w:color w:val="000000"/>
                <w:szCs w:val="20"/>
                <w:vertAlign w:val="subscript"/>
                <w:lang w:val="en-GB"/>
              </w:rPr>
              <w:t>2</w:t>
            </w:r>
            <w:r w:rsidRPr="000855B2">
              <w:rPr>
                <w:b/>
                <w:color w:val="000000"/>
                <w:szCs w:val="20"/>
                <w:lang w:val="en-GB"/>
              </w:rPr>
              <w:t xml:space="preserve"> from lubricant</w:t>
            </w:r>
          </w:p>
        </w:tc>
      </w:tr>
      <w:tr w:rsidR="008A3855" w:rsidRPr="000855B2" w14:paraId="78D988EF" w14:textId="77777777" w:rsidTr="00887829">
        <w:trPr>
          <w:trHeight w:val="242"/>
        </w:trPr>
        <w:tc>
          <w:tcPr>
            <w:tcW w:w="1272" w:type="dxa"/>
            <w:vMerge/>
            <w:vAlign w:val="center"/>
          </w:tcPr>
          <w:p w14:paraId="0AA877B9" w14:textId="77777777" w:rsidR="008A3855" w:rsidRPr="000855B2" w:rsidRDefault="008A3855" w:rsidP="005C7955">
            <w:pPr>
              <w:keepNext/>
              <w:keepLines/>
              <w:suppressAutoHyphens/>
              <w:spacing w:line="240" w:lineRule="atLeast"/>
              <w:jc w:val="center"/>
              <w:rPr>
                <w:b/>
                <w:color w:val="000000"/>
                <w:szCs w:val="20"/>
                <w:lang w:val="en-GB"/>
              </w:rPr>
            </w:pPr>
          </w:p>
        </w:tc>
        <w:tc>
          <w:tcPr>
            <w:tcW w:w="1491" w:type="dxa"/>
            <w:vMerge/>
            <w:vAlign w:val="center"/>
          </w:tcPr>
          <w:p w14:paraId="7C05BD42" w14:textId="77777777" w:rsidR="008A3855" w:rsidRPr="000855B2" w:rsidRDefault="008A3855" w:rsidP="005C7955">
            <w:pPr>
              <w:keepNext/>
              <w:keepLines/>
              <w:suppressAutoHyphens/>
              <w:spacing w:line="240" w:lineRule="atLeast"/>
              <w:jc w:val="center"/>
              <w:rPr>
                <w:b/>
                <w:color w:val="000000"/>
                <w:szCs w:val="20"/>
                <w:lang w:val="en-GB"/>
              </w:rPr>
            </w:pPr>
          </w:p>
        </w:tc>
        <w:tc>
          <w:tcPr>
            <w:tcW w:w="2791" w:type="dxa"/>
            <w:gridSpan w:val="3"/>
            <w:vAlign w:val="center"/>
          </w:tcPr>
          <w:p w14:paraId="033A9101" w14:textId="77777777" w:rsidR="008A3855" w:rsidRPr="000855B2" w:rsidRDefault="008A3855" w:rsidP="005C7955">
            <w:pPr>
              <w:keepNext/>
              <w:keepLines/>
              <w:suppressAutoHyphens/>
              <w:spacing w:line="240" w:lineRule="atLeast"/>
              <w:jc w:val="center"/>
              <w:rPr>
                <w:b/>
                <w:color w:val="000000"/>
                <w:szCs w:val="20"/>
                <w:lang w:val="en-GB"/>
              </w:rPr>
            </w:pPr>
            <w:r w:rsidRPr="000855B2">
              <w:rPr>
                <w:b/>
                <w:color w:val="000000"/>
                <w:szCs w:val="20"/>
                <w:lang w:val="en-GB"/>
              </w:rPr>
              <w:t>(g/kg fuel)</w:t>
            </w:r>
          </w:p>
        </w:tc>
      </w:tr>
      <w:tr w:rsidR="008A3855" w:rsidRPr="000855B2" w14:paraId="081B0539" w14:textId="77777777" w:rsidTr="00246BA6">
        <w:trPr>
          <w:trHeight w:val="255"/>
        </w:trPr>
        <w:tc>
          <w:tcPr>
            <w:tcW w:w="1272" w:type="dxa"/>
            <w:vMerge/>
            <w:tcBorders>
              <w:bottom w:val="single" w:sz="12" w:space="0" w:color="auto"/>
            </w:tcBorders>
            <w:vAlign w:val="center"/>
          </w:tcPr>
          <w:p w14:paraId="4C673428" w14:textId="77777777" w:rsidR="008A3855" w:rsidRPr="000855B2" w:rsidRDefault="008A3855" w:rsidP="005C7955">
            <w:pPr>
              <w:keepNext/>
              <w:keepLines/>
              <w:suppressAutoHyphens/>
              <w:spacing w:line="240" w:lineRule="atLeast"/>
              <w:jc w:val="center"/>
              <w:rPr>
                <w:color w:val="000000"/>
                <w:szCs w:val="20"/>
                <w:lang w:val="en-GB"/>
              </w:rPr>
            </w:pPr>
          </w:p>
        </w:tc>
        <w:tc>
          <w:tcPr>
            <w:tcW w:w="1491" w:type="dxa"/>
            <w:vMerge/>
            <w:tcBorders>
              <w:bottom w:val="single" w:sz="12" w:space="0" w:color="auto"/>
            </w:tcBorders>
            <w:vAlign w:val="center"/>
          </w:tcPr>
          <w:p w14:paraId="2E48D2B3" w14:textId="77777777" w:rsidR="008A3855" w:rsidRPr="000855B2" w:rsidRDefault="008A3855" w:rsidP="005C7955">
            <w:pPr>
              <w:keepNext/>
              <w:keepLines/>
              <w:suppressAutoHyphens/>
              <w:spacing w:line="240" w:lineRule="atLeast"/>
              <w:jc w:val="center"/>
              <w:rPr>
                <w:color w:val="000000"/>
                <w:szCs w:val="20"/>
                <w:lang w:val="en-GB"/>
              </w:rPr>
            </w:pPr>
          </w:p>
        </w:tc>
        <w:tc>
          <w:tcPr>
            <w:tcW w:w="930" w:type="dxa"/>
            <w:tcBorders>
              <w:bottom w:val="single" w:sz="12" w:space="0" w:color="auto"/>
            </w:tcBorders>
            <w:vAlign w:val="center"/>
          </w:tcPr>
          <w:p w14:paraId="3AC7F3A5" w14:textId="77777777" w:rsidR="008A3855" w:rsidRPr="001843DE" w:rsidRDefault="008A3855" w:rsidP="005C7955">
            <w:pPr>
              <w:keepNext/>
              <w:keepLines/>
              <w:suppressAutoHyphens/>
              <w:spacing w:line="240" w:lineRule="atLeast"/>
              <w:jc w:val="center"/>
              <w:rPr>
                <w:b/>
                <w:color w:val="000000"/>
                <w:szCs w:val="20"/>
                <w:lang w:val="en-GB"/>
              </w:rPr>
            </w:pPr>
            <w:r w:rsidRPr="001843DE">
              <w:rPr>
                <w:b/>
                <w:color w:val="000000"/>
                <w:szCs w:val="20"/>
                <w:lang w:val="en-GB"/>
              </w:rPr>
              <w:t>Mean</w:t>
            </w:r>
          </w:p>
        </w:tc>
        <w:tc>
          <w:tcPr>
            <w:tcW w:w="930" w:type="dxa"/>
            <w:tcBorders>
              <w:bottom w:val="single" w:sz="12" w:space="0" w:color="auto"/>
            </w:tcBorders>
            <w:vAlign w:val="center"/>
          </w:tcPr>
          <w:p w14:paraId="23DAD9E2" w14:textId="77777777" w:rsidR="008A3855" w:rsidRPr="001843DE" w:rsidRDefault="008A3855" w:rsidP="005C7955">
            <w:pPr>
              <w:keepNext/>
              <w:keepLines/>
              <w:suppressAutoHyphens/>
              <w:spacing w:line="240" w:lineRule="atLeast"/>
              <w:jc w:val="center"/>
              <w:rPr>
                <w:b/>
                <w:color w:val="000000"/>
                <w:szCs w:val="20"/>
                <w:lang w:val="en-GB"/>
              </w:rPr>
            </w:pPr>
            <w:r w:rsidRPr="001843DE">
              <w:rPr>
                <w:b/>
                <w:color w:val="000000"/>
                <w:szCs w:val="20"/>
                <w:lang w:val="en-GB"/>
              </w:rPr>
              <w:t>Min</w:t>
            </w:r>
          </w:p>
        </w:tc>
        <w:tc>
          <w:tcPr>
            <w:tcW w:w="931" w:type="dxa"/>
            <w:tcBorders>
              <w:bottom w:val="single" w:sz="12" w:space="0" w:color="auto"/>
            </w:tcBorders>
            <w:vAlign w:val="center"/>
          </w:tcPr>
          <w:p w14:paraId="1DE57DE2" w14:textId="77777777" w:rsidR="008A3855" w:rsidRPr="001843DE" w:rsidRDefault="008A3855" w:rsidP="005C7955">
            <w:pPr>
              <w:keepNext/>
              <w:keepLines/>
              <w:suppressAutoHyphens/>
              <w:spacing w:line="240" w:lineRule="atLeast"/>
              <w:jc w:val="center"/>
              <w:rPr>
                <w:b/>
                <w:color w:val="000000"/>
                <w:szCs w:val="20"/>
                <w:lang w:val="en-GB"/>
              </w:rPr>
            </w:pPr>
            <w:r w:rsidRPr="001843DE">
              <w:rPr>
                <w:b/>
                <w:color w:val="000000"/>
                <w:szCs w:val="20"/>
                <w:lang w:val="en-GB"/>
              </w:rPr>
              <w:t>Max</w:t>
            </w:r>
          </w:p>
        </w:tc>
      </w:tr>
      <w:tr w:rsidR="00E11887" w:rsidRPr="000855B2" w14:paraId="467456A2" w14:textId="77777777" w:rsidTr="00246BA6">
        <w:trPr>
          <w:trHeight w:val="242"/>
        </w:trPr>
        <w:tc>
          <w:tcPr>
            <w:tcW w:w="1272" w:type="dxa"/>
            <w:vMerge w:val="restart"/>
            <w:tcBorders>
              <w:top w:val="single" w:sz="12" w:space="0" w:color="auto"/>
            </w:tcBorders>
            <w:vAlign w:val="center"/>
          </w:tcPr>
          <w:p w14:paraId="0FA3FF1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PC</w:t>
            </w:r>
          </w:p>
        </w:tc>
        <w:tc>
          <w:tcPr>
            <w:tcW w:w="1491" w:type="dxa"/>
            <w:tcBorders>
              <w:top w:val="single" w:sz="12" w:space="0" w:color="auto"/>
            </w:tcBorders>
            <w:vAlign w:val="center"/>
          </w:tcPr>
          <w:p w14:paraId="217D4B8E"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tcBorders>
              <w:top w:val="single" w:sz="12" w:space="0" w:color="auto"/>
            </w:tcBorders>
            <w:vAlign w:val="center"/>
          </w:tcPr>
          <w:p w14:paraId="5EC83D48"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8.84</w:t>
            </w:r>
          </w:p>
        </w:tc>
        <w:tc>
          <w:tcPr>
            <w:tcW w:w="930" w:type="dxa"/>
            <w:tcBorders>
              <w:top w:val="single" w:sz="12" w:space="0" w:color="auto"/>
            </w:tcBorders>
            <w:vAlign w:val="center"/>
          </w:tcPr>
          <w:p w14:paraId="42E3E3EC"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7.83</w:t>
            </w:r>
          </w:p>
        </w:tc>
        <w:tc>
          <w:tcPr>
            <w:tcW w:w="931" w:type="dxa"/>
            <w:tcBorders>
              <w:top w:val="single" w:sz="12" w:space="0" w:color="auto"/>
            </w:tcBorders>
            <w:vAlign w:val="center"/>
          </w:tcPr>
          <w:p w14:paraId="3BABBCBC"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9.89</w:t>
            </w:r>
          </w:p>
        </w:tc>
      </w:tr>
      <w:tr w:rsidR="00E11887" w:rsidRPr="000855B2" w14:paraId="7C43D721" w14:textId="77777777" w:rsidTr="00887829">
        <w:trPr>
          <w:trHeight w:val="242"/>
        </w:trPr>
        <w:tc>
          <w:tcPr>
            <w:tcW w:w="1272" w:type="dxa"/>
            <w:vMerge/>
            <w:vAlign w:val="center"/>
          </w:tcPr>
          <w:p w14:paraId="782C52A0"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576AB2CB"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3359FA87"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8.74</w:t>
            </w:r>
          </w:p>
        </w:tc>
        <w:tc>
          <w:tcPr>
            <w:tcW w:w="930" w:type="dxa"/>
            <w:vAlign w:val="center"/>
          </w:tcPr>
          <w:p w14:paraId="1DECCC49"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8.01</w:t>
            </w:r>
          </w:p>
        </w:tc>
        <w:tc>
          <w:tcPr>
            <w:tcW w:w="931" w:type="dxa"/>
            <w:vAlign w:val="center"/>
          </w:tcPr>
          <w:p w14:paraId="2065CBB0"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11.3</w:t>
            </w:r>
          </w:p>
        </w:tc>
      </w:tr>
      <w:tr w:rsidR="00E11887" w:rsidRPr="000855B2" w14:paraId="0339B592" w14:textId="77777777" w:rsidTr="00887829">
        <w:trPr>
          <w:trHeight w:val="255"/>
        </w:trPr>
        <w:tc>
          <w:tcPr>
            <w:tcW w:w="1272" w:type="dxa"/>
            <w:vMerge/>
            <w:vAlign w:val="center"/>
          </w:tcPr>
          <w:p w14:paraId="51A11608"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2BD7134A"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LPG</w:t>
            </w:r>
          </w:p>
        </w:tc>
        <w:tc>
          <w:tcPr>
            <w:tcW w:w="930" w:type="dxa"/>
            <w:vAlign w:val="center"/>
          </w:tcPr>
          <w:p w14:paraId="750BC450"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8.84</w:t>
            </w:r>
          </w:p>
        </w:tc>
        <w:tc>
          <w:tcPr>
            <w:tcW w:w="930" w:type="dxa"/>
            <w:vAlign w:val="center"/>
          </w:tcPr>
          <w:p w14:paraId="5F77275F"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7.83</w:t>
            </w:r>
          </w:p>
        </w:tc>
        <w:tc>
          <w:tcPr>
            <w:tcW w:w="931" w:type="dxa"/>
            <w:vAlign w:val="center"/>
          </w:tcPr>
          <w:p w14:paraId="792E6085"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9.89</w:t>
            </w:r>
          </w:p>
        </w:tc>
      </w:tr>
      <w:tr w:rsidR="00E11887" w:rsidRPr="000855B2" w14:paraId="26B00403" w14:textId="77777777" w:rsidTr="00887829">
        <w:trPr>
          <w:trHeight w:val="242"/>
        </w:trPr>
        <w:tc>
          <w:tcPr>
            <w:tcW w:w="1272" w:type="dxa"/>
            <w:vMerge w:val="restart"/>
            <w:vAlign w:val="center"/>
          </w:tcPr>
          <w:p w14:paraId="57F76134"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LCV</w:t>
            </w:r>
          </w:p>
        </w:tc>
        <w:tc>
          <w:tcPr>
            <w:tcW w:w="1491" w:type="dxa"/>
            <w:vAlign w:val="center"/>
          </w:tcPr>
          <w:p w14:paraId="4858E674" w14:textId="77777777" w:rsidR="00E11887"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158DC377"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6.07</w:t>
            </w:r>
          </w:p>
        </w:tc>
        <w:tc>
          <w:tcPr>
            <w:tcW w:w="930" w:type="dxa"/>
            <w:vAlign w:val="center"/>
          </w:tcPr>
          <w:p w14:paraId="7A905F1B"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4.76</w:t>
            </w:r>
          </w:p>
        </w:tc>
        <w:tc>
          <w:tcPr>
            <w:tcW w:w="931" w:type="dxa"/>
            <w:vAlign w:val="center"/>
          </w:tcPr>
          <w:p w14:paraId="0F9D7577"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7.28</w:t>
            </w:r>
          </w:p>
        </w:tc>
      </w:tr>
      <w:tr w:rsidR="00E11887" w:rsidRPr="000855B2" w14:paraId="37C6FF2F" w14:textId="77777777" w:rsidTr="00887829">
        <w:trPr>
          <w:trHeight w:val="255"/>
        </w:trPr>
        <w:tc>
          <w:tcPr>
            <w:tcW w:w="1272" w:type="dxa"/>
            <w:vMerge/>
            <w:vAlign w:val="center"/>
          </w:tcPr>
          <w:p w14:paraId="4996C041"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375A5D4C"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20BA04BA"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6.41</w:t>
            </w:r>
          </w:p>
        </w:tc>
        <w:tc>
          <w:tcPr>
            <w:tcW w:w="930" w:type="dxa"/>
            <w:vAlign w:val="center"/>
          </w:tcPr>
          <w:p w14:paraId="1B541E6D"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5.41</w:t>
            </w:r>
          </w:p>
        </w:tc>
        <w:tc>
          <w:tcPr>
            <w:tcW w:w="931" w:type="dxa"/>
            <w:vAlign w:val="center"/>
          </w:tcPr>
          <w:p w14:paraId="052000AF"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7.72</w:t>
            </w:r>
          </w:p>
        </w:tc>
      </w:tr>
      <w:tr w:rsidR="00E11887" w:rsidRPr="000855B2" w14:paraId="1C3C43C4" w14:textId="77777777" w:rsidTr="00887829">
        <w:trPr>
          <w:trHeight w:val="242"/>
        </w:trPr>
        <w:tc>
          <w:tcPr>
            <w:tcW w:w="1272" w:type="dxa"/>
            <w:vMerge w:val="restart"/>
            <w:vAlign w:val="center"/>
          </w:tcPr>
          <w:p w14:paraId="68387E18"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HDV</w:t>
            </w:r>
          </w:p>
        </w:tc>
        <w:tc>
          <w:tcPr>
            <w:tcW w:w="1491" w:type="dxa"/>
            <w:vAlign w:val="center"/>
          </w:tcPr>
          <w:p w14:paraId="5A4A5E9F"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Diesel</w:t>
            </w:r>
          </w:p>
        </w:tc>
        <w:tc>
          <w:tcPr>
            <w:tcW w:w="930" w:type="dxa"/>
            <w:vAlign w:val="center"/>
          </w:tcPr>
          <w:p w14:paraId="721CD5EC"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2.54</w:t>
            </w:r>
          </w:p>
        </w:tc>
        <w:tc>
          <w:tcPr>
            <w:tcW w:w="930" w:type="dxa"/>
            <w:vAlign w:val="center"/>
          </w:tcPr>
          <w:p w14:paraId="5747A89B"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1.99</w:t>
            </w:r>
          </w:p>
        </w:tc>
        <w:tc>
          <w:tcPr>
            <w:tcW w:w="931" w:type="dxa"/>
            <w:vAlign w:val="center"/>
          </w:tcPr>
          <w:p w14:paraId="731C3578"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3.32</w:t>
            </w:r>
          </w:p>
        </w:tc>
      </w:tr>
      <w:tr w:rsidR="00E11887" w:rsidRPr="000855B2" w14:paraId="3BA0869C" w14:textId="77777777" w:rsidTr="00887829">
        <w:trPr>
          <w:trHeight w:val="255"/>
        </w:trPr>
        <w:tc>
          <w:tcPr>
            <w:tcW w:w="1272" w:type="dxa"/>
            <w:vMerge/>
            <w:vAlign w:val="center"/>
          </w:tcPr>
          <w:p w14:paraId="4F0083C1" w14:textId="77777777" w:rsidR="00E11887" w:rsidRPr="000855B2" w:rsidRDefault="00E11887" w:rsidP="005C7955">
            <w:pPr>
              <w:keepNext/>
              <w:keepLines/>
              <w:suppressAutoHyphens/>
              <w:spacing w:line="240" w:lineRule="atLeast"/>
              <w:rPr>
                <w:color w:val="000000"/>
                <w:szCs w:val="20"/>
                <w:lang w:val="en-GB"/>
              </w:rPr>
            </w:pPr>
          </w:p>
        </w:tc>
        <w:tc>
          <w:tcPr>
            <w:tcW w:w="1491" w:type="dxa"/>
            <w:vAlign w:val="center"/>
          </w:tcPr>
          <w:p w14:paraId="61CB5CE0" w14:textId="77777777" w:rsidR="00E11887" w:rsidRPr="000855B2" w:rsidRDefault="00E11887" w:rsidP="005C7955">
            <w:pPr>
              <w:keepNext/>
              <w:keepLines/>
              <w:suppressAutoHyphens/>
              <w:spacing w:line="240" w:lineRule="atLeast"/>
              <w:rPr>
                <w:color w:val="000000"/>
                <w:szCs w:val="20"/>
                <w:lang w:val="en-GB"/>
              </w:rPr>
            </w:pPr>
            <w:r w:rsidRPr="000855B2">
              <w:rPr>
                <w:color w:val="000000"/>
                <w:szCs w:val="20"/>
                <w:lang w:val="en-GB"/>
              </w:rPr>
              <w:t>CNG (Buses)</w:t>
            </w:r>
          </w:p>
        </w:tc>
        <w:tc>
          <w:tcPr>
            <w:tcW w:w="930" w:type="dxa"/>
            <w:vAlign w:val="center"/>
          </w:tcPr>
          <w:p w14:paraId="51B6EE71"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3.31</w:t>
            </w:r>
          </w:p>
        </w:tc>
        <w:tc>
          <w:tcPr>
            <w:tcW w:w="930" w:type="dxa"/>
            <w:vAlign w:val="center"/>
          </w:tcPr>
          <w:p w14:paraId="71E6428F"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3.09</w:t>
            </w:r>
          </w:p>
        </w:tc>
        <w:tc>
          <w:tcPr>
            <w:tcW w:w="931" w:type="dxa"/>
            <w:vAlign w:val="center"/>
          </w:tcPr>
          <w:p w14:paraId="29945C2A" w14:textId="77777777" w:rsidR="00E11887" w:rsidRPr="000855B2" w:rsidRDefault="00E11887" w:rsidP="005C7955">
            <w:pPr>
              <w:keepNext/>
              <w:keepLines/>
              <w:suppressAutoHyphens/>
              <w:spacing w:line="240" w:lineRule="atLeast"/>
              <w:jc w:val="center"/>
              <w:rPr>
                <w:color w:val="000000"/>
                <w:szCs w:val="20"/>
                <w:highlight w:val="yellow"/>
                <w:lang w:val="en-GB"/>
              </w:rPr>
            </w:pPr>
            <w:r w:rsidRPr="000855B2">
              <w:rPr>
                <w:color w:val="000000"/>
                <w:szCs w:val="20"/>
                <w:lang w:val="en-GB"/>
              </w:rPr>
              <w:t>3.50</w:t>
            </w:r>
          </w:p>
        </w:tc>
      </w:tr>
      <w:tr w:rsidR="0001171A" w:rsidRPr="000855B2" w14:paraId="73096E0F" w14:textId="77777777" w:rsidTr="00887829">
        <w:trPr>
          <w:trHeight w:val="255"/>
        </w:trPr>
        <w:tc>
          <w:tcPr>
            <w:tcW w:w="1272" w:type="dxa"/>
            <w:vAlign w:val="center"/>
          </w:tcPr>
          <w:p w14:paraId="1858CFDD" w14:textId="77777777" w:rsidR="0001171A" w:rsidRPr="000855B2" w:rsidRDefault="0001171A" w:rsidP="005C7955">
            <w:pPr>
              <w:keepNext/>
              <w:keepLines/>
              <w:suppressAutoHyphens/>
              <w:spacing w:line="240" w:lineRule="atLeast"/>
              <w:rPr>
                <w:color w:val="000000"/>
                <w:szCs w:val="20"/>
                <w:lang w:val="en-GB"/>
              </w:rPr>
            </w:pPr>
            <w:r w:rsidRPr="000855B2">
              <w:rPr>
                <w:color w:val="000000"/>
                <w:szCs w:val="20"/>
                <w:lang w:val="en-GB"/>
              </w:rPr>
              <w:t>Two-wheel</w:t>
            </w:r>
          </w:p>
        </w:tc>
        <w:tc>
          <w:tcPr>
            <w:tcW w:w="1491" w:type="dxa"/>
            <w:vAlign w:val="center"/>
          </w:tcPr>
          <w:p w14:paraId="222B05D0" w14:textId="77777777" w:rsidR="0001171A" w:rsidRPr="000855B2" w:rsidRDefault="00E11887" w:rsidP="005C7955">
            <w:pPr>
              <w:keepNext/>
              <w:keepLines/>
              <w:suppressAutoHyphens/>
              <w:spacing w:line="240" w:lineRule="atLeast"/>
              <w:rPr>
                <w:color w:val="000000"/>
                <w:szCs w:val="20"/>
                <w:lang w:val="en-GB"/>
              </w:rPr>
            </w:pPr>
            <w:r>
              <w:rPr>
                <w:color w:val="000000"/>
                <w:szCs w:val="20"/>
                <w:lang w:val="en-GB"/>
              </w:rPr>
              <w:t>Petrol</w:t>
            </w:r>
          </w:p>
        </w:tc>
        <w:tc>
          <w:tcPr>
            <w:tcW w:w="930" w:type="dxa"/>
            <w:vAlign w:val="center"/>
          </w:tcPr>
          <w:p w14:paraId="678ABCB3" w14:textId="77777777" w:rsidR="0001171A" w:rsidRPr="000855B2" w:rsidRDefault="0001171A" w:rsidP="005C7955">
            <w:pPr>
              <w:keepNext/>
              <w:keepLines/>
              <w:suppressAutoHyphens/>
              <w:spacing w:line="240" w:lineRule="atLeast"/>
              <w:jc w:val="center"/>
              <w:rPr>
                <w:color w:val="000000"/>
                <w:szCs w:val="20"/>
                <w:highlight w:val="yellow"/>
                <w:lang w:val="en-GB"/>
              </w:rPr>
            </w:pPr>
            <w:r w:rsidRPr="000855B2">
              <w:rPr>
                <w:color w:val="000000"/>
                <w:szCs w:val="20"/>
                <w:lang w:val="en-GB"/>
              </w:rPr>
              <w:t>53.8</w:t>
            </w:r>
          </w:p>
        </w:tc>
        <w:tc>
          <w:tcPr>
            <w:tcW w:w="930" w:type="dxa"/>
            <w:vAlign w:val="center"/>
          </w:tcPr>
          <w:p w14:paraId="50760B73" w14:textId="77777777" w:rsidR="0001171A" w:rsidRPr="000855B2" w:rsidRDefault="0001171A" w:rsidP="005C7955">
            <w:pPr>
              <w:keepNext/>
              <w:keepLines/>
              <w:suppressAutoHyphens/>
              <w:spacing w:line="240" w:lineRule="atLeast"/>
              <w:jc w:val="center"/>
              <w:rPr>
                <w:color w:val="000000"/>
                <w:szCs w:val="20"/>
                <w:highlight w:val="yellow"/>
                <w:lang w:val="en-GB"/>
              </w:rPr>
            </w:pPr>
            <w:r w:rsidRPr="000855B2">
              <w:rPr>
                <w:color w:val="000000"/>
                <w:szCs w:val="20"/>
                <w:lang w:val="en-GB"/>
              </w:rPr>
              <w:t>33.3</w:t>
            </w:r>
          </w:p>
        </w:tc>
        <w:tc>
          <w:tcPr>
            <w:tcW w:w="931" w:type="dxa"/>
            <w:vAlign w:val="center"/>
          </w:tcPr>
          <w:p w14:paraId="5BA20E3F" w14:textId="77777777" w:rsidR="0001171A" w:rsidRPr="000855B2" w:rsidRDefault="0001171A" w:rsidP="005C7955">
            <w:pPr>
              <w:keepNext/>
              <w:keepLines/>
              <w:suppressAutoHyphens/>
              <w:spacing w:line="240" w:lineRule="atLeast"/>
              <w:jc w:val="center"/>
              <w:rPr>
                <w:color w:val="000000"/>
                <w:szCs w:val="20"/>
                <w:highlight w:val="yellow"/>
                <w:lang w:val="en-GB"/>
              </w:rPr>
            </w:pPr>
            <w:r w:rsidRPr="000855B2">
              <w:rPr>
                <w:color w:val="000000"/>
                <w:szCs w:val="20"/>
                <w:lang w:val="en-GB"/>
              </w:rPr>
              <w:t>110</w:t>
            </w:r>
          </w:p>
        </w:tc>
      </w:tr>
    </w:tbl>
    <w:p w14:paraId="4BD03A39" w14:textId="77777777" w:rsidR="00F85AC8" w:rsidRPr="000855B2" w:rsidRDefault="00F85AC8" w:rsidP="00F85AC8">
      <w:pPr>
        <w:pStyle w:val="BodyText"/>
        <w:spacing w:before="0" w:after="0"/>
        <w:rPr>
          <w:sz w:val="16"/>
          <w:szCs w:val="18"/>
        </w:rPr>
      </w:pPr>
      <w:r w:rsidRPr="000855B2">
        <w:rPr>
          <w:sz w:val="16"/>
          <w:szCs w:val="18"/>
        </w:rPr>
        <w:t xml:space="preserve">Note: </w:t>
      </w:r>
    </w:p>
    <w:p w14:paraId="0E567174" w14:textId="77777777" w:rsidR="00F85AC8" w:rsidRPr="000855B2" w:rsidRDefault="00F85AC8" w:rsidP="00425A22">
      <w:pPr>
        <w:pStyle w:val="BodyText"/>
        <w:spacing w:before="0" w:after="0"/>
        <w:rPr>
          <w:sz w:val="16"/>
        </w:rPr>
      </w:pPr>
      <w:r w:rsidRPr="000855B2">
        <w:rPr>
          <w:sz w:val="16"/>
          <w:szCs w:val="18"/>
          <w:vertAlign w:val="superscript"/>
        </w:rPr>
        <w:t>1</w:t>
      </w:r>
      <w:r w:rsidRPr="000855B2">
        <w:rPr>
          <w:sz w:val="16"/>
          <w:szCs w:val="18"/>
        </w:rPr>
        <w:t xml:space="preserve"> </w:t>
      </w:r>
      <w:r w:rsidR="00425A22" w:rsidRPr="000855B2">
        <w:rPr>
          <w:sz w:val="16"/>
          <w:szCs w:val="18"/>
        </w:rPr>
        <w:t>These emission factors assume typical consumption values for lubricant oil used in automotive applications.</w:t>
      </w:r>
    </w:p>
    <w:p w14:paraId="254B3354" w14:textId="77777777" w:rsidR="00F85AC8" w:rsidRPr="000855B2" w:rsidRDefault="00F85AC8" w:rsidP="00ED27AC">
      <w:pPr>
        <w:pStyle w:val="BodyText"/>
      </w:pPr>
    </w:p>
    <w:p w14:paraId="50FCDC3B" w14:textId="77777777" w:rsidR="001D2587" w:rsidRPr="000855B2" w:rsidRDefault="001D2587" w:rsidP="00CC108F">
      <w:pPr>
        <w:pStyle w:val="BodyText"/>
      </w:pPr>
      <w:r w:rsidRPr="000855B2">
        <w:t>The emissions of SO</w:t>
      </w:r>
      <w:r w:rsidRPr="000855B2">
        <w:rPr>
          <w:vertAlign w:val="subscript"/>
        </w:rPr>
        <w:t>2</w:t>
      </w:r>
      <w:r w:rsidRPr="000855B2">
        <w:t xml:space="preserve"> </w:t>
      </w:r>
      <w:r w:rsidR="00C37161" w:rsidRPr="000855B2">
        <w:t>per fuel</w:t>
      </w:r>
      <w:r w:rsidR="00D31480" w:rsidRPr="000855B2">
        <w:t>-type</w:t>
      </w:r>
      <w:r w:rsidR="00C37161" w:rsidRPr="000855B2">
        <w:t xml:space="preserve"> </w:t>
      </w:r>
      <w:r w:rsidR="00C37161" w:rsidRPr="000855B2">
        <w:rPr>
          <w:i/>
        </w:rPr>
        <w:t>m</w:t>
      </w:r>
      <w:r w:rsidR="00C37161" w:rsidRPr="000855B2">
        <w:t xml:space="preserve"> </w:t>
      </w:r>
      <w:r w:rsidRPr="000855B2">
        <w:t>are estimated by assuming that all sulphur in the fuel is transformed completely into SO</w:t>
      </w:r>
      <w:r w:rsidRPr="000855B2">
        <w:rPr>
          <w:vertAlign w:val="subscript"/>
        </w:rPr>
        <w:t>2</w:t>
      </w:r>
      <w:r w:rsidR="00674475" w:rsidRPr="000855B2">
        <w:t xml:space="preserve">, </w:t>
      </w:r>
      <w:r w:rsidRPr="000855B2">
        <w:t>using the formula:</w:t>
      </w:r>
    </w:p>
    <w:p w14:paraId="0F999E8D" w14:textId="77777777" w:rsidR="001D2587" w:rsidRPr="000855B2" w:rsidRDefault="001D2587" w:rsidP="00674475">
      <w:pPr>
        <w:spacing w:line="240" w:lineRule="auto"/>
        <w:rPr>
          <w:lang w:val="en-GB"/>
        </w:rPr>
      </w:pPr>
    </w:p>
    <w:tbl>
      <w:tblPr>
        <w:tblW w:w="0" w:type="auto"/>
        <w:tblBorders>
          <w:insideH w:val="single" w:sz="4" w:space="0" w:color="auto"/>
        </w:tblBorders>
        <w:tblLook w:val="01E0" w:firstRow="1" w:lastRow="1" w:firstColumn="1" w:lastColumn="1" w:noHBand="0" w:noVBand="0"/>
      </w:tblPr>
      <w:tblGrid>
        <w:gridCol w:w="7725"/>
        <w:gridCol w:w="738"/>
      </w:tblGrid>
      <w:tr w:rsidR="001D2587" w:rsidRPr="000855B2" w14:paraId="47CF516A" w14:textId="77777777">
        <w:tc>
          <w:tcPr>
            <w:tcW w:w="8240" w:type="dxa"/>
            <w:tcMar>
              <w:left w:w="0" w:type="dxa"/>
              <w:right w:w="0" w:type="dxa"/>
            </w:tcMar>
            <w:vAlign w:val="center"/>
          </w:tcPr>
          <w:p w14:paraId="136435E8" w14:textId="77777777" w:rsidR="001D2587" w:rsidRPr="000855B2" w:rsidRDefault="001D2587">
            <w:pPr>
              <w:numPr>
                <w:ilvl w:val="12"/>
                <w:numId w:val="0"/>
              </w:numPr>
              <w:rPr>
                <w:lang w:val="en-GB"/>
              </w:rPr>
            </w:pPr>
            <w:r w:rsidRPr="000855B2">
              <w:rPr>
                <w:b/>
                <w:position w:val="-14"/>
                <w:lang w:val="en-GB"/>
              </w:rPr>
              <w:object w:dxaOrig="2340" w:dyaOrig="400" w14:anchorId="6BFD3036">
                <v:shape id="_x0000_i1025" type="#_x0000_t75" style="width:115.35pt;height:21.25pt" o:ole="" fillcolor="window">
                  <v:imagedata r:id="rId14" o:title=""/>
                </v:shape>
                <o:OLEObject Type="Embed" ProgID="Equation.3" ShapeID="_x0000_i1025" DrawAspect="Content" ObjectID="_1555746389" r:id="rId15"/>
              </w:object>
            </w:r>
          </w:p>
        </w:tc>
        <w:tc>
          <w:tcPr>
            <w:tcW w:w="787" w:type="dxa"/>
            <w:tcMar>
              <w:left w:w="0" w:type="dxa"/>
              <w:right w:w="0" w:type="dxa"/>
            </w:tcMar>
            <w:vAlign w:val="center"/>
          </w:tcPr>
          <w:p w14:paraId="0674BEFB" w14:textId="31BEFA04" w:rsidR="001D2587" w:rsidRPr="000855B2" w:rsidRDefault="001D2587">
            <w:pPr>
              <w:numPr>
                <w:ilvl w:val="12"/>
                <w:numId w:val="0"/>
              </w:numPr>
              <w:jc w:val="cente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2</w:t>
            </w:r>
            <w:r w:rsidR="00E17971">
              <w:rPr>
                <w:lang w:val="en-GB"/>
              </w:rPr>
              <w:fldChar w:fldCharType="end"/>
            </w:r>
            <w:r w:rsidRPr="000855B2">
              <w:rPr>
                <w:lang w:val="en-GB"/>
              </w:rPr>
              <w:t>)</w:t>
            </w:r>
          </w:p>
        </w:tc>
      </w:tr>
    </w:tbl>
    <w:p w14:paraId="77732C1E" w14:textId="77777777" w:rsidR="00674475" w:rsidRPr="000855B2" w:rsidRDefault="009F3478" w:rsidP="00ED27AC">
      <w:pPr>
        <w:pStyle w:val="BodyText"/>
      </w:pPr>
      <w:r w:rsidRPr="000855B2">
        <w:t>w</w:t>
      </w:r>
      <w:r w:rsidR="001D2587" w:rsidRPr="000855B2">
        <w:t>here</w:t>
      </w:r>
      <w:r w:rsidR="00674475" w:rsidRPr="000855B2">
        <w:t>:</w:t>
      </w:r>
    </w:p>
    <w:p w14:paraId="18706839" w14:textId="2EB61DFF" w:rsidR="001D2587" w:rsidRDefault="00674475" w:rsidP="00ED27AC">
      <w:pPr>
        <w:pStyle w:val="BodyText"/>
      </w:pPr>
      <w:r w:rsidRPr="000855B2">
        <w:t>E</w:t>
      </w:r>
      <w:r w:rsidRPr="000855B2">
        <w:rPr>
          <w:vertAlign w:val="subscript"/>
        </w:rPr>
        <w:t>SO2,m</w:t>
      </w:r>
      <w:r w:rsidRPr="000855B2">
        <w:tab/>
      </w:r>
      <w:r w:rsidRPr="000855B2">
        <w:tab/>
        <w:t>=</w:t>
      </w:r>
      <w:r w:rsidRPr="000855B2">
        <w:tab/>
      </w:r>
      <w:r w:rsidR="00C130F8" w:rsidRPr="000855B2">
        <w:t>e</w:t>
      </w:r>
      <w:r w:rsidR="00C37161" w:rsidRPr="000855B2">
        <w:t>missions of SO</w:t>
      </w:r>
      <w:r w:rsidR="00C37161" w:rsidRPr="000855B2">
        <w:rPr>
          <w:vertAlign w:val="subscript"/>
        </w:rPr>
        <w:t>2</w:t>
      </w:r>
      <w:r w:rsidR="00C37161" w:rsidRPr="000855B2">
        <w:t xml:space="preserve"> per fuel m [g]</w:t>
      </w:r>
      <w:r w:rsidR="00C130F8" w:rsidRPr="000855B2">
        <w:t>,</w:t>
      </w:r>
    </w:p>
    <w:p w14:paraId="2B5B06C9" w14:textId="48B8004D" w:rsidR="001D2587" w:rsidRPr="000855B2" w:rsidRDefault="00E745C7" w:rsidP="00ED27AC">
      <w:pPr>
        <w:pStyle w:val="BodyText"/>
      </w:pPr>
      <w:r>
        <w:t>k</w:t>
      </w:r>
      <w:r w:rsidRPr="000855B2">
        <w:rPr>
          <w:vertAlign w:val="subscript"/>
        </w:rPr>
        <w:t>S,m</w:t>
      </w:r>
      <w:r w:rsidR="001D2587" w:rsidRPr="000855B2">
        <w:tab/>
      </w:r>
      <w:r w:rsidR="001D2587" w:rsidRPr="000855B2">
        <w:tab/>
      </w:r>
      <w:r w:rsidR="00674475" w:rsidRPr="000855B2">
        <w:t>=</w:t>
      </w:r>
      <w:r w:rsidR="00674475" w:rsidRPr="000855B2">
        <w:tab/>
      </w:r>
      <w:r w:rsidR="001D2587" w:rsidRPr="000855B2">
        <w:t>weight related sulp</w:t>
      </w:r>
      <w:r w:rsidR="00C37161" w:rsidRPr="000855B2">
        <w:t>hur content in fuel of type m [g/</w:t>
      </w:r>
      <w:r w:rsidR="001D2587" w:rsidRPr="000855B2">
        <w:t>g fuel]</w:t>
      </w:r>
      <w:r w:rsidR="00C130F8" w:rsidRPr="000855B2">
        <w:t>,</w:t>
      </w:r>
    </w:p>
    <w:p w14:paraId="5E2009B6" w14:textId="77777777" w:rsidR="00674475" w:rsidRPr="000855B2" w:rsidRDefault="00674475" w:rsidP="00ED27AC">
      <w:pPr>
        <w:pStyle w:val="BodyText"/>
      </w:pPr>
      <w:r w:rsidRPr="000855B2">
        <w:t>FC</w:t>
      </w:r>
      <w:r w:rsidRPr="000855B2">
        <w:rPr>
          <w:vertAlign w:val="subscript"/>
        </w:rPr>
        <w:t>m</w:t>
      </w:r>
      <w:r w:rsidRPr="000855B2">
        <w:tab/>
      </w:r>
      <w:r w:rsidRPr="000855B2">
        <w:tab/>
        <w:t>=</w:t>
      </w:r>
      <w:r w:rsidRPr="000855B2">
        <w:tab/>
      </w:r>
      <w:r w:rsidR="00C37161" w:rsidRPr="000855B2">
        <w:t>fuel consumption of fuel m [g]</w:t>
      </w:r>
      <w:r w:rsidR="00C130F8" w:rsidRPr="000855B2">
        <w:t>.</w:t>
      </w:r>
    </w:p>
    <w:p w14:paraId="0E2169E8" w14:textId="77777777" w:rsidR="001D2587" w:rsidRPr="000855B2" w:rsidRDefault="001D2587" w:rsidP="00CC108F">
      <w:pPr>
        <w:pStyle w:val="BodyText"/>
      </w:pPr>
      <w:r w:rsidRPr="000855B2">
        <w:t xml:space="preserve">Typical </w:t>
      </w:r>
      <w:r w:rsidR="009B26C3" w:rsidRPr="000855B2">
        <w:t xml:space="preserve">values for fuel </w:t>
      </w:r>
      <w:r w:rsidRPr="000855B2">
        <w:t xml:space="preserve">sulphur content </w:t>
      </w:r>
      <w:r w:rsidR="009B26C3" w:rsidRPr="000855B2">
        <w:t xml:space="preserve">are given below for the periods before </w:t>
      </w:r>
      <w:r w:rsidRPr="000855B2">
        <w:t xml:space="preserve">mandatory improved </w:t>
      </w:r>
      <w:r w:rsidR="00C37161" w:rsidRPr="000855B2">
        <w:t xml:space="preserve">fuel </w:t>
      </w:r>
      <w:r w:rsidRPr="000855B2">
        <w:t xml:space="preserve">specifications, following the first improvement in fuel specification </w:t>
      </w:r>
      <w:r w:rsidR="009B26C3" w:rsidRPr="000855B2">
        <w:t>(</w:t>
      </w:r>
      <w:r w:rsidR="0069595F" w:rsidRPr="000855B2">
        <w:t>January</w:t>
      </w:r>
      <w:r w:rsidRPr="000855B2">
        <w:t xml:space="preserve"> 2000 </w:t>
      </w:r>
      <w:r w:rsidR="009B26C3" w:rsidRPr="000855B2">
        <w:t xml:space="preserve">= </w:t>
      </w:r>
      <w:r w:rsidRPr="000855B2">
        <w:t>Fuel 2000), the second</w:t>
      </w:r>
      <w:r w:rsidR="009B26C3" w:rsidRPr="000855B2">
        <w:t xml:space="preserve"> (</w:t>
      </w:r>
      <w:r w:rsidRPr="000855B2">
        <w:t xml:space="preserve">January 2005 </w:t>
      </w:r>
      <w:r w:rsidR="009B26C3" w:rsidRPr="000855B2">
        <w:t xml:space="preserve">= </w:t>
      </w:r>
      <w:r w:rsidRPr="000855B2">
        <w:t>Fuel 2005)</w:t>
      </w:r>
      <w:r w:rsidR="005F5D3D" w:rsidRPr="000855B2">
        <w:t xml:space="preserve"> and the upcoming further regulation of diesel fuel sulphur to max</w:t>
      </w:r>
      <w:r w:rsidR="00C130F8" w:rsidRPr="000855B2">
        <w:t>imum</w:t>
      </w:r>
      <w:r w:rsidR="005F5D3D" w:rsidRPr="000855B2">
        <w:t xml:space="preserve"> 10</w:t>
      </w:r>
      <w:r w:rsidR="00C130F8" w:rsidRPr="000855B2">
        <w:t> </w:t>
      </w:r>
      <w:r w:rsidR="005F5D3D" w:rsidRPr="000855B2">
        <w:t>ppm by January 2009 (Fuel 2009)</w:t>
      </w:r>
      <w:r w:rsidR="00DB5E3B" w:rsidRPr="000855B2">
        <w:t>. Again, typical emission factors for Tie</w:t>
      </w:r>
      <w:r w:rsidR="00D73F59" w:rsidRPr="000855B2">
        <w:t>r 1</w:t>
      </w:r>
      <w:r w:rsidR="00DB5E3B" w:rsidRPr="000855B2">
        <w:t xml:space="preserve"> for a number of countries can be found in </w:t>
      </w:r>
      <w:r w:rsidR="00BA10D2">
        <w:t>Appendix</w:t>
      </w:r>
      <w:r w:rsidR="00C130F8" w:rsidRPr="000855B2">
        <w:t> </w:t>
      </w:r>
      <w:r w:rsidR="00DB5E3B" w:rsidRPr="000855B2">
        <w:t>1.</w:t>
      </w:r>
    </w:p>
    <w:p w14:paraId="32E89424" w14:textId="17D939EB" w:rsidR="001D2587" w:rsidRPr="000855B2" w:rsidRDefault="00A040D1" w:rsidP="00E43131">
      <w:pPr>
        <w:pStyle w:val="Caption"/>
      </w:pPr>
      <w:bookmarkStart w:id="78" w:name="_Ref201722178"/>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14</w:t>
      </w:r>
      <w:r w:rsidR="00FB454C">
        <w:rPr>
          <w:noProof/>
        </w:rPr>
        <w:fldChar w:fldCharType="end"/>
      </w:r>
      <w:bookmarkEnd w:id="78"/>
      <w:r w:rsidR="00944F54">
        <w:t xml:space="preserve">: </w:t>
      </w:r>
      <w:r w:rsidR="001D2587" w:rsidRPr="000855B2">
        <w:t xml:space="preserve">Tier 1 </w:t>
      </w:r>
      <w:r w:rsidR="00C130F8" w:rsidRPr="000855B2">
        <w:t>—</w:t>
      </w:r>
      <w:r w:rsidR="001D2587" w:rsidRPr="000855B2">
        <w:t xml:space="preserve"> Typical sulphur content of fuel</w:t>
      </w:r>
      <w:r w:rsidR="00C37161" w:rsidRPr="000855B2">
        <w:t xml:space="preserve"> (1</w:t>
      </w:r>
      <w:r w:rsidR="00C130F8" w:rsidRPr="000855B2">
        <w:t> ppm</w:t>
      </w:r>
      <w:r w:rsidR="00C37161" w:rsidRPr="000855B2">
        <w:t xml:space="preserve"> = 10</w:t>
      </w:r>
      <w:r w:rsidR="00C37161" w:rsidRPr="000855B2">
        <w:rPr>
          <w:vertAlign w:val="superscript"/>
        </w:rPr>
        <w:t>-6</w:t>
      </w:r>
      <w:r w:rsidR="00C130F8" w:rsidRPr="000855B2">
        <w:rPr>
          <w:vertAlign w:val="superscript"/>
        </w:rPr>
        <w:t> </w:t>
      </w:r>
      <w:r w:rsidR="00C37161" w:rsidRPr="000855B2">
        <w:t>g/g fuel)</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5"/>
        <w:gridCol w:w="2002"/>
        <w:gridCol w:w="1549"/>
        <w:gridCol w:w="1460"/>
        <w:gridCol w:w="1427"/>
      </w:tblGrid>
      <w:tr w:rsidR="00201F06" w:rsidRPr="008A3855" w14:paraId="625FA580" w14:textId="77777777" w:rsidTr="00246BA6">
        <w:trPr>
          <w:trHeight w:val="435"/>
        </w:trPr>
        <w:tc>
          <w:tcPr>
            <w:tcW w:w="2024" w:type="dxa"/>
            <w:tcBorders>
              <w:bottom w:val="single" w:sz="12" w:space="0" w:color="auto"/>
            </w:tcBorders>
            <w:vAlign w:val="center"/>
          </w:tcPr>
          <w:p w14:paraId="1F87FF06" w14:textId="77777777" w:rsidR="00201F06" w:rsidRPr="008A3855" w:rsidRDefault="008A3855" w:rsidP="005C7955">
            <w:pPr>
              <w:keepNext/>
              <w:keepLines/>
              <w:suppressAutoHyphens/>
              <w:spacing w:line="240" w:lineRule="atLeast"/>
              <w:jc w:val="center"/>
              <w:rPr>
                <w:b/>
              </w:rPr>
            </w:pPr>
            <w:r w:rsidRPr="008A3855">
              <w:rPr>
                <w:b/>
              </w:rPr>
              <w:t>Fuel</w:t>
            </w:r>
          </w:p>
        </w:tc>
        <w:tc>
          <w:tcPr>
            <w:tcW w:w="2026" w:type="dxa"/>
            <w:tcBorders>
              <w:bottom w:val="single" w:sz="12" w:space="0" w:color="auto"/>
            </w:tcBorders>
            <w:vAlign w:val="center"/>
          </w:tcPr>
          <w:p w14:paraId="3F4F49C5" w14:textId="77777777" w:rsidR="00201F06" w:rsidRPr="008A3855" w:rsidRDefault="00201F06" w:rsidP="005C7955">
            <w:pPr>
              <w:keepNext/>
              <w:keepLines/>
              <w:suppressAutoHyphens/>
              <w:spacing w:line="240" w:lineRule="atLeast"/>
              <w:jc w:val="center"/>
              <w:rPr>
                <w:b/>
              </w:rPr>
            </w:pPr>
            <w:r w:rsidRPr="008A3855">
              <w:rPr>
                <w:b/>
              </w:rPr>
              <w:t>1996 Base fuel</w:t>
            </w:r>
            <w:r w:rsidR="009F3478" w:rsidRPr="008A3855">
              <w:rPr>
                <w:b/>
              </w:rPr>
              <w:br/>
            </w:r>
            <w:r w:rsidRPr="008A3855">
              <w:rPr>
                <w:b/>
              </w:rPr>
              <w:t>(Market average)</w:t>
            </w:r>
          </w:p>
        </w:tc>
        <w:tc>
          <w:tcPr>
            <w:tcW w:w="1563" w:type="dxa"/>
            <w:tcBorders>
              <w:bottom w:val="single" w:sz="12" w:space="0" w:color="auto"/>
            </w:tcBorders>
            <w:vAlign w:val="center"/>
          </w:tcPr>
          <w:p w14:paraId="5FCDD412" w14:textId="77777777" w:rsidR="00201F06" w:rsidRPr="008A3855" w:rsidRDefault="00201F06" w:rsidP="005C7955">
            <w:pPr>
              <w:keepNext/>
              <w:keepLines/>
              <w:suppressAutoHyphens/>
              <w:spacing w:line="240" w:lineRule="atLeast"/>
              <w:jc w:val="center"/>
              <w:rPr>
                <w:b/>
              </w:rPr>
            </w:pPr>
            <w:r w:rsidRPr="008A3855">
              <w:rPr>
                <w:b/>
              </w:rPr>
              <w:t>Fuel 2000</w:t>
            </w:r>
          </w:p>
        </w:tc>
        <w:tc>
          <w:tcPr>
            <w:tcW w:w="1475" w:type="dxa"/>
            <w:tcBorders>
              <w:bottom w:val="single" w:sz="12" w:space="0" w:color="auto"/>
            </w:tcBorders>
            <w:vAlign w:val="center"/>
          </w:tcPr>
          <w:p w14:paraId="764D97A5" w14:textId="77777777" w:rsidR="00201F06" w:rsidRPr="008A3855" w:rsidRDefault="00201F06" w:rsidP="005C7955">
            <w:pPr>
              <w:keepNext/>
              <w:keepLines/>
              <w:suppressAutoHyphens/>
              <w:spacing w:line="240" w:lineRule="atLeast"/>
              <w:jc w:val="center"/>
              <w:rPr>
                <w:b/>
              </w:rPr>
            </w:pPr>
            <w:r w:rsidRPr="008A3855">
              <w:rPr>
                <w:b/>
              </w:rPr>
              <w:t>Fuel 2005</w:t>
            </w:r>
          </w:p>
        </w:tc>
        <w:tc>
          <w:tcPr>
            <w:tcW w:w="1441" w:type="dxa"/>
            <w:tcBorders>
              <w:bottom w:val="single" w:sz="12" w:space="0" w:color="auto"/>
            </w:tcBorders>
            <w:vAlign w:val="center"/>
          </w:tcPr>
          <w:p w14:paraId="19BF7E5E" w14:textId="77777777" w:rsidR="00201F06" w:rsidRPr="008A3855" w:rsidRDefault="00201F06" w:rsidP="005C7955">
            <w:pPr>
              <w:keepNext/>
              <w:keepLines/>
              <w:suppressAutoHyphens/>
              <w:spacing w:line="240" w:lineRule="atLeast"/>
              <w:jc w:val="center"/>
              <w:rPr>
                <w:b/>
              </w:rPr>
            </w:pPr>
            <w:r w:rsidRPr="008A3855">
              <w:rPr>
                <w:b/>
              </w:rPr>
              <w:t>Fuel 2009</w:t>
            </w:r>
          </w:p>
        </w:tc>
      </w:tr>
      <w:tr w:rsidR="00201F06" w:rsidRPr="008A3855" w14:paraId="6DA53BF8" w14:textId="77777777" w:rsidTr="00246BA6">
        <w:tc>
          <w:tcPr>
            <w:tcW w:w="2024" w:type="dxa"/>
            <w:tcBorders>
              <w:top w:val="single" w:sz="12" w:space="0" w:color="auto"/>
            </w:tcBorders>
            <w:vAlign w:val="center"/>
          </w:tcPr>
          <w:p w14:paraId="0A5D190A" w14:textId="77777777" w:rsidR="00201F06" w:rsidRPr="008A3855" w:rsidRDefault="00E11887" w:rsidP="005C7955">
            <w:pPr>
              <w:keepNext/>
              <w:keepLines/>
              <w:suppressAutoHyphens/>
              <w:spacing w:line="240" w:lineRule="atLeast"/>
            </w:pPr>
            <w:r w:rsidRPr="008A3855">
              <w:t>Petrol</w:t>
            </w:r>
          </w:p>
        </w:tc>
        <w:tc>
          <w:tcPr>
            <w:tcW w:w="2026" w:type="dxa"/>
            <w:tcBorders>
              <w:top w:val="single" w:sz="12" w:space="0" w:color="auto"/>
            </w:tcBorders>
            <w:vAlign w:val="center"/>
          </w:tcPr>
          <w:p w14:paraId="30963993" w14:textId="77777777" w:rsidR="00201F06" w:rsidRPr="008A3855" w:rsidRDefault="00201F06" w:rsidP="005C7955">
            <w:pPr>
              <w:keepNext/>
              <w:keepLines/>
              <w:suppressAutoHyphens/>
              <w:spacing w:line="240" w:lineRule="atLeast"/>
              <w:jc w:val="center"/>
            </w:pPr>
            <w:r w:rsidRPr="008A3855">
              <w:t>165</w:t>
            </w:r>
            <w:r w:rsidR="00C130F8" w:rsidRPr="008A3855">
              <w:t> ppm</w:t>
            </w:r>
          </w:p>
        </w:tc>
        <w:tc>
          <w:tcPr>
            <w:tcW w:w="1563" w:type="dxa"/>
            <w:tcBorders>
              <w:top w:val="single" w:sz="12" w:space="0" w:color="auto"/>
            </w:tcBorders>
            <w:vAlign w:val="center"/>
          </w:tcPr>
          <w:p w14:paraId="0E2B84F0" w14:textId="77777777" w:rsidR="00201F06" w:rsidRPr="008A3855" w:rsidRDefault="00201F06" w:rsidP="005C7955">
            <w:pPr>
              <w:keepNext/>
              <w:keepLines/>
              <w:suppressAutoHyphens/>
              <w:spacing w:line="240" w:lineRule="atLeast"/>
              <w:jc w:val="center"/>
            </w:pPr>
            <w:r w:rsidRPr="008A3855">
              <w:t>130</w:t>
            </w:r>
            <w:r w:rsidR="00C130F8" w:rsidRPr="008A3855">
              <w:t> ppm</w:t>
            </w:r>
          </w:p>
        </w:tc>
        <w:tc>
          <w:tcPr>
            <w:tcW w:w="1475" w:type="dxa"/>
            <w:tcBorders>
              <w:top w:val="single" w:sz="12" w:space="0" w:color="auto"/>
            </w:tcBorders>
            <w:vAlign w:val="center"/>
          </w:tcPr>
          <w:p w14:paraId="36979812" w14:textId="77777777" w:rsidR="00201F06" w:rsidRPr="008A3855" w:rsidRDefault="00201F06" w:rsidP="005C7955">
            <w:pPr>
              <w:keepNext/>
              <w:keepLines/>
              <w:suppressAutoHyphens/>
              <w:spacing w:line="240" w:lineRule="atLeast"/>
              <w:jc w:val="center"/>
            </w:pPr>
            <w:r w:rsidRPr="008A3855">
              <w:t>40</w:t>
            </w:r>
            <w:r w:rsidR="00C130F8" w:rsidRPr="008A3855">
              <w:t> ppm</w:t>
            </w:r>
          </w:p>
        </w:tc>
        <w:tc>
          <w:tcPr>
            <w:tcW w:w="1441" w:type="dxa"/>
            <w:tcBorders>
              <w:top w:val="single" w:sz="12" w:space="0" w:color="auto"/>
            </w:tcBorders>
            <w:vAlign w:val="center"/>
          </w:tcPr>
          <w:p w14:paraId="70B1BCCF" w14:textId="77777777" w:rsidR="00201F06" w:rsidRPr="008A3855" w:rsidRDefault="00201F06" w:rsidP="005C7955">
            <w:pPr>
              <w:keepNext/>
              <w:keepLines/>
              <w:suppressAutoHyphens/>
              <w:spacing w:line="240" w:lineRule="atLeast"/>
              <w:jc w:val="center"/>
            </w:pPr>
            <w:r w:rsidRPr="008A3855">
              <w:t>40</w:t>
            </w:r>
            <w:r w:rsidR="00C130F8" w:rsidRPr="008A3855">
              <w:t> ppm</w:t>
            </w:r>
          </w:p>
        </w:tc>
      </w:tr>
      <w:tr w:rsidR="00201F06" w:rsidRPr="008A3855" w14:paraId="62C3699B" w14:textId="77777777" w:rsidTr="008A3855">
        <w:trPr>
          <w:trHeight w:val="232"/>
        </w:trPr>
        <w:tc>
          <w:tcPr>
            <w:tcW w:w="2024" w:type="dxa"/>
            <w:vAlign w:val="center"/>
          </w:tcPr>
          <w:p w14:paraId="76FA9326" w14:textId="77777777" w:rsidR="00201F06" w:rsidRPr="008A3855" w:rsidRDefault="00201F06" w:rsidP="005C7955">
            <w:pPr>
              <w:keepNext/>
              <w:keepLines/>
              <w:suppressAutoHyphens/>
              <w:spacing w:line="240" w:lineRule="atLeast"/>
            </w:pPr>
            <w:r w:rsidRPr="008A3855">
              <w:t>Diesel</w:t>
            </w:r>
          </w:p>
        </w:tc>
        <w:tc>
          <w:tcPr>
            <w:tcW w:w="2026" w:type="dxa"/>
            <w:vAlign w:val="center"/>
          </w:tcPr>
          <w:p w14:paraId="05EC14F7" w14:textId="77777777" w:rsidR="00201F06" w:rsidRPr="008A3855" w:rsidRDefault="00201F06" w:rsidP="005C7955">
            <w:pPr>
              <w:keepNext/>
              <w:keepLines/>
              <w:suppressAutoHyphens/>
              <w:spacing w:line="240" w:lineRule="atLeast"/>
              <w:jc w:val="center"/>
            </w:pPr>
            <w:r w:rsidRPr="008A3855">
              <w:t>400</w:t>
            </w:r>
            <w:r w:rsidR="00C130F8" w:rsidRPr="008A3855">
              <w:t> ppm</w:t>
            </w:r>
          </w:p>
        </w:tc>
        <w:tc>
          <w:tcPr>
            <w:tcW w:w="1563" w:type="dxa"/>
            <w:vAlign w:val="center"/>
          </w:tcPr>
          <w:p w14:paraId="4CECFA75" w14:textId="77777777" w:rsidR="00201F06" w:rsidRPr="008A3855" w:rsidRDefault="00201F06" w:rsidP="005C7955">
            <w:pPr>
              <w:keepNext/>
              <w:keepLines/>
              <w:suppressAutoHyphens/>
              <w:spacing w:line="240" w:lineRule="atLeast"/>
              <w:jc w:val="center"/>
            </w:pPr>
            <w:r w:rsidRPr="008A3855">
              <w:t>300</w:t>
            </w:r>
            <w:r w:rsidR="00C130F8" w:rsidRPr="008A3855">
              <w:t> ppm</w:t>
            </w:r>
          </w:p>
        </w:tc>
        <w:tc>
          <w:tcPr>
            <w:tcW w:w="1475" w:type="dxa"/>
            <w:vAlign w:val="center"/>
          </w:tcPr>
          <w:p w14:paraId="3A513338" w14:textId="77777777" w:rsidR="00201F06" w:rsidRPr="008A3855" w:rsidRDefault="00201F06" w:rsidP="005C7955">
            <w:pPr>
              <w:keepNext/>
              <w:keepLines/>
              <w:suppressAutoHyphens/>
              <w:spacing w:line="240" w:lineRule="atLeast"/>
              <w:jc w:val="center"/>
            </w:pPr>
            <w:r w:rsidRPr="008A3855">
              <w:t>40</w:t>
            </w:r>
            <w:r w:rsidR="00C130F8" w:rsidRPr="008A3855">
              <w:t> ppm</w:t>
            </w:r>
          </w:p>
        </w:tc>
        <w:tc>
          <w:tcPr>
            <w:tcW w:w="1441" w:type="dxa"/>
            <w:vAlign w:val="center"/>
          </w:tcPr>
          <w:p w14:paraId="5826C794" w14:textId="77777777" w:rsidR="00201F06" w:rsidRPr="008A3855" w:rsidRDefault="00201F06" w:rsidP="005C7955">
            <w:pPr>
              <w:keepNext/>
              <w:keepLines/>
              <w:suppressAutoHyphens/>
              <w:spacing w:line="240" w:lineRule="atLeast"/>
              <w:jc w:val="center"/>
            </w:pPr>
            <w:r w:rsidRPr="008A3855">
              <w:t>8</w:t>
            </w:r>
            <w:r w:rsidR="00C130F8" w:rsidRPr="008A3855">
              <w:t> ppm</w:t>
            </w:r>
          </w:p>
        </w:tc>
      </w:tr>
    </w:tbl>
    <w:p w14:paraId="7DB74E46" w14:textId="77777777" w:rsidR="001D2587" w:rsidRPr="000855B2" w:rsidRDefault="001D2587" w:rsidP="00AC1E78">
      <w:pPr>
        <w:pStyle w:val="Heading3"/>
      </w:pPr>
      <w:bookmarkStart w:id="79" w:name="_Ref197836220"/>
      <w:r w:rsidRPr="000855B2">
        <w:t>Activity data</w:t>
      </w:r>
      <w:bookmarkEnd w:id="79"/>
    </w:p>
    <w:p w14:paraId="7C42D401" w14:textId="77777777" w:rsidR="001D2587" w:rsidRPr="000855B2" w:rsidRDefault="001D2587" w:rsidP="00CC108F">
      <w:pPr>
        <w:pStyle w:val="BodyText"/>
      </w:pPr>
      <w:r w:rsidRPr="000855B2">
        <w:t>The Tie</w:t>
      </w:r>
      <w:r w:rsidR="00D73F59" w:rsidRPr="000855B2">
        <w:t>r 1</w:t>
      </w:r>
      <w:r w:rsidRPr="000855B2">
        <w:t xml:space="preserve"> approach requires relevant fuel statistics</w:t>
      </w:r>
      <w:r w:rsidR="00C130F8" w:rsidRPr="000855B2">
        <w:t>,</w:t>
      </w:r>
      <w:r w:rsidRPr="000855B2">
        <w:t xml:space="preserve"> </w:t>
      </w:r>
      <w:r w:rsidR="00D205E2" w:rsidRPr="000855B2">
        <w:t>i.e</w:t>
      </w:r>
      <w:r w:rsidRPr="000855B2">
        <w:rPr>
          <w:i/>
        </w:rPr>
        <w:t>.</w:t>
      </w:r>
      <w:r w:rsidRPr="000855B2">
        <w:t xml:space="preserve"> </w:t>
      </w:r>
      <w:r w:rsidR="00DB5E3B" w:rsidRPr="000855B2">
        <w:t xml:space="preserve">the </w:t>
      </w:r>
      <w:r w:rsidRPr="000855B2">
        <w:t>volumes (or weights) of fuel sold for road transport use</w:t>
      </w:r>
      <w:r w:rsidR="00DB5E3B" w:rsidRPr="000855B2">
        <w:t xml:space="preserve">, and </w:t>
      </w:r>
      <w:r w:rsidRPr="000855B2">
        <w:t>for each type of fuel used.</w:t>
      </w:r>
    </w:p>
    <w:p w14:paraId="2ACC1EE1" w14:textId="77777777" w:rsidR="001D2587" w:rsidRPr="000855B2" w:rsidRDefault="001D2587" w:rsidP="00CC108F">
      <w:pPr>
        <w:pStyle w:val="BodyText"/>
      </w:pPr>
      <w:r w:rsidRPr="000855B2">
        <w:lastRenderedPageBreak/>
        <w:t>For the majority of fuels (</w:t>
      </w:r>
      <w:r w:rsidR="005E4DC4">
        <w:t>petrol</w:t>
      </w:r>
      <w:r w:rsidRPr="000855B2">
        <w:t>, diesel, LPG) these statistics are usually available at a national level. However, for slow</w:t>
      </w:r>
      <w:r w:rsidR="00DB5E3B" w:rsidRPr="000855B2">
        <w:t>-</w:t>
      </w:r>
      <w:r w:rsidRPr="000855B2">
        <w:t>fill CNG vehicles (often filled from the natural gas grid)</w:t>
      </w:r>
      <w:r w:rsidR="00DB5E3B" w:rsidRPr="000855B2">
        <w:t>,</w:t>
      </w:r>
      <w:r w:rsidRPr="000855B2">
        <w:t xml:space="preserve"> data could be more challenging to obtain and estimations may need to be made. However, for most countries this is probably a negligible contribution to road transport </w:t>
      </w:r>
      <w:r w:rsidR="00D31480" w:rsidRPr="000855B2">
        <w:t xml:space="preserve">consumption and </w:t>
      </w:r>
      <w:r w:rsidRPr="000855B2">
        <w:t>emissions</w:t>
      </w:r>
      <w:r w:rsidR="00DB5E3B" w:rsidRPr="000855B2">
        <w:t xml:space="preserve"> at present</w:t>
      </w:r>
      <w:r w:rsidRPr="000855B2">
        <w:t>.</w:t>
      </w:r>
    </w:p>
    <w:p w14:paraId="73C96298" w14:textId="77777777" w:rsidR="001D2587" w:rsidRPr="000855B2" w:rsidRDefault="001D2587" w:rsidP="00CC108F">
      <w:pPr>
        <w:pStyle w:val="BodyText"/>
      </w:pPr>
      <w:r w:rsidRPr="000855B2">
        <w:t>The Tie</w:t>
      </w:r>
      <w:r w:rsidR="00D73F59" w:rsidRPr="000855B2">
        <w:t>r 1</w:t>
      </w:r>
      <w:r w:rsidRPr="000855B2">
        <w:t xml:space="preserve"> methodology also requires that the fuel sales are disaggregated </w:t>
      </w:r>
      <w:r w:rsidR="00DB5E3B" w:rsidRPr="000855B2">
        <w:t>according</w:t>
      </w:r>
      <w:r w:rsidRPr="000855B2">
        <w:t xml:space="preserve"> </w:t>
      </w:r>
      <w:r w:rsidR="00DB5E3B" w:rsidRPr="000855B2">
        <w:t xml:space="preserve">to </w:t>
      </w:r>
      <w:r w:rsidRPr="000855B2">
        <w:t>the four vehicle categories. Hence</w:t>
      </w:r>
      <w:r w:rsidR="00DB5E3B" w:rsidRPr="000855B2">
        <w:t>,</w:t>
      </w:r>
      <w:r w:rsidRPr="000855B2">
        <w:t xml:space="preserve"> the inventory compiler should also make sure when using the Tie</w:t>
      </w:r>
      <w:r w:rsidR="00D73F59" w:rsidRPr="000855B2">
        <w:t>r 1</w:t>
      </w:r>
      <w:r w:rsidRPr="000855B2">
        <w:t xml:space="preserve"> algorithm that the total </w:t>
      </w:r>
      <w:r w:rsidR="00DB5E3B" w:rsidRPr="000855B2">
        <w:t xml:space="preserve">amount </w:t>
      </w:r>
      <w:r w:rsidRPr="000855B2">
        <w:t xml:space="preserve">of each type of fuel sold is equal to the sum of the fuel consumed by the different vehicle categories, </w:t>
      </w:r>
      <w:r w:rsidR="00D205E2" w:rsidRPr="000855B2">
        <w:t>i.e</w:t>
      </w:r>
      <w:r w:rsidRPr="000855B2">
        <w:t>.</w:t>
      </w:r>
      <w:r w:rsidR="00C130F8" w:rsidRPr="000855B2">
        <w:t>:</w:t>
      </w:r>
      <w:r w:rsidRPr="000855B2">
        <w:t xml:space="preserve"> </w:t>
      </w:r>
    </w:p>
    <w:tbl>
      <w:tblPr>
        <w:tblW w:w="0" w:type="auto"/>
        <w:tblBorders>
          <w:insideH w:val="single" w:sz="4" w:space="0" w:color="auto"/>
        </w:tblBorders>
        <w:tblCellMar>
          <w:top w:w="57" w:type="dxa"/>
          <w:left w:w="85" w:type="dxa"/>
          <w:bottom w:w="57" w:type="dxa"/>
          <w:right w:w="85" w:type="dxa"/>
        </w:tblCellMar>
        <w:tblLook w:val="01E0" w:firstRow="1" w:lastRow="1" w:firstColumn="1" w:lastColumn="1" w:noHBand="0" w:noVBand="0"/>
      </w:tblPr>
      <w:tblGrid>
        <w:gridCol w:w="7715"/>
        <w:gridCol w:w="748"/>
      </w:tblGrid>
      <w:tr w:rsidR="001D2587" w:rsidRPr="000855B2" w14:paraId="62123875" w14:textId="77777777">
        <w:tc>
          <w:tcPr>
            <w:tcW w:w="8240" w:type="dxa"/>
            <w:tcMar>
              <w:left w:w="0" w:type="dxa"/>
              <w:right w:w="0" w:type="dxa"/>
            </w:tcMar>
            <w:vAlign w:val="center"/>
          </w:tcPr>
          <w:p w14:paraId="0FD85EA7" w14:textId="77777777" w:rsidR="001D2587" w:rsidRPr="000855B2" w:rsidRDefault="001D2587">
            <w:pPr>
              <w:numPr>
                <w:ilvl w:val="12"/>
                <w:numId w:val="0"/>
              </w:numPr>
              <w:rPr>
                <w:lang w:val="en-GB"/>
              </w:rPr>
            </w:pPr>
            <w:r w:rsidRPr="000855B2">
              <w:rPr>
                <w:lang w:val="en-GB"/>
              </w:rPr>
              <w:t>FC</w:t>
            </w:r>
            <w:r w:rsidR="00494B95" w:rsidRPr="000855B2">
              <w:rPr>
                <w:vertAlign w:val="subscript"/>
                <w:lang w:val="en-GB"/>
              </w:rPr>
              <w:t>m</w:t>
            </w:r>
            <w:r w:rsidRPr="000855B2">
              <w:rPr>
                <w:lang w:val="en-GB"/>
              </w:rPr>
              <w:t xml:space="preserve"> = </w:t>
            </w:r>
            <w:r w:rsidRPr="000855B2">
              <w:rPr>
                <w:sz w:val="32"/>
                <w:lang w:val="en-GB"/>
              </w:rPr>
              <w:sym w:font="Symbol" w:char="F053"/>
            </w:r>
            <w:r w:rsidR="00C37161" w:rsidRPr="000855B2">
              <w:rPr>
                <w:vertAlign w:val="subscript"/>
                <w:lang w:val="en-GB"/>
              </w:rPr>
              <w:t>j</w:t>
            </w:r>
            <w:r w:rsidRPr="000855B2">
              <w:rPr>
                <w:lang w:val="en-GB"/>
              </w:rPr>
              <w:t>(FC</w:t>
            </w:r>
            <w:r w:rsidR="00C37161" w:rsidRPr="000855B2">
              <w:rPr>
                <w:vertAlign w:val="subscript"/>
                <w:lang w:val="en-GB"/>
              </w:rPr>
              <w:t>j</w:t>
            </w:r>
            <w:r w:rsidR="00494B95" w:rsidRPr="000855B2">
              <w:rPr>
                <w:vertAlign w:val="subscript"/>
                <w:lang w:val="en-GB"/>
              </w:rPr>
              <w:t>, m</w:t>
            </w:r>
            <w:r w:rsidRPr="000855B2">
              <w:rPr>
                <w:lang w:val="en-GB"/>
              </w:rPr>
              <w:t>)</w:t>
            </w:r>
          </w:p>
        </w:tc>
        <w:tc>
          <w:tcPr>
            <w:tcW w:w="787" w:type="dxa"/>
            <w:tcMar>
              <w:left w:w="0" w:type="dxa"/>
              <w:right w:w="0" w:type="dxa"/>
            </w:tcMar>
            <w:vAlign w:val="center"/>
          </w:tcPr>
          <w:p w14:paraId="7AB3E2D6" w14:textId="029441AE" w:rsidR="001D2587" w:rsidRPr="000855B2" w:rsidRDefault="001D2587">
            <w:pPr>
              <w:numPr>
                <w:ilvl w:val="12"/>
                <w:numId w:val="0"/>
              </w:numPr>
              <w:jc w:val="cente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3</w:t>
            </w:r>
            <w:r w:rsidR="00E17971">
              <w:rPr>
                <w:lang w:val="en-GB"/>
              </w:rPr>
              <w:fldChar w:fldCharType="end"/>
            </w:r>
            <w:r w:rsidRPr="000855B2">
              <w:rPr>
                <w:lang w:val="en-GB"/>
              </w:rPr>
              <w:t>)</w:t>
            </w:r>
          </w:p>
        </w:tc>
      </w:tr>
    </w:tbl>
    <w:p w14:paraId="700CBF23" w14:textId="6DC5EBB2" w:rsidR="001D2587" w:rsidRPr="000855B2" w:rsidRDefault="00FB454C" w:rsidP="00CC108F">
      <w:pPr>
        <w:pStyle w:val="BodyText"/>
      </w:pPr>
      <w:r>
        <w:fldChar w:fldCharType="begin"/>
      </w:r>
      <w:r>
        <w:instrText xml:space="preserve"> REF _Ref198520966 \h  \* MERGEFORMAT </w:instrText>
      </w:r>
      <w:r>
        <w:fldChar w:fldCharType="separate"/>
      </w:r>
      <w:r w:rsidR="0071604C" w:rsidRPr="000855B2">
        <w:t>Table </w:t>
      </w:r>
      <w:r w:rsidR="0071604C">
        <w:t>3.15</w:t>
      </w:r>
      <w:r>
        <w:fldChar w:fldCharType="end"/>
      </w:r>
      <w:r w:rsidR="001D2587" w:rsidRPr="000855B2">
        <w:t xml:space="preserve"> shows which fuel types are used in which vehicle categories.</w:t>
      </w:r>
    </w:p>
    <w:p w14:paraId="340D8B5D" w14:textId="77777777" w:rsidR="004C1022" w:rsidRPr="000855B2" w:rsidRDefault="001D2587" w:rsidP="00CC108F">
      <w:pPr>
        <w:pStyle w:val="BodyText"/>
      </w:pPr>
      <w:r w:rsidRPr="000855B2">
        <w:t xml:space="preserve">The basis for this disaggregation may be the nation’s vehicle statistics combined with estimates of annual usage, </w:t>
      </w:r>
      <w:r w:rsidR="0058677D" w:rsidRPr="000855B2">
        <w:t>such as</w:t>
      </w:r>
      <w:r w:rsidRPr="000855B2">
        <w:t xml:space="preserve"> km driven, and fuel consumption (kg/km) for the different vehicle categories.</w:t>
      </w:r>
    </w:p>
    <w:p w14:paraId="06A84D20" w14:textId="1A50F7F8" w:rsidR="001D2587" w:rsidRPr="000855B2" w:rsidRDefault="00A040D1" w:rsidP="00E43131">
      <w:pPr>
        <w:pStyle w:val="Caption"/>
      </w:pPr>
      <w:bookmarkStart w:id="80" w:name="_Ref198520966"/>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15</w:t>
      </w:r>
      <w:r w:rsidR="00FB454C">
        <w:rPr>
          <w:noProof/>
        </w:rPr>
        <w:fldChar w:fldCharType="end"/>
      </w:r>
      <w:bookmarkEnd w:id="80"/>
      <w:r w:rsidR="00944F54">
        <w:t xml:space="preserve">: </w:t>
      </w:r>
      <w:r w:rsidR="001D2587" w:rsidRPr="000855B2">
        <w:t xml:space="preserve">Tier 1 </w:t>
      </w:r>
      <w:r w:rsidR="00C130F8" w:rsidRPr="000855B2">
        <w:t>—</w:t>
      </w:r>
      <w:r w:rsidR="001D2587" w:rsidRPr="000855B2">
        <w:t xml:space="preserve"> Typical fuel consumption figures, per km, by category of vehicle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76"/>
        <w:gridCol w:w="1418"/>
        <w:gridCol w:w="2268"/>
      </w:tblGrid>
      <w:tr w:rsidR="001D2587" w:rsidRPr="000855B2" w14:paraId="36A27F01" w14:textId="77777777" w:rsidTr="005C7955">
        <w:trPr>
          <w:trHeight w:val="127"/>
        </w:trPr>
        <w:tc>
          <w:tcPr>
            <w:tcW w:w="2376" w:type="dxa"/>
            <w:tcBorders>
              <w:bottom w:val="single" w:sz="12" w:space="0" w:color="auto"/>
            </w:tcBorders>
            <w:vAlign w:val="center"/>
          </w:tcPr>
          <w:p w14:paraId="01A36C0B" w14:textId="77777777" w:rsidR="001D2587" w:rsidRPr="000855B2" w:rsidRDefault="0058677D" w:rsidP="005C7955">
            <w:pPr>
              <w:pStyle w:val="BodyText"/>
              <w:keepNext/>
              <w:keepLines/>
              <w:suppressAutoHyphens/>
              <w:spacing w:before="0" w:after="0" w:line="240" w:lineRule="atLeast"/>
              <w:jc w:val="center"/>
              <w:rPr>
                <w:b/>
              </w:rPr>
            </w:pPr>
            <w:r w:rsidRPr="000855B2">
              <w:rPr>
                <w:b/>
              </w:rPr>
              <w:t>Vehicle category</w:t>
            </w:r>
            <w:r w:rsidR="00E405A5" w:rsidRPr="000855B2">
              <w:rPr>
                <w:b/>
              </w:rPr>
              <w:t xml:space="preserve"> (j)</w:t>
            </w:r>
          </w:p>
        </w:tc>
        <w:tc>
          <w:tcPr>
            <w:tcW w:w="1418" w:type="dxa"/>
            <w:tcBorders>
              <w:bottom w:val="single" w:sz="12" w:space="0" w:color="auto"/>
            </w:tcBorders>
            <w:vAlign w:val="center"/>
          </w:tcPr>
          <w:p w14:paraId="757483F0" w14:textId="77777777" w:rsidR="001D2587" w:rsidRPr="000855B2" w:rsidRDefault="001D2587" w:rsidP="005C7955">
            <w:pPr>
              <w:pStyle w:val="BodyText"/>
              <w:keepNext/>
              <w:keepLines/>
              <w:suppressAutoHyphens/>
              <w:spacing w:before="0" w:after="0" w:line="240" w:lineRule="atLeast"/>
              <w:jc w:val="center"/>
              <w:rPr>
                <w:b/>
              </w:rPr>
            </w:pPr>
            <w:r w:rsidRPr="000855B2">
              <w:rPr>
                <w:b/>
              </w:rPr>
              <w:t>Fuel</w:t>
            </w:r>
          </w:p>
        </w:tc>
        <w:tc>
          <w:tcPr>
            <w:tcW w:w="2268" w:type="dxa"/>
            <w:tcBorders>
              <w:bottom w:val="single" w:sz="12" w:space="0" w:color="auto"/>
            </w:tcBorders>
            <w:vAlign w:val="center"/>
          </w:tcPr>
          <w:p w14:paraId="11F672E5" w14:textId="77777777" w:rsidR="001D2587" w:rsidRPr="000855B2" w:rsidRDefault="001D2587" w:rsidP="005C7955">
            <w:pPr>
              <w:pStyle w:val="BodyText"/>
              <w:keepNext/>
              <w:keepLines/>
              <w:suppressAutoHyphens/>
              <w:spacing w:before="0" w:after="0" w:line="240" w:lineRule="atLeast"/>
              <w:jc w:val="center"/>
              <w:rPr>
                <w:b/>
              </w:rPr>
            </w:pPr>
            <w:r w:rsidRPr="000855B2">
              <w:rPr>
                <w:b/>
              </w:rPr>
              <w:t>Typical fuel consumption (g/km)</w:t>
            </w:r>
          </w:p>
        </w:tc>
      </w:tr>
      <w:tr w:rsidR="008A3855" w:rsidRPr="000855B2" w14:paraId="6D4EDBE4" w14:textId="77777777" w:rsidTr="00246BA6">
        <w:trPr>
          <w:trHeight w:val="122"/>
        </w:trPr>
        <w:tc>
          <w:tcPr>
            <w:tcW w:w="2376" w:type="dxa"/>
            <w:vMerge w:val="restart"/>
            <w:tcBorders>
              <w:top w:val="single" w:sz="12" w:space="0" w:color="auto"/>
            </w:tcBorders>
            <w:vAlign w:val="center"/>
          </w:tcPr>
          <w:p w14:paraId="12EF0B9A" w14:textId="77777777" w:rsidR="008A3855" w:rsidRPr="000855B2" w:rsidRDefault="008A3855" w:rsidP="005C7955">
            <w:pPr>
              <w:pStyle w:val="BodyText"/>
              <w:keepNext/>
              <w:keepLines/>
              <w:suppressAutoHyphens/>
              <w:spacing w:before="0" w:after="0" w:line="240" w:lineRule="atLeast"/>
              <w:jc w:val="left"/>
            </w:pPr>
            <w:r w:rsidRPr="000855B2">
              <w:t>Passenger cars</w:t>
            </w:r>
          </w:p>
        </w:tc>
        <w:tc>
          <w:tcPr>
            <w:tcW w:w="1418" w:type="dxa"/>
            <w:tcBorders>
              <w:top w:val="single" w:sz="12" w:space="0" w:color="auto"/>
            </w:tcBorders>
            <w:vAlign w:val="center"/>
          </w:tcPr>
          <w:p w14:paraId="779CDC4C" w14:textId="77777777" w:rsidR="008A3855" w:rsidRPr="000855B2" w:rsidRDefault="008A3855" w:rsidP="005C7955">
            <w:pPr>
              <w:pStyle w:val="BodyText"/>
              <w:keepNext/>
              <w:keepLines/>
              <w:suppressAutoHyphens/>
              <w:spacing w:before="0" w:after="0" w:line="240" w:lineRule="atLeast"/>
              <w:jc w:val="left"/>
            </w:pPr>
            <w:r>
              <w:t>Petrol</w:t>
            </w:r>
          </w:p>
        </w:tc>
        <w:tc>
          <w:tcPr>
            <w:tcW w:w="2268" w:type="dxa"/>
            <w:tcBorders>
              <w:top w:val="single" w:sz="12" w:space="0" w:color="auto"/>
            </w:tcBorders>
            <w:vAlign w:val="center"/>
          </w:tcPr>
          <w:p w14:paraId="57BC4924" w14:textId="77777777" w:rsidR="008A3855" w:rsidRPr="000855B2" w:rsidRDefault="008A3855" w:rsidP="005C7955">
            <w:pPr>
              <w:pStyle w:val="BodyText"/>
              <w:keepNext/>
              <w:keepLines/>
              <w:suppressAutoHyphens/>
              <w:spacing w:before="0" w:after="0" w:line="240" w:lineRule="atLeast"/>
              <w:jc w:val="center"/>
            </w:pPr>
            <w:r w:rsidRPr="000855B2">
              <w:t>70</w:t>
            </w:r>
          </w:p>
        </w:tc>
      </w:tr>
      <w:tr w:rsidR="008A3855" w:rsidRPr="000855B2" w14:paraId="2EEFD86A" w14:textId="77777777" w:rsidTr="008A3855">
        <w:trPr>
          <w:trHeight w:val="216"/>
        </w:trPr>
        <w:tc>
          <w:tcPr>
            <w:tcW w:w="2376" w:type="dxa"/>
            <w:vMerge/>
            <w:vAlign w:val="center"/>
          </w:tcPr>
          <w:p w14:paraId="0556B6AA"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6AAA3C8C" w14:textId="77777777" w:rsidR="008A3855" w:rsidRDefault="008A3855" w:rsidP="005C7955">
            <w:pPr>
              <w:pStyle w:val="BodyText"/>
              <w:keepNext/>
              <w:keepLines/>
              <w:suppressAutoHyphens/>
              <w:spacing w:before="0" w:after="0" w:line="240" w:lineRule="atLeast"/>
              <w:jc w:val="left"/>
            </w:pPr>
            <w:r w:rsidRPr="000855B2">
              <w:t>Diesel</w:t>
            </w:r>
          </w:p>
        </w:tc>
        <w:tc>
          <w:tcPr>
            <w:tcW w:w="2268" w:type="dxa"/>
            <w:vAlign w:val="center"/>
          </w:tcPr>
          <w:p w14:paraId="1FE1A7D2" w14:textId="77777777" w:rsidR="008A3855" w:rsidRPr="000855B2" w:rsidRDefault="008A3855" w:rsidP="005C7955">
            <w:pPr>
              <w:pStyle w:val="BodyText"/>
              <w:keepNext/>
              <w:keepLines/>
              <w:suppressAutoHyphens/>
              <w:spacing w:before="0" w:after="0" w:line="240" w:lineRule="atLeast"/>
              <w:jc w:val="center"/>
            </w:pPr>
            <w:r w:rsidRPr="000855B2">
              <w:t>60</w:t>
            </w:r>
          </w:p>
        </w:tc>
      </w:tr>
      <w:tr w:rsidR="008A3855" w:rsidRPr="000855B2" w14:paraId="1DDE02D5" w14:textId="77777777" w:rsidTr="008A3855">
        <w:trPr>
          <w:trHeight w:val="213"/>
        </w:trPr>
        <w:tc>
          <w:tcPr>
            <w:tcW w:w="2376" w:type="dxa"/>
            <w:vMerge/>
            <w:vAlign w:val="center"/>
          </w:tcPr>
          <w:p w14:paraId="424E2C08"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4BFBFA5C" w14:textId="77777777" w:rsidR="008A3855" w:rsidRPr="000855B2" w:rsidRDefault="008A3855" w:rsidP="005C7955">
            <w:pPr>
              <w:pStyle w:val="BodyText"/>
              <w:keepNext/>
              <w:keepLines/>
              <w:suppressAutoHyphens/>
              <w:spacing w:before="0" w:after="0" w:line="240" w:lineRule="atLeast"/>
              <w:jc w:val="left"/>
            </w:pPr>
            <w:r w:rsidRPr="000855B2">
              <w:t>LPG</w:t>
            </w:r>
          </w:p>
        </w:tc>
        <w:tc>
          <w:tcPr>
            <w:tcW w:w="2268" w:type="dxa"/>
            <w:vAlign w:val="center"/>
          </w:tcPr>
          <w:p w14:paraId="1CC071E4" w14:textId="77777777" w:rsidR="008A3855" w:rsidRPr="000855B2" w:rsidRDefault="008A3855" w:rsidP="005C7955">
            <w:pPr>
              <w:pStyle w:val="BodyText"/>
              <w:keepNext/>
              <w:keepLines/>
              <w:suppressAutoHyphens/>
              <w:spacing w:before="0" w:after="0" w:line="240" w:lineRule="atLeast"/>
              <w:jc w:val="center"/>
            </w:pPr>
            <w:r w:rsidRPr="000855B2">
              <w:t>57.5</w:t>
            </w:r>
          </w:p>
        </w:tc>
      </w:tr>
      <w:tr w:rsidR="008A3855" w:rsidRPr="000855B2" w14:paraId="4E35F564" w14:textId="77777777" w:rsidTr="008A3855">
        <w:trPr>
          <w:trHeight w:val="223"/>
        </w:trPr>
        <w:tc>
          <w:tcPr>
            <w:tcW w:w="2376" w:type="dxa"/>
            <w:vMerge/>
            <w:vAlign w:val="center"/>
          </w:tcPr>
          <w:p w14:paraId="691F7866"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775AC4C8" w14:textId="77777777" w:rsidR="008A3855" w:rsidRPr="000855B2" w:rsidRDefault="008A3855" w:rsidP="005C7955">
            <w:pPr>
              <w:pStyle w:val="BodyText"/>
              <w:keepNext/>
              <w:keepLines/>
              <w:suppressAutoHyphens/>
              <w:spacing w:before="0" w:after="0" w:line="240" w:lineRule="atLeast"/>
              <w:jc w:val="left"/>
            </w:pPr>
            <w:r w:rsidRPr="000855B2">
              <w:t>E85</w:t>
            </w:r>
          </w:p>
        </w:tc>
        <w:tc>
          <w:tcPr>
            <w:tcW w:w="2268" w:type="dxa"/>
            <w:vAlign w:val="center"/>
          </w:tcPr>
          <w:p w14:paraId="703C23CA" w14:textId="77777777" w:rsidR="008A3855" w:rsidRPr="000855B2" w:rsidRDefault="008A3855" w:rsidP="005C7955">
            <w:pPr>
              <w:pStyle w:val="BodyText"/>
              <w:keepNext/>
              <w:keepLines/>
              <w:suppressAutoHyphens/>
              <w:spacing w:before="0" w:after="0" w:line="240" w:lineRule="atLeast"/>
              <w:jc w:val="center"/>
            </w:pPr>
            <w:r w:rsidRPr="000855B2">
              <w:t>86.5</w:t>
            </w:r>
          </w:p>
        </w:tc>
      </w:tr>
      <w:tr w:rsidR="008A3855" w:rsidRPr="000855B2" w14:paraId="27C36BF1" w14:textId="77777777" w:rsidTr="005C7955">
        <w:trPr>
          <w:trHeight w:val="269"/>
        </w:trPr>
        <w:tc>
          <w:tcPr>
            <w:tcW w:w="2376" w:type="dxa"/>
            <w:vMerge/>
            <w:vAlign w:val="center"/>
          </w:tcPr>
          <w:p w14:paraId="0713E4A8"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2137C704" w14:textId="77777777" w:rsidR="008A3855" w:rsidRPr="000855B2" w:rsidRDefault="008A3855" w:rsidP="005C7955">
            <w:pPr>
              <w:pStyle w:val="BodyText"/>
              <w:keepNext/>
              <w:keepLines/>
              <w:suppressAutoHyphens/>
              <w:spacing w:before="0" w:after="0" w:line="240" w:lineRule="atLeast"/>
              <w:jc w:val="left"/>
            </w:pPr>
            <w:r w:rsidRPr="000855B2">
              <w:t>CNG</w:t>
            </w:r>
          </w:p>
        </w:tc>
        <w:tc>
          <w:tcPr>
            <w:tcW w:w="2268" w:type="dxa"/>
            <w:vAlign w:val="center"/>
          </w:tcPr>
          <w:p w14:paraId="73DAB0F4" w14:textId="77777777" w:rsidR="008A3855" w:rsidRPr="000855B2" w:rsidRDefault="008A3855" w:rsidP="005C7955">
            <w:pPr>
              <w:pStyle w:val="BodyText"/>
              <w:keepNext/>
              <w:keepLines/>
              <w:suppressAutoHyphens/>
              <w:spacing w:before="0" w:after="0" w:line="240" w:lineRule="atLeast"/>
              <w:jc w:val="center"/>
            </w:pPr>
            <w:r w:rsidRPr="000855B2">
              <w:t>62.6</w:t>
            </w:r>
          </w:p>
        </w:tc>
      </w:tr>
      <w:tr w:rsidR="008A3855" w:rsidRPr="000855B2" w14:paraId="4D7CAF17" w14:textId="77777777" w:rsidTr="008A3855">
        <w:trPr>
          <w:trHeight w:val="191"/>
        </w:trPr>
        <w:tc>
          <w:tcPr>
            <w:tcW w:w="2376" w:type="dxa"/>
            <w:vMerge w:val="restart"/>
            <w:vAlign w:val="center"/>
          </w:tcPr>
          <w:p w14:paraId="0F10B43A" w14:textId="77777777" w:rsidR="008A3855" w:rsidRPr="000855B2" w:rsidRDefault="008A3855" w:rsidP="005C7955">
            <w:pPr>
              <w:pStyle w:val="BodyText"/>
              <w:keepNext/>
              <w:keepLines/>
              <w:suppressAutoHyphens/>
              <w:spacing w:before="0" w:after="0" w:line="240" w:lineRule="atLeast"/>
              <w:jc w:val="left"/>
            </w:pPr>
            <w:r w:rsidRPr="000855B2">
              <w:t>LCV</w:t>
            </w:r>
          </w:p>
        </w:tc>
        <w:tc>
          <w:tcPr>
            <w:tcW w:w="1418" w:type="dxa"/>
            <w:vAlign w:val="center"/>
          </w:tcPr>
          <w:p w14:paraId="0EDEC6FA" w14:textId="77777777" w:rsidR="008A3855" w:rsidRPr="000855B2" w:rsidRDefault="008A3855" w:rsidP="005C7955">
            <w:pPr>
              <w:pStyle w:val="BodyText"/>
              <w:keepNext/>
              <w:keepLines/>
              <w:suppressAutoHyphens/>
              <w:spacing w:before="0" w:after="0" w:line="240" w:lineRule="atLeast"/>
              <w:jc w:val="left"/>
            </w:pPr>
            <w:r>
              <w:t>Petrol</w:t>
            </w:r>
          </w:p>
        </w:tc>
        <w:tc>
          <w:tcPr>
            <w:tcW w:w="2268" w:type="dxa"/>
            <w:vAlign w:val="center"/>
          </w:tcPr>
          <w:p w14:paraId="13841740" w14:textId="77777777" w:rsidR="008A3855" w:rsidRPr="000855B2" w:rsidRDefault="008A3855" w:rsidP="005C7955">
            <w:pPr>
              <w:pStyle w:val="BodyText"/>
              <w:keepNext/>
              <w:keepLines/>
              <w:suppressAutoHyphens/>
              <w:spacing w:before="0" w:after="0" w:line="240" w:lineRule="atLeast"/>
              <w:jc w:val="center"/>
            </w:pPr>
            <w:r w:rsidRPr="000855B2">
              <w:t>100</w:t>
            </w:r>
          </w:p>
        </w:tc>
      </w:tr>
      <w:tr w:rsidR="008A3855" w:rsidRPr="000855B2" w14:paraId="4A8E9AAC" w14:textId="77777777" w:rsidTr="001843DE">
        <w:trPr>
          <w:trHeight w:val="217"/>
        </w:trPr>
        <w:tc>
          <w:tcPr>
            <w:tcW w:w="2376" w:type="dxa"/>
            <w:vMerge/>
            <w:vAlign w:val="center"/>
          </w:tcPr>
          <w:p w14:paraId="4355F214"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5334B23F" w14:textId="77777777" w:rsidR="008A3855" w:rsidRDefault="008A3855" w:rsidP="005C7955">
            <w:pPr>
              <w:pStyle w:val="BodyText"/>
              <w:keepNext/>
              <w:keepLines/>
              <w:suppressAutoHyphens/>
              <w:spacing w:before="0" w:after="0" w:line="240" w:lineRule="atLeast"/>
              <w:jc w:val="left"/>
            </w:pPr>
            <w:r w:rsidRPr="000855B2">
              <w:t>Diesel</w:t>
            </w:r>
          </w:p>
        </w:tc>
        <w:tc>
          <w:tcPr>
            <w:tcW w:w="2268" w:type="dxa"/>
            <w:vAlign w:val="center"/>
          </w:tcPr>
          <w:p w14:paraId="27A6F195" w14:textId="77777777" w:rsidR="008A3855" w:rsidRPr="000855B2" w:rsidRDefault="008A3855" w:rsidP="005C7955">
            <w:pPr>
              <w:pStyle w:val="BodyText"/>
              <w:keepNext/>
              <w:keepLines/>
              <w:suppressAutoHyphens/>
              <w:spacing w:before="0" w:after="0" w:line="240" w:lineRule="atLeast"/>
              <w:jc w:val="center"/>
            </w:pPr>
            <w:r w:rsidRPr="000855B2">
              <w:t>80</w:t>
            </w:r>
          </w:p>
        </w:tc>
      </w:tr>
      <w:tr w:rsidR="008A3855" w:rsidRPr="000855B2" w14:paraId="5E4A2334" w14:textId="77777777" w:rsidTr="008A3855">
        <w:trPr>
          <w:trHeight w:val="122"/>
        </w:trPr>
        <w:tc>
          <w:tcPr>
            <w:tcW w:w="2376" w:type="dxa"/>
            <w:vMerge w:val="restart"/>
            <w:vAlign w:val="center"/>
          </w:tcPr>
          <w:p w14:paraId="5BD0A581" w14:textId="77777777" w:rsidR="008A3855" w:rsidRPr="000855B2" w:rsidRDefault="008A3855" w:rsidP="005C7955">
            <w:pPr>
              <w:pStyle w:val="BodyText"/>
              <w:keepNext/>
              <w:keepLines/>
              <w:suppressAutoHyphens/>
              <w:spacing w:before="0" w:after="0" w:line="240" w:lineRule="atLeast"/>
              <w:jc w:val="left"/>
            </w:pPr>
            <w:r w:rsidRPr="000855B2">
              <w:t>HDV</w:t>
            </w:r>
          </w:p>
        </w:tc>
        <w:tc>
          <w:tcPr>
            <w:tcW w:w="1418" w:type="dxa"/>
            <w:vAlign w:val="center"/>
          </w:tcPr>
          <w:p w14:paraId="6E6A2AB7" w14:textId="77777777" w:rsidR="008A3855" w:rsidRPr="000855B2" w:rsidRDefault="008A3855" w:rsidP="005C7955">
            <w:pPr>
              <w:pStyle w:val="BodyText"/>
              <w:keepNext/>
              <w:keepLines/>
              <w:suppressAutoHyphens/>
              <w:spacing w:before="0" w:after="0" w:line="240" w:lineRule="atLeast"/>
              <w:jc w:val="left"/>
            </w:pPr>
            <w:r w:rsidRPr="000855B2">
              <w:t>Diesel</w:t>
            </w:r>
          </w:p>
        </w:tc>
        <w:tc>
          <w:tcPr>
            <w:tcW w:w="2268" w:type="dxa"/>
            <w:vAlign w:val="center"/>
          </w:tcPr>
          <w:p w14:paraId="79F59B0C" w14:textId="77777777" w:rsidR="008A3855" w:rsidRPr="000855B2" w:rsidRDefault="008A3855" w:rsidP="005C7955">
            <w:pPr>
              <w:pStyle w:val="BodyText"/>
              <w:keepNext/>
              <w:keepLines/>
              <w:suppressAutoHyphens/>
              <w:spacing w:before="0" w:after="0" w:line="240" w:lineRule="atLeast"/>
              <w:jc w:val="center"/>
            </w:pPr>
            <w:r w:rsidRPr="000855B2">
              <w:t>240</w:t>
            </w:r>
          </w:p>
        </w:tc>
      </w:tr>
      <w:tr w:rsidR="008A3855" w:rsidRPr="000855B2" w14:paraId="4D4DDF1A" w14:textId="77777777" w:rsidTr="001843DE">
        <w:trPr>
          <w:trHeight w:val="299"/>
        </w:trPr>
        <w:tc>
          <w:tcPr>
            <w:tcW w:w="2376" w:type="dxa"/>
            <w:vMerge/>
            <w:vAlign w:val="center"/>
          </w:tcPr>
          <w:p w14:paraId="5D3567DE" w14:textId="77777777" w:rsidR="008A3855" w:rsidRPr="000855B2" w:rsidRDefault="008A3855" w:rsidP="005C7955">
            <w:pPr>
              <w:pStyle w:val="BodyText"/>
              <w:keepNext/>
              <w:keepLines/>
              <w:suppressAutoHyphens/>
              <w:spacing w:before="0" w:after="0" w:line="240" w:lineRule="atLeast"/>
              <w:jc w:val="left"/>
            </w:pPr>
          </w:p>
        </w:tc>
        <w:tc>
          <w:tcPr>
            <w:tcW w:w="1418" w:type="dxa"/>
            <w:vAlign w:val="center"/>
          </w:tcPr>
          <w:p w14:paraId="64DE91A7" w14:textId="77777777" w:rsidR="008A3855" w:rsidRPr="000855B2" w:rsidRDefault="008A3855" w:rsidP="005C7955">
            <w:pPr>
              <w:pStyle w:val="BodyText"/>
              <w:keepNext/>
              <w:keepLines/>
              <w:suppressAutoHyphens/>
              <w:spacing w:before="0" w:after="0" w:line="240" w:lineRule="atLeast"/>
              <w:jc w:val="left"/>
            </w:pPr>
            <w:r w:rsidRPr="000855B2">
              <w:t>CNG (buses)</w:t>
            </w:r>
          </w:p>
        </w:tc>
        <w:tc>
          <w:tcPr>
            <w:tcW w:w="2268" w:type="dxa"/>
            <w:vAlign w:val="center"/>
          </w:tcPr>
          <w:p w14:paraId="4986A3FC" w14:textId="77777777" w:rsidR="008A3855" w:rsidRPr="000855B2" w:rsidRDefault="008A3855" w:rsidP="005C7955">
            <w:pPr>
              <w:pStyle w:val="BodyText"/>
              <w:keepNext/>
              <w:keepLines/>
              <w:suppressAutoHyphens/>
              <w:spacing w:before="0" w:after="0" w:line="240" w:lineRule="atLeast"/>
              <w:jc w:val="center"/>
            </w:pPr>
            <w:r w:rsidRPr="000855B2">
              <w:t>500</w:t>
            </w:r>
          </w:p>
        </w:tc>
      </w:tr>
      <w:tr w:rsidR="001D2587" w:rsidRPr="000855B2" w14:paraId="470AD65D" w14:textId="77777777" w:rsidTr="001843DE">
        <w:tc>
          <w:tcPr>
            <w:tcW w:w="2376" w:type="dxa"/>
            <w:vAlign w:val="center"/>
          </w:tcPr>
          <w:p w14:paraId="3F74B925" w14:textId="77777777" w:rsidR="001D2587" w:rsidRPr="000855B2" w:rsidRDefault="0058677D" w:rsidP="005C7955">
            <w:pPr>
              <w:pStyle w:val="BodyText"/>
              <w:keepNext/>
              <w:keepLines/>
              <w:suppressAutoHyphens/>
              <w:spacing w:before="0" w:after="0" w:line="240" w:lineRule="atLeast"/>
              <w:jc w:val="left"/>
            </w:pPr>
            <w:r w:rsidRPr="000855B2">
              <w:t>Two-wheel vehicles</w:t>
            </w:r>
          </w:p>
        </w:tc>
        <w:tc>
          <w:tcPr>
            <w:tcW w:w="1418" w:type="dxa"/>
            <w:vAlign w:val="center"/>
          </w:tcPr>
          <w:p w14:paraId="7BEF8BF7" w14:textId="77777777" w:rsidR="001D2587" w:rsidRPr="000855B2" w:rsidRDefault="00E11887" w:rsidP="005C7955">
            <w:pPr>
              <w:pStyle w:val="BodyText"/>
              <w:keepNext/>
              <w:keepLines/>
              <w:suppressAutoHyphens/>
              <w:spacing w:before="0" w:after="0" w:line="240" w:lineRule="atLeast"/>
              <w:jc w:val="left"/>
            </w:pPr>
            <w:r>
              <w:t>Petrol</w:t>
            </w:r>
          </w:p>
        </w:tc>
        <w:tc>
          <w:tcPr>
            <w:tcW w:w="2268" w:type="dxa"/>
            <w:vAlign w:val="center"/>
          </w:tcPr>
          <w:p w14:paraId="2FD98688" w14:textId="77777777" w:rsidR="001D2587" w:rsidRPr="000855B2" w:rsidRDefault="001D2587" w:rsidP="005C7955">
            <w:pPr>
              <w:pStyle w:val="BodyText"/>
              <w:keepNext/>
              <w:keepLines/>
              <w:suppressAutoHyphens/>
              <w:spacing w:before="0" w:after="0" w:line="240" w:lineRule="atLeast"/>
              <w:jc w:val="center"/>
            </w:pPr>
            <w:r w:rsidRPr="000855B2">
              <w:t>35</w:t>
            </w:r>
          </w:p>
        </w:tc>
      </w:tr>
    </w:tbl>
    <w:p w14:paraId="05CE8827" w14:textId="77777777" w:rsidR="001D2587" w:rsidRPr="000855B2" w:rsidRDefault="001D2587" w:rsidP="00CC108F">
      <w:pPr>
        <w:pStyle w:val="BodyText"/>
      </w:pPr>
      <w:r w:rsidRPr="000855B2">
        <w:t xml:space="preserve">A more detailed approach for estimating the fuel consumption split by vehicle category is provided in </w:t>
      </w:r>
      <w:r w:rsidR="004C5668" w:rsidRPr="000855B2">
        <w:t>T</w:t>
      </w:r>
      <w:r w:rsidRPr="000855B2">
        <w:t>ie</w:t>
      </w:r>
      <w:r w:rsidR="00E0302E" w:rsidRPr="000855B2">
        <w:t>r 3</w:t>
      </w:r>
      <w:r w:rsidR="00BA10D2">
        <w:t xml:space="preserve"> methodology</w:t>
      </w:r>
      <w:r w:rsidRPr="000855B2">
        <w:t>.</w:t>
      </w:r>
    </w:p>
    <w:p w14:paraId="5F49F5E4" w14:textId="77777777" w:rsidR="001D2587" w:rsidRPr="000855B2" w:rsidRDefault="001D2587" w:rsidP="00F516D0">
      <w:pPr>
        <w:pStyle w:val="Heading2"/>
      </w:pPr>
      <w:bookmarkStart w:id="81" w:name="_Toc215046655"/>
      <w:bookmarkStart w:id="82" w:name="_Ref197484276"/>
      <w:bookmarkStart w:id="83" w:name="_Ref197484327"/>
      <w:bookmarkStart w:id="84" w:name="_Toc200272612"/>
      <w:bookmarkStart w:id="85" w:name="_Toc482003899"/>
      <w:bookmarkEnd w:id="81"/>
      <w:r w:rsidRPr="000855B2">
        <w:t xml:space="preserve">Tier 2 </w:t>
      </w:r>
      <w:r w:rsidR="0058677D" w:rsidRPr="000855B2">
        <w:t>method</w:t>
      </w:r>
      <w:bookmarkEnd w:id="82"/>
      <w:bookmarkEnd w:id="83"/>
      <w:bookmarkEnd w:id="84"/>
      <w:bookmarkEnd w:id="85"/>
    </w:p>
    <w:p w14:paraId="336B0EBC" w14:textId="77777777" w:rsidR="001D2587" w:rsidRPr="000855B2" w:rsidRDefault="001D2587" w:rsidP="00AC1E78">
      <w:pPr>
        <w:pStyle w:val="Heading3"/>
      </w:pPr>
      <w:r w:rsidRPr="000855B2">
        <w:t>Algorithm</w:t>
      </w:r>
    </w:p>
    <w:p w14:paraId="2D211325" w14:textId="071DAB1C" w:rsidR="00ED27AC" w:rsidRPr="000855B2" w:rsidRDefault="001D2587" w:rsidP="00CC108F">
      <w:pPr>
        <w:pStyle w:val="BodyText"/>
      </w:pPr>
      <w:r w:rsidRPr="000855B2">
        <w:t>The Tie</w:t>
      </w:r>
      <w:r w:rsidR="00E0302E" w:rsidRPr="000855B2">
        <w:t>r 2</w:t>
      </w:r>
      <w:r w:rsidRPr="000855B2">
        <w:t xml:space="preserve"> approach considers the fue</w:t>
      </w:r>
      <w:r w:rsidR="00D31480" w:rsidRPr="000855B2">
        <w:t xml:space="preserve">l used by different vehicle </w:t>
      </w:r>
      <w:r w:rsidRPr="000855B2">
        <w:t>categories and their emission standards. Hence</w:t>
      </w:r>
      <w:r w:rsidR="00EB70BA" w:rsidRPr="000855B2">
        <w:t>,</w:t>
      </w:r>
      <w:r w:rsidRPr="000855B2">
        <w:t xml:space="preserve"> the four broad vehicle categories used in the Tie</w:t>
      </w:r>
      <w:r w:rsidR="00D73F59" w:rsidRPr="000855B2">
        <w:t>r 1</w:t>
      </w:r>
      <w:r w:rsidRPr="000855B2">
        <w:t xml:space="preserve"> approach to describe the four NFR codes are sub-divided into different </w:t>
      </w:r>
      <w:r w:rsidR="00D31480" w:rsidRPr="000855B2">
        <w:t xml:space="preserve">technologies </w:t>
      </w:r>
      <w:r w:rsidR="00D31480" w:rsidRPr="000855B2">
        <w:rPr>
          <w:i/>
        </w:rPr>
        <w:t>k</w:t>
      </w:r>
      <w:r w:rsidRPr="000855B2">
        <w:t xml:space="preserve"> according to emission</w:t>
      </w:r>
      <w:r w:rsidR="00EB70BA" w:rsidRPr="000855B2">
        <w:t>-</w:t>
      </w:r>
      <w:r w:rsidRPr="000855B2">
        <w:t xml:space="preserve">control legislation </w:t>
      </w:r>
      <w:r w:rsidR="00EB70BA" w:rsidRPr="000855B2">
        <w:t>(</w:t>
      </w:r>
      <w:r w:rsidRPr="000855B2">
        <w:t xml:space="preserve">see </w:t>
      </w:r>
      <w:r w:rsidR="00FB454C">
        <w:fldChar w:fldCharType="begin"/>
      </w:r>
      <w:r w:rsidR="00FB454C">
        <w:instrText xml:space="preserve"> REF _Ref198454328 \h  \* MERGEFORMAT </w:instrText>
      </w:r>
      <w:r w:rsidR="00FB454C">
        <w:fldChar w:fldCharType="separate"/>
      </w:r>
      <w:r w:rsidR="0071604C" w:rsidRPr="000855B2">
        <w:t>Table </w:t>
      </w:r>
      <w:r w:rsidR="0071604C">
        <w:t>3.16</w:t>
      </w:r>
      <w:r w:rsidR="00FB454C">
        <w:fldChar w:fldCharType="end"/>
      </w:r>
      <w:r w:rsidR="00EB70BA" w:rsidRPr="000855B2">
        <w:t>)</w:t>
      </w:r>
      <w:r w:rsidR="00137C08">
        <w:t>.</w:t>
      </w:r>
    </w:p>
    <w:p w14:paraId="68E84BE7" w14:textId="3AB728B2" w:rsidR="00ED27AC" w:rsidRPr="000855B2" w:rsidRDefault="00ED27AC" w:rsidP="00E43131">
      <w:pPr>
        <w:pStyle w:val="Caption"/>
      </w:pPr>
      <w:bookmarkStart w:id="86" w:name="_Ref198454328"/>
      <w:bookmarkStart w:id="87" w:name="_Ref209504851"/>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16</w:t>
      </w:r>
      <w:r w:rsidR="00FB454C">
        <w:rPr>
          <w:noProof/>
        </w:rPr>
        <w:fldChar w:fldCharType="end"/>
      </w:r>
      <w:bookmarkEnd w:id="86"/>
      <w:r w:rsidRPr="000855B2">
        <w:t>: Summary of all vehicle classes covered by the Tier 2 methodology</w:t>
      </w:r>
      <w:bookmarkEnd w:id="87"/>
    </w:p>
    <w:tbl>
      <w:tblPr>
        <w:tblW w:w="7931" w:type="dxa"/>
        <w:tblLayout w:type="fixed"/>
        <w:tblCellMar>
          <w:left w:w="30" w:type="dxa"/>
          <w:right w:w="30" w:type="dxa"/>
        </w:tblCellMar>
        <w:tblLook w:val="0000" w:firstRow="0" w:lastRow="0" w:firstColumn="0" w:lastColumn="0" w:noHBand="0" w:noVBand="0"/>
      </w:tblPr>
      <w:tblGrid>
        <w:gridCol w:w="2136"/>
        <w:gridCol w:w="1836"/>
        <w:gridCol w:w="3959"/>
      </w:tblGrid>
      <w:tr w:rsidR="001D2587" w:rsidRPr="000855B2" w14:paraId="088758A3" w14:textId="77777777" w:rsidTr="0000485C">
        <w:trPr>
          <w:trHeight w:val="317"/>
        </w:trPr>
        <w:tc>
          <w:tcPr>
            <w:tcW w:w="2136" w:type="dxa"/>
            <w:tcBorders>
              <w:top w:val="double" w:sz="4" w:space="0" w:color="auto"/>
              <w:left w:val="double" w:sz="4" w:space="0" w:color="auto"/>
              <w:bottom w:val="single" w:sz="12" w:space="0" w:color="auto"/>
              <w:right w:val="single" w:sz="8" w:space="0" w:color="auto"/>
            </w:tcBorders>
            <w:noWrap/>
            <w:tcMar>
              <w:top w:w="15" w:type="dxa"/>
              <w:left w:w="15" w:type="dxa"/>
              <w:bottom w:w="0" w:type="dxa"/>
              <w:right w:w="15" w:type="dxa"/>
            </w:tcMar>
            <w:vAlign w:val="center"/>
          </w:tcPr>
          <w:p w14:paraId="32B4D87A" w14:textId="77777777" w:rsidR="001D2587" w:rsidRPr="000855B2" w:rsidRDefault="001D2587" w:rsidP="005C7955">
            <w:pPr>
              <w:keepNext/>
              <w:keepLines/>
              <w:suppressAutoHyphens/>
              <w:spacing w:line="240" w:lineRule="atLeast"/>
              <w:jc w:val="center"/>
              <w:rPr>
                <w:b/>
                <w:bCs/>
                <w:szCs w:val="18"/>
                <w:lang w:val="en-GB"/>
              </w:rPr>
            </w:pPr>
            <w:r w:rsidRPr="000855B2">
              <w:rPr>
                <w:b/>
                <w:bCs/>
                <w:snapToGrid w:val="0"/>
                <w:szCs w:val="18"/>
                <w:lang w:val="en-GB" w:eastAsia="en-US"/>
              </w:rPr>
              <w:t xml:space="preserve">Vehicle </w:t>
            </w:r>
            <w:r w:rsidR="00EB70BA" w:rsidRPr="000855B2">
              <w:rPr>
                <w:b/>
                <w:bCs/>
                <w:snapToGrid w:val="0"/>
                <w:szCs w:val="18"/>
                <w:lang w:val="en-GB"/>
              </w:rPr>
              <w:t>c</w:t>
            </w:r>
            <w:r w:rsidRPr="000855B2">
              <w:rPr>
                <w:b/>
                <w:bCs/>
                <w:snapToGrid w:val="0"/>
                <w:szCs w:val="18"/>
                <w:lang w:val="en-GB"/>
              </w:rPr>
              <w:t>ategory</w:t>
            </w:r>
            <w:r w:rsidR="00494B95" w:rsidRPr="000855B2">
              <w:rPr>
                <w:b/>
                <w:bCs/>
                <w:snapToGrid w:val="0"/>
                <w:szCs w:val="18"/>
                <w:lang w:val="en-GB"/>
              </w:rPr>
              <w:t xml:space="preserve"> (j)</w:t>
            </w:r>
          </w:p>
        </w:tc>
        <w:tc>
          <w:tcPr>
            <w:tcW w:w="1836" w:type="dxa"/>
            <w:tcBorders>
              <w:top w:val="double" w:sz="4" w:space="0" w:color="auto"/>
              <w:left w:val="single" w:sz="8" w:space="0" w:color="auto"/>
              <w:bottom w:val="single" w:sz="12" w:space="0" w:color="auto"/>
              <w:right w:val="single" w:sz="8" w:space="0" w:color="auto"/>
            </w:tcBorders>
            <w:noWrap/>
            <w:tcMar>
              <w:top w:w="15" w:type="dxa"/>
              <w:left w:w="15" w:type="dxa"/>
              <w:bottom w:w="0" w:type="dxa"/>
              <w:right w:w="15" w:type="dxa"/>
            </w:tcMar>
            <w:vAlign w:val="center"/>
          </w:tcPr>
          <w:p w14:paraId="5EE187F3" w14:textId="77777777" w:rsidR="001D2587" w:rsidRPr="000855B2" w:rsidRDefault="001D2587" w:rsidP="003511C1">
            <w:pPr>
              <w:keepNext/>
              <w:keepLines/>
              <w:suppressAutoHyphens/>
              <w:spacing w:line="240" w:lineRule="atLeast"/>
              <w:jc w:val="center"/>
              <w:rPr>
                <w:b/>
                <w:bCs/>
                <w:szCs w:val="18"/>
                <w:lang w:val="en-GB"/>
              </w:rPr>
            </w:pPr>
            <w:r w:rsidRPr="000855B2">
              <w:rPr>
                <w:b/>
                <w:bCs/>
                <w:snapToGrid w:val="0"/>
                <w:szCs w:val="18"/>
                <w:lang w:val="en-GB"/>
              </w:rPr>
              <w:t>Type</w:t>
            </w:r>
          </w:p>
        </w:tc>
        <w:tc>
          <w:tcPr>
            <w:tcW w:w="3959" w:type="dxa"/>
            <w:tcBorders>
              <w:top w:val="double" w:sz="4" w:space="0" w:color="auto"/>
              <w:left w:val="single" w:sz="8" w:space="0" w:color="auto"/>
              <w:bottom w:val="single" w:sz="12" w:space="0" w:color="auto"/>
              <w:right w:val="double" w:sz="4" w:space="0" w:color="auto"/>
            </w:tcBorders>
            <w:noWrap/>
            <w:tcMar>
              <w:top w:w="15" w:type="dxa"/>
              <w:left w:w="15" w:type="dxa"/>
              <w:bottom w:w="0" w:type="dxa"/>
              <w:right w:w="15" w:type="dxa"/>
            </w:tcMar>
            <w:vAlign w:val="center"/>
          </w:tcPr>
          <w:p w14:paraId="0D2967FF" w14:textId="77777777" w:rsidR="001D2587" w:rsidRPr="000855B2" w:rsidRDefault="001D2587" w:rsidP="005C7955">
            <w:pPr>
              <w:keepNext/>
              <w:keepLines/>
              <w:suppressAutoHyphens/>
              <w:spacing w:line="240" w:lineRule="atLeast"/>
              <w:jc w:val="center"/>
              <w:rPr>
                <w:b/>
                <w:bCs/>
                <w:szCs w:val="18"/>
                <w:lang w:val="en-GB"/>
              </w:rPr>
            </w:pPr>
            <w:r w:rsidRPr="000855B2">
              <w:rPr>
                <w:b/>
                <w:bCs/>
                <w:snapToGrid w:val="0"/>
                <w:szCs w:val="18"/>
                <w:lang w:val="en-GB" w:eastAsia="en-US"/>
              </w:rPr>
              <w:t>Legislation</w:t>
            </w:r>
            <w:r w:rsidRPr="000855B2">
              <w:rPr>
                <w:b/>
                <w:bCs/>
                <w:snapToGrid w:val="0"/>
                <w:szCs w:val="18"/>
                <w:lang w:val="en-GB"/>
              </w:rPr>
              <w:t>/</w:t>
            </w:r>
            <w:r w:rsidR="00EB70BA" w:rsidRPr="000855B2">
              <w:rPr>
                <w:b/>
                <w:bCs/>
                <w:snapToGrid w:val="0"/>
                <w:szCs w:val="18"/>
                <w:lang w:val="en-GB"/>
              </w:rPr>
              <w:t>t</w:t>
            </w:r>
            <w:r w:rsidRPr="000855B2">
              <w:rPr>
                <w:b/>
                <w:bCs/>
                <w:snapToGrid w:val="0"/>
                <w:szCs w:val="18"/>
                <w:lang w:val="en-GB"/>
              </w:rPr>
              <w:t>echnology</w:t>
            </w:r>
            <w:r w:rsidR="00494B95" w:rsidRPr="000855B2">
              <w:rPr>
                <w:b/>
                <w:bCs/>
                <w:snapToGrid w:val="0"/>
                <w:szCs w:val="18"/>
                <w:lang w:val="en-GB"/>
              </w:rPr>
              <w:t xml:space="preserve"> (k)</w:t>
            </w:r>
          </w:p>
        </w:tc>
      </w:tr>
      <w:tr w:rsidR="00AD1790" w:rsidRPr="000855B2" w14:paraId="2BB700B8" w14:textId="77777777" w:rsidTr="0000485C">
        <w:trPr>
          <w:trHeight w:val="270"/>
        </w:trPr>
        <w:tc>
          <w:tcPr>
            <w:tcW w:w="2136" w:type="dxa"/>
            <w:vMerge w:val="restart"/>
            <w:tcBorders>
              <w:top w:val="single" w:sz="12" w:space="0" w:color="auto"/>
              <w:left w:val="double" w:sz="4" w:space="0" w:color="auto"/>
              <w:right w:val="single" w:sz="8" w:space="0" w:color="auto"/>
            </w:tcBorders>
            <w:noWrap/>
            <w:tcMar>
              <w:top w:w="15" w:type="dxa"/>
              <w:left w:w="15" w:type="dxa"/>
              <w:bottom w:w="0" w:type="dxa"/>
              <w:right w:w="15" w:type="dxa"/>
            </w:tcMar>
            <w:vAlign w:val="center"/>
          </w:tcPr>
          <w:p w14:paraId="4B602521" w14:textId="77777777" w:rsidR="00AD1790" w:rsidRPr="0000485C" w:rsidRDefault="00AD1790" w:rsidP="003511C1">
            <w:pPr>
              <w:keepNext/>
              <w:keepLines/>
              <w:suppressAutoHyphens/>
              <w:spacing w:line="240" w:lineRule="atLeast"/>
              <w:ind w:left="57"/>
              <w:jc w:val="left"/>
              <w:rPr>
                <w:bCs/>
                <w:szCs w:val="18"/>
                <w:lang w:val="en-GB"/>
              </w:rPr>
            </w:pPr>
            <w:r w:rsidRPr="0000485C">
              <w:rPr>
                <w:bCs/>
                <w:snapToGrid w:val="0"/>
                <w:szCs w:val="18"/>
                <w:lang w:val="en-GB" w:eastAsia="en-US"/>
              </w:rPr>
              <w:t>Passenger cars</w:t>
            </w:r>
          </w:p>
        </w:tc>
        <w:tc>
          <w:tcPr>
            <w:tcW w:w="1836" w:type="dxa"/>
            <w:tcBorders>
              <w:top w:val="single" w:sz="12" w:space="0" w:color="auto"/>
              <w:left w:val="nil"/>
              <w:right w:val="single" w:sz="8" w:space="0" w:color="auto"/>
            </w:tcBorders>
            <w:noWrap/>
            <w:tcMar>
              <w:top w:w="15" w:type="dxa"/>
              <w:left w:w="15" w:type="dxa"/>
              <w:bottom w:w="0" w:type="dxa"/>
              <w:right w:w="15" w:type="dxa"/>
            </w:tcMar>
            <w:vAlign w:val="center"/>
          </w:tcPr>
          <w:p w14:paraId="427D3A81" w14:textId="77777777" w:rsidR="00AD1790" w:rsidRPr="000855B2" w:rsidRDefault="00137C08" w:rsidP="003511C1">
            <w:pPr>
              <w:keepNext/>
              <w:keepLines/>
              <w:suppressAutoHyphens/>
              <w:spacing w:line="240" w:lineRule="atLeast"/>
              <w:ind w:left="57"/>
              <w:jc w:val="left"/>
              <w:rPr>
                <w:snapToGrid w:val="0"/>
                <w:szCs w:val="18"/>
                <w:lang w:val="en-GB" w:eastAsia="en-US"/>
              </w:rPr>
            </w:pPr>
            <w:r>
              <w:rPr>
                <w:snapToGrid w:val="0"/>
                <w:szCs w:val="18"/>
                <w:lang w:val="en-GB" w:eastAsia="en-US"/>
              </w:rPr>
              <w:t>Petrol Mini</w:t>
            </w:r>
          </w:p>
        </w:tc>
        <w:tc>
          <w:tcPr>
            <w:tcW w:w="3959" w:type="dxa"/>
            <w:tcBorders>
              <w:top w:val="single" w:sz="12" w:space="0" w:color="auto"/>
              <w:left w:val="nil"/>
              <w:right w:val="double" w:sz="4" w:space="0" w:color="auto"/>
            </w:tcBorders>
            <w:noWrap/>
            <w:tcMar>
              <w:top w:w="0" w:type="dxa"/>
              <w:left w:w="15" w:type="dxa"/>
              <w:bottom w:w="0" w:type="dxa"/>
              <w:right w:w="15" w:type="dxa"/>
            </w:tcMar>
            <w:vAlign w:val="center"/>
          </w:tcPr>
          <w:p w14:paraId="593A46B2" w14:textId="77777777" w:rsidR="00AD1790" w:rsidRPr="000855B2" w:rsidRDefault="00AD1790" w:rsidP="005C7955">
            <w:pPr>
              <w:keepNext/>
              <w:keepLines/>
              <w:suppressAutoHyphens/>
              <w:spacing w:line="240" w:lineRule="atLeast"/>
              <w:jc w:val="center"/>
              <w:rPr>
                <w:snapToGrid w:val="0"/>
                <w:szCs w:val="18"/>
                <w:lang w:val="en-GB" w:eastAsia="en-US"/>
              </w:rPr>
            </w:pPr>
            <w:r w:rsidRPr="000855B2">
              <w:rPr>
                <w:szCs w:val="18"/>
                <w:lang w:val="en-GB"/>
              </w:rPr>
              <w:t>Euro 4, Euro 5,</w:t>
            </w:r>
            <w:r w:rsidRPr="000855B2">
              <w:rPr>
                <w:snapToGrid w:val="0"/>
                <w:szCs w:val="18"/>
                <w:lang w:val="en-GB" w:eastAsia="en-US"/>
              </w:rPr>
              <w:t xml:space="preserve"> Euro 6</w:t>
            </w:r>
          </w:p>
        </w:tc>
      </w:tr>
      <w:tr w:rsidR="00AD1790" w:rsidRPr="000855B2" w14:paraId="3B15A62E"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26A35575"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63122F56" w14:textId="77777777" w:rsidR="00AD1790" w:rsidRPr="000855B2" w:rsidRDefault="00137C08" w:rsidP="003511C1">
            <w:pPr>
              <w:keepNext/>
              <w:keepLines/>
              <w:suppressAutoHyphens/>
              <w:spacing w:line="240" w:lineRule="atLeast"/>
              <w:ind w:left="57"/>
              <w:jc w:val="left"/>
              <w:rPr>
                <w:szCs w:val="18"/>
                <w:lang w:val="en-GB"/>
              </w:rPr>
            </w:pPr>
            <w:r>
              <w:rPr>
                <w:snapToGrid w:val="0"/>
                <w:szCs w:val="18"/>
                <w:lang w:val="en-GB" w:eastAsia="en-US"/>
              </w:rPr>
              <w:t>Petrol Small, Medium, Large-SUV-Executive</w:t>
            </w:r>
          </w:p>
        </w:tc>
        <w:tc>
          <w:tcPr>
            <w:tcW w:w="3959" w:type="dxa"/>
            <w:tcBorders>
              <w:top w:val="single" w:sz="4" w:space="0" w:color="auto"/>
              <w:left w:val="nil"/>
              <w:bottom w:val="single" w:sz="4" w:space="0" w:color="auto"/>
              <w:right w:val="double" w:sz="4" w:space="0" w:color="auto"/>
            </w:tcBorders>
            <w:noWrap/>
            <w:tcMar>
              <w:top w:w="0" w:type="dxa"/>
              <w:left w:w="15" w:type="dxa"/>
              <w:bottom w:w="0" w:type="dxa"/>
              <w:right w:w="15" w:type="dxa"/>
            </w:tcMar>
            <w:vAlign w:val="center"/>
          </w:tcPr>
          <w:p w14:paraId="4BAEDB2C" w14:textId="77777777" w:rsidR="00137C08" w:rsidRDefault="00AD1790" w:rsidP="005C7955">
            <w:pPr>
              <w:keepNext/>
              <w:keepLines/>
              <w:suppressAutoHyphens/>
              <w:spacing w:line="240" w:lineRule="atLeast"/>
              <w:jc w:val="center"/>
              <w:rPr>
                <w:snapToGrid w:val="0"/>
                <w:szCs w:val="18"/>
                <w:lang w:val="en-GB" w:eastAsia="en-US"/>
              </w:rPr>
            </w:pPr>
            <w:r w:rsidRPr="000855B2">
              <w:rPr>
                <w:snapToGrid w:val="0"/>
                <w:szCs w:val="18"/>
                <w:lang w:val="en-GB" w:eastAsia="en-US"/>
              </w:rPr>
              <w:t>PRE ECE, ECE 15/00-01, ECE 15/02, ECE</w:t>
            </w:r>
            <w:r w:rsidR="00137C08">
              <w:rPr>
                <w:snapToGrid w:val="0"/>
                <w:szCs w:val="18"/>
                <w:lang w:val="en-GB" w:eastAsia="en-US"/>
              </w:rPr>
              <w:t> </w:t>
            </w:r>
            <w:r w:rsidRPr="000855B2">
              <w:rPr>
                <w:snapToGrid w:val="0"/>
                <w:szCs w:val="18"/>
                <w:lang w:val="en-GB" w:eastAsia="en-US"/>
              </w:rPr>
              <w:t>15/03, ECE 15/04, Improved Conventional</w:t>
            </w:r>
            <w:r w:rsidR="00137C08">
              <w:rPr>
                <w:snapToGrid w:val="0"/>
                <w:szCs w:val="18"/>
                <w:lang w:val="en-GB" w:eastAsia="en-US"/>
              </w:rPr>
              <w:t xml:space="preserve">, </w:t>
            </w:r>
            <w:r w:rsidRPr="000855B2">
              <w:rPr>
                <w:snapToGrid w:val="0"/>
                <w:szCs w:val="18"/>
                <w:lang w:val="en-GB" w:eastAsia="en-US"/>
              </w:rPr>
              <w:t>Open-Loop,</w:t>
            </w:r>
          </w:p>
          <w:p w14:paraId="0E1AF42A" w14:textId="77777777" w:rsidR="00AD1790" w:rsidRPr="000855B2" w:rsidRDefault="00AD1790" w:rsidP="005C7955">
            <w:pPr>
              <w:keepNext/>
              <w:keepLines/>
              <w:suppressAutoHyphens/>
              <w:spacing w:line="240" w:lineRule="atLeast"/>
              <w:jc w:val="center"/>
              <w:rPr>
                <w:szCs w:val="18"/>
                <w:lang w:val="en-GB"/>
              </w:rPr>
            </w:pPr>
            <w:r w:rsidRPr="000855B2">
              <w:rPr>
                <w:szCs w:val="18"/>
                <w:lang w:val="en-GB"/>
              </w:rPr>
              <w:t xml:space="preserve">Euro 1 – </w:t>
            </w:r>
            <w:r w:rsidRPr="000855B2">
              <w:rPr>
                <w:snapToGrid w:val="0"/>
                <w:szCs w:val="18"/>
                <w:lang w:val="en-GB" w:eastAsia="en-US"/>
              </w:rPr>
              <w:t>Euro 6</w:t>
            </w:r>
            <w:r w:rsidR="001D6A6E">
              <w:rPr>
                <w:szCs w:val="18"/>
                <w:lang w:val="en-GB"/>
              </w:rPr>
              <w:t xml:space="preserve"> 2020+</w:t>
            </w:r>
          </w:p>
        </w:tc>
      </w:tr>
      <w:tr w:rsidR="00AD1790" w:rsidRPr="000855B2" w14:paraId="17DE8129"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48951205"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right w:val="single" w:sz="8" w:space="0" w:color="auto"/>
            </w:tcBorders>
            <w:noWrap/>
            <w:tcMar>
              <w:top w:w="15" w:type="dxa"/>
              <w:left w:w="15" w:type="dxa"/>
              <w:bottom w:w="0" w:type="dxa"/>
              <w:right w:w="15" w:type="dxa"/>
            </w:tcMar>
            <w:vAlign w:val="center"/>
          </w:tcPr>
          <w:p w14:paraId="19E12575" w14:textId="77777777" w:rsidR="00AD1790" w:rsidRPr="000855B2" w:rsidRDefault="00AD1790" w:rsidP="003511C1">
            <w:pPr>
              <w:keepNext/>
              <w:keepLines/>
              <w:suppressAutoHyphens/>
              <w:spacing w:line="240" w:lineRule="atLeast"/>
              <w:ind w:left="57"/>
              <w:jc w:val="left"/>
              <w:rPr>
                <w:szCs w:val="18"/>
                <w:lang w:val="en-GB"/>
              </w:rPr>
            </w:pPr>
            <w:r w:rsidRPr="000855B2">
              <w:rPr>
                <w:snapToGrid w:val="0"/>
                <w:szCs w:val="18"/>
                <w:lang w:val="en-GB" w:eastAsia="en-US"/>
              </w:rPr>
              <w:t xml:space="preserve">Diesel </w:t>
            </w:r>
            <w:r w:rsidR="00137C08">
              <w:rPr>
                <w:snapToGrid w:val="0"/>
                <w:szCs w:val="18"/>
                <w:lang w:val="en-GB" w:eastAsia="en-US"/>
              </w:rPr>
              <w:t>Mini</w:t>
            </w:r>
          </w:p>
        </w:tc>
        <w:tc>
          <w:tcPr>
            <w:tcW w:w="3959" w:type="dxa"/>
            <w:tcBorders>
              <w:top w:val="single" w:sz="4" w:space="0" w:color="auto"/>
              <w:left w:val="nil"/>
              <w:right w:val="double" w:sz="4" w:space="0" w:color="auto"/>
            </w:tcBorders>
            <w:noWrap/>
            <w:tcMar>
              <w:top w:w="0" w:type="dxa"/>
              <w:left w:w="15" w:type="dxa"/>
              <w:bottom w:w="0" w:type="dxa"/>
              <w:right w:w="15" w:type="dxa"/>
            </w:tcMar>
            <w:vAlign w:val="center"/>
          </w:tcPr>
          <w:p w14:paraId="6D66B299" w14:textId="77777777" w:rsidR="00AD1790" w:rsidRPr="000855B2" w:rsidRDefault="00AD1790" w:rsidP="005C7955">
            <w:pPr>
              <w:keepNext/>
              <w:keepLines/>
              <w:suppressAutoHyphens/>
              <w:spacing w:line="240" w:lineRule="atLeast"/>
              <w:jc w:val="center"/>
              <w:rPr>
                <w:szCs w:val="18"/>
                <w:lang w:val="en-GB"/>
              </w:rPr>
            </w:pPr>
            <w:r w:rsidRPr="000855B2">
              <w:rPr>
                <w:szCs w:val="18"/>
                <w:lang w:val="en-GB"/>
              </w:rPr>
              <w:t>Euro 4, Euro 5,</w:t>
            </w:r>
            <w:r w:rsidRPr="000855B2">
              <w:rPr>
                <w:snapToGrid w:val="0"/>
                <w:szCs w:val="18"/>
                <w:lang w:val="en-GB" w:eastAsia="en-US"/>
              </w:rPr>
              <w:t xml:space="preserve"> Euro 6</w:t>
            </w:r>
            <w:r w:rsidR="001D6A6E">
              <w:rPr>
                <w:snapToGrid w:val="0"/>
                <w:szCs w:val="18"/>
                <w:lang w:val="en-GB" w:eastAsia="en-US"/>
              </w:rPr>
              <w:t xml:space="preserve"> 2020+</w:t>
            </w:r>
          </w:p>
        </w:tc>
      </w:tr>
      <w:tr w:rsidR="00AD1790" w:rsidRPr="000855B2" w14:paraId="134E57A4"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4E0DB2D2"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7E921394" w14:textId="77777777" w:rsidR="00AD1790" w:rsidRPr="000855B2" w:rsidRDefault="00137C08" w:rsidP="003511C1">
            <w:pPr>
              <w:keepNext/>
              <w:keepLines/>
              <w:suppressAutoHyphens/>
              <w:spacing w:line="240" w:lineRule="atLeast"/>
              <w:ind w:left="57"/>
              <w:jc w:val="left"/>
              <w:rPr>
                <w:szCs w:val="18"/>
                <w:lang w:val="en-GB"/>
              </w:rPr>
            </w:pPr>
            <w:r>
              <w:rPr>
                <w:snapToGrid w:val="0"/>
                <w:szCs w:val="18"/>
                <w:lang w:val="en-GB" w:eastAsia="en-US"/>
              </w:rPr>
              <w:t>Diesel Small, Medium, Large-SUV-Executive</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4506072E" w14:textId="77777777" w:rsidR="00AD1790" w:rsidRPr="000855B2" w:rsidRDefault="00AD1790" w:rsidP="005C7955">
            <w:pPr>
              <w:keepNext/>
              <w:keepLines/>
              <w:suppressAutoHyphens/>
              <w:spacing w:line="240" w:lineRule="atLeast"/>
              <w:jc w:val="center"/>
              <w:rPr>
                <w:lang w:val="en-GB"/>
              </w:rPr>
            </w:pPr>
            <w:r w:rsidRPr="000855B2">
              <w:rPr>
                <w:snapToGrid w:val="0"/>
                <w:lang w:val="en-GB" w:eastAsia="en-US"/>
              </w:rPr>
              <w:t>Conventional, Euro 1 – Euro </w:t>
            </w:r>
            <w:r w:rsidR="001D6A6E" w:rsidRPr="000855B2">
              <w:rPr>
                <w:snapToGrid w:val="0"/>
                <w:lang w:val="en-GB" w:eastAsia="en-US"/>
              </w:rPr>
              <w:t>6</w:t>
            </w:r>
            <w:r w:rsidR="001D6A6E">
              <w:rPr>
                <w:snapToGrid w:val="0"/>
                <w:lang w:val="en-GB" w:eastAsia="en-US"/>
              </w:rPr>
              <w:t xml:space="preserve"> 2020+</w:t>
            </w:r>
          </w:p>
        </w:tc>
      </w:tr>
      <w:tr w:rsidR="00AD1790" w:rsidRPr="000855B2" w14:paraId="71143F2E"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3F84DF95" w14:textId="77777777" w:rsidR="00AD1790" w:rsidRPr="0000485C" w:rsidRDefault="00AD1790"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67822906" w14:textId="77777777" w:rsidR="00AD1790" w:rsidRPr="000855B2" w:rsidRDefault="00AD1790" w:rsidP="003511C1">
            <w:pPr>
              <w:keepNext/>
              <w:keepLines/>
              <w:suppressAutoHyphens/>
              <w:spacing w:line="240" w:lineRule="atLeast"/>
              <w:ind w:left="57"/>
              <w:jc w:val="left"/>
              <w:rPr>
                <w:szCs w:val="18"/>
                <w:lang w:val="en-GB"/>
              </w:rPr>
            </w:pPr>
            <w:r w:rsidRPr="000855B2">
              <w:rPr>
                <w:snapToGrid w:val="0"/>
                <w:szCs w:val="18"/>
                <w:lang w:val="en-GB" w:eastAsia="en-US"/>
              </w:rPr>
              <w:t>LPG</w:t>
            </w:r>
            <w:r w:rsidR="00137C08">
              <w:rPr>
                <w:snapToGrid w:val="0"/>
                <w:szCs w:val="18"/>
                <w:lang w:val="en-GB" w:eastAsia="en-US"/>
              </w:rPr>
              <w:t xml:space="preserve"> Mini</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076CB97A" w14:textId="77777777" w:rsidR="00AD1790" w:rsidRPr="00153529" w:rsidRDefault="00D264BE" w:rsidP="005C7955">
            <w:pPr>
              <w:keepNext/>
              <w:keepLines/>
              <w:suppressAutoHyphens/>
              <w:spacing w:line="240" w:lineRule="atLeast"/>
              <w:jc w:val="center"/>
              <w:rPr>
                <w:lang w:val="it-IT"/>
              </w:rPr>
            </w:pPr>
            <w:r w:rsidRPr="000855B2">
              <w:rPr>
                <w:szCs w:val="18"/>
                <w:lang w:val="en-GB"/>
              </w:rPr>
              <w:t>Euro 4, Euro 5,</w:t>
            </w:r>
            <w:r w:rsidRPr="000855B2">
              <w:rPr>
                <w:snapToGrid w:val="0"/>
                <w:szCs w:val="18"/>
                <w:lang w:val="en-GB" w:eastAsia="en-US"/>
              </w:rPr>
              <w:t xml:space="preserve"> Euro 6</w:t>
            </w:r>
          </w:p>
        </w:tc>
      </w:tr>
      <w:tr w:rsidR="00D264BE" w:rsidRPr="000855B2" w14:paraId="062093E1" w14:textId="77777777" w:rsidTr="0000485C">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30C8BAF4" w14:textId="77777777" w:rsidR="00D264BE" w:rsidRPr="0000485C" w:rsidRDefault="00D264BE" w:rsidP="003511C1">
            <w:pPr>
              <w:keepNext/>
              <w:keepLines/>
              <w:suppressAutoHyphens/>
              <w:spacing w:line="240" w:lineRule="atLeast"/>
              <w:ind w:left="57"/>
              <w:jc w:val="left"/>
              <w:rPr>
                <w:bCs/>
                <w:szCs w:val="18"/>
                <w:lang w:val="it-IT"/>
              </w:rPr>
            </w:pPr>
          </w:p>
        </w:tc>
        <w:tc>
          <w:tcPr>
            <w:tcW w:w="183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FB8E435"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LPG</w:t>
            </w:r>
            <w:r>
              <w:rPr>
                <w:snapToGrid w:val="0"/>
                <w:szCs w:val="18"/>
                <w:lang w:val="en-GB" w:eastAsia="en-US"/>
              </w:rPr>
              <w:t xml:space="preserve"> Small, Medium, Large-SUV-Executive</w:t>
            </w:r>
          </w:p>
        </w:tc>
        <w:tc>
          <w:tcPr>
            <w:tcW w:w="3959" w:type="dxa"/>
            <w:tcBorders>
              <w:top w:val="single" w:sz="4" w:space="0" w:color="auto"/>
              <w:left w:val="single" w:sz="8" w:space="0" w:color="auto"/>
              <w:bottom w:val="single" w:sz="4" w:space="0" w:color="auto"/>
              <w:right w:val="double" w:sz="4" w:space="0" w:color="auto"/>
            </w:tcBorders>
            <w:noWrap/>
            <w:tcMar>
              <w:top w:w="15" w:type="dxa"/>
              <w:left w:w="15" w:type="dxa"/>
              <w:bottom w:w="0" w:type="dxa"/>
              <w:right w:w="15" w:type="dxa"/>
            </w:tcMar>
            <w:vAlign w:val="center"/>
          </w:tcPr>
          <w:p w14:paraId="13177643"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Conventional, Euro 1 – Euro 6</w:t>
            </w:r>
          </w:p>
        </w:tc>
      </w:tr>
      <w:tr w:rsidR="00D264BE" w:rsidRPr="000855B2" w14:paraId="7BAB6E36" w14:textId="77777777" w:rsidTr="0000485C">
        <w:trPr>
          <w:trHeight w:val="305"/>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2AD5C04F"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653F588F"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2-stroke</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4A355930"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Conventional</w:t>
            </w:r>
          </w:p>
        </w:tc>
      </w:tr>
      <w:tr w:rsidR="00D264BE" w:rsidRPr="000855B2" w14:paraId="3039D42B" w14:textId="77777777" w:rsidTr="0000485C">
        <w:trPr>
          <w:trHeight w:val="305"/>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7AAFFD68"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4C997F48" w14:textId="77777777" w:rsidR="00D264BE" w:rsidRPr="000855B2" w:rsidRDefault="00D264BE" w:rsidP="003511C1">
            <w:pPr>
              <w:keepNext/>
              <w:keepLines/>
              <w:suppressAutoHyphens/>
              <w:spacing w:line="240" w:lineRule="atLeast"/>
              <w:ind w:left="57"/>
              <w:jc w:val="left"/>
              <w:rPr>
                <w:szCs w:val="18"/>
                <w:lang w:val="en-GB"/>
              </w:rPr>
            </w:pPr>
            <w:r>
              <w:rPr>
                <w:snapToGrid w:val="0"/>
                <w:szCs w:val="18"/>
                <w:lang w:val="en-GB" w:eastAsia="en-US"/>
              </w:rPr>
              <w:t>Petrol</w:t>
            </w:r>
            <w:r w:rsidRPr="000855B2">
              <w:rPr>
                <w:snapToGrid w:val="0"/>
                <w:szCs w:val="18"/>
                <w:lang w:val="en-GB" w:eastAsia="en-US"/>
              </w:rPr>
              <w:t xml:space="preserve"> Hybrids</w:t>
            </w:r>
          </w:p>
        </w:tc>
        <w:tc>
          <w:tcPr>
            <w:tcW w:w="3959" w:type="dxa"/>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14:paraId="37B4DAC7" w14:textId="77777777" w:rsidR="00D264BE" w:rsidRPr="000855B2" w:rsidRDefault="00D264BE" w:rsidP="005C7955">
            <w:pPr>
              <w:keepNext/>
              <w:keepLines/>
              <w:suppressAutoHyphens/>
              <w:spacing w:line="240" w:lineRule="atLeast"/>
              <w:jc w:val="center"/>
              <w:rPr>
                <w:snapToGrid w:val="0"/>
                <w:lang w:val="en-GB" w:eastAsia="en-US"/>
              </w:rPr>
            </w:pPr>
            <w:r w:rsidRPr="000855B2">
              <w:rPr>
                <w:szCs w:val="18"/>
                <w:lang w:val="en-GB"/>
              </w:rPr>
              <w:t>Euro 4, Euro 5,</w:t>
            </w:r>
            <w:r w:rsidRPr="000855B2">
              <w:rPr>
                <w:snapToGrid w:val="0"/>
                <w:szCs w:val="18"/>
                <w:lang w:val="en-GB" w:eastAsia="en-US"/>
              </w:rPr>
              <w:t xml:space="preserve"> Euro 6</w:t>
            </w:r>
            <w:r>
              <w:rPr>
                <w:snapToGrid w:val="0"/>
                <w:szCs w:val="18"/>
                <w:lang w:val="en-GB" w:eastAsia="en-US"/>
              </w:rPr>
              <w:t xml:space="preserve"> 2020+</w:t>
            </w:r>
          </w:p>
        </w:tc>
      </w:tr>
      <w:tr w:rsidR="00D264BE" w:rsidRPr="000855B2" w14:paraId="5BA27261" w14:textId="77777777" w:rsidTr="0000485C">
        <w:trPr>
          <w:trHeight w:val="305"/>
        </w:trPr>
        <w:tc>
          <w:tcPr>
            <w:tcW w:w="2136" w:type="dxa"/>
            <w:vMerge/>
            <w:tcBorders>
              <w:left w:val="double" w:sz="4" w:space="0" w:color="auto"/>
              <w:bottom w:val="single" w:sz="8" w:space="0" w:color="auto"/>
              <w:right w:val="single" w:sz="8" w:space="0" w:color="auto"/>
            </w:tcBorders>
            <w:noWrap/>
            <w:tcMar>
              <w:top w:w="15" w:type="dxa"/>
              <w:left w:w="15" w:type="dxa"/>
              <w:bottom w:w="0" w:type="dxa"/>
              <w:right w:w="15" w:type="dxa"/>
            </w:tcMar>
            <w:vAlign w:val="center"/>
          </w:tcPr>
          <w:p w14:paraId="358D413A"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070C0C1D" w14:textId="77777777" w:rsidR="00D264BE" w:rsidRPr="000855B2" w:rsidRDefault="00D264BE" w:rsidP="003511C1">
            <w:pPr>
              <w:keepNext/>
              <w:keepLines/>
              <w:suppressAutoHyphens/>
              <w:spacing w:line="240" w:lineRule="atLeast"/>
              <w:ind w:left="57"/>
              <w:jc w:val="left"/>
              <w:rPr>
                <w:snapToGrid w:val="0"/>
                <w:szCs w:val="18"/>
                <w:lang w:val="en-GB" w:eastAsia="en-US"/>
              </w:rPr>
            </w:pPr>
            <w:r w:rsidRPr="000855B2">
              <w:rPr>
                <w:szCs w:val="18"/>
                <w:lang w:val="en-GB"/>
              </w:rPr>
              <w:t>CNG</w:t>
            </w:r>
          </w:p>
        </w:tc>
        <w:tc>
          <w:tcPr>
            <w:tcW w:w="3959" w:type="dxa"/>
            <w:tcBorders>
              <w:top w:val="single" w:sz="4" w:space="0" w:color="auto"/>
              <w:left w:val="nil"/>
              <w:bottom w:val="single" w:sz="8" w:space="0" w:color="auto"/>
              <w:right w:val="double" w:sz="4" w:space="0" w:color="auto"/>
            </w:tcBorders>
            <w:noWrap/>
            <w:tcMar>
              <w:top w:w="15" w:type="dxa"/>
              <w:left w:w="15" w:type="dxa"/>
              <w:bottom w:w="0" w:type="dxa"/>
              <w:right w:w="15" w:type="dxa"/>
            </w:tcMar>
            <w:vAlign w:val="center"/>
          </w:tcPr>
          <w:p w14:paraId="7439774B" w14:textId="77777777" w:rsidR="00D264BE" w:rsidRPr="000855B2" w:rsidRDefault="00D264BE" w:rsidP="005C7955">
            <w:pPr>
              <w:keepNext/>
              <w:keepLines/>
              <w:suppressAutoHyphens/>
              <w:spacing w:line="240" w:lineRule="atLeast"/>
              <w:jc w:val="center"/>
              <w:rPr>
                <w:snapToGrid w:val="0"/>
                <w:lang w:val="en-GB" w:eastAsia="en-US"/>
              </w:rPr>
            </w:pPr>
            <w:r w:rsidRPr="000855B2">
              <w:rPr>
                <w:lang w:val="en-GB"/>
              </w:rPr>
              <w:t>Euro 4, Euro 5,</w:t>
            </w:r>
            <w:r w:rsidRPr="000855B2">
              <w:rPr>
                <w:snapToGrid w:val="0"/>
                <w:lang w:val="en-GB" w:eastAsia="en-US"/>
              </w:rPr>
              <w:t xml:space="preserve"> Euro 6</w:t>
            </w:r>
          </w:p>
        </w:tc>
      </w:tr>
      <w:tr w:rsidR="00D264BE" w:rsidRPr="000855B2" w14:paraId="4C037C1B" w14:textId="77777777" w:rsidTr="0000485C">
        <w:trPr>
          <w:trHeight w:val="270"/>
        </w:trPr>
        <w:tc>
          <w:tcPr>
            <w:tcW w:w="2136" w:type="dxa"/>
            <w:vMerge w:val="restart"/>
            <w:tcBorders>
              <w:top w:val="single" w:sz="8" w:space="0" w:color="auto"/>
              <w:left w:val="double" w:sz="4" w:space="0" w:color="auto"/>
              <w:right w:val="single" w:sz="8" w:space="0" w:color="auto"/>
            </w:tcBorders>
            <w:noWrap/>
            <w:tcMar>
              <w:top w:w="15" w:type="dxa"/>
              <w:left w:w="15" w:type="dxa"/>
              <w:bottom w:w="0" w:type="dxa"/>
              <w:right w:w="15" w:type="dxa"/>
            </w:tcMar>
            <w:vAlign w:val="center"/>
          </w:tcPr>
          <w:p w14:paraId="020AD014" w14:textId="77777777" w:rsidR="00D264BE" w:rsidRPr="0000485C" w:rsidRDefault="00D264BE" w:rsidP="003511C1">
            <w:pPr>
              <w:keepNext/>
              <w:keepLines/>
              <w:suppressAutoHyphens/>
              <w:spacing w:line="240" w:lineRule="atLeast"/>
              <w:ind w:left="57"/>
              <w:jc w:val="left"/>
              <w:rPr>
                <w:bCs/>
                <w:szCs w:val="18"/>
                <w:lang w:val="en-GB"/>
              </w:rPr>
            </w:pPr>
            <w:r w:rsidRPr="0000485C">
              <w:rPr>
                <w:bCs/>
                <w:snapToGrid w:val="0"/>
                <w:szCs w:val="18"/>
                <w:lang w:val="en-GB" w:eastAsia="en-US"/>
              </w:rPr>
              <w:t>Light commercial vehicles</w:t>
            </w:r>
          </w:p>
        </w:tc>
        <w:tc>
          <w:tcPr>
            <w:tcW w:w="1836" w:type="dxa"/>
            <w:tcBorders>
              <w:top w:val="single" w:sz="8" w:space="0" w:color="auto"/>
              <w:left w:val="nil"/>
              <w:right w:val="single" w:sz="8" w:space="0" w:color="auto"/>
            </w:tcBorders>
            <w:noWrap/>
            <w:tcMar>
              <w:top w:w="15" w:type="dxa"/>
              <w:left w:w="15" w:type="dxa"/>
              <w:bottom w:w="0" w:type="dxa"/>
              <w:right w:w="15" w:type="dxa"/>
            </w:tcMar>
            <w:vAlign w:val="center"/>
          </w:tcPr>
          <w:p w14:paraId="73DD44C3" w14:textId="77777777" w:rsidR="00D264BE" w:rsidRPr="000855B2" w:rsidRDefault="00E11887" w:rsidP="003511C1">
            <w:pPr>
              <w:keepNext/>
              <w:keepLines/>
              <w:suppressAutoHyphens/>
              <w:spacing w:line="240" w:lineRule="atLeast"/>
              <w:ind w:left="57"/>
              <w:jc w:val="left"/>
              <w:rPr>
                <w:szCs w:val="18"/>
                <w:lang w:val="en-GB"/>
              </w:rPr>
            </w:pPr>
            <w:r>
              <w:rPr>
                <w:snapToGrid w:val="0"/>
                <w:szCs w:val="18"/>
                <w:lang w:val="en-GB" w:eastAsia="en-US"/>
              </w:rPr>
              <w:t>Petrol</w:t>
            </w:r>
          </w:p>
        </w:tc>
        <w:tc>
          <w:tcPr>
            <w:tcW w:w="3959" w:type="dxa"/>
            <w:tcBorders>
              <w:top w:val="single" w:sz="8" w:space="0" w:color="auto"/>
              <w:left w:val="nil"/>
              <w:bottom w:val="nil"/>
              <w:right w:val="double" w:sz="4" w:space="0" w:color="auto"/>
            </w:tcBorders>
            <w:noWrap/>
            <w:tcMar>
              <w:top w:w="15" w:type="dxa"/>
              <w:left w:w="15" w:type="dxa"/>
              <w:bottom w:w="0" w:type="dxa"/>
              <w:right w:w="15" w:type="dxa"/>
            </w:tcMar>
            <w:vAlign w:val="center"/>
          </w:tcPr>
          <w:p w14:paraId="0AA3E136"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 xml:space="preserve">Conventional, Euro 1 </w:t>
            </w:r>
            <w:r w:rsidRPr="000855B2">
              <w:rPr>
                <w:lang w:val="en-GB"/>
              </w:rPr>
              <w:t xml:space="preserve">– </w:t>
            </w:r>
            <w:r w:rsidRPr="000855B2">
              <w:rPr>
                <w:snapToGrid w:val="0"/>
                <w:lang w:val="en-GB" w:eastAsia="en-US"/>
              </w:rPr>
              <w:t>Euro 6</w:t>
            </w:r>
            <w:r>
              <w:rPr>
                <w:snapToGrid w:val="0"/>
                <w:lang w:val="en-GB" w:eastAsia="en-US"/>
              </w:rPr>
              <w:t xml:space="preserve"> 2021+</w:t>
            </w:r>
          </w:p>
        </w:tc>
      </w:tr>
      <w:tr w:rsidR="00D264BE" w:rsidRPr="000855B2" w14:paraId="45717741" w14:textId="77777777" w:rsidTr="0000485C">
        <w:trPr>
          <w:trHeight w:val="255"/>
        </w:trPr>
        <w:tc>
          <w:tcPr>
            <w:tcW w:w="2136" w:type="dxa"/>
            <w:vMerge/>
            <w:tcBorders>
              <w:left w:val="double" w:sz="4" w:space="0" w:color="auto"/>
              <w:right w:val="single" w:sz="8" w:space="0" w:color="auto"/>
            </w:tcBorders>
            <w:noWrap/>
            <w:vAlign w:val="center"/>
          </w:tcPr>
          <w:p w14:paraId="3CBCE715" w14:textId="77777777" w:rsidR="00D264BE" w:rsidRPr="0000485C" w:rsidRDefault="00D264BE" w:rsidP="003511C1">
            <w:pPr>
              <w:keepNext/>
              <w:keepLines/>
              <w:suppressAutoHyphens/>
              <w:spacing w:line="240" w:lineRule="atLeast"/>
              <w:ind w:left="57"/>
              <w:jc w:val="left"/>
              <w:rPr>
                <w:bCs/>
                <w:szCs w:val="18"/>
                <w:lang w:val="en-GB"/>
              </w:rPr>
            </w:pPr>
          </w:p>
        </w:tc>
        <w:tc>
          <w:tcPr>
            <w:tcW w:w="1836" w:type="dxa"/>
            <w:tcBorders>
              <w:top w:val="single" w:sz="8" w:space="0" w:color="auto"/>
              <w:left w:val="nil"/>
              <w:right w:val="single" w:sz="8" w:space="0" w:color="auto"/>
            </w:tcBorders>
            <w:noWrap/>
            <w:tcMar>
              <w:top w:w="0" w:type="dxa"/>
              <w:left w:w="15" w:type="dxa"/>
              <w:bottom w:w="0" w:type="dxa"/>
              <w:right w:w="15" w:type="dxa"/>
            </w:tcMar>
            <w:vAlign w:val="center"/>
          </w:tcPr>
          <w:p w14:paraId="35F9F136"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Diesel</w:t>
            </w:r>
          </w:p>
        </w:tc>
        <w:tc>
          <w:tcPr>
            <w:tcW w:w="3959" w:type="dxa"/>
            <w:tcBorders>
              <w:top w:val="single" w:sz="8" w:space="0" w:color="auto"/>
              <w:left w:val="nil"/>
              <w:bottom w:val="nil"/>
              <w:right w:val="double" w:sz="4" w:space="0" w:color="auto"/>
            </w:tcBorders>
            <w:noWrap/>
            <w:tcMar>
              <w:top w:w="15" w:type="dxa"/>
              <w:left w:w="15" w:type="dxa"/>
              <w:bottom w:w="0" w:type="dxa"/>
              <w:right w:w="15" w:type="dxa"/>
            </w:tcMar>
            <w:vAlign w:val="center"/>
          </w:tcPr>
          <w:p w14:paraId="50A783A0" w14:textId="77777777" w:rsidR="00D264BE" w:rsidRPr="000855B2" w:rsidRDefault="00D264BE" w:rsidP="005C7955">
            <w:pPr>
              <w:keepNext/>
              <w:keepLines/>
              <w:suppressAutoHyphens/>
              <w:spacing w:line="240" w:lineRule="atLeast"/>
              <w:jc w:val="center"/>
              <w:rPr>
                <w:lang w:val="en-GB"/>
              </w:rPr>
            </w:pPr>
            <w:r w:rsidRPr="000855B2">
              <w:rPr>
                <w:snapToGrid w:val="0"/>
                <w:lang w:val="en-GB" w:eastAsia="en-US"/>
              </w:rPr>
              <w:t xml:space="preserve">Conventional, Euro 1 </w:t>
            </w:r>
            <w:r w:rsidRPr="000855B2">
              <w:rPr>
                <w:lang w:val="en-GB"/>
              </w:rPr>
              <w:t xml:space="preserve">– </w:t>
            </w:r>
            <w:r w:rsidRPr="000855B2">
              <w:rPr>
                <w:snapToGrid w:val="0"/>
                <w:lang w:val="en-GB" w:eastAsia="en-US"/>
              </w:rPr>
              <w:t>Euro 6</w:t>
            </w:r>
            <w:r>
              <w:rPr>
                <w:snapToGrid w:val="0"/>
                <w:lang w:val="en-GB" w:eastAsia="en-US"/>
              </w:rPr>
              <w:t xml:space="preserve"> 2021+</w:t>
            </w:r>
          </w:p>
        </w:tc>
      </w:tr>
      <w:tr w:rsidR="00D264BE" w:rsidRPr="000855B2" w14:paraId="355FFBDE" w14:textId="77777777" w:rsidTr="0000485C">
        <w:tblPrEx>
          <w:tblCellMar>
            <w:left w:w="0" w:type="dxa"/>
            <w:right w:w="0" w:type="dxa"/>
          </w:tblCellMar>
        </w:tblPrEx>
        <w:trPr>
          <w:trHeight w:val="270"/>
        </w:trPr>
        <w:tc>
          <w:tcPr>
            <w:tcW w:w="2136" w:type="dxa"/>
            <w:tcBorders>
              <w:top w:val="single" w:sz="8" w:space="0" w:color="auto"/>
              <w:left w:val="doub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2CF8C232" w14:textId="77777777" w:rsidR="00D264BE" w:rsidRPr="0000485C" w:rsidRDefault="00D264BE" w:rsidP="003511C1">
            <w:pPr>
              <w:keepNext/>
              <w:keepLines/>
              <w:suppressAutoHyphens/>
              <w:spacing w:line="240" w:lineRule="atLeast"/>
              <w:ind w:left="57"/>
              <w:jc w:val="left"/>
              <w:rPr>
                <w:bCs/>
                <w:szCs w:val="18"/>
                <w:lang w:val="en-GB"/>
              </w:rPr>
            </w:pPr>
            <w:r w:rsidRPr="0000485C">
              <w:rPr>
                <w:bCs/>
                <w:snapToGrid w:val="0"/>
                <w:szCs w:val="18"/>
                <w:lang w:val="en-GB" w:eastAsia="en-US"/>
              </w:rPr>
              <w:t>Heavy-duty vehicles</w:t>
            </w:r>
          </w:p>
        </w:tc>
        <w:tc>
          <w:tcPr>
            <w:tcW w:w="1836" w:type="dxa"/>
            <w:tcBorders>
              <w:top w:val="single" w:sz="8" w:space="0" w:color="auto"/>
              <w:left w:val="nil"/>
              <w:right w:val="nil"/>
            </w:tcBorders>
            <w:noWrap/>
            <w:tcMar>
              <w:top w:w="15" w:type="dxa"/>
              <w:left w:w="15" w:type="dxa"/>
              <w:bottom w:w="0" w:type="dxa"/>
              <w:right w:w="15" w:type="dxa"/>
            </w:tcMar>
            <w:vAlign w:val="center"/>
          </w:tcPr>
          <w:p w14:paraId="5E3EB9E0" w14:textId="77777777" w:rsidR="00D264BE" w:rsidRPr="000855B2" w:rsidRDefault="00E11887" w:rsidP="003511C1">
            <w:pPr>
              <w:keepNext/>
              <w:keepLines/>
              <w:suppressAutoHyphens/>
              <w:spacing w:line="240" w:lineRule="atLeast"/>
              <w:ind w:left="57"/>
              <w:jc w:val="left"/>
              <w:rPr>
                <w:szCs w:val="18"/>
                <w:lang w:val="en-GB"/>
              </w:rPr>
            </w:pPr>
            <w:r>
              <w:rPr>
                <w:snapToGrid w:val="0"/>
                <w:szCs w:val="18"/>
                <w:lang w:val="en-GB" w:eastAsia="en-US"/>
              </w:rPr>
              <w:t>Petrol</w:t>
            </w:r>
            <w:r w:rsidR="00D264BE">
              <w:rPr>
                <w:snapToGrid w:val="0"/>
                <w:szCs w:val="18"/>
                <w:lang w:val="en-GB" w:eastAsia="en-US"/>
              </w:rPr>
              <w:t xml:space="preserve"> and Diesel</w:t>
            </w:r>
          </w:p>
        </w:tc>
        <w:tc>
          <w:tcPr>
            <w:tcW w:w="3959" w:type="dxa"/>
            <w:tcBorders>
              <w:top w:val="single" w:sz="8" w:space="0" w:color="auto"/>
              <w:left w:val="single" w:sz="8" w:space="0" w:color="auto"/>
              <w:right w:val="double" w:sz="4" w:space="0" w:color="auto"/>
            </w:tcBorders>
            <w:noWrap/>
            <w:tcMar>
              <w:top w:w="15" w:type="dxa"/>
              <w:left w:w="15" w:type="dxa"/>
              <w:bottom w:w="0" w:type="dxa"/>
              <w:right w:w="15" w:type="dxa"/>
            </w:tcMar>
            <w:vAlign w:val="center"/>
          </w:tcPr>
          <w:p w14:paraId="276DABAE" w14:textId="77777777" w:rsidR="00D264BE" w:rsidRPr="00153529" w:rsidRDefault="00D264BE" w:rsidP="005C7955">
            <w:pPr>
              <w:keepNext/>
              <w:keepLines/>
              <w:suppressAutoHyphens/>
              <w:spacing w:line="240" w:lineRule="atLeast"/>
              <w:jc w:val="center"/>
              <w:rPr>
                <w:lang w:val="it-IT"/>
              </w:rPr>
            </w:pPr>
            <w:r w:rsidRPr="00354E02">
              <w:rPr>
                <w:snapToGrid w:val="0"/>
                <w:lang w:val="it-IT" w:eastAsia="en-US"/>
              </w:rPr>
              <w:t>Conventional, Euro I - Euro VI</w:t>
            </w:r>
          </w:p>
        </w:tc>
      </w:tr>
      <w:tr w:rsidR="00D264BE" w:rsidRPr="000855B2" w14:paraId="0101A89D" w14:textId="77777777" w:rsidTr="0000485C">
        <w:tblPrEx>
          <w:tblCellMar>
            <w:left w:w="0" w:type="dxa"/>
            <w:right w:w="0" w:type="dxa"/>
          </w:tblCellMar>
        </w:tblPrEx>
        <w:trPr>
          <w:trHeight w:val="270"/>
        </w:trPr>
        <w:tc>
          <w:tcPr>
            <w:tcW w:w="2136" w:type="dxa"/>
            <w:vMerge w:val="restart"/>
            <w:tcBorders>
              <w:top w:val="single" w:sz="4" w:space="0" w:color="auto"/>
              <w:left w:val="double" w:sz="4" w:space="0" w:color="auto"/>
              <w:right w:val="single" w:sz="8" w:space="0" w:color="auto"/>
            </w:tcBorders>
            <w:noWrap/>
            <w:tcMar>
              <w:top w:w="15" w:type="dxa"/>
              <w:left w:w="15" w:type="dxa"/>
              <w:bottom w:w="0" w:type="dxa"/>
              <w:right w:w="15" w:type="dxa"/>
            </w:tcMar>
            <w:vAlign w:val="center"/>
          </w:tcPr>
          <w:p w14:paraId="3E4E3C54" w14:textId="77777777" w:rsidR="00D264BE" w:rsidRPr="0000485C" w:rsidRDefault="00D264BE" w:rsidP="003511C1">
            <w:pPr>
              <w:keepNext/>
              <w:keepLines/>
              <w:suppressAutoHyphens/>
              <w:spacing w:line="240" w:lineRule="atLeast"/>
              <w:ind w:left="57"/>
              <w:jc w:val="left"/>
              <w:rPr>
                <w:bCs/>
                <w:szCs w:val="18"/>
                <w:lang w:val="en-GB"/>
              </w:rPr>
            </w:pPr>
            <w:r w:rsidRPr="0000485C">
              <w:rPr>
                <w:bCs/>
                <w:snapToGrid w:val="0"/>
                <w:szCs w:val="18"/>
                <w:lang w:val="en-GB" w:eastAsia="en-US"/>
              </w:rPr>
              <w:t>Buses</w:t>
            </w:r>
          </w:p>
        </w:tc>
        <w:tc>
          <w:tcPr>
            <w:tcW w:w="1836"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5A6D43B2" w14:textId="77777777" w:rsidR="00D264BE" w:rsidRPr="000855B2" w:rsidRDefault="00D264BE" w:rsidP="003511C1">
            <w:pPr>
              <w:keepNext/>
              <w:keepLines/>
              <w:suppressAutoHyphens/>
              <w:spacing w:line="240" w:lineRule="atLeast"/>
              <w:ind w:left="57"/>
              <w:jc w:val="left"/>
              <w:rPr>
                <w:szCs w:val="18"/>
                <w:lang w:val="en-GB"/>
              </w:rPr>
            </w:pPr>
            <w:r w:rsidRPr="000855B2">
              <w:rPr>
                <w:snapToGrid w:val="0"/>
                <w:szCs w:val="18"/>
                <w:lang w:val="en-GB" w:eastAsia="en-US"/>
              </w:rPr>
              <w:t>Urban CNG buses</w:t>
            </w:r>
          </w:p>
        </w:tc>
        <w:tc>
          <w:tcPr>
            <w:tcW w:w="3959" w:type="dxa"/>
            <w:tcBorders>
              <w:top w:val="single" w:sz="4" w:space="0" w:color="auto"/>
              <w:left w:val="nil"/>
              <w:bottom w:val="single" w:sz="8" w:space="0" w:color="auto"/>
              <w:right w:val="double" w:sz="4" w:space="0" w:color="auto"/>
            </w:tcBorders>
            <w:noWrap/>
            <w:tcMar>
              <w:top w:w="15" w:type="dxa"/>
              <w:left w:w="15" w:type="dxa"/>
              <w:bottom w:w="0" w:type="dxa"/>
              <w:right w:w="15" w:type="dxa"/>
            </w:tcMar>
            <w:vAlign w:val="center"/>
          </w:tcPr>
          <w:p w14:paraId="2CCAF40F" w14:textId="77777777" w:rsidR="00D264BE" w:rsidRPr="00153529" w:rsidRDefault="00D264BE" w:rsidP="005C7955">
            <w:pPr>
              <w:keepNext/>
              <w:keepLines/>
              <w:suppressAutoHyphens/>
              <w:spacing w:line="240" w:lineRule="atLeast"/>
              <w:jc w:val="center"/>
              <w:rPr>
                <w:lang w:val="it-IT"/>
              </w:rPr>
            </w:pPr>
            <w:r w:rsidRPr="00354E02">
              <w:rPr>
                <w:lang w:val="it-IT"/>
              </w:rPr>
              <w:t>Euro I, Euro II, Euro </w:t>
            </w:r>
            <w:smartTag w:uri="urn:schemas-microsoft-com:office:smarttags" w:element="stockticker">
              <w:r w:rsidRPr="00354E02">
                <w:rPr>
                  <w:lang w:val="it-IT"/>
                </w:rPr>
                <w:t>III</w:t>
              </w:r>
            </w:smartTag>
            <w:r w:rsidRPr="00354E02">
              <w:rPr>
                <w:lang w:val="it-IT"/>
              </w:rPr>
              <w:t>, EEV</w:t>
            </w:r>
          </w:p>
        </w:tc>
      </w:tr>
      <w:tr w:rsidR="00D31FDB" w:rsidRPr="000855B2" w14:paraId="4078387C" w14:textId="77777777" w:rsidTr="0000485C">
        <w:tblPrEx>
          <w:tblCellMar>
            <w:left w:w="0" w:type="dxa"/>
            <w:right w:w="0" w:type="dxa"/>
          </w:tblCellMar>
        </w:tblPrEx>
        <w:trPr>
          <w:trHeight w:val="4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37AE3540" w14:textId="77777777" w:rsidR="00D31FDB" w:rsidRPr="0000485C" w:rsidRDefault="00D31FDB" w:rsidP="003511C1">
            <w:pPr>
              <w:keepNext/>
              <w:keepLines/>
              <w:suppressAutoHyphens/>
              <w:spacing w:line="240" w:lineRule="atLeast"/>
              <w:ind w:left="57"/>
              <w:jc w:val="left"/>
              <w:rPr>
                <w:bCs/>
                <w:szCs w:val="18"/>
                <w:lang w:val="it-IT"/>
              </w:rPr>
            </w:pPr>
          </w:p>
        </w:tc>
        <w:tc>
          <w:tcPr>
            <w:tcW w:w="1836" w:type="dxa"/>
            <w:tcBorders>
              <w:top w:val="single" w:sz="8" w:space="0" w:color="auto"/>
              <w:left w:val="nil"/>
              <w:right w:val="single" w:sz="8" w:space="0" w:color="auto"/>
            </w:tcBorders>
            <w:noWrap/>
            <w:tcMar>
              <w:top w:w="15" w:type="dxa"/>
              <w:left w:w="15" w:type="dxa"/>
              <w:bottom w:w="0" w:type="dxa"/>
              <w:right w:w="15" w:type="dxa"/>
            </w:tcMar>
            <w:vAlign w:val="center"/>
          </w:tcPr>
          <w:p w14:paraId="313DA428"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Urban buses</w:t>
            </w:r>
            <w:r>
              <w:rPr>
                <w:snapToGrid w:val="0"/>
                <w:szCs w:val="18"/>
                <w:lang w:val="en-GB" w:eastAsia="en-US"/>
              </w:rPr>
              <w:t>, Coaches</w:t>
            </w:r>
          </w:p>
        </w:tc>
        <w:tc>
          <w:tcPr>
            <w:tcW w:w="3959" w:type="dxa"/>
            <w:tcBorders>
              <w:top w:val="single" w:sz="8" w:space="0" w:color="auto"/>
              <w:left w:val="nil"/>
              <w:right w:val="double" w:sz="4" w:space="0" w:color="auto"/>
            </w:tcBorders>
            <w:noWrap/>
            <w:tcMar>
              <w:top w:w="0" w:type="dxa"/>
              <w:left w:w="15" w:type="dxa"/>
              <w:bottom w:w="0" w:type="dxa"/>
              <w:right w:w="15" w:type="dxa"/>
            </w:tcMar>
            <w:vAlign w:val="center"/>
          </w:tcPr>
          <w:p w14:paraId="24CF518C" w14:textId="77777777" w:rsidR="00D31FDB" w:rsidRPr="00153529" w:rsidRDefault="00D31FDB" w:rsidP="005C7955">
            <w:pPr>
              <w:keepNext/>
              <w:keepLines/>
              <w:suppressAutoHyphens/>
              <w:spacing w:line="240" w:lineRule="atLeast"/>
              <w:jc w:val="center"/>
              <w:rPr>
                <w:lang w:val="it-IT"/>
              </w:rPr>
            </w:pPr>
            <w:r>
              <w:rPr>
                <w:snapToGrid w:val="0"/>
                <w:lang w:val="it-IT" w:eastAsia="en-US"/>
              </w:rPr>
              <w:t>Conventional, Euro I -</w:t>
            </w:r>
            <w:r w:rsidRPr="00354E02">
              <w:rPr>
                <w:snapToGrid w:val="0"/>
                <w:lang w:val="it-IT" w:eastAsia="en-US"/>
              </w:rPr>
              <w:t xml:space="preserve"> Euro VI</w:t>
            </w:r>
          </w:p>
        </w:tc>
      </w:tr>
      <w:tr w:rsidR="00D31FDB" w:rsidRPr="000855B2" w14:paraId="4D897C73" w14:textId="77777777" w:rsidTr="0000485C">
        <w:tblPrEx>
          <w:tblCellMar>
            <w:left w:w="0" w:type="dxa"/>
            <w:right w:w="0" w:type="dxa"/>
          </w:tblCellMar>
        </w:tblPrEx>
        <w:trPr>
          <w:trHeight w:val="4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5F1BB19B" w14:textId="77777777" w:rsidR="00D31FDB" w:rsidRPr="0000485C" w:rsidRDefault="00D31FDB" w:rsidP="003511C1">
            <w:pPr>
              <w:keepNext/>
              <w:keepLines/>
              <w:suppressAutoHyphens/>
              <w:spacing w:line="240" w:lineRule="atLeast"/>
              <w:ind w:left="57"/>
              <w:jc w:val="left"/>
              <w:rPr>
                <w:bCs/>
                <w:szCs w:val="18"/>
                <w:lang w:val="it-IT"/>
              </w:rPr>
            </w:pPr>
          </w:p>
        </w:tc>
        <w:tc>
          <w:tcPr>
            <w:tcW w:w="1836" w:type="dxa"/>
            <w:tcBorders>
              <w:top w:val="single" w:sz="8" w:space="0" w:color="auto"/>
              <w:left w:val="nil"/>
              <w:right w:val="single" w:sz="8" w:space="0" w:color="auto"/>
            </w:tcBorders>
            <w:noWrap/>
            <w:tcMar>
              <w:top w:w="15" w:type="dxa"/>
              <w:left w:w="15" w:type="dxa"/>
              <w:bottom w:w="0" w:type="dxa"/>
              <w:right w:w="15" w:type="dxa"/>
            </w:tcMar>
            <w:vAlign w:val="center"/>
          </w:tcPr>
          <w:p w14:paraId="447968DE"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Urban</w:t>
            </w:r>
            <w:r>
              <w:rPr>
                <w:snapToGrid w:val="0"/>
                <w:szCs w:val="18"/>
                <w:lang w:val="en-GB" w:eastAsia="en-US"/>
              </w:rPr>
              <w:t xml:space="preserve"> biodiesel</w:t>
            </w:r>
            <w:r w:rsidRPr="000855B2">
              <w:rPr>
                <w:snapToGrid w:val="0"/>
                <w:szCs w:val="18"/>
                <w:lang w:val="en-GB" w:eastAsia="en-US"/>
              </w:rPr>
              <w:t xml:space="preserve"> buses</w:t>
            </w:r>
          </w:p>
        </w:tc>
        <w:tc>
          <w:tcPr>
            <w:tcW w:w="3959" w:type="dxa"/>
            <w:tcBorders>
              <w:top w:val="single" w:sz="8" w:space="0" w:color="auto"/>
              <w:left w:val="nil"/>
              <w:right w:val="double" w:sz="4" w:space="0" w:color="auto"/>
            </w:tcBorders>
            <w:noWrap/>
            <w:tcMar>
              <w:top w:w="0" w:type="dxa"/>
              <w:left w:w="15" w:type="dxa"/>
              <w:bottom w:w="0" w:type="dxa"/>
              <w:right w:w="15" w:type="dxa"/>
            </w:tcMar>
            <w:vAlign w:val="center"/>
          </w:tcPr>
          <w:p w14:paraId="00B8D329" w14:textId="77777777" w:rsidR="00D31FDB" w:rsidRPr="00153529" w:rsidRDefault="00D31FDB" w:rsidP="005C7955">
            <w:pPr>
              <w:keepNext/>
              <w:keepLines/>
              <w:suppressAutoHyphens/>
              <w:spacing w:line="240" w:lineRule="atLeast"/>
              <w:jc w:val="center"/>
              <w:rPr>
                <w:lang w:val="it-IT"/>
              </w:rPr>
            </w:pPr>
            <w:r>
              <w:rPr>
                <w:snapToGrid w:val="0"/>
                <w:lang w:val="it-IT" w:eastAsia="en-US"/>
              </w:rPr>
              <w:t>Conventional, Euro I -</w:t>
            </w:r>
            <w:r w:rsidRPr="00354E02">
              <w:rPr>
                <w:snapToGrid w:val="0"/>
                <w:lang w:val="it-IT" w:eastAsia="en-US"/>
              </w:rPr>
              <w:t xml:space="preserve"> Euro VI</w:t>
            </w:r>
          </w:p>
        </w:tc>
      </w:tr>
      <w:tr w:rsidR="00D31FDB" w:rsidRPr="000855B2" w14:paraId="28C8FE24" w14:textId="77777777" w:rsidTr="0000485C">
        <w:tblPrEx>
          <w:tblCellMar>
            <w:left w:w="0" w:type="dxa"/>
            <w:right w:w="0" w:type="dxa"/>
          </w:tblCellMar>
        </w:tblPrEx>
        <w:trPr>
          <w:trHeight w:val="110"/>
        </w:trPr>
        <w:tc>
          <w:tcPr>
            <w:tcW w:w="2136" w:type="dxa"/>
            <w:vMerge w:val="restart"/>
            <w:tcBorders>
              <w:top w:val="single" w:sz="8" w:space="0" w:color="auto"/>
              <w:left w:val="double" w:sz="4" w:space="0" w:color="auto"/>
              <w:right w:val="single" w:sz="8" w:space="0" w:color="auto"/>
            </w:tcBorders>
            <w:noWrap/>
            <w:tcMar>
              <w:top w:w="15" w:type="dxa"/>
              <w:left w:w="15" w:type="dxa"/>
              <w:bottom w:w="0" w:type="dxa"/>
              <w:right w:w="15" w:type="dxa"/>
            </w:tcMar>
            <w:vAlign w:val="center"/>
          </w:tcPr>
          <w:p w14:paraId="2E78163B" w14:textId="77777777" w:rsidR="00D31FDB" w:rsidRPr="0000485C" w:rsidRDefault="00D31FDB" w:rsidP="003511C1">
            <w:pPr>
              <w:keepNext/>
              <w:keepLines/>
              <w:suppressAutoHyphens/>
              <w:spacing w:line="240" w:lineRule="atLeast"/>
              <w:ind w:left="57"/>
              <w:jc w:val="left"/>
              <w:rPr>
                <w:bCs/>
                <w:szCs w:val="18"/>
                <w:lang w:val="en-GB"/>
              </w:rPr>
            </w:pPr>
            <w:r w:rsidRPr="0000485C">
              <w:rPr>
                <w:bCs/>
                <w:snapToGrid w:val="0"/>
                <w:szCs w:val="18"/>
                <w:lang w:val="en-GB" w:eastAsia="en-US"/>
              </w:rPr>
              <w:t>Mopeds</w:t>
            </w: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FF99B31"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2-stroke</w:t>
            </w:r>
            <w:r w:rsidRPr="000855B2">
              <w:rPr>
                <w:szCs w:val="18"/>
                <w:lang w:val="en-GB"/>
              </w:rPr>
              <w:t xml:space="preserve"> </w:t>
            </w:r>
            <w:r w:rsidRPr="000855B2">
              <w:rPr>
                <w:snapToGrid w:val="0"/>
                <w:szCs w:val="18"/>
                <w:lang w:val="en-GB" w:eastAsia="en-US"/>
              </w:rPr>
              <w:t>&lt; 50 cm³</w:t>
            </w:r>
          </w:p>
        </w:tc>
        <w:tc>
          <w:tcPr>
            <w:tcW w:w="3959" w:type="dxa"/>
            <w:vMerge w:val="restart"/>
            <w:tcBorders>
              <w:top w:val="single" w:sz="8" w:space="0" w:color="auto"/>
              <w:left w:val="nil"/>
              <w:right w:val="double" w:sz="4" w:space="0" w:color="auto"/>
            </w:tcBorders>
            <w:noWrap/>
            <w:tcMar>
              <w:top w:w="15" w:type="dxa"/>
              <w:left w:w="15" w:type="dxa"/>
              <w:bottom w:w="0" w:type="dxa"/>
              <w:right w:w="15" w:type="dxa"/>
            </w:tcMar>
            <w:vAlign w:val="center"/>
          </w:tcPr>
          <w:p w14:paraId="35C384C3"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5742DCB0" w14:textId="77777777" w:rsidTr="0000485C">
        <w:tblPrEx>
          <w:tblCellMar>
            <w:left w:w="0" w:type="dxa"/>
            <w:right w:w="0" w:type="dxa"/>
          </w:tblCellMar>
        </w:tblPrEx>
        <w:trPr>
          <w:trHeight w:val="109"/>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41CA61A0" w14:textId="77777777" w:rsidR="00D31FDB" w:rsidRPr="0000485C" w:rsidRDefault="00D31FDB" w:rsidP="003511C1">
            <w:pPr>
              <w:keepNext/>
              <w:keepLines/>
              <w:suppressAutoHyphens/>
              <w:spacing w:line="240" w:lineRule="atLeast"/>
              <w:ind w:left="57"/>
              <w:jc w:val="left"/>
              <w:rPr>
                <w:bCs/>
                <w:snapToGrid w:val="0"/>
                <w:szCs w:val="18"/>
                <w:lang w:val="en-GB" w:eastAsia="en-US"/>
              </w:rPr>
            </w:pP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0C1019F5" w14:textId="77777777" w:rsidR="00D31FDB" w:rsidRPr="000855B2" w:rsidRDefault="00D31FDB" w:rsidP="003511C1">
            <w:pPr>
              <w:keepNext/>
              <w:keepLines/>
              <w:suppressAutoHyphens/>
              <w:spacing w:line="240" w:lineRule="atLeast"/>
              <w:ind w:left="57"/>
              <w:jc w:val="left"/>
              <w:rPr>
                <w:snapToGrid w:val="0"/>
                <w:szCs w:val="18"/>
                <w:lang w:val="en-GB" w:eastAsia="en-US"/>
              </w:rPr>
            </w:pPr>
            <w:r w:rsidRPr="000855B2">
              <w:rPr>
                <w:snapToGrid w:val="0"/>
                <w:szCs w:val="18"/>
                <w:lang w:val="en-GB" w:eastAsia="en-US"/>
              </w:rPr>
              <w:t>4-stroke</w:t>
            </w:r>
            <w:r w:rsidRPr="000855B2">
              <w:rPr>
                <w:szCs w:val="18"/>
                <w:lang w:val="en-GB"/>
              </w:rPr>
              <w:t xml:space="preserve"> </w:t>
            </w:r>
            <w:r w:rsidRPr="000855B2">
              <w:rPr>
                <w:snapToGrid w:val="0"/>
                <w:szCs w:val="18"/>
                <w:lang w:val="en-GB" w:eastAsia="en-US"/>
              </w:rPr>
              <w:t>&lt; 50 cm</w:t>
            </w:r>
          </w:p>
        </w:tc>
        <w:tc>
          <w:tcPr>
            <w:tcW w:w="3959" w:type="dxa"/>
            <w:vMerge/>
            <w:tcBorders>
              <w:left w:val="nil"/>
              <w:bottom w:val="single" w:sz="8" w:space="0" w:color="auto"/>
              <w:right w:val="double" w:sz="4" w:space="0" w:color="auto"/>
            </w:tcBorders>
            <w:noWrap/>
            <w:tcMar>
              <w:top w:w="15" w:type="dxa"/>
              <w:left w:w="15" w:type="dxa"/>
              <w:bottom w:w="0" w:type="dxa"/>
              <w:right w:w="15" w:type="dxa"/>
            </w:tcMar>
            <w:vAlign w:val="center"/>
          </w:tcPr>
          <w:p w14:paraId="60C095E2" w14:textId="77777777" w:rsidR="00D31FDB" w:rsidRPr="000855B2" w:rsidRDefault="00D31FDB" w:rsidP="005C7955">
            <w:pPr>
              <w:keepNext/>
              <w:keepLines/>
              <w:suppressAutoHyphens/>
              <w:spacing w:line="240" w:lineRule="atLeast"/>
              <w:jc w:val="center"/>
              <w:rPr>
                <w:snapToGrid w:val="0"/>
                <w:szCs w:val="18"/>
                <w:lang w:val="en-GB" w:eastAsia="en-US"/>
              </w:rPr>
            </w:pPr>
          </w:p>
        </w:tc>
      </w:tr>
      <w:tr w:rsidR="00D31FDB" w:rsidRPr="000855B2" w14:paraId="3D3A72E7" w14:textId="77777777" w:rsidTr="0000485C">
        <w:tblPrEx>
          <w:tblCellMar>
            <w:left w:w="0" w:type="dxa"/>
            <w:right w:w="0" w:type="dxa"/>
          </w:tblCellMar>
        </w:tblPrEx>
        <w:trPr>
          <w:trHeight w:val="255"/>
        </w:trPr>
        <w:tc>
          <w:tcPr>
            <w:tcW w:w="2136" w:type="dxa"/>
            <w:vMerge w:val="restart"/>
            <w:tcBorders>
              <w:top w:val="single" w:sz="8" w:space="0" w:color="auto"/>
              <w:left w:val="double" w:sz="4" w:space="0" w:color="auto"/>
              <w:right w:val="single" w:sz="8" w:space="0" w:color="auto"/>
            </w:tcBorders>
            <w:noWrap/>
            <w:tcMar>
              <w:top w:w="15" w:type="dxa"/>
              <w:left w:w="15" w:type="dxa"/>
              <w:bottom w:w="0" w:type="dxa"/>
              <w:right w:w="15" w:type="dxa"/>
            </w:tcMar>
            <w:vAlign w:val="center"/>
          </w:tcPr>
          <w:p w14:paraId="3B1920C2" w14:textId="77777777" w:rsidR="00D31FDB" w:rsidRPr="0000485C" w:rsidRDefault="00D31FDB" w:rsidP="003511C1">
            <w:pPr>
              <w:keepNext/>
              <w:keepLines/>
              <w:suppressAutoHyphens/>
              <w:spacing w:line="240" w:lineRule="atLeast"/>
              <w:ind w:left="57"/>
              <w:jc w:val="left"/>
              <w:rPr>
                <w:bCs/>
                <w:szCs w:val="18"/>
                <w:lang w:val="en-GB"/>
              </w:rPr>
            </w:pPr>
            <w:r w:rsidRPr="0000485C">
              <w:rPr>
                <w:bCs/>
                <w:snapToGrid w:val="0"/>
                <w:szCs w:val="18"/>
                <w:lang w:val="en-GB" w:eastAsia="en-US"/>
              </w:rPr>
              <w:t>Motorcycles</w:t>
            </w: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E0A7DA1"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2-stroke</w:t>
            </w:r>
            <w:r w:rsidRPr="000855B2">
              <w:rPr>
                <w:szCs w:val="18"/>
                <w:lang w:val="en-GB"/>
              </w:rPr>
              <w:t xml:space="preserve"> &gt; 50 cm³</w:t>
            </w:r>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
          <w:p w14:paraId="03826A73"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130E6DE3" w14:textId="77777777" w:rsidTr="0000485C">
        <w:tblPrEx>
          <w:tblCellMar>
            <w:left w:w="0" w:type="dxa"/>
            <w:right w:w="0" w:type="dxa"/>
          </w:tblCellMar>
        </w:tblPrEx>
        <w:trPr>
          <w:trHeight w:val="255"/>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0656D972" w14:textId="77777777" w:rsidR="00D31FDB" w:rsidRPr="000855B2" w:rsidRDefault="00D31FDB" w:rsidP="005C7955">
            <w:pPr>
              <w:keepNext/>
              <w:keepLines/>
              <w:suppressAutoHyphens/>
              <w:spacing w:line="240" w:lineRule="atLeast"/>
              <w:jc w:val="center"/>
              <w:rPr>
                <w:b/>
                <w:bCs/>
                <w:szCs w:val="18"/>
                <w:lang w:val="en-GB"/>
              </w:rPr>
            </w:pPr>
          </w:p>
        </w:tc>
        <w:tc>
          <w:tcPr>
            <w:tcW w:w="183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CE08F81"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4-stroke 50–250 cm³</w:t>
            </w:r>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
          <w:p w14:paraId="5DEE1E54"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15EF95DC" w14:textId="77777777" w:rsidTr="0000485C">
        <w:tblPrEx>
          <w:tblCellMar>
            <w:left w:w="0" w:type="dxa"/>
            <w:right w:w="0" w:type="dxa"/>
          </w:tblCellMar>
        </w:tblPrEx>
        <w:trPr>
          <w:trHeight w:val="270"/>
        </w:trPr>
        <w:tc>
          <w:tcPr>
            <w:tcW w:w="2136" w:type="dxa"/>
            <w:vMerge/>
            <w:tcBorders>
              <w:left w:val="double" w:sz="4" w:space="0" w:color="auto"/>
              <w:right w:val="single" w:sz="8" w:space="0" w:color="auto"/>
            </w:tcBorders>
            <w:noWrap/>
            <w:tcMar>
              <w:top w:w="15" w:type="dxa"/>
              <w:left w:w="15" w:type="dxa"/>
              <w:bottom w:w="0" w:type="dxa"/>
              <w:right w:w="15" w:type="dxa"/>
            </w:tcMar>
            <w:vAlign w:val="center"/>
          </w:tcPr>
          <w:p w14:paraId="2B9A4A20" w14:textId="77777777" w:rsidR="00D31FDB" w:rsidRPr="000855B2" w:rsidRDefault="00D31FDB" w:rsidP="005C7955">
            <w:pPr>
              <w:keepNext/>
              <w:keepLines/>
              <w:suppressAutoHyphens/>
              <w:spacing w:line="240" w:lineRule="atLeast"/>
              <w:jc w:val="center"/>
              <w:rPr>
                <w:b/>
                <w:bCs/>
                <w:szCs w:val="18"/>
                <w:lang w:val="en-GB"/>
              </w:rPr>
            </w:pPr>
          </w:p>
        </w:tc>
        <w:tc>
          <w:tcPr>
            <w:tcW w:w="1836" w:type="dxa"/>
            <w:tcBorders>
              <w:top w:val="single" w:sz="8" w:space="0" w:color="auto"/>
              <w:left w:val="nil"/>
              <w:bottom w:val="single" w:sz="8" w:space="0" w:color="auto"/>
              <w:right w:val="single" w:sz="8" w:space="0" w:color="auto"/>
            </w:tcBorders>
            <w:noWrap/>
            <w:tcMar>
              <w:top w:w="0" w:type="dxa"/>
              <w:left w:w="15" w:type="dxa"/>
              <w:bottom w:w="0" w:type="dxa"/>
              <w:right w:w="15" w:type="dxa"/>
            </w:tcMar>
            <w:vAlign w:val="center"/>
          </w:tcPr>
          <w:p w14:paraId="591A6AFD"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4-stroke 250–750 cm³</w:t>
            </w:r>
          </w:p>
        </w:tc>
        <w:tc>
          <w:tcPr>
            <w:tcW w:w="3959" w:type="dxa"/>
            <w:tcBorders>
              <w:top w:val="single" w:sz="8" w:space="0" w:color="auto"/>
              <w:left w:val="nil"/>
              <w:bottom w:val="single" w:sz="8" w:space="0" w:color="auto"/>
              <w:right w:val="double" w:sz="4" w:space="0" w:color="auto"/>
            </w:tcBorders>
            <w:noWrap/>
            <w:tcMar>
              <w:top w:w="15" w:type="dxa"/>
              <w:left w:w="15" w:type="dxa"/>
              <w:bottom w:w="0" w:type="dxa"/>
              <w:right w:w="15" w:type="dxa"/>
            </w:tcMar>
            <w:vAlign w:val="center"/>
          </w:tcPr>
          <w:p w14:paraId="6587630B"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r w:rsidR="00D31FDB" w:rsidRPr="000855B2" w14:paraId="6F80B82C" w14:textId="77777777" w:rsidTr="0000485C">
        <w:tblPrEx>
          <w:tblCellMar>
            <w:left w:w="0" w:type="dxa"/>
            <w:right w:w="0" w:type="dxa"/>
          </w:tblCellMar>
        </w:tblPrEx>
        <w:trPr>
          <w:trHeight w:val="255"/>
        </w:trPr>
        <w:tc>
          <w:tcPr>
            <w:tcW w:w="2136" w:type="dxa"/>
            <w:vMerge/>
            <w:tcBorders>
              <w:left w:val="double" w:sz="4" w:space="0" w:color="auto"/>
              <w:bottom w:val="double" w:sz="4" w:space="0" w:color="auto"/>
              <w:right w:val="single" w:sz="8" w:space="0" w:color="auto"/>
            </w:tcBorders>
            <w:noWrap/>
            <w:tcMar>
              <w:top w:w="15" w:type="dxa"/>
              <w:left w:w="15" w:type="dxa"/>
              <w:bottom w:w="0" w:type="dxa"/>
              <w:right w:w="15" w:type="dxa"/>
            </w:tcMar>
            <w:vAlign w:val="center"/>
          </w:tcPr>
          <w:p w14:paraId="2354CBE0" w14:textId="77777777" w:rsidR="00D31FDB" w:rsidRPr="000855B2" w:rsidRDefault="00D31FDB" w:rsidP="005C7955">
            <w:pPr>
              <w:keepNext/>
              <w:keepLines/>
              <w:suppressAutoHyphens/>
              <w:spacing w:line="240" w:lineRule="atLeast"/>
              <w:jc w:val="center"/>
              <w:rPr>
                <w:b/>
                <w:bCs/>
                <w:szCs w:val="18"/>
                <w:lang w:val="en-GB"/>
              </w:rPr>
            </w:pPr>
          </w:p>
        </w:tc>
        <w:tc>
          <w:tcPr>
            <w:tcW w:w="1836" w:type="dxa"/>
            <w:tcBorders>
              <w:top w:val="single" w:sz="8" w:space="0" w:color="auto"/>
              <w:left w:val="nil"/>
              <w:bottom w:val="double" w:sz="4" w:space="0" w:color="auto"/>
              <w:right w:val="single" w:sz="8" w:space="0" w:color="auto"/>
            </w:tcBorders>
            <w:noWrap/>
            <w:tcMar>
              <w:top w:w="15" w:type="dxa"/>
              <w:left w:w="15" w:type="dxa"/>
              <w:bottom w:w="0" w:type="dxa"/>
              <w:right w:w="15" w:type="dxa"/>
            </w:tcMar>
            <w:vAlign w:val="center"/>
          </w:tcPr>
          <w:p w14:paraId="071E17A3" w14:textId="77777777" w:rsidR="00D31FDB" w:rsidRPr="000855B2" w:rsidRDefault="00D31FDB" w:rsidP="003511C1">
            <w:pPr>
              <w:keepNext/>
              <w:keepLines/>
              <w:suppressAutoHyphens/>
              <w:spacing w:line="240" w:lineRule="atLeast"/>
              <w:ind w:left="57"/>
              <w:jc w:val="left"/>
              <w:rPr>
                <w:szCs w:val="18"/>
                <w:lang w:val="en-GB"/>
              </w:rPr>
            </w:pPr>
            <w:r w:rsidRPr="000855B2">
              <w:rPr>
                <w:snapToGrid w:val="0"/>
                <w:szCs w:val="18"/>
                <w:lang w:val="en-GB" w:eastAsia="en-US"/>
              </w:rPr>
              <w:t>4-stroke</w:t>
            </w:r>
            <w:r w:rsidRPr="000855B2">
              <w:rPr>
                <w:szCs w:val="18"/>
                <w:lang w:val="en-GB"/>
              </w:rPr>
              <w:t xml:space="preserve"> </w:t>
            </w:r>
            <w:r w:rsidRPr="000855B2">
              <w:rPr>
                <w:snapToGrid w:val="0"/>
                <w:szCs w:val="18"/>
                <w:lang w:val="en-GB" w:eastAsia="en-US"/>
              </w:rPr>
              <w:t>&gt; 750 cm³</w:t>
            </w:r>
          </w:p>
        </w:tc>
        <w:tc>
          <w:tcPr>
            <w:tcW w:w="3959" w:type="dxa"/>
            <w:tcBorders>
              <w:top w:val="single" w:sz="8" w:space="0" w:color="auto"/>
              <w:left w:val="nil"/>
              <w:bottom w:val="double" w:sz="4" w:space="0" w:color="auto"/>
              <w:right w:val="double" w:sz="4" w:space="0" w:color="auto"/>
            </w:tcBorders>
            <w:noWrap/>
            <w:tcMar>
              <w:top w:w="15" w:type="dxa"/>
              <w:left w:w="15" w:type="dxa"/>
              <w:bottom w:w="0" w:type="dxa"/>
              <w:right w:w="15" w:type="dxa"/>
            </w:tcMar>
            <w:vAlign w:val="center"/>
          </w:tcPr>
          <w:p w14:paraId="287D71BA" w14:textId="77777777" w:rsidR="00D31FDB" w:rsidRPr="000855B2" w:rsidRDefault="00D31FDB" w:rsidP="005C7955">
            <w:pPr>
              <w:keepNext/>
              <w:keepLines/>
              <w:suppressAutoHyphens/>
              <w:spacing w:line="240" w:lineRule="atLeast"/>
              <w:jc w:val="center"/>
              <w:rPr>
                <w:szCs w:val="18"/>
                <w:lang w:val="en-GB"/>
              </w:rPr>
            </w:pPr>
            <w:r w:rsidRPr="000855B2">
              <w:rPr>
                <w:snapToGrid w:val="0"/>
                <w:szCs w:val="18"/>
                <w:lang w:val="en-GB" w:eastAsia="en-US"/>
              </w:rPr>
              <w:t>Conventional, Euro 1</w:t>
            </w:r>
            <w:r>
              <w:rPr>
                <w:snapToGrid w:val="0"/>
                <w:szCs w:val="18"/>
                <w:lang w:val="en-GB" w:eastAsia="en-US"/>
              </w:rPr>
              <w:t xml:space="preserve"> - </w:t>
            </w:r>
            <w:r w:rsidRPr="000855B2">
              <w:rPr>
                <w:snapToGrid w:val="0"/>
                <w:szCs w:val="18"/>
                <w:lang w:val="en-GB" w:eastAsia="en-US"/>
              </w:rPr>
              <w:t>Euro </w:t>
            </w:r>
            <w:r>
              <w:rPr>
                <w:snapToGrid w:val="0"/>
                <w:szCs w:val="18"/>
                <w:lang w:val="en-GB" w:eastAsia="en-US"/>
              </w:rPr>
              <w:t>5</w:t>
            </w:r>
          </w:p>
        </w:tc>
      </w:tr>
    </w:tbl>
    <w:p w14:paraId="38265464" w14:textId="77777777" w:rsidR="001D2587" w:rsidRPr="000855B2" w:rsidRDefault="001D2587" w:rsidP="007E14C0">
      <w:pPr>
        <w:pStyle w:val="BodyText"/>
      </w:pPr>
      <w:r w:rsidRPr="000855B2">
        <w:t>Therefore</w:t>
      </w:r>
      <w:r w:rsidR="00EB70BA" w:rsidRPr="000855B2">
        <w:t>,</w:t>
      </w:r>
      <w:r w:rsidRPr="000855B2">
        <w:t xml:space="preserve"> the user needs to provide the number of vehicles and the annual mileage per technology</w:t>
      </w:r>
      <w:r w:rsidR="00EB70BA" w:rsidRPr="000855B2">
        <w:t xml:space="preserve"> (or </w:t>
      </w:r>
      <w:r w:rsidRPr="000855B2">
        <w:t>the number of vehicle-km per technology</w:t>
      </w:r>
      <w:r w:rsidR="00EB70BA" w:rsidRPr="000855B2">
        <w:t>)</w:t>
      </w:r>
      <w:r w:rsidRPr="000855B2">
        <w:t>. These vehicle-km data are multiplied by the Tie</w:t>
      </w:r>
      <w:r w:rsidR="00E0302E" w:rsidRPr="000855B2">
        <w:t>r 2</w:t>
      </w:r>
      <w:r w:rsidRPr="000855B2">
        <w:t xml:space="preserve"> emission factors</w:t>
      </w:r>
      <w:r w:rsidR="00AB09BC" w:rsidRPr="000855B2">
        <w:t>.</w:t>
      </w:r>
    </w:p>
    <w:p w14:paraId="31804317" w14:textId="77777777" w:rsidR="001D2587" w:rsidRPr="000855B2" w:rsidRDefault="001D2587" w:rsidP="007E14C0">
      <w:pPr>
        <w:pStyle w:val="BodyText"/>
      </w:pPr>
      <w:r w:rsidRPr="000855B2">
        <w:t>Hence</w:t>
      </w:r>
      <w:r w:rsidR="00EB70BA" w:rsidRPr="000855B2">
        <w:t>,</w:t>
      </w:r>
      <w:r w:rsidRPr="000855B2">
        <w:t xml:space="preserve"> the algorith</w:t>
      </w:r>
      <w:r w:rsidR="00EB70BA" w:rsidRPr="000855B2">
        <w:t>m</w:t>
      </w:r>
      <w:r w:rsidRPr="000855B2">
        <w:t xml:space="preserve"> used is:</w:t>
      </w:r>
    </w:p>
    <w:tbl>
      <w:tblPr>
        <w:tblW w:w="0" w:type="auto"/>
        <w:tblCellMar>
          <w:top w:w="57" w:type="dxa"/>
          <w:left w:w="85" w:type="dxa"/>
          <w:bottom w:w="57" w:type="dxa"/>
          <w:right w:w="85" w:type="dxa"/>
        </w:tblCellMar>
        <w:tblLook w:val="0000" w:firstRow="0" w:lastRow="0" w:firstColumn="0" w:lastColumn="0" w:noHBand="0" w:noVBand="0"/>
      </w:tblPr>
      <w:tblGrid>
        <w:gridCol w:w="7587"/>
        <w:gridCol w:w="742"/>
      </w:tblGrid>
      <w:tr w:rsidR="001D2587" w:rsidRPr="000855B2" w14:paraId="71C117FC" w14:textId="77777777">
        <w:tc>
          <w:tcPr>
            <w:tcW w:w="7587" w:type="dxa"/>
            <w:tcMar>
              <w:top w:w="57" w:type="dxa"/>
              <w:left w:w="0" w:type="dxa"/>
              <w:bottom w:w="57" w:type="dxa"/>
              <w:right w:w="0" w:type="dxa"/>
            </w:tcMar>
            <w:vAlign w:val="center"/>
          </w:tcPr>
          <w:p w14:paraId="209A9D21" w14:textId="77777777" w:rsidR="001D2587" w:rsidRPr="000855B2" w:rsidRDefault="001D2587" w:rsidP="007E14C0">
            <w:pPr>
              <w:numPr>
                <w:ilvl w:val="12"/>
                <w:numId w:val="0"/>
              </w:numPr>
              <w:rPr>
                <w:lang w:val="en-GB"/>
              </w:rPr>
            </w:pPr>
            <w:r w:rsidRPr="000855B2">
              <w:rPr>
                <w:lang w:val="en-GB"/>
              </w:rPr>
              <w:t>E</w:t>
            </w:r>
            <w:r w:rsidR="00494B95" w:rsidRPr="000855B2">
              <w:rPr>
                <w:vertAlign w:val="subscript"/>
                <w:lang w:val="en-GB"/>
              </w:rPr>
              <w:t>i,j</w:t>
            </w:r>
            <w:r w:rsidRPr="000855B2">
              <w:rPr>
                <w:lang w:val="en-GB"/>
              </w:rPr>
              <w:t xml:space="preserve"> =  </w:t>
            </w:r>
            <w:r w:rsidRPr="000855B2">
              <w:rPr>
                <w:sz w:val="32"/>
                <w:lang w:val="en-GB"/>
              </w:rPr>
              <w:sym w:font="Symbol" w:char="0053"/>
            </w:r>
            <w:r w:rsidRPr="000855B2">
              <w:rPr>
                <w:vertAlign w:val="subscript"/>
                <w:lang w:val="en-GB"/>
              </w:rPr>
              <w:t>k</w:t>
            </w:r>
            <w:r w:rsidRPr="000855B2">
              <w:rPr>
                <w:lang w:val="en-GB"/>
              </w:rPr>
              <w:t xml:space="preserve"> (&lt;M</w:t>
            </w:r>
            <w:r w:rsidR="009E2FC4" w:rsidRPr="000855B2">
              <w:rPr>
                <w:vertAlign w:val="subscript"/>
                <w:lang w:val="en-GB"/>
              </w:rPr>
              <w:t>j</w:t>
            </w:r>
            <w:r w:rsidRPr="000855B2">
              <w:rPr>
                <w:vertAlign w:val="subscript"/>
                <w:lang w:val="en-GB"/>
              </w:rPr>
              <w:t>,k</w:t>
            </w:r>
            <w:r w:rsidRPr="000855B2">
              <w:rPr>
                <w:lang w:val="en-GB"/>
              </w:rPr>
              <w:t xml:space="preserve">&gt; </w:t>
            </w:r>
            <w:r w:rsidRPr="000855B2">
              <w:rPr>
                <w:lang w:val="en-GB"/>
              </w:rPr>
              <w:sym w:font="Symbol" w:char="00B4"/>
            </w:r>
            <w:r w:rsidRPr="000855B2">
              <w:rPr>
                <w:lang w:val="en-GB"/>
              </w:rPr>
              <w:t xml:space="preserve"> EF</w:t>
            </w:r>
            <w:r w:rsidR="00494B95" w:rsidRPr="000855B2">
              <w:rPr>
                <w:vertAlign w:val="subscript"/>
                <w:lang w:val="en-GB"/>
              </w:rPr>
              <w:t>i,j</w:t>
            </w:r>
            <w:r w:rsidRPr="000855B2">
              <w:rPr>
                <w:vertAlign w:val="subscript"/>
                <w:lang w:val="en-GB"/>
              </w:rPr>
              <w:t>,k</w:t>
            </w:r>
            <w:r w:rsidRPr="000855B2">
              <w:rPr>
                <w:lang w:val="en-GB"/>
              </w:rPr>
              <w:t>)</w:t>
            </w:r>
          </w:p>
        </w:tc>
        <w:tc>
          <w:tcPr>
            <w:tcW w:w="742" w:type="dxa"/>
            <w:tcMar>
              <w:top w:w="57" w:type="dxa"/>
              <w:left w:w="0" w:type="dxa"/>
              <w:bottom w:w="57" w:type="dxa"/>
              <w:right w:w="0" w:type="dxa"/>
            </w:tcMar>
            <w:vAlign w:val="center"/>
          </w:tcPr>
          <w:p w14:paraId="668AB14F" w14:textId="288198C3" w:rsidR="001D2587" w:rsidRPr="000855B2" w:rsidRDefault="001D2587" w:rsidP="007E14C0">
            <w:pPr>
              <w:numPr>
                <w:ilvl w:val="12"/>
                <w:numId w:val="0"/>
              </w:numP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4</w:t>
            </w:r>
            <w:r w:rsidR="00E17971">
              <w:rPr>
                <w:lang w:val="en-GB"/>
              </w:rPr>
              <w:fldChar w:fldCharType="end"/>
            </w:r>
            <w:r w:rsidRPr="000855B2">
              <w:rPr>
                <w:lang w:val="en-GB"/>
              </w:rPr>
              <w:t>)</w:t>
            </w:r>
          </w:p>
        </w:tc>
      </w:tr>
    </w:tbl>
    <w:p w14:paraId="17C21B28" w14:textId="77777777" w:rsidR="001D2587" w:rsidRPr="000855B2" w:rsidRDefault="001D2587" w:rsidP="007E14C0">
      <w:pPr>
        <w:pStyle w:val="BodyText"/>
      </w:pPr>
      <w:r w:rsidRPr="000855B2">
        <w:t>or</w:t>
      </w:r>
    </w:p>
    <w:tbl>
      <w:tblPr>
        <w:tblW w:w="0" w:type="auto"/>
        <w:tblCellMar>
          <w:top w:w="57" w:type="dxa"/>
          <w:left w:w="85" w:type="dxa"/>
          <w:bottom w:w="57" w:type="dxa"/>
          <w:right w:w="85" w:type="dxa"/>
        </w:tblCellMar>
        <w:tblLook w:val="0000" w:firstRow="0" w:lastRow="0" w:firstColumn="0" w:lastColumn="0" w:noHBand="0" w:noVBand="0"/>
      </w:tblPr>
      <w:tblGrid>
        <w:gridCol w:w="7587"/>
        <w:gridCol w:w="742"/>
      </w:tblGrid>
      <w:tr w:rsidR="001D2587" w:rsidRPr="000855B2" w14:paraId="1D353583" w14:textId="77777777">
        <w:tc>
          <w:tcPr>
            <w:tcW w:w="7587" w:type="dxa"/>
            <w:tcMar>
              <w:top w:w="57" w:type="dxa"/>
              <w:left w:w="0" w:type="dxa"/>
              <w:bottom w:w="57" w:type="dxa"/>
              <w:right w:w="0" w:type="dxa"/>
            </w:tcMar>
            <w:vAlign w:val="center"/>
          </w:tcPr>
          <w:p w14:paraId="0C9883B5" w14:textId="77777777" w:rsidR="001D2587" w:rsidRPr="000855B2" w:rsidRDefault="001D2587" w:rsidP="007E14C0">
            <w:pPr>
              <w:numPr>
                <w:ilvl w:val="12"/>
                <w:numId w:val="0"/>
              </w:numPr>
              <w:rPr>
                <w:lang w:val="en-GB"/>
              </w:rPr>
            </w:pPr>
            <w:r w:rsidRPr="000855B2">
              <w:rPr>
                <w:lang w:val="en-GB"/>
              </w:rPr>
              <w:t>E</w:t>
            </w:r>
            <w:r w:rsidR="00494B95" w:rsidRPr="000855B2">
              <w:rPr>
                <w:vertAlign w:val="subscript"/>
                <w:lang w:val="en-GB"/>
              </w:rPr>
              <w:t>i,j</w:t>
            </w:r>
            <w:r w:rsidRPr="000855B2">
              <w:rPr>
                <w:lang w:val="en-GB"/>
              </w:rPr>
              <w:t xml:space="preserve"> =  </w:t>
            </w:r>
            <w:r w:rsidRPr="000855B2">
              <w:rPr>
                <w:sz w:val="32"/>
                <w:lang w:val="en-GB"/>
              </w:rPr>
              <w:sym w:font="Symbol" w:char="0053"/>
            </w:r>
            <w:r w:rsidRPr="000855B2">
              <w:rPr>
                <w:vertAlign w:val="subscript"/>
                <w:lang w:val="en-GB"/>
              </w:rPr>
              <w:t>k</w:t>
            </w:r>
            <w:r w:rsidRPr="000855B2">
              <w:rPr>
                <w:lang w:val="en-GB"/>
              </w:rPr>
              <w:t xml:space="preserve"> (N</w:t>
            </w:r>
            <w:r w:rsidR="00494B95" w:rsidRPr="000855B2">
              <w:rPr>
                <w:vertAlign w:val="subscript"/>
                <w:lang w:val="en-GB"/>
              </w:rPr>
              <w:t xml:space="preserve"> j</w:t>
            </w:r>
            <w:r w:rsidRPr="000855B2">
              <w:rPr>
                <w:vertAlign w:val="subscript"/>
                <w:lang w:val="en-GB"/>
              </w:rPr>
              <w:t>,k</w:t>
            </w:r>
            <w:r w:rsidRPr="000855B2">
              <w:rPr>
                <w:lang w:val="en-GB"/>
              </w:rPr>
              <w:t xml:space="preserve"> </w:t>
            </w:r>
            <w:r w:rsidRPr="000855B2">
              <w:rPr>
                <w:lang w:val="en-GB"/>
              </w:rPr>
              <w:sym w:font="Symbol" w:char="00B4"/>
            </w:r>
            <w:r w:rsidRPr="000855B2">
              <w:rPr>
                <w:lang w:val="en-GB"/>
              </w:rPr>
              <w:t xml:space="preserve"> M</w:t>
            </w:r>
            <w:r w:rsidR="00494B95" w:rsidRPr="000855B2">
              <w:rPr>
                <w:vertAlign w:val="subscript"/>
                <w:lang w:val="en-GB"/>
              </w:rPr>
              <w:t>j</w:t>
            </w:r>
            <w:r w:rsidRPr="000855B2">
              <w:rPr>
                <w:vertAlign w:val="subscript"/>
                <w:lang w:val="en-GB"/>
              </w:rPr>
              <w:t>,k</w:t>
            </w:r>
            <w:r w:rsidRPr="000855B2">
              <w:rPr>
                <w:lang w:val="en-GB"/>
              </w:rPr>
              <w:t xml:space="preserve"> </w:t>
            </w:r>
            <w:r w:rsidRPr="000855B2">
              <w:rPr>
                <w:lang w:val="en-GB"/>
              </w:rPr>
              <w:sym w:font="Symbol" w:char="00B4"/>
            </w:r>
            <w:r w:rsidRPr="000855B2">
              <w:rPr>
                <w:lang w:val="en-GB"/>
              </w:rPr>
              <w:t xml:space="preserve"> EF</w:t>
            </w:r>
            <w:r w:rsidR="00494B95" w:rsidRPr="000855B2">
              <w:rPr>
                <w:vertAlign w:val="subscript"/>
                <w:lang w:val="en-GB"/>
              </w:rPr>
              <w:t>i,j</w:t>
            </w:r>
            <w:r w:rsidRPr="000855B2">
              <w:rPr>
                <w:vertAlign w:val="subscript"/>
                <w:lang w:val="en-GB"/>
              </w:rPr>
              <w:t>,k</w:t>
            </w:r>
            <w:r w:rsidRPr="000855B2">
              <w:rPr>
                <w:lang w:val="en-GB"/>
              </w:rPr>
              <w:t>)</w:t>
            </w:r>
          </w:p>
        </w:tc>
        <w:tc>
          <w:tcPr>
            <w:tcW w:w="742" w:type="dxa"/>
            <w:tcMar>
              <w:top w:w="57" w:type="dxa"/>
              <w:left w:w="0" w:type="dxa"/>
              <w:bottom w:w="57" w:type="dxa"/>
              <w:right w:w="0" w:type="dxa"/>
            </w:tcMar>
            <w:vAlign w:val="center"/>
          </w:tcPr>
          <w:p w14:paraId="520176BE" w14:textId="7EE169D8" w:rsidR="001D2587" w:rsidRPr="000855B2" w:rsidRDefault="001D2587" w:rsidP="007E14C0">
            <w:pPr>
              <w:numPr>
                <w:ilvl w:val="12"/>
                <w:numId w:val="0"/>
              </w:numP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5</w:t>
            </w:r>
            <w:r w:rsidR="00E17971">
              <w:rPr>
                <w:lang w:val="en-GB"/>
              </w:rPr>
              <w:fldChar w:fldCharType="end"/>
            </w:r>
            <w:r w:rsidRPr="000855B2">
              <w:rPr>
                <w:lang w:val="en-GB"/>
              </w:rPr>
              <w:t>)</w:t>
            </w:r>
          </w:p>
        </w:tc>
      </w:tr>
    </w:tbl>
    <w:p w14:paraId="1D5297F1" w14:textId="77777777" w:rsidR="001D2587" w:rsidRPr="000855B2" w:rsidRDefault="001D2587" w:rsidP="007E14C0">
      <w:pPr>
        <w:pStyle w:val="BodyText"/>
      </w:pPr>
      <w:r w:rsidRPr="000855B2">
        <w:t>where,</w:t>
      </w:r>
    </w:p>
    <w:p w14:paraId="049BB89E" w14:textId="77777777" w:rsidR="00AB09BC" w:rsidRPr="000855B2" w:rsidRDefault="001D2587" w:rsidP="007E14C0">
      <w:pPr>
        <w:pStyle w:val="BodyText"/>
        <w:ind w:left="-45" w:firstLine="45"/>
      </w:pPr>
      <w:r w:rsidRPr="000855B2">
        <w:t>&lt;M</w:t>
      </w:r>
      <w:r w:rsidR="00494B95" w:rsidRPr="000855B2">
        <w:rPr>
          <w:vertAlign w:val="subscript"/>
        </w:rPr>
        <w:t>j</w:t>
      </w:r>
      <w:r w:rsidRPr="000855B2">
        <w:rPr>
          <w:vertAlign w:val="subscript"/>
        </w:rPr>
        <w:t>,k</w:t>
      </w:r>
      <w:r w:rsidRPr="000855B2">
        <w:t>&gt;</w:t>
      </w:r>
      <w:r w:rsidR="00EB70BA" w:rsidRPr="000855B2">
        <w:tab/>
        <w:t>=</w:t>
      </w:r>
      <w:r w:rsidR="00EB70BA" w:rsidRPr="000855B2">
        <w:tab/>
      </w:r>
      <w:r w:rsidR="005E34E2" w:rsidRPr="000855B2">
        <w:t>t</w:t>
      </w:r>
      <w:r w:rsidRPr="000855B2">
        <w:t xml:space="preserve">otal annual distance driven by </w:t>
      </w:r>
      <w:r w:rsidR="00494B95" w:rsidRPr="000855B2">
        <w:t xml:space="preserve">all </w:t>
      </w:r>
      <w:r w:rsidRPr="000855B2">
        <w:t xml:space="preserve">vehicles of category </w:t>
      </w:r>
      <w:r w:rsidR="00494B95" w:rsidRPr="000855B2">
        <w:rPr>
          <w:i/>
        </w:rPr>
        <w:t>j</w:t>
      </w:r>
      <w:r w:rsidR="00EB70BA" w:rsidRPr="000855B2">
        <w:t xml:space="preserve"> and</w:t>
      </w:r>
      <w:r w:rsidRPr="000855B2">
        <w:t xml:space="preserve"> technology </w:t>
      </w:r>
      <w:r w:rsidRPr="000855B2">
        <w:rPr>
          <w:i/>
        </w:rPr>
        <w:t>k</w:t>
      </w:r>
      <w:r w:rsidRPr="000855B2">
        <w:t xml:space="preserve"> [veh</w:t>
      </w:r>
      <w:r w:rsidR="00EB70BA" w:rsidRPr="000855B2">
        <w:t>-</w:t>
      </w:r>
      <w:r w:rsidRPr="000855B2">
        <w:t>km]</w:t>
      </w:r>
      <w:r w:rsidR="005E34E2" w:rsidRPr="000855B2">
        <w:t>,</w:t>
      </w:r>
    </w:p>
    <w:p w14:paraId="6506447C" w14:textId="77777777" w:rsidR="001D2587" w:rsidRPr="000855B2" w:rsidRDefault="00AB09BC" w:rsidP="007E14C0">
      <w:pPr>
        <w:pStyle w:val="BodyText"/>
        <w:ind w:left="-45" w:firstLine="45"/>
      </w:pPr>
      <w:r w:rsidRPr="000855B2">
        <w:lastRenderedPageBreak/>
        <w:t>EF</w:t>
      </w:r>
      <w:r w:rsidRPr="000855B2">
        <w:rPr>
          <w:vertAlign w:val="subscript"/>
        </w:rPr>
        <w:t>i,</w:t>
      </w:r>
      <w:r w:rsidR="00494B95" w:rsidRPr="000855B2">
        <w:rPr>
          <w:vertAlign w:val="subscript"/>
        </w:rPr>
        <w:t>j</w:t>
      </w:r>
      <w:r w:rsidRPr="000855B2">
        <w:rPr>
          <w:vertAlign w:val="subscript"/>
        </w:rPr>
        <w:t>,k</w:t>
      </w:r>
      <w:r w:rsidRPr="000855B2">
        <w:tab/>
        <w:t>=</w:t>
      </w:r>
      <w:r w:rsidRPr="000855B2">
        <w:tab/>
      </w:r>
      <w:r w:rsidR="005E34E2" w:rsidRPr="000855B2">
        <w:t>t</w:t>
      </w:r>
      <w:r w:rsidRPr="000855B2">
        <w:t xml:space="preserve">echnology-specific emission factor of pollutant </w:t>
      </w:r>
      <w:r w:rsidRPr="000855B2">
        <w:rPr>
          <w:i/>
        </w:rPr>
        <w:t>i</w:t>
      </w:r>
      <w:r w:rsidRPr="000855B2">
        <w:t xml:space="preserve"> for vehicle category </w:t>
      </w:r>
      <w:r w:rsidR="00494B95" w:rsidRPr="000855B2">
        <w:rPr>
          <w:i/>
        </w:rPr>
        <w:t>j</w:t>
      </w:r>
      <w:r w:rsidRPr="000855B2">
        <w:t xml:space="preserve"> and technology k [g/veh-km]</w:t>
      </w:r>
      <w:r w:rsidR="005E34E2" w:rsidRPr="000855B2">
        <w:t>,</w:t>
      </w:r>
    </w:p>
    <w:p w14:paraId="3C7E4700" w14:textId="77777777" w:rsidR="001D2587" w:rsidRPr="000855B2" w:rsidRDefault="001D2587" w:rsidP="007E14C0">
      <w:pPr>
        <w:pStyle w:val="BodyText"/>
        <w:ind w:left="-45" w:firstLine="45"/>
      </w:pPr>
      <w:r w:rsidRPr="000855B2">
        <w:t>M</w:t>
      </w:r>
      <w:r w:rsidR="00494B95" w:rsidRPr="000855B2">
        <w:rPr>
          <w:vertAlign w:val="subscript"/>
        </w:rPr>
        <w:t>j</w:t>
      </w:r>
      <w:r w:rsidRPr="000855B2">
        <w:rPr>
          <w:vertAlign w:val="subscript"/>
        </w:rPr>
        <w:t>,k</w:t>
      </w:r>
      <w:r w:rsidRPr="000855B2">
        <w:tab/>
      </w:r>
      <w:r w:rsidR="00EB70BA" w:rsidRPr="000855B2">
        <w:t>=</w:t>
      </w:r>
      <w:r w:rsidR="00EB70BA" w:rsidRPr="000855B2">
        <w:tab/>
      </w:r>
      <w:r w:rsidR="005E34E2" w:rsidRPr="000855B2">
        <w:t>a</w:t>
      </w:r>
      <w:r w:rsidRPr="000855B2">
        <w:t xml:space="preserve">verage annual distance driven per vehicle of category </w:t>
      </w:r>
      <w:r w:rsidR="00494B95" w:rsidRPr="000855B2">
        <w:rPr>
          <w:i/>
        </w:rPr>
        <w:t>j</w:t>
      </w:r>
      <w:r w:rsidR="00AB09BC" w:rsidRPr="000855B2">
        <w:t xml:space="preserve"> and</w:t>
      </w:r>
      <w:r w:rsidRPr="000855B2">
        <w:t xml:space="preserve"> technology </w:t>
      </w:r>
      <w:r w:rsidRPr="000855B2">
        <w:rPr>
          <w:i/>
        </w:rPr>
        <w:t>k</w:t>
      </w:r>
      <w:r w:rsidRPr="000855B2">
        <w:t xml:space="preserve"> [km/veh]</w:t>
      </w:r>
      <w:r w:rsidR="005E34E2" w:rsidRPr="000855B2">
        <w:t>,</w:t>
      </w:r>
    </w:p>
    <w:p w14:paraId="5376B1CD" w14:textId="77777777" w:rsidR="001D2587" w:rsidRPr="000855B2" w:rsidRDefault="001D2587" w:rsidP="000010D7">
      <w:pPr>
        <w:pStyle w:val="BodyText"/>
        <w:ind w:left="-45" w:firstLine="45"/>
      </w:pPr>
      <w:r w:rsidRPr="000855B2">
        <w:t>N</w:t>
      </w:r>
      <w:r w:rsidR="009E2FC4" w:rsidRPr="000855B2">
        <w:rPr>
          <w:vertAlign w:val="subscript"/>
        </w:rPr>
        <w:t>j</w:t>
      </w:r>
      <w:r w:rsidRPr="000855B2">
        <w:rPr>
          <w:vertAlign w:val="subscript"/>
        </w:rPr>
        <w:t>,k</w:t>
      </w:r>
      <w:r w:rsidRPr="000855B2">
        <w:tab/>
      </w:r>
      <w:r w:rsidR="00EB70BA" w:rsidRPr="000855B2">
        <w:t>=</w:t>
      </w:r>
      <w:r w:rsidR="00EB70BA" w:rsidRPr="000855B2">
        <w:tab/>
      </w:r>
      <w:r w:rsidR="005E34E2" w:rsidRPr="000855B2">
        <w:t>n</w:t>
      </w:r>
      <w:r w:rsidRPr="000855B2">
        <w:t xml:space="preserve">umber of vehicles in nation’s fleet </w:t>
      </w:r>
      <w:r w:rsidR="00AB09BC" w:rsidRPr="000855B2">
        <w:t xml:space="preserve">of category </w:t>
      </w:r>
      <w:r w:rsidR="00494B95" w:rsidRPr="000855B2">
        <w:rPr>
          <w:i/>
        </w:rPr>
        <w:t>j</w:t>
      </w:r>
      <w:r w:rsidR="00AB09BC" w:rsidRPr="000855B2">
        <w:t xml:space="preserve"> and </w:t>
      </w:r>
      <w:r w:rsidRPr="000855B2">
        <w:t xml:space="preserve">technology </w:t>
      </w:r>
      <w:r w:rsidRPr="000855B2">
        <w:rPr>
          <w:i/>
        </w:rPr>
        <w:t>k</w:t>
      </w:r>
      <w:r w:rsidR="005E34E2" w:rsidRPr="000855B2">
        <w:rPr>
          <w:i/>
        </w:rPr>
        <w:t>.</w:t>
      </w:r>
    </w:p>
    <w:p w14:paraId="0B8FE768" w14:textId="77777777" w:rsidR="00AB09BC" w:rsidRPr="000855B2" w:rsidRDefault="00AB09BC" w:rsidP="007E14C0">
      <w:pPr>
        <w:pStyle w:val="BodyText"/>
      </w:pPr>
    </w:p>
    <w:p w14:paraId="2AAD43C5" w14:textId="1ED4E23B" w:rsidR="001D2587" w:rsidRPr="000855B2" w:rsidRDefault="00D31480" w:rsidP="007E14C0">
      <w:pPr>
        <w:pStyle w:val="BodyText"/>
      </w:pPr>
      <w:r w:rsidRPr="000855B2">
        <w:t>It is repeated that t</w:t>
      </w:r>
      <w:r w:rsidR="00AB09BC" w:rsidRPr="000855B2">
        <w:t xml:space="preserve">he </w:t>
      </w:r>
      <w:r w:rsidR="001D2587" w:rsidRPr="000855B2">
        <w:t>vehicle categories</w:t>
      </w:r>
      <w:r w:rsidRPr="000855B2">
        <w:t xml:space="preserve"> </w:t>
      </w:r>
      <w:r w:rsidR="00494B95" w:rsidRPr="000855B2">
        <w:rPr>
          <w:i/>
        </w:rPr>
        <w:t>j</w:t>
      </w:r>
      <w:r w:rsidR="00AB09BC" w:rsidRPr="000855B2">
        <w:t xml:space="preserve"> are</w:t>
      </w:r>
      <w:r w:rsidR="001D2587" w:rsidRPr="000855B2">
        <w:t xml:space="preserve"> passenger cars, </w:t>
      </w:r>
      <w:r w:rsidR="00CF67A4" w:rsidRPr="000855B2">
        <w:t>light commercial</w:t>
      </w:r>
      <w:r w:rsidR="001D2587" w:rsidRPr="000855B2">
        <w:t xml:space="preserve"> vehicles, heavy</w:t>
      </w:r>
      <w:r w:rsidR="00CA4F04" w:rsidRPr="000855B2">
        <w:t>-</w:t>
      </w:r>
      <w:r w:rsidR="001D2587" w:rsidRPr="000855B2">
        <w:t>duty vehicles</w:t>
      </w:r>
      <w:r w:rsidR="00AB09BC" w:rsidRPr="000855B2">
        <w:t>,</w:t>
      </w:r>
      <w:r w:rsidR="001D2587" w:rsidRPr="000855B2">
        <w:t xml:space="preserve"> motorcycles and mopeds</w:t>
      </w:r>
      <w:r w:rsidR="00AB09BC" w:rsidRPr="000855B2">
        <w:t>. The v</w:t>
      </w:r>
      <w:r w:rsidR="001D2587" w:rsidRPr="000855B2">
        <w:t>ehicle technolo</w:t>
      </w:r>
      <w:r w:rsidR="00AB09BC" w:rsidRPr="000855B2">
        <w:t xml:space="preserve">gies </w:t>
      </w:r>
      <w:r w:rsidRPr="000855B2">
        <w:rPr>
          <w:i/>
        </w:rPr>
        <w:t>k</w:t>
      </w:r>
      <w:r w:rsidR="001D2587" w:rsidRPr="000855B2">
        <w:t xml:space="preserve"> </w:t>
      </w:r>
      <w:r w:rsidR="00AB09BC" w:rsidRPr="000855B2">
        <w:t>were given in</w:t>
      </w:r>
      <w:r w:rsidR="001D2587" w:rsidRPr="000855B2">
        <w:t xml:space="preserve"> </w:t>
      </w:r>
      <w:r w:rsidR="00FB454C">
        <w:fldChar w:fldCharType="begin"/>
      </w:r>
      <w:r w:rsidR="00FB454C">
        <w:instrText xml:space="preserve"> REF _Ref198454328 \h  \* MERGEFORMAT </w:instrText>
      </w:r>
      <w:r w:rsidR="00FB454C">
        <w:fldChar w:fldCharType="separate"/>
      </w:r>
      <w:r w:rsidR="0071604C" w:rsidRPr="000855B2">
        <w:t>Table </w:t>
      </w:r>
      <w:r w:rsidR="0071604C">
        <w:t>3.16</w:t>
      </w:r>
      <w:r w:rsidR="00FB454C">
        <w:fldChar w:fldCharType="end"/>
      </w:r>
      <w:r w:rsidR="001D2587" w:rsidRPr="000855B2">
        <w:t>.</w:t>
      </w:r>
    </w:p>
    <w:p w14:paraId="540D9EE1" w14:textId="77777777" w:rsidR="001D2587" w:rsidRPr="000855B2" w:rsidRDefault="00AB09BC" w:rsidP="00AC1E78">
      <w:pPr>
        <w:pStyle w:val="Heading3"/>
      </w:pPr>
      <w:r w:rsidRPr="000855B2">
        <w:t>E</w:t>
      </w:r>
      <w:r w:rsidR="001D2587" w:rsidRPr="000855B2">
        <w:t>mission factors</w:t>
      </w:r>
    </w:p>
    <w:p w14:paraId="2994EE10" w14:textId="76276698" w:rsidR="001D2587" w:rsidRPr="000855B2" w:rsidRDefault="001D2587" w:rsidP="007E14C0">
      <w:pPr>
        <w:pStyle w:val="BodyText"/>
      </w:pPr>
      <w:r w:rsidRPr="000855B2">
        <w:t>The Tie</w:t>
      </w:r>
      <w:r w:rsidR="00E0302E" w:rsidRPr="000855B2">
        <w:t>r 2</w:t>
      </w:r>
      <w:r w:rsidRPr="000855B2">
        <w:t xml:space="preserve"> emission factors are </w:t>
      </w:r>
      <w:r w:rsidR="00AB09BC" w:rsidRPr="000855B2">
        <w:t xml:space="preserve">stated </w:t>
      </w:r>
      <w:r w:rsidRPr="000855B2">
        <w:t>in units of g</w:t>
      </w:r>
      <w:r w:rsidR="00AB09BC" w:rsidRPr="000855B2">
        <w:t>rammes</w:t>
      </w:r>
      <w:r w:rsidRPr="000855B2">
        <w:t xml:space="preserve"> per vehicle</w:t>
      </w:r>
      <w:r w:rsidR="00AB09BC" w:rsidRPr="000855B2">
        <w:t>-</w:t>
      </w:r>
      <w:r w:rsidRPr="000855B2">
        <w:t xml:space="preserve">kilometre, </w:t>
      </w:r>
      <w:r w:rsidR="00AB09BC" w:rsidRPr="000855B2">
        <w:t xml:space="preserve">and </w:t>
      </w:r>
      <w:r w:rsidRPr="000855B2">
        <w:t>for each vehicle technology</w:t>
      </w:r>
      <w:r w:rsidR="00AB09BC" w:rsidRPr="000855B2">
        <w:t xml:space="preserve"> </w:t>
      </w:r>
      <w:r w:rsidR="00D31480" w:rsidRPr="000855B2">
        <w:t xml:space="preserve">are </w:t>
      </w:r>
      <w:r w:rsidR="00AB09BC" w:rsidRPr="000855B2">
        <w:t>given</w:t>
      </w:r>
      <w:r w:rsidRPr="000855B2">
        <w:t xml:space="preserve"> </w:t>
      </w:r>
      <w:r w:rsidR="00FB454C">
        <w:fldChar w:fldCharType="begin"/>
      </w:r>
      <w:r w:rsidR="00FB454C">
        <w:instrText xml:space="preserve"> REF _Ref198454328 \h  \* MERGEFORMAT </w:instrText>
      </w:r>
      <w:r w:rsidR="00FB454C">
        <w:fldChar w:fldCharType="separate"/>
      </w:r>
      <w:r w:rsidR="0071604C" w:rsidRPr="000855B2">
        <w:t>Table </w:t>
      </w:r>
      <w:r w:rsidR="0071604C">
        <w:t>3.16</w:t>
      </w:r>
      <w:r w:rsidR="00FB454C">
        <w:fldChar w:fldCharType="end"/>
      </w:r>
      <w:r w:rsidRPr="000855B2">
        <w:t xml:space="preserve">. These </w:t>
      </w:r>
      <w:r w:rsidR="00AB09BC" w:rsidRPr="000855B2">
        <w:t xml:space="preserve">average European </w:t>
      </w:r>
      <w:r w:rsidRPr="000855B2">
        <w:t xml:space="preserve">emission factors were </w:t>
      </w:r>
      <w:r w:rsidR="00AB09BC" w:rsidRPr="000855B2">
        <w:t>determined</w:t>
      </w:r>
      <w:r w:rsidRPr="000855B2">
        <w:t xml:space="preserve"> </w:t>
      </w:r>
      <w:r w:rsidR="009E2FC4" w:rsidRPr="000855B2">
        <w:t>using the Tie</w:t>
      </w:r>
      <w:r w:rsidR="00E0302E" w:rsidRPr="000855B2">
        <w:t>r 3</w:t>
      </w:r>
      <w:r w:rsidR="009E2FC4" w:rsidRPr="000855B2">
        <w:t xml:space="preserve"> methodology which follows in </w:t>
      </w:r>
      <w:r w:rsidRPr="000855B2">
        <w:t>using typical values for driving speeds, ambient temperatures, highway-rural-urban mode mix, trip length</w:t>
      </w:r>
      <w:r w:rsidR="00AB09BC" w:rsidRPr="000855B2">
        <w:t>,</w:t>
      </w:r>
      <w:r w:rsidRPr="000855B2">
        <w:t xml:space="preserve"> </w:t>
      </w:r>
      <w:r w:rsidR="00D73F59" w:rsidRPr="000855B2">
        <w:t>etc</w:t>
      </w:r>
      <w:r w:rsidR="00D31480" w:rsidRPr="000855B2">
        <w:t>.</w:t>
      </w:r>
    </w:p>
    <w:p w14:paraId="517DAADC" w14:textId="50C8AA63" w:rsidR="001D2587" w:rsidRPr="000855B2" w:rsidRDefault="002B4C3F" w:rsidP="007E14C0">
      <w:pPr>
        <w:pStyle w:val="BodyText"/>
      </w:pPr>
      <w:r w:rsidRPr="000855B2">
        <w:t>The following T</w:t>
      </w:r>
      <w:r w:rsidR="001D2587" w:rsidRPr="000855B2">
        <w:t>able</w:t>
      </w:r>
      <w:r w:rsidRPr="000855B2">
        <w:t>s</w:t>
      </w:r>
      <w:r w:rsidR="001D2587" w:rsidRPr="000855B2">
        <w:t xml:space="preserve"> contain technology</w:t>
      </w:r>
      <w:r w:rsidRPr="000855B2">
        <w:t>-</w:t>
      </w:r>
      <w:r w:rsidR="001D2587" w:rsidRPr="000855B2">
        <w:t xml:space="preserve"> </w:t>
      </w:r>
      <w:r w:rsidRPr="000855B2">
        <w:t xml:space="preserve">and </w:t>
      </w:r>
      <w:r w:rsidR="001D2587" w:rsidRPr="000855B2">
        <w:t>fuel</w:t>
      </w:r>
      <w:r w:rsidRPr="000855B2">
        <w:t xml:space="preserve">-specific </w:t>
      </w:r>
      <w:r w:rsidR="001D2587" w:rsidRPr="000855B2">
        <w:t xml:space="preserve">emission factors for </w:t>
      </w:r>
      <w:r w:rsidRPr="000855B2">
        <w:t xml:space="preserve">CO, NMVOC, </w:t>
      </w:r>
      <w:smartTag w:uri="urn:schemas-microsoft-com:office:smarttags" w:element="stockticker">
        <w:r w:rsidR="001D2587" w:rsidRPr="000855B2">
          <w:t>NO</w:t>
        </w:r>
        <w:r w:rsidR="001D2587" w:rsidRPr="000855B2">
          <w:rPr>
            <w:vertAlign w:val="subscript"/>
          </w:rPr>
          <w:t>X</w:t>
        </w:r>
      </w:smartTag>
      <w:r w:rsidR="001D2587" w:rsidRPr="000855B2">
        <w:t xml:space="preserve">, </w:t>
      </w:r>
      <w:r w:rsidRPr="000855B2">
        <w:t>N</w:t>
      </w:r>
      <w:r w:rsidRPr="000855B2">
        <w:rPr>
          <w:vertAlign w:val="subscript"/>
        </w:rPr>
        <w:t>2</w:t>
      </w:r>
      <w:r w:rsidRPr="000855B2">
        <w:t xml:space="preserve">O, </w:t>
      </w:r>
      <w:r w:rsidR="001D2587" w:rsidRPr="000855B2">
        <w:t>NH</w:t>
      </w:r>
      <w:r w:rsidR="001D2587" w:rsidRPr="000855B2">
        <w:rPr>
          <w:vertAlign w:val="subscript"/>
        </w:rPr>
        <w:t>3</w:t>
      </w:r>
      <w:r w:rsidR="001D2587" w:rsidRPr="000855B2">
        <w:t xml:space="preserve">, </w:t>
      </w:r>
      <w:r w:rsidR="00293A33" w:rsidRPr="000855B2">
        <w:t xml:space="preserve">Pb, </w:t>
      </w:r>
      <w:r w:rsidRPr="000855B2">
        <w:t>PM (</w:t>
      </w:r>
      <w:r w:rsidR="009E2FC4" w:rsidRPr="000855B2">
        <w:t>considered</w:t>
      </w:r>
      <w:r w:rsidRPr="000855B2">
        <w:t xml:space="preserve"> to be </w:t>
      </w:r>
      <w:r w:rsidR="001D2587" w:rsidRPr="000855B2">
        <w:t>PM</w:t>
      </w:r>
      <w:r w:rsidRPr="000855B2">
        <w:rPr>
          <w:vertAlign w:val="subscript"/>
        </w:rPr>
        <w:t>2.5</w:t>
      </w:r>
      <w:r w:rsidRPr="000855B2">
        <w:t>),</w:t>
      </w:r>
      <w:r w:rsidR="009E2FC4" w:rsidRPr="000855B2">
        <w:t xml:space="preserve"> </w:t>
      </w:r>
      <w:r w:rsidR="001D2587" w:rsidRPr="000855B2">
        <w:t>four PAHs</w:t>
      </w:r>
      <w:r w:rsidR="001A4292" w:rsidRPr="000855B2">
        <w:t>, and CO</w:t>
      </w:r>
      <w:r w:rsidR="001A4292" w:rsidRPr="000855B2">
        <w:rPr>
          <w:vertAlign w:val="subscript"/>
        </w:rPr>
        <w:t>2</w:t>
      </w:r>
      <w:r w:rsidR="001A4292" w:rsidRPr="000855B2">
        <w:t xml:space="preserve"> from the combustion of lube oil</w:t>
      </w:r>
      <w:r w:rsidR="001D2587" w:rsidRPr="000855B2">
        <w:t xml:space="preserve">. </w:t>
      </w:r>
      <w:r w:rsidR="00082C2F" w:rsidRPr="000855B2">
        <w:t>For information of BC fraction</w:t>
      </w:r>
      <w:r w:rsidR="000310BF" w:rsidRPr="000855B2">
        <w:t xml:space="preserve">s of PM, </w:t>
      </w:r>
      <w:r w:rsidR="006C572F" w:rsidRPr="000855B2">
        <w:t xml:space="preserve">the values of </w:t>
      </w:r>
      <w:r w:rsidR="00E17971" w:rsidRPr="000855B2">
        <w:fldChar w:fldCharType="begin"/>
      </w:r>
      <w:r w:rsidR="006C572F" w:rsidRPr="000855B2">
        <w:instrText xml:space="preserve"> REF _Ref451177520 \h </w:instrText>
      </w:r>
      <w:r w:rsidR="00E17971" w:rsidRPr="000855B2">
        <w:fldChar w:fldCharType="separate"/>
      </w:r>
      <w:r w:rsidR="0071604C" w:rsidRPr="000855B2">
        <w:t>Table </w:t>
      </w:r>
      <w:r w:rsidR="0071604C">
        <w:rPr>
          <w:noProof/>
        </w:rPr>
        <w:t>3</w:t>
      </w:r>
      <w:r w:rsidR="0071604C">
        <w:t>.</w:t>
      </w:r>
      <w:r w:rsidR="0071604C">
        <w:rPr>
          <w:noProof/>
        </w:rPr>
        <w:t>88</w:t>
      </w:r>
      <w:r w:rsidR="00E17971" w:rsidRPr="000855B2">
        <w:fldChar w:fldCharType="end"/>
      </w:r>
      <w:r w:rsidR="006C572F" w:rsidRPr="000855B2">
        <w:t xml:space="preserve"> can be used</w:t>
      </w:r>
      <w:r w:rsidR="00082C2F" w:rsidRPr="000855B2">
        <w:t xml:space="preserve">. </w:t>
      </w:r>
      <w:r w:rsidR="00EE62B0" w:rsidRPr="000855B2">
        <w:t>A</w:t>
      </w:r>
      <w:r w:rsidR="001D2587" w:rsidRPr="000855B2">
        <w:t xml:space="preserve"> figure for fuel consumption (g/km) is provided, derived from carbon balance, so that fuel</w:t>
      </w:r>
      <w:r w:rsidRPr="000855B2">
        <w:t>-</w:t>
      </w:r>
      <w:r w:rsidR="001D2587" w:rsidRPr="000855B2">
        <w:t>based pollutants (SO</w:t>
      </w:r>
      <w:r w:rsidR="001D2587" w:rsidRPr="000855B2">
        <w:rPr>
          <w:vertAlign w:val="subscript"/>
        </w:rPr>
        <w:t>2</w:t>
      </w:r>
      <w:r w:rsidR="001D2587" w:rsidRPr="000855B2">
        <w:t xml:space="preserve">, As, Cr, Cu, Ni, Se, Zn, Cd, </w:t>
      </w:r>
      <w:r w:rsidR="00293A33" w:rsidRPr="000855B2">
        <w:t xml:space="preserve">and </w:t>
      </w:r>
      <w:r w:rsidR="001D2587" w:rsidRPr="000855B2">
        <w:t>Hg) can be calculated using the Tie</w:t>
      </w:r>
      <w:r w:rsidR="00D73F59" w:rsidRPr="000855B2">
        <w:t>r 1</w:t>
      </w:r>
      <w:r w:rsidR="001D2587" w:rsidRPr="000855B2">
        <w:t xml:space="preserve"> emission factors (mass of pollutant per mass of fuel used).</w:t>
      </w:r>
    </w:p>
    <w:p w14:paraId="5D10ABF6" w14:textId="77777777" w:rsidR="001D2587" w:rsidRPr="000855B2" w:rsidRDefault="002B4C3F" w:rsidP="007E14C0">
      <w:pPr>
        <w:pStyle w:val="BodyText"/>
      </w:pPr>
      <w:r w:rsidRPr="000855B2">
        <w:t>It is worth noting here that th</w:t>
      </w:r>
      <w:r w:rsidR="001D2587" w:rsidRPr="000855B2">
        <w:t>e Tie</w:t>
      </w:r>
      <w:r w:rsidR="00E0302E" w:rsidRPr="000855B2">
        <w:t>r 3</w:t>
      </w:r>
      <w:r w:rsidR="001D2587" w:rsidRPr="000855B2">
        <w:t xml:space="preserve"> methodology </w:t>
      </w:r>
      <w:r w:rsidRPr="000855B2">
        <w:t>enables emissions to be calculated</w:t>
      </w:r>
      <w:r w:rsidR="001D2587" w:rsidRPr="000855B2">
        <w:t xml:space="preserve"> for </w:t>
      </w:r>
      <w:r w:rsidRPr="000855B2">
        <w:t xml:space="preserve">a wider range of HDV </w:t>
      </w:r>
      <w:r w:rsidR="001D2587" w:rsidRPr="000855B2">
        <w:t>weight categories. For Tie</w:t>
      </w:r>
      <w:r w:rsidR="00E0302E" w:rsidRPr="000855B2">
        <w:t>r 2</w:t>
      </w:r>
      <w:r w:rsidR="001D2587" w:rsidRPr="000855B2">
        <w:t xml:space="preserve"> inventories</w:t>
      </w:r>
      <w:r w:rsidRPr="000855B2">
        <w:t>,</w:t>
      </w:r>
      <w:r w:rsidR="001D2587" w:rsidRPr="000855B2">
        <w:t xml:space="preserve"> interpolation between the neighbouring weight classes should be used to cover the whole weight range.</w:t>
      </w:r>
    </w:p>
    <w:p w14:paraId="63A1E7BD" w14:textId="2CEC7928" w:rsidR="001D2587" w:rsidRPr="000855B2" w:rsidRDefault="00A040D1" w:rsidP="00E43131">
      <w:pPr>
        <w:pStyle w:val="Caption"/>
      </w:pPr>
      <w:bookmarkStart w:id="88" w:name="_Ref165265166"/>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17</w:t>
      </w:r>
      <w:r w:rsidR="00FB454C">
        <w:rPr>
          <w:noProof/>
        </w:rPr>
        <w:fldChar w:fldCharType="end"/>
      </w:r>
      <w:bookmarkEnd w:id="88"/>
      <w:r w:rsidR="00944F54">
        <w:t xml:space="preserve">: </w:t>
      </w:r>
      <w:r w:rsidR="001D2587" w:rsidRPr="000855B2">
        <w:t xml:space="preserve">Tier 2 </w:t>
      </w:r>
      <w:r w:rsidR="00056651" w:rsidRPr="000855B2">
        <w:t xml:space="preserve">exhaust </w:t>
      </w:r>
      <w:r w:rsidR="001D2587" w:rsidRPr="000855B2">
        <w:t>emission factors for passenger cars,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w:t>
      </w:r>
    </w:p>
    <w:tbl>
      <w:tblPr>
        <w:tblW w:w="0" w:type="auto"/>
        <w:tblLook w:val="0000" w:firstRow="0" w:lastRow="0" w:firstColumn="0" w:lastColumn="0" w:noHBand="0" w:noVBand="0"/>
      </w:tblPr>
      <w:tblGrid>
        <w:gridCol w:w="1426"/>
        <w:gridCol w:w="1253"/>
        <w:gridCol w:w="517"/>
        <w:gridCol w:w="1069"/>
        <w:gridCol w:w="1356"/>
        <w:gridCol w:w="584"/>
        <w:gridCol w:w="584"/>
        <w:gridCol w:w="870"/>
        <w:gridCol w:w="774"/>
      </w:tblGrid>
      <w:tr w:rsidR="00E81C5C" w:rsidRPr="000855B2" w14:paraId="1C4CA4CC" w14:textId="77777777" w:rsidTr="00887829">
        <w:tc>
          <w:tcPr>
            <w:tcW w:w="0" w:type="auto"/>
            <w:tcBorders>
              <w:top w:val="double" w:sz="4" w:space="0" w:color="auto"/>
              <w:left w:val="double" w:sz="4" w:space="0" w:color="auto"/>
              <w:bottom w:val="single" w:sz="6" w:space="0" w:color="auto"/>
              <w:right w:val="single" w:sz="6" w:space="0" w:color="auto"/>
            </w:tcBorders>
            <w:vAlign w:val="center"/>
          </w:tcPr>
          <w:p w14:paraId="554422AA" w14:textId="77777777" w:rsidR="00E81C5C" w:rsidRDefault="00E81C5C" w:rsidP="008231B8">
            <w:pPr>
              <w:autoSpaceDE w:val="0"/>
              <w:autoSpaceDN w:val="0"/>
              <w:adjustRightInd w:val="0"/>
              <w:spacing w:line="240" w:lineRule="auto"/>
              <w:jc w:val="center"/>
              <w:rPr>
                <w:b/>
                <w:bCs/>
                <w:color w:val="000000"/>
                <w:sz w:val="12"/>
                <w:szCs w:val="12"/>
                <w:lang w:val="en-GB"/>
              </w:rPr>
            </w:pPr>
            <w:bookmarkStart w:id="89" w:name="OLE_LINK1"/>
            <w:r w:rsidRPr="000855B2">
              <w:rPr>
                <w:b/>
                <w:bCs/>
                <w:color w:val="000000"/>
                <w:sz w:val="12"/>
                <w:szCs w:val="12"/>
                <w:lang w:val="en-GB"/>
              </w:rPr>
              <w:t>Type</w:t>
            </w:r>
          </w:p>
        </w:tc>
        <w:tc>
          <w:tcPr>
            <w:tcW w:w="0" w:type="auto"/>
            <w:vMerge w:val="restart"/>
            <w:tcBorders>
              <w:top w:val="double" w:sz="4" w:space="0" w:color="auto"/>
              <w:left w:val="single" w:sz="6" w:space="0" w:color="auto"/>
              <w:right w:val="single" w:sz="6" w:space="0" w:color="auto"/>
            </w:tcBorders>
            <w:vAlign w:val="center"/>
          </w:tcPr>
          <w:p w14:paraId="31F2A7E7" w14:textId="77777777" w:rsidR="00E81C5C" w:rsidRPr="000855B2" w:rsidRDefault="00E81C5C" w:rsidP="00D23F66">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Technology</w:t>
            </w:r>
          </w:p>
        </w:tc>
        <w:tc>
          <w:tcPr>
            <w:tcW w:w="0" w:type="auto"/>
            <w:tcBorders>
              <w:top w:val="double" w:sz="4" w:space="0" w:color="auto"/>
              <w:left w:val="single" w:sz="6" w:space="0" w:color="auto"/>
              <w:bottom w:val="single" w:sz="6" w:space="0" w:color="auto"/>
              <w:right w:val="single" w:sz="6" w:space="0" w:color="auto"/>
            </w:tcBorders>
            <w:vAlign w:val="center"/>
          </w:tcPr>
          <w:p w14:paraId="45202215"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CO</w:t>
            </w:r>
          </w:p>
        </w:tc>
        <w:tc>
          <w:tcPr>
            <w:tcW w:w="0" w:type="auto"/>
            <w:tcBorders>
              <w:top w:val="double" w:sz="4" w:space="0" w:color="auto"/>
              <w:left w:val="single" w:sz="6" w:space="0" w:color="auto"/>
              <w:bottom w:val="single" w:sz="6" w:space="0" w:color="auto"/>
              <w:right w:val="single" w:sz="6" w:space="0" w:color="auto"/>
            </w:tcBorders>
            <w:vAlign w:val="center"/>
          </w:tcPr>
          <w:p w14:paraId="7CC85F4F" w14:textId="77777777" w:rsidR="00E81C5C" w:rsidRPr="000855B2" w:rsidRDefault="00E81C5C" w:rsidP="008231B8">
            <w:pPr>
              <w:autoSpaceDE w:val="0"/>
              <w:autoSpaceDN w:val="0"/>
              <w:adjustRightInd w:val="0"/>
              <w:spacing w:line="240" w:lineRule="auto"/>
              <w:ind w:left="-57"/>
              <w:jc w:val="center"/>
              <w:rPr>
                <w:b/>
                <w:bCs/>
                <w:color w:val="000000"/>
                <w:sz w:val="12"/>
                <w:szCs w:val="12"/>
                <w:lang w:val="en-GB"/>
              </w:rPr>
            </w:pPr>
            <w:r w:rsidRPr="000855B2">
              <w:rPr>
                <w:b/>
                <w:bCs/>
                <w:color w:val="000000"/>
                <w:sz w:val="12"/>
                <w:szCs w:val="12"/>
                <w:lang w:val="en-GB"/>
              </w:rPr>
              <w:t>NMVOC</w:t>
            </w:r>
          </w:p>
        </w:tc>
        <w:tc>
          <w:tcPr>
            <w:tcW w:w="0" w:type="auto"/>
            <w:tcBorders>
              <w:top w:val="double" w:sz="4" w:space="0" w:color="auto"/>
              <w:left w:val="single" w:sz="6" w:space="0" w:color="auto"/>
              <w:bottom w:val="single" w:sz="6" w:space="0" w:color="auto"/>
              <w:right w:val="single" w:sz="6" w:space="0" w:color="auto"/>
            </w:tcBorders>
            <w:vAlign w:val="center"/>
          </w:tcPr>
          <w:p w14:paraId="2DFD582E"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NO</w:t>
            </w:r>
            <w:r w:rsidRPr="000855B2">
              <w:rPr>
                <w:b/>
                <w:bCs/>
                <w:color w:val="000000"/>
                <w:sz w:val="12"/>
                <w:szCs w:val="12"/>
                <w:vertAlign w:val="subscript"/>
                <w:lang w:val="en-GB"/>
              </w:rPr>
              <w:t>x</w:t>
            </w:r>
          </w:p>
        </w:tc>
        <w:tc>
          <w:tcPr>
            <w:tcW w:w="0" w:type="auto"/>
            <w:tcBorders>
              <w:top w:val="double" w:sz="4" w:space="0" w:color="auto"/>
              <w:left w:val="single" w:sz="6" w:space="0" w:color="auto"/>
              <w:bottom w:val="single" w:sz="6" w:space="0" w:color="auto"/>
              <w:right w:val="single" w:sz="6" w:space="0" w:color="auto"/>
            </w:tcBorders>
            <w:vAlign w:val="center"/>
          </w:tcPr>
          <w:p w14:paraId="6B2CA790"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w:t>
            </w:r>
            <w:r w:rsidRPr="000855B2">
              <w:rPr>
                <w:b/>
                <w:bCs/>
                <w:color w:val="000000"/>
                <w:sz w:val="12"/>
                <w:szCs w:val="12"/>
                <w:vertAlign w:val="subscript"/>
                <w:lang w:val="en-GB"/>
              </w:rPr>
              <w:t>2</w:t>
            </w:r>
            <w:r w:rsidRPr="000855B2">
              <w:rPr>
                <w:b/>
                <w:bCs/>
                <w:color w:val="000000"/>
                <w:sz w:val="12"/>
                <w:szCs w:val="12"/>
                <w:lang w:val="en-GB"/>
              </w:rPr>
              <w:t>O</w:t>
            </w:r>
          </w:p>
        </w:tc>
        <w:tc>
          <w:tcPr>
            <w:tcW w:w="0" w:type="auto"/>
            <w:tcBorders>
              <w:top w:val="double" w:sz="4" w:space="0" w:color="auto"/>
              <w:left w:val="single" w:sz="6" w:space="0" w:color="auto"/>
              <w:bottom w:val="single" w:sz="6" w:space="0" w:color="auto"/>
              <w:right w:val="single" w:sz="6" w:space="0" w:color="auto"/>
            </w:tcBorders>
            <w:vAlign w:val="center"/>
          </w:tcPr>
          <w:p w14:paraId="2B252AC3"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NH</w:t>
            </w:r>
            <w:r w:rsidRPr="000855B2">
              <w:rPr>
                <w:b/>
                <w:bCs/>
                <w:color w:val="000000"/>
                <w:sz w:val="12"/>
                <w:szCs w:val="12"/>
                <w:vertAlign w:val="subscript"/>
                <w:lang w:val="en-GB"/>
              </w:rPr>
              <w:t>3</w:t>
            </w:r>
          </w:p>
        </w:tc>
        <w:tc>
          <w:tcPr>
            <w:tcW w:w="870" w:type="dxa"/>
            <w:tcBorders>
              <w:top w:val="double" w:sz="4" w:space="0" w:color="auto"/>
              <w:left w:val="single" w:sz="6" w:space="0" w:color="auto"/>
              <w:bottom w:val="single" w:sz="6" w:space="0" w:color="auto"/>
              <w:right w:val="single" w:sz="6" w:space="0" w:color="auto"/>
            </w:tcBorders>
            <w:vAlign w:val="center"/>
          </w:tcPr>
          <w:p w14:paraId="4BE64099"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Pb</w:t>
            </w:r>
          </w:p>
        </w:tc>
        <w:tc>
          <w:tcPr>
            <w:tcW w:w="774" w:type="dxa"/>
            <w:tcBorders>
              <w:top w:val="double" w:sz="4" w:space="0" w:color="auto"/>
              <w:left w:val="single" w:sz="6" w:space="0" w:color="auto"/>
              <w:bottom w:val="single" w:sz="6" w:space="0" w:color="auto"/>
              <w:right w:val="double" w:sz="4" w:space="0" w:color="auto"/>
            </w:tcBorders>
            <w:vAlign w:val="center"/>
          </w:tcPr>
          <w:p w14:paraId="5B490B8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CO</w:t>
            </w:r>
            <w:r w:rsidRPr="000855B2">
              <w:rPr>
                <w:b/>
                <w:bCs/>
                <w:color w:val="000000"/>
                <w:sz w:val="12"/>
                <w:szCs w:val="12"/>
                <w:vertAlign w:val="subscript"/>
                <w:lang w:val="en-GB"/>
              </w:rPr>
              <w:t>2</w:t>
            </w:r>
            <w:r w:rsidRPr="000855B2">
              <w:rPr>
                <w:b/>
                <w:bCs/>
                <w:color w:val="000000"/>
                <w:sz w:val="12"/>
                <w:szCs w:val="12"/>
                <w:lang w:val="en-GB"/>
              </w:rPr>
              <w:t xml:space="preserve"> lube</w:t>
            </w:r>
          </w:p>
        </w:tc>
      </w:tr>
      <w:tr w:rsidR="00E81C5C" w:rsidRPr="000855B2" w14:paraId="3443DAB5"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435ADCA8"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Units</w:t>
            </w:r>
          </w:p>
        </w:tc>
        <w:tc>
          <w:tcPr>
            <w:tcW w:w="0" w:type="auto"/>
            <w:vMerge/>
            <w:tcBorders>
              <w:left w:val="single" w:sz="6" w:space="0" w:color="auto"/>
              <w:right w:val="single" w:sz="6" w:space="0" w:color="auto"/>
            </w:tcBorders>
            <w:vAlign w:val="center"/>
          </w:tcPr>
          <w:p w14:paraId="0FCFFBDD" w14:textId="77777777" w:rsidR="00E81C5C" w:rsidRPr="000855B2" w:rsidRDefault="00E81C5C" w:rsidP="00D23F66">
            <w:pPr>
              <w:autoSpaceDE w:val="0"/>
              <w:autoSpaceDN w:val="0"/>
              <w:adjustRightInd w:val="0"/>
              <w:spacing w:line="240" w:lineRule="auto"/>
              <w:jc w:val="left"/>
              <w:rPr>
                <w:b/>
                <w:bCs/>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8FE172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06CB83D9"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488DCA4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0296440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0" w:type="auto"/>
            <w:tcBorders>
              <w:top w:val="single" w:sz="6" w:space="0" w:color="auto"/>
              <w:left w:val="single" w:sz="6" w:space="0" w:color="auto"/>
              <w:bottom w:val="single" w:sz="6" w:space="0" w:color="auto"/>
              <w:right w:val="single" w:sz="6" w:space="0" w:color="auto"/>
            </w:tcBorders>
            <w:vAlign w:val="center"/>
          </w:tcPr>
          <w:p w14:paraId="59BCEE3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870" w:type="dxa"/>
            <w:tcBorders>
              <w:top w:val="single" w:sz="6" w:space="0" w:color="auto"/>
              <w:left w:val="single" w:sz="6" w:space="0" w:color="auto"/>
              <w:bottom w:val="single" w:sz="6" w:space="0" w:color="auto"/>
              <w:right w:val="single" w:sz="6" w:space="0" w:color="auto"/>
            </w:tcBorders>
            <w:vAlign w:val="center"/>
          </w:tcPr>
          <w:p w14:paraId="400C028F"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74" w:type="dxa"/>
            <w:tcBorders>
              <w:top w:val="single" w:sz="6" w:space="0" w:color="auto"/>
              <w:left w:val="single" w:sz="6" w:space="0" w:color="auto"/>
              <w:bottom w:val="single" w:sz="6" w:space="0" w:color="auto"/>
              <w:right w:val="double" w:sz="4" w:space="0" w:color="auto"/>
            </w:tcBorders>
            <w:vAlign w:val="center"/>
          </w:tcPr>
          <w:p w14:paraId="27CB107A"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r>
      <w:tr w:rsidR="00E81C5C" w:rsidRPr="000855B2" w14:paraId="7401A56E" w14:textId="77777777" w:rsidTr="00246BA6">
        <w:tc>
          <w:tcPr>
            <w:tcW w:w="0" w:type="auto"/>
            <w:tcBorders>
              <w:top w:val="single" w:sz="6" w:space="0" w:color="auto"/>
              <w:left w:val="double" w:sz="4" w:space="0" w:color="auto"/>
              <w:bottom w:val="single" w:sz="12" w:space="0" w:color="auto"/>
              <w:right w:val="single" w:sz="6" w:space="0" w:color="auto"/>
            </w:tcBorders>
            <w:vAlign w:val="center"/>
          </w:tcPr>
          <w:p w14:paraId="2A2A290C"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Notes</w:t>
            </w:r>
          </w:p>
        </w:tc>
        <w:tc>
          <w:tcPr>
            <w:tcW w:w="0" w:type="auto"/>
            <w:vMerge/>
            <w:tcBorders>
              <w:left w:val="single" w:sz="6" w:space="0" w:color="auto"/>
              <w:bottom w:val="single" w:sz="12" w:space="0" w:color="auto"/>
              <w:right w:val="single" w:sz="6" w:space="0" w:color="auto"/>
            </w:tcBorders>
            <w:vAlign w:val="center"/>
          </w:tcPr>
          <w:p w14:paraId="2E757C4A" w14:textId="77777777" w:rsidR="00E81C5C" w:rsidRPr="000855B2" w:rsidRDefault="00E81C5C" w:rsidP="00D23F66">
            <w:pPr>
              <w:autoSpaceDE w:val="0"/>
              <w:autoSpaceDN w:val="0"/>
              <w:adjustRightInd w:val="0"/>
              <w:spacing w:line="240" w:lineRule="auto"/>
              <w:jc w:val="left"/>
              <w:rPr>
                <w:b/>
                <w:bCs/>
                <w:color w:val="000000"/>
                <w:sz w:val="12"/>
                <w:szCs w:val="12"/>
                <w:lang w:val="en-GB"/>
              </w:rPr>
            </w:pPr>
          </w:p>
        </w:tc>
        <w:tc>
          <w:tcPr>
            <w:tcW w:w="0" w:type="auto"/>
            <w:tcBorders>
              <w:top w:val="single" w:sz="6" w:space="0" w:color="auto"/>
              <w:left w:val="single" w:sz="6" w:space="0" w:color="auto"/>
              <w:bottom w:val="single" w:sz="12" w:space="0" w:color="auto"/>
              <w:right w:val="single" w:sz="6" w:space="0" w:color="auto"/>
            </w:tcBorders>
            <w:vAlign w:val="center"/>
          </w:tcPr>
          <w:p w14:paraId="6C2DEEEF"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0" w:type="auto"/>
            <w:tcBorders>
              <w:top w:val="single" w:sz="6" w:space="0" w:color="auto"/>
              <w:left w:val="single" w:sz="6" w:space="0" w:color="auto"/>
              <w:bottom w:val="single" w:sz="12" w:space="0" w:color="auto"/>
              <w:right w:val="single" w:sz="6" w:space="0" w:color="auto"/>
            </w:tcBorders>
            <w:vAlign w:val="center"/>
          </w:tcPr>
          <w:p w14:paraId="39342EAD"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Given as THC-CH4</w:t>
            </w:r>
          </w:p>
        </w:tc>
        <w:tc>
          <w:tcPr>
            <w:tcW w:w="0" w:type="auto"/>
            <w:tcBorders>
              <w:top w:val="single" w:sz="6" w:space="0" w:color="auto"/>
              <w:left w:val="single" w:sz="6" w:space="0" w:color="auto"/>
              <w:bottom w:val="single" w:sz="12" w:space="0" w:color="auto"/>
              <w:right w:val="single" w:sz="6" w:space="0" w:color="auto"/>
            </w:tcBorders>
            <w:vAlign w:val="center"/>
          </w:tcPr>
          <w:p w14:paraId="21EF7366"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Given as NO</w:t>
            </w:r>
            <w:r w:rsidRPr="000855B2">
              <w:rPr>
                <w:b/>
                <w:bCs/>
                <w:color w:val="000000"/>
                <w:sz w:val="12"/>
                <w:szCs w:val="12"/>
                <w:vertAlign w:val="subscript"/>
                <w:lang w:val="en-GB"/>
              </w:rPr>
              <w:t>2</w:t>
            </w:r>
            <w:r w:rsidRPr="000855B2">
              <w:rPr>
                <w:b/>
                <w:bCs/>
                <w:color w:val="000000"/>
                <w:sz w:val="12"/>
                <w:szCs w:val="12"/>
                <w:lang w:val="en-GB"/>
              </w:rPr>
              <w:t xml:space="preserve"> equivalent</w:t>
            </w:r>
          </w:p>
        </w:tc>
        <w:tc>
          <w:tcPr>
            <w:tcW w:w="0" w:type="auto"/>
            <w:tcBorders>
              <w:top w:val="single" w:sz="6" w:space="0" w:color="auto"/>
              <w:left w:val="single" w:sz="6" w:space="0" w:color="auto"/>
              <w:bottom w:val="single" w:sz="12" w:space="0" w:color="auto"/>
              <w:right w:val="single" w:sz="6" w:space="0" w:color="auto"/>
            </w:tcBorders>
            <w:vAlign w:val="center"/>
          </w:tcPr>
          <w:p w14:paraId="7A2ACDA4"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0" w:type="auto"/>
            <w:tcBorders>
              <w:top w:val="single" w:sz="6" w:space="0" w:color="auto"/>
              <w:left w:val="single" w:sz="6" w:space="0" w:color="auto"/>
              <w:bottom w:val="single" w:sz="12" w:space="0" w:color="auto"/>
              <w:right w:val="single" w:sz="6" w:space="0" w:color="auto"/>
            </w:tcBorders>
            <w:vAlign w:val="center"/>
          </w:tcPr>
          <w:p w14:paraId="5720189E"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870" w:type="dxa"/>
            <w:tcBorders>
              <w:top w:val="single" w:sz="6" w:space="0" w:color="auto"/>
              <w:left w:val="single" w:sz="6" w:space="0" w:color="auto"/>
              <w:bottom w:val="single" w:sz="12" w:space="0" w:color="auto"/>
              <w:right w:val="single" w:sz="6" w:space="0" w:color="auto"/>
            </w:tcBorders>
            <w:vAlign w:val="center"/>
          </w:tcPr>
          <w:p w14:paraId="055D51F9"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774" w:type="dxa"/>
            <w:tcBorders>
              <w:top w:val="single" w:sz="6" w:space="0" w:color="auto"/>
              <w:left w:val="single" w:sz="6" w:space="0" w:color="auto"/>
              <w:bottom w:val="single" w:sz="12" w:space="0" w:color="auto"/>
              <w:right w:val="double" w:sz="4" w:space="0" w:color="auto"/>
            </w:tcBorders>
            <w:vAlign w:val="center"/>
          </w:tcPr>
          <w:p w14:paraId="681E7880"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due to lube oil</w:t>
            </w:r>
          </w:p>
        </w:tc>
      </w:tr>
      <w:tr w:rsidR="00E81C5C" w:rsidRPr="000855B2" w14:paraId="5E031DA3" w14:textId="77777777" w:rsidTr="00246BA6">
        <w:tc>
          <w:tcPr>
            <w:tcW w:w="0" w:type="auto"/>
            <w:vMerge w:val="restart"/>
            <w:tcBorders>
              <w:top w:val="single" w:sz="12" w:space="0" w:color="auto"/>
              <w:left w:val="double" w:sz="4" w:space="0" w:color="auto"/>
              <w:right w:val="single" w:sz="6" w:space="0" w:color="auto"/>
            </w:tcBorders>
            <w:vAlign w:val="center"/>
          </w:tcPr>
          <w:p w14:paraId="7E34727B"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Mini</w:t>
            </w:r>
          </w:p>
        </w:tc>
        <w:tc>
          <w:tcPr>
            <w:tcW w:w="0" w:type="auto"/>
            <w:tcBorders>
              <w:top w:val="single" w:sz="12" w:space="0" w:color="auto"/>
              <w:left w:val="single" w:sz="6" w:space="0" w:color="auto"/>
              <w:bottom w:val="single" w:sz="6" w:space="0" w:color="auto"/>
              <w:right w:val="single" w:sz="6" w:space="0" w:color="auto"/>
            </w:tcBorders>
            <w:vAlign w:val="center"/>
          </w:tcPr>
          <w:p w14:paraId="3D18CCE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12" w:space="0" w:color="auto"/>
              <w:left w:val="single" w:sz="6" w:space="0" w:color="auto"/>
              <w:bottom w:val="single" w:sz="6" w:space="0" w:color="auto"/>
              <w:right w:val="single" w:sz="6" w:space="0" w:color="auto"/>
            </w:tcBorders>
            <w:vAlign w:val="center"/>
          </w:tcPr>
          <w:p w14:paraId="7B7962E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12" w:space="0" w:color="auto"/>
              <w:left w:val="single" w:sz="6" w:space="0" w:color="auto"/>
              <w:bottom w:val="single" w:sz="6" w:space="0" w:color="auto"/>
              <w:right w:val="single" w:sz="6" w:space="0" w:color="auto"/>
            </w:tcBorders>
            <w:vAlign w:val="center"/>
          </w:tcPr>
          <w:p w14:paraId="7AD41F7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12" w:space="0" w:color="auto"/>
              <w:left w:val="single" w:sz="6" w:space="0" w:color="auto"/>
              <w:bottom w:val="single" w:sz="6" w:space="0" w:color="auto"/>
              <w:right w:val="single" w:sz="6" w:space="0" w:color="auto"/>
            </w:tcBorders>
            <w:vAlign w:val="center"/>
          </w:tcPr>
          <w:p w14:paraId="36C819A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12" w:space="0" w:color="auto"/>
              <w:left w:val="single" w:sz="6" w:space="0" w:color="auto"/>
              <w:bottom w:val="single" w:sz="6" w:space="0" w:color="auto"/>
              <w:right w:val="single" w:sz="6" w:space="0" w:color="auto"/>
            </w:tcBorders>
            <w:vAlign w:val="center"/>
          </w:tcPr>
          <w:p w14:paraId="358C2A0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12" w:space="0" w:color="auto"/>
              <w:left w:val="single" w:sz="6" w:space="0" w:color="auto"/>
              <w:bottom w:val="single" w:sz="6" w:space="0" w:color="auto"/>
              <w:right w:val="single" w:sz="6" w:space="0" w:color="auto"/>
            </w:tcBorders>
            <w:vAlign w:val="center"/>
          </w:tcPr>
          <w:p w14:paraId="5D342D2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0.0339</w:t>
            </w:r>
          </w:p>
        </w:tc>
        <w:tc>
          <w:tcPr>
            <w:tcW w:w="870" w:type="dxa"/>
            <w:tcBorders>
              <w:top w:val="single" w:sz="12" w:space="0" w:color="auto"/>
              <w:left w:val="single" w:sz="6" w:space="0" w:color="auto"/>
              <w:bottom w:val="single" w:sz="6" w:space="0" w:color="auto"/>
              <w:right w:val="single" w:sz="6" w:space="0" w:color="auto"/>
            </w:tcBorders>
            <w:vAlign w:val="center"/>
          </w:tcPr>
          <w:p w14:paraId="35B4DAE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12" w:space="0" w:color="auto"/>
              <w:left w:val="single" w:sz="6" w:space="0" w:color="auto"/>
              <w:bottom w:val="single" w:sz="6" w:space="0" w:color="auto"/>
              <w:right w:val="double" w:sz="4" w:space="0" w:color="auto"/>
            </w:tcBorders>
            <w:vAlign w:val="center"/>
          </w:tcPr>
          <w:p w14:paraId="763EB06C"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44DF41B" w14:textId="77777777" w:rsidTr="00887829">
        <w:tc>
          <w:tcPr>
            <w:tcW w:w="0" w:type="auto"/>
            <w:vMerge/>
            <w:tcBorders>
              <w:left w:val="double" w:sz="4" w:space="0" w:color="auto"/>
              <w:right w:val="single" w:sz="6" w:space="0" w:color="auto"/>
            </w:tcBorders>
            <w:vAlign w:val="center"/>
          </w:tcPr>
          <w:p w14:paraId="3894E08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276DE4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653B3DC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2CBF287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3C80E14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3750596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2081DB9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30D22BA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9E0E8C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23A76CF4" w14:textId="77777777" w:rsidTr="00887829">
        <w:tc>
          <w:tcPr>
            <w:tcW w:w="0" w:type="auto"/>
            <w:vMerge/>
            <w:tcBorders>
              <w:left w:val="double" w:sz="4" w:space="0" w:color="auto"/>
              <w:right w:val="single" w:sz="6" w:space="0" w:color="auto"/>
            </w:tcBorders>
            <w:vAlign w:val="center"/>
          </w:tcPr>
          <w:p w14:paraId="0D9A67E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791F12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34DE0B6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4568A0A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9E8C50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51DC19AD"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03D1E42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262A91F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A2FB7B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29F26F04" w14:textId="77777777" w:rsidTr="00887829">
        <w:tc>
          <w:tcPr>
            <w:tcW w:w="0" w:type="auto"/>
            <w:vMerge/>
            <w:tcBorders>
              <w:left w:val="double" w:sz="4" w:space="0" w:color="auto"/>
              <w:right w:val="single" w:sz="6" w:space="0" w:color="auto"/>
            </w:tcBorders>
            <w:vAlign w:val="center"/>
          </w:tcPr>
          <w:p w14:paraId="690B8A14"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ABD1F5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44694DE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16DDD74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7999D02"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6F3BD0">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3B292F1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601602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DD1776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7DD9038"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2CCF454C" w14:textId="77777777" w:rsidTr="00887829">
        <w:tc>
          <w:tcPr>
            <w:tcW w:w="0" w:type="auto"/>
            <w:vMerge/>
            <w:tcBorders>
              <w:left w:val="double" w:sz="4" w:space="0" w:color="auto"/>
              <w:bottom w:val="single" w:sz="6" w:space="0" w:color="auto"/>
              <w:right w:val="single" w:sz="6" w:space="0" w:color="auto"/>
            </w:tcBorders>
            <w:vAlign w:val="center"/>
          </w:tcPr>
          <w:p w14:paraId="5499A88B"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5E3D04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2FB9662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0.67</w:t>
            </w:r>
          </w:p>
        </w:tc>
        <w:tc>
          <w:tcPr>
            <w:tcW w:w="0" w:type="auto"/>
            <w:tcBorders>
              <w:top w:val="single" w:sz="6" w:space="0" w:color="auto"/>
              <w:left w:val="single" w:sz="6" w:space="0" w:color="auto"/>
              <w:bottom w:val="single" w:sz="6" w:space="0" w:color="auto"/>
              <w:right w:val="single" w:sz="6" w:space="0" w:color="auto"/>
            </w:tcBorders>
            <w:vAlign w:val="center"/>
          </w:tcPr>
          <w:p w14:paraId="7691529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4019617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6F3BD0">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28BBDAB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49C317F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5C7C3FD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5AB044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3872D25C" w14:textId="77777777" w:rsidTr="00887829">
        <w:tc>
          <w:tcPr>
            <w:tcW w:w="0" w:type="auto"/>
            <w:vMerge w:val="restart"/>
            <w:tcBorders>
              <w:top w:val="single" w:sz="6" w:space="0" w:color="auto"/>
              <w:left w:val="double" w:sz="4" w:space="0" w:color="auto"/>
              <w:right w:val="single" w:sz="6" w:space="0" w:color="auto"/>
            </w:tcBorders>
            <w:vAlign w:val="center"/>
          </w:tcPr>
          <w:p w14:paraId="26A24EFA"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Small</w:t>
            </w:r>
          </w:p>
        </w:tc>
        <w:tc>
          <w:tcPr>
            <w:tcW w:w="0" w:type="auto"/>
            <w:tcBorders>
              <w:top w:val="single" w:sz="6" w:space="0" w:color="auto"/>
              <w:left w:val="single" w:sz="6" w:space="0" w:color="auto"/>
              <w:bottom w:val="single" w:sz="6" w:space="0" w:color="auto"/>
              <w:right w:val="single" w:sz="6" w:space="0" w:color="auto"/>
            </w:tcBorders>
            <w:vAlign w:val="center"/>
          </w:tcPr>
          <w:p w14:paraId="3BBC828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0" w:type="auto"/>
            <w:tcBorders>
              <w:top w:val="single" w:sz="6" w:space="0" w:color="auto"/>
              <w:left w:val="single" w:sz="6" w:space="0" w:color="auto"/>
              <w:bottom w:val="single" w:sz="6" w:space="0" w:color="auto"/>
              <w:right w:val="single" w:sz="6" w:space="0" w:color="auto"/>
            </w:tcBorders>
            <w:vAlign w:val="center"/>
          </w:tcPr>
          <w:p w14:paraId="49E8F16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37.3</w:t>
            </w:r>
          </w:p>
        </w:tc>
        <w:tc>
          <w:tcPr>
            <w:tcW w:w="0" w:type="auto"/>
            <w:tcBorders>
              <w:top w:val="single" w:sz="6" w:space="0" w:color="auto"/>
              <w:left w:val="single" w:sz="6" w:space="0" w:color="auto"/>
              <w:bottom w:val="single" w:sz="6" w:space="0" w:color="auto"/>
              <w:right w:val="single" w:sz="6" w:space="0" w:color="auto"/>
            </w:tcBorders>
            <w:vAlign w:val="center"/>
          </w:tcPr>
          <w:p w14:paraId="0881CD4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2.77</w:t>
            </w:r>
          </w:p>
        </w:tc>
        <w:tc>
          <w:tcPr>
            <w:tcW w:w="0" w:type="auto"/>
            <w:tcBorders>
              <w:top w:val="single" w:sz="6" w:space="0" w:color="auto"/>
              <w:left w:val="single" w:sz="6" w:space="0" w:color="auto"/>
              <w:bottom w:val="single" w:sz="6" w:space="0" w:color="auto"/>
              <w:right w:val="single" w:sz="6" w:space="0" w:color="auto"/>
            </w:tcBorders>
            <w:vAlign w:val="center"/>
          </w:tcPr>
          <w:p w14:paraId="76AC832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1.91</w:t>
            </w:r>
          </w:p>
        </w:tc>
        <w:tc>
          <w:tcPr>
            <w:tcW w:w="0" w:type="auto"/>
            <w:tcBorders>
              <w:top w:val="single" w:sz="6" w:space="0" w:color="auto"/>
              <w:left w:val="single" w:sz="6" w:space="0" w:color="auto"/>
              <w:bottom w:val="single" w:sz="6" w:space="0" w:color="auto"/>
              <w:right w:val="single" w:sz="6" w:space="0" w:color="auto"/>
            </w:tcBorders>
            <w:vAlign w:val="center"/>
          </w:tcPr>
          <w:p w14:paraId="5330DDD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14BA62A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4D66B42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81AD53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51FF19A1" w14:textId="77777777" w:rsidTr="00887829">
        <w:tc>
          <w:tcPr>
            <w:tcW w:w="0" w:type="auto"/>
            <w:vMerge/>
            <w:tcBorders>
              <w:left w:val="double" w:sz="4" w:space="0" w:color="auto"/>
              <w:right w:val="single" w:sz="6" w:space="0" w:color="auto"/>
            </w:tcBorders>
            <w:vAlign w:val="center"/>
          </w:tcPr>
          <w:p w14:paraId="27FCE791"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C4C7ED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0" w:type="auto"/>
            <w:tcBorders>
              <w:top w:val="single" w:sz="6" w:space="0" w:color="auto"/>
              <w:left w:val="single" w:sz="6" w:space="0" w:color="auto"/>
              <w:bottom w:val="single" w:sz="6" w:space="0" w:color="auto"/>
              <w:right w:val="single" w:sz="6" w:space="0" w:color="auto"/>
            </w:tcBorders>
            <w:vAlign w:val="center"/>
          </w:tcPr>
          <w:p w14:paraId="0DAADDC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29.6</w:t>
            </w:r>
          </w:p>
        </w:tc>
        <w:tc>
          <w:tcPr>
            <w:tcW w:w="0" w:type="auto"/>
            <w:tcBorders>
              <w:top w:val="single" w:sz="6" w:space="0" w:color="auto"/>
              <w:left w:val="single" w:sz="6" w:space="0" w:color="auto"/>
              <w:bottom w:val="single" w:sz="6" w:space="0" w:color="auto"/>
              <w:right w:val="single" w:sz="6" w:space="0" w:color="auto"/>
            </w:tcBorders>
            <w:vAlign w:val="center"/>
          </w:tcPr>
          <w:p w14:paraId="6F0B667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2.19</w:t>
            </w:r>
          </w:p>
        </w:tc>
        <w:tc>
          <w:tcPr>
            <w:tcW w:w="0" w:type="auto"/>
            <w:tcBorders>
              <w:top w:val="single" w:sz="6" w:space="0" w:color="auto"/>
              <w:left w:val="single" w:sz="6" w:space="0" w:color="auto"/>
              <w:bottom w:val="single" w:sz="6" w:space="0" w:color="auto"/>
              <w:right w:val="single" w:sz="6" w:space="0" w:color="auto"/>
            </w:tcBorders>
            <w:vAlign w:val="center"/>
          </w:tcPr>
          <w:p w14:paraId="2368075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1.91</w:t>
            </w:r>
          </w:p>
        </w:tc>
        <w:tc>
          <w:tcPr>
            <w:tcW w:w="0" w:type="auto"/>
            <w:tcBorders>
              <w:top w:val="single" w:sz="6" w:space="0" w:color="auto"/>
              <w:left w:val="single" w:sz="6" w:space="0" w:color="auto"/>
              <w:bottom w:val="single" w:sz="6" w:space="0" w:color="auto"/>
              <w:right w:val="single" w:sz="6" w:space="0" w:color="auto"/>
            </w:tcBorders>
            <w:vAlign w:val="center"/>
          </w:tcPr>
          <w:p w14:paraId="68EEF33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1F577E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310664A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D4F9B2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38AB864D" w14:textId="77777777" w:rsidTr="00887829">
        <w:tc>
          <w:tcPr>
            <w:tcW w:w="0" w:type="auto"/>
            <w:vMerge/>
            <w:tcBorders>
              <w:left w:val="double" w:sz="4" w:space="0" w:color="auto"/>
              <w:right w:val="single" w:sz="6" w:space="0" w:color="auto"/>
            </w:tcBorders>
            <w:vAlign w:val="center"/>
          </w:tcPr>
          <w:p w14:paraId="42870AC2"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1B4831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0" w:type="auto"/>
            <w:tcBorders>
              <w:top w:val="single" w:sz="6" w:space="0" w:color="auto"/>
              <w:left w:val="single" w:sz="6" w:space="0" w:color="auto"/>
              <w:bottom w:val="single" w:sz="6" w:space="0" w:color="auto"/>
              <w:right w:val="single" w:sz="6" w:space="0" w:color="auto"/>
            </w:tcBorders>
            <w:vAlign w:val="center"/>
          </w:tcPr>
          <w:p w14:paraId="15155E8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21.7</w:t>
            </w:r>
          </w:p>
        </w:tc>
        <w:tc>
          <w:tcPr>
            <w:tcW w:w="0" w:type="auto"/>
            <w:tcBorders>
              <w:top w:val="single" w:sz="6" w:space="0" w:color="auto"/>
              <w:left w:val="single" w:sz="6" w:space="0" w:color="auto"/>
              <w:bottom w:val="single" w:sz="6" w:space="0" w:color="auto"/>
              <w:right w:val="single" w:sz="6" w:space="0" w:color="auto"/>
            </w:tcBorders>
            <w:vAlign w:val="center"/>
          </w:tcPr>
          <w:p w14:paraId="6FD70BD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w:t>
            </w:r>
          </w:p>
        </w:tc>
        <w:tc>
          <w:tcPr>
            <w:tcW w:w="0" w:type="auto"/>
            <w:tcBorders>
              <w:top w:val="single" w:sz="6" w:space="0" w:color="auto"/>
              <w:left w:val="single" w:sz="6" w:space="0" w:color="auto"/>
              <w:bottom w:val="single" w:sz="6" w:space="0" w:color="auto"/>
              <w:right w:val="single" w:sz="6" w:space="0" w:color="auto"/>
            </w:tcBorders>
            <w:vAlign w:val="center"/>
          </w:tcPr>
          <w:p w14:paraId="27EF4CC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2.12</w:t>
            </w:r>
          </w:p>
        </w:tc>
        <w:tc>
          <w:tcPr>
            <w:tcW w:w="0" w:type="auto"/>
            <w:tcBorders>
              <w:top w:val="single" w:sz="6" w:space="0" w:color="auto"/>
              <w:left w:val="single" w:sz="6" w:space="0" w:color="auto"/>
              <w:bottom w:val="single" w:sz="6" w:space="0" w:color="auto"/>
              <w:right w:val="single" w:sz="6" w:space="0" w:color="auto"/>
            </w:tcBorders>
            <w:vAlign w:val="center"/>
          </w:tcPr>
          <w:p w14:paraId="2260E4A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A2FBDC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148FFAC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294271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CF27A02" w14:textId="77777777" w:rsidTr="00887829">
        <w:tc>
          <w:tcPr>
            <w:tcW w:w="0" w:type="auto"/>
            <w:vMerge/>
            <w:tcBorders>
              <w:left w:val="double" w:sz="4" w:space="0" w:color="auto"/>
              <w:right w:val="single" w:sz="6" w:space="0" w:color="auto"/>
            </w:tcBorders>
            <w:vAlign w:val="center"/>
          </w:tcPr>
          <w:p w14:paraId="274C0A9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B4036A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0" w:type="auto"/>
            <w:tcBorders>
              <w:top w:val="single" w:sz="6" w:space="0" w:color="auto"/>
              <w:left w:val="single" w:sz="6" w:space="0" w:color="auto"/>
              <w:bottom w:val="single" w:sz="6" w:space="0" w:color="auto"/>
              <w:right w:val="single" w:sz="6" w:space="0" w:color="auto"/>
            </w:tcBorders>
            <w:vAlign w:val="center"/>
          </w:tcPr>
          <w:p w14:paraId="597D63A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21.1</w:t>
            </w:r>
          </w:p>
        </w:tc>
        <w:tc>
          <w:tcPr>
            <w:tcW w:w="0" w:type="auto"/>
            <w:tcBorders>
              <w:top w:val="single" w:sz="6" w:space="0" w:color="auto"/>
              <w:left w:val="single" w:sz="6" w:space="0" w:color="auto"/>
              <w:bottom w:val="single" w:sz="6" w:space="0" w:color="auto"/>
              <w:right w:val="single" w:sz="6" w:space="0" w:color="auto"/>
            </w:tcBorders>
            <w:vAlign w:val="center"/>
          </w:tcPr>
          <w:p w14:paraId="3A66013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w:t>
            </w:r>
          </w:p>
        </w:tc>
        <w:tc>
          <w:tcPr>
            <w:tcW w:w="0" w:type="auto"/>
            <w:tcBorders>
              <w:top w:val="single" w:sz="6" w:space="0" w:color="auto"/>
              <w:left w:val="single" w:sz="6" w:space="0" w:color="auto"/>
              <w:bottom w:val="single" w:sz="6" w:space="0" w:color="auto"/>
              <w:right w:val="single" w:sz="6" w:space="0" w:color="auto"/>
            </w:tcBorders>
            <w:vAlign w:val="center"/>
          </w:tcPr>
          <w:p w14:paraId="7648C61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2.30</w:t>
            </w:r>
          </w:p>
        </w:tc>
        <w:tc>
          <w:tcPr>
            <w:tcW w:w="0" w:type="auto"/>
            <w:tcBorders>
              <w:top w:val="single" w:sz="6" w:space="0" w:color="auto"/>
              <w:left w:val="single" w:sz="6" w:space="0" w:color="auto"/>
              <w:bottom w:val="single" w:sz="6" w:space="0" w:color="auto"/>
              <w:right w:val="single" w:sz="6" w:space="0" w:color="auto"/>
            </w:tcBorders>
            <w:vAlign w:val="center"/>
          </w:tcPr>
          <w:p w14:paraId="60E41B8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2A01B6E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1ED1BA9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EF01F6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4876B6C3" w14:textId="77777777" w:rsidTr="00887829">
        <w:tc>
          <w:tcPr>
            <w:tcW w:w="0" w:type="auto"/>
            <w:vMerge/>
            <w:tcBorders>
              <w:left w:val="double" w:sz="4" w:space="0" w:color="auto"/>
              <w:right w:val="single" w:sz="6" w:space="0" w:color="auto"/>
            </w:tcBorders>
            <w:vAlign w:val="center"/>
          </w:tcPr>
          <w:p w14:paraId="4D3F574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204DDC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0" w:type="auto"/>
            <w:tcBorders>
              <w:top w:val="single" w:sz="6" w:space="0" w:color="auto"/>
              <w:left w:val="single" w:sz="6" w:space="0" w:color="auto"/>
              <w:bottom w:val="single" w:sz="6" w:space="0" w:color="auto"/>
              <w:right w:val="single" w:sz="6" w:space="0" w:color="auto"/>
            </w:tcBorders>
            <w:vAlign w:val="center"/>
          </w:tcPr>
          <w:p w14:paraId="5FBC9C4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13.1</w:t>
            </w:r>
          </w:p>
        </w:tc>
        <w:tc>
          <w:tcPr>
            <w:tcW w:w="0" w:type="auto"/>
            <w:tcBorders>
              <w:top w:val="single" w:sz="6" w:space="0" w:color="auto"/>
              <w:left w:val="single" w:sz="6" w:space="0" w:color="auto"/>
              <w:bottom w:val="single" w:sz="6" w:space="0" w:color="auto"/>
              <w:right w:val="single" w:sz="6" w:space="0" w:color="auto"/>
            </w:tcBorders>
            <w:vAlign w:val="center"/>
          </w:tcPr>
          <w:p w14:paraId="61C3C46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1.68</w:t>
            </w:r>
          </w:p>
        </w:tc>
        <w:tc>
          <w:tcPr>
            <w:tcW w:w="0" w:type="auto"/>
            <w:tcBorders>
              <w:top w:val="single" w:sz="6" w:space="0" w:color="auto"/>
              <w:left w:val="single" w:sz="6" w:space="0" w:color="auto"/>
              <w:bottom w:val="single" w:sz="6" w:space="0" w:color="auto"/>
              <w:right w:val="single" w:sz="6" w:space="0" w:color="auto"/>
            </w:tcBorders>
            <w:vAlign w:val="center"/>
          </w:tcPr>
          <w:p w14:paraId="2E528C3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2.07</w:t>
            </w:r>
          </w:p>
        </w:tc>
        <w:tc>
          <w:tcPr>
            <w:tcW w:w="0" w:type="auto"/>
            <w:tcBorders>
              <w:top w:val="single" w:sz="6" w:space="0" w:color="auto"/>
              <w:left w:val="single" w:sz="6" w:space="0" w:color="auto"/>
              <w:bottom w:val="single" w:sz="6" w:space="0" w:color="auto"/>
              <w:right w:val="single" w:sz="6" w:space="0" w:color="auto"/>
            </w:tcBorders>
            <w:vAlign w:val="center"/>
          </w:tcPr>
          <w:p w14:paraId="2FDB04C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005359D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18A9E67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8FA616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C0E64C5" w14:textId="77777777" w:rsidTr="00887829">
        <w:tc>
          <w:tcPr>
            <w:tcW w:w="0" w:type="auto"/>
            <w:vMerge/>
            <w:tcBorders>
              <w:left w:val="double" w:sz="4" w:space="0" w:color="auto"/>
              <w:right w:val="single" w:sz="6" w:space="0" w:color="auto"/>
            </w:tcBorders>
            <w:vAlign w:val="center"/>
          </w:tcPr>
          <w:p w14:paraId="0D4E31C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BD972F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0" w:type="auto"/>
            <w:tcBorders>
              <w:top w:val="single" w:sz="6" w:space="0" w:color="auto"/>
              <w:left w:val="single" w:sz="6" w:space="0" w:color="auto"/>
              <w:bottom w:val="single" w:sz="6" w:space="0" w:color="auto"/>
              <w:right w:val="single" w:sz="6" w:space="0" w:color="auto"/>
            </w:tcBorders>
            <w:vAlign w:val="center"/>
          </w:tcPr>
          <w:p w14:paraId="301B6FD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11.3</w:t>
            </w:r>
          </w:p>
        </w:tc>
        <w:tc>
          <w:tcPr>
            <w:tcW w:w="0" w:type="auto"/>
            <w:tcBorders>
              <w:top w:val="single" w:sz="6" w:space="0" w:color="auto"/>
              <w:left w:val="single" w:sz="6" w:space="0" w:color="auto"/>
              <w:bottom w:val="single" w:sz="6" w:space="0" w:color="auto"/>
              <w:right w:val="single" w:sz="6" w:space="0" w:color="auto"/>
            </w:tcBorders>
            <w:vAlign w:val="center"/>
          </w:tcPr>
          <w:p w14:paraId="279ED20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0.96</w:t>
            </w:r>
          </w:p>
        </w:tc>
        <w:tc>
          <w:tcPr>
            <w:tcW w:w="0" w:type="auto"/>
            <w:tcBorders>
              <w:top w:val="single" w:sz="6" w:space="0" w:color="auto"/>
              <w:left w:val="single" w:sz="6" w:space="0" w:color="auto"/>
              <w:bottom w:val="single" w:sz="6" w:space="0" w:color="auto"/>
              <w:right w:val="single" w:sz="6" w:space="0" w:color="auto"/>
            </w:tcBorders>
            <w:vAlign w:val="center"/>
          </w:tcPr>
          <w:p w14:paraId="12ECAD4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w:t>
            </w:r>
          </w:p>
        </w:tc>
        <w:tc>
          <w:tcPr>
            <w:tcW w:w="0" w:type="auto"/>
            <w:tcBorders>
              <w:top w:val="single" w:sz="6" w:space="0" w:color="auto"/>
              <w:left w:val="single" w:sz="6" w:space="0" w:color="auto"/>
              <w:bottom w:val="single" w:sz="6" w:space="0" w:color="auto"/>
              <w:right w:val="single" w:sz="6" w:space="0" w:color="auto"/>
            </w:tcBorders>
            <w:vAlign w:val="center"/>
          </w:tcPr>
          <w:p w14:paraId="1CC0B9B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28A06B8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2D4AFF8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139A8D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5B6B777" w14:textId="77777777" w:rsidTr="00887829">
        <w:tc>
          <w:tcPr>
            <w:tcW w:w="0" w:type="auto"/>
            <w:vMerge/>
            <w:tcBorders>
              <w:left w:val="double" w:sz="4" w:space="0" w:color="auto"/>
              <w:right w:val="single" w:sz="6" w:space="0" w:color="auto"/>
            </w:tcBorders>
            <w:vAlign w:val="center"/>
          </w:tcPr>
          <w:p w14:paraId="1F3CA34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4516A4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7266430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4.88</w:t>
            </w:r>
          </w:p>
        </w:tc>
        <w:tc>
          <w:tcPr>
            <w:tcW w:w="0" w:type="auto"/>
            <w:tcBorders>
              <w:top w:val="single" w:sz="6" w:space="0" w:color="auto"/>
              <w:left w:val="single" w:sz="6" w:space="0" w:color="auto"/>
              <w:bottom w:val="single" w:sz="6" w:space="0" w:color="auto"/>
              <w:right w:val="single" w:sz="6" w:space="0" w:color="auto"/>
            </w:tcBorders>
            <w:vAlign w:val="center"/>
          </w:tcPr>
          <w:p w14:paraId="5826A12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0.467</w:t>
            </w:r>
          </w:p>
        </w:tc>
        <w:tc>
          <w:tcPr>
            <w:tcW w:w="0" w:type="auto"/>
            <w:tcBorders>
              <w:top w:val="single" w:sz="6" w:space="0" w:color="auto"/>
              <w:left w:val="single" w:sz="6" w:space="0" w:color="auto"/>
              <w:bottom w:val="single" w:sz="6" w:space="0" w:color="auto"/>
              <w:right w:val="single" w:sz="6" w:space="0" w:color="auto"/>
            </w:tcBorders>
            <w:vAlign w:val="center"/>
          </w:tcPr>
          <w:p w14:paraId="5D027E1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0.426</w:t>
            </w:r>
          </w:p>
        </w:tc>
        <w:tc>
          <w:tcPr>
            <w:tcW w:w="0" w:type="auto"/>
            <w:tcBorders>
              <w:top w:val="single" w:sz="6" w:space="0" w:color="auto"/>
              <w:left w:val="single" w:sz="6" w:space="0" w:color="auto"/>
              <w:bottom w:val="single" w:sz="6" w:space="0" w:color="auto"/>
              <w:right w:val="single" w:sz="6" w:space="0" w:color="auto"/>
            </w:tcBorders>
            <w:vAlign w:val="center"/>
          </w:tcPr>
          <w:p w14:paraId="43ABEF0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5FEB67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0.0922</w:t>
            </w:r>
          </w:p>
        </w:tc>
        <w:tc>
          <w:tcPr>
            <w:tcW w:w="870" w:type="dxa"/>
            <w:tcBorders>
              <w:top w:val="single" w:sz="6" w:space="0" w:color="auto"/>
              <w:left w:val="single" w:sz="6" w:space="0" w:color="auto"/>
              <w:bottom w:val="single" w:sz="6" w:space="0" w:color="auto"/>
              <w:right w:val="single" w:sz="6" w:space="0" w:color="auto"/>
            </w:tcBorders>
            <w:vAlign w:val="center"/>
          </w:tcPr>
          <w:p w14:paraId="07ABC16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327B77A"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71178C2D" w14:textId="77777777" w:rsidTr="00887829">
        <w:tc>
          <w:tcPr>
            <w:tcW w:w="0" w:type="auto"/>
            <w:vMerge/>
            <w:tcBorders>
              <w:left w:val="double" w:sz="4" w:space="0" w:color="auto"/>
              <w:right w:val="single" w:sz="6" w:space="0" w:color="auto"/>
            </w:tcBorders>
            <w:vAlign w:val="center"/>
          </w:tcPr>
          <w:p w14:paraId="4DA8F22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55F66B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17F34C9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2.42</w:t>
            </w:r>
          </w:p>
        </w:tc>
        <w:tc>
          <w:tcPr>
            <w:tcW w:w="0" w:type="auto"/>
            <w:tcBorders>
              <w:top w:val="single" w:sz="6" w:space="0" w:color="auto"/>
              <w:left w:val="single" w:sz="6" w:space="0" w:color="auto"/>
              <w:bottom w:val="single" w:sz="6" w:space="0" w:color="auto"/>
              <w:right w:val="single" w:sz="6" w:space="0" w:color="auto"/>
            </w:tcBorders>
            <w:vAlign w:val="center"/>
          </w:tcPr>
          <w:p w14:paraId="6BCD66B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0.206</w:t>
            </w:r>
          </w:p>
        </w:tc>
        <w:tc>
          <w:tcPr>
            <w:tcW w:w="0" w:type="auto"/>
            <w:tcBorders>
              <w:top w:val="single" w:sz="6" w:space="0" w:color="auto"/>
              <w:left w:val="single" w:sz="6" w:space="0" w:color="auto"/>
              <w:bottom w:val="single" w:sz="6" w:space="0" w:color="auto"/>
              <w:right w:val="single" w:sz="6" w:space="0" w:color="auto"/>
            </w:tcBorders>
            <w:vAlign w:val="center"/>
          </w:tcPr>
          <w:p w14:paraId="41E94C1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0.229</w:t>
            </w:r>
          </w:p>
        </w:tc>
        <w:tc>
          <w:tcPr>
            <w:tcW w:w="0" w:type="auto"/>
            <w:tcBorders>
              <w:top w:val="single" w:sz="6" w:space="0" w:color="auto"/>
              <w:left w:val="single" w:sz="6" w:space="0" w:color="auto"/>
              <w:bottom w:val="single" w:sz="6" w:space="0" w:color="auto"/>
              <w:right w:val="single" w:sz="6" w:space="0" w:color="auto"/>
            </w:tcBorders>
            <w:vAlign w:val="center"/>
          </w:tcPr>
          <w:p w14:paraId="2E1A278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0.006</w:t>
            </w:r>
          </w:p>
        </w:tc>
        <w:tc>
          <w:tcPr>
            <w:tcW w:w="0" w:type="auto"/>
            <w:tcBorders>
              <w:top w:val="single" w:sz="6" w:space="0" w:color="auto"/>
              <w:left w:val="single" w:sz="6" w:space="0" w:color="auto"/>
              <w:bottom w:val="single" w:sz="6" w:space="0" w:color="auto"/>
              <w:right w:val="single" w:sz="6" w:space="0" w:color="auto"/>
            </w:tcBorders>
            <w:vAlign w:val="center"/>
          </w:tcPr>
          <w:p w14:paraId="3C6BB0A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0.1043</w:t>
            </w:r>
          </w:p>
        </w:tc>
        <w:tc>
          <w:tcPr>
            <w:tcW w:w="870" w:type="dxa"/>
            <w:tcBorders>
              <w:top w:val="single" w:sz="6" w:space="0" w:color="auto"/>
              <w:left w:val="single" w:sz="6" w:space="0" w:color="auto"/>
              <w:bottom w:val="single" w:sz="6" w:space="0" w:color="auto"/>
              <w:right w:val="single" w:sz="6" w:space="0" w:color="auto"/>
            </w:tcBorders>
            <w:vAlign w:val="center"/>
          </w:tcPr>
          <w:p w14:paraId="0A64B02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3C614C4"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0E9F3946" w14:textId="77777777" w:rsidTr="00887829">
        <w:tc>
          <w:tcPr>
            <w:tcW w:w="0" w:type="auto"/>
            <w:vMerge/>
            <w:tcBorders>
              <w:left w:val="double" w:sz="4" w:space="0" w:color="auto"/>
              <w:right w:val="single" w:sz="6" w:space="0" w:color="auto"/>
            </w:tcBorders>
            <w:vAlign w:val="center"/>
          </w:tcPr>
          <w:p w14:paraId="2F69868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E5B676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139B8DC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2.07</w:t>
            </w:r>
          </w:p>
        </w:tc>
        <w:tc>
          <w:tcPr>
            <w:tcW w:w="0" w:type="auto"/>
            <w:tcBorders>
              <w:top w:val="single" w:sz="6" w:space="0" w:color="auto"/>
              <w:left w:val="single" w:sz="6" w:space="0" w:color="auto"/>
              <w:bottom w:val="single" w:sz="6" w:space="0" w:color="auto"/>
              <w:right w:val="single" w:sz="6" w:space="0" w:color="auto"/>
            </w:tcBorders>
            <w:vAlign w:val="center"/>
          </w:tcPr>
          <w:p w14:paraId="519AC25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0.089</w:t>
            </w:r>
          </w:p>
        </w:tc>
        <w:tc>
          <w:tcPr>
            <w:tcW w:w="0" w:type="auto"/>
            <w:tcBorders>
              <w:top w:val="single" w:sz="6" w:space="0" w:color="auto"/>
              <w:left w:val="single" w:sz="6" w:space="0" w:color="auto"/>
              <w:bottom w:val="single" w:sz="6" w:space="0" w:color="auto"/>
              <w:right w:val="single" w:sz="6" w:space="0" w:color="auto"/>
            </w:tcBorders>
            <w:vAlign w:val="center"/>
          </w:tcPr>
          <w:p w14:paraId="391F570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0.090</w:t>
            </w:r>
          </w:p>
        </w:tc>
        <w:tc>
          <w:tcPr>
            <w:tcW w:w="0" w:type="auto"/>
            <w:tcBorders>
              <w:top w:val="single" w:sz="6" w:space="0" w:color="auto"/>
              <w:left w:val="single" w:sz="6" w:space="0" w:color="auto"/>
              <w:bottom w:val="single" w:sz="6" w:space="0" w:color="auto"/>
              <w:right w:val="single" w:sz="6" w:space="0" w:color="auto"/>
            </w:tcBorders>
            <w:vAlign w:val="center"/>
          </w:tcPr>
          <w:p w14:paraId="025AA14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69EAE72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73B3B23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FC9DFE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21862C9E" w14:textId="77777777" w:rsidTr="00887829">
        <w:tc>
          <w:tcPr>
            <w:tcW w:w="0" w:type="auto"/>
            <w:vMerge/>
            <w:tcBorders>
              <w:left w:val="double" w:sz="4" w:space="0" w:color="auto"/>
              <w:right w:val="single" w:sz="6" w:space="0" w:color="auto"/>
            </w:tcBorders>
            <w:vAlign w:val="center"/>
          </w:tcPr>
          <w:p w14:paraId="0D64E72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305A4C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3A8E602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030C4CB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09E8661F"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33A271F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79FB75E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0.0341</w:t>
            </w:r>
          </w:p>
        </w:tc>
        <w:tc>
          <w:tcPr>
            <w:tcW w:w="870" w:type="dxa"/>
            <w:tcBorders>
              <w:top w:val="single" w:sz="6" w:space="0" w:color="auto"/>
              <w:left w:val="single" w:sz="6" w:space="0" w:color="auto"/>
              <w:bottom w:val="single" w:sz="6" w:space="0" w:color="auto"/>
              <w:right w:val="single" w:sz="6" w:space="0" w:color="auto"/>
            </w:tcBorders>
            <w:vAlign w:val="center"/>
          </w:tcPr>
          <w:p w14:paraId="3EE7E83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1C36F0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5449B900" w14:textId="77777777" w:rsidTr="00887829">
        <w:tc>
          <w:tcPr>
            <w:tcW w:w="0" w:type="auto"/>
            <w:vMerge/>
            <w:tcBorders>
              <w:left w:val="double" w:sz="4" w:space="0" w:color="auto"/>
              <w:right w:val="single" w:sz="6" w:space="0" w:color="auto"/>
            </w:tcBorders>
            <w:vAlign w:val="center"/>
          </w:tcPr>
          <w:p w14:paraId="336A662B"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3DE3F0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5024233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1566E51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2770935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24D0D8C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7B192D4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0FEAAE4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92B7C3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038FCFE0" w14:textId="77777777" w:rsidTr="00887829">
        <w:tc>
          <w:tcPr>
            <w:tcW w:w="0" w:type="auto"/>
            <w:vMerge/>
            <w:tcBorders>
              <w:left w:val="double" w:sz="4" w:space="0" w:color="auto"/>
              <w:right w:val="single" w:sz="6" w:space="0" w:color="auto"/>
            </w:tcBorders>
            <w:vAlign w:val="center"/>
          </w:tcPr>
          <w:p w14:paraId="2B4B1F7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C03431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2430C26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7D9F0AE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971910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74D5055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2B39DD7A"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5F25E4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E176BD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0E354E2F" w14:textId="77777777" w:rsidTr="00887829">
        <w:tc>
          <w:tcPr>
            <w:tcW w:w="0" w:type="auto"/>
            <w:vMerge/>
            <w:tcBorders>
              <w:left w:val="double" w:sz="4" w:space="0" w:color="auto"/>
              <w:right w:val="single" w:sz="6" w:space="0" w:color="auto"/>
            </w:tcBorders>
            <w:vAlign w:val="center"/>
          </w:tcPr>
          <w:p w14:paraId="3F26788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1EA96B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5FA4520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3DECB4A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3CDC6FFF"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6FC15BF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67F29DEC"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1A15CB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66FE874"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316EDF4F" w14:textId="77777777" w:rsidTr="00887829">
        <w:tc>
          <w:tcPr>
            <w:tcW w:w="0" w:type="auto"/>
            <w:vMerge/>
            <w:tcBorders>
              <w:left w:val="double" w:sz="4" w:space="0" w:color="auto"/>
              <w:bottom w:val="single" w:sz="6" w:space="0" w:color="auto"/>
              <w:right w:val="single" w:sz="6" w:space="0" w:color="auto"/>
            </w:tcBorders>
            <w:vAlign w:val="center"/>
          </w:tcPr>
          <w:p w14:paraId="2E0522B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6117E7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382CF5E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0.69</w:t>
            </w:r>
          </w:p>
        </w:tc>
        <w:tc>
          <w:tcPr>
            <w:tcW w:w="0" w:type="auto"/>
            <w:tcBorders>
              <w:top w:val="single" w:sz="6" w:space="0" w:color="auto"/>
              <w:left w:val="single" w:sz="6" w:space="0" w:color="auto"/>
              <w:bottom w:val="single" w:sz="6" w:space="0" w:color="auto"/>
              <w:right w:val="single" w:sz="6" w:space="0" w:color="auto"/>
            </w:tcBorders>
            <w:vAlign w:val="center"/>
          </w:tcPr>
          <w:p w14:paraId="2FE300A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329DD18D"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6B7CECDB"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297773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77C50A9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D3410A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5B2B5D02" w14:textId="77777777" w:rsidTr="00887829">
        <w:tc>
          <w:tcPr>
            <w:tcW w:w="0" w:type="auto"/>
            <w:vMerge w:val="restart"/>
            <w:tcBorders>
              <w:top w:val="single" w:sz="6" w:space="0" w:color="auto"/>
              <w:left w:val="double" w:sz="4" w:space="0" w:color="auto"/>
              <w:right w:val="single" w:sz="6" w:space="0" w:color="auto"/>
            </w:tcBorders>
            <w:vAlign w:val="center"/>
          </w:tcPr>
          <w:p w14:paraId="0579A5FB"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Medium</w:t>
            </w:r>
          </w:p>
        </w:tc>
        <w:tc>
          <w:tcPr>
            <w:tcW w:w="0" w:type="auto"/>
            <w:tcBorders>
              <w:top w:val="single" w:sz="6" w:space="0" w:color="auto"/>
              <w:left w:val="single" w:sz="6" w:space="0" w:color="auto"/>
              <w:bottom w:val="single" w:sz="6" w:space="0" w:color="auto"/>
              <w:right w:val="single" w:sz="6" w:space="0" w:color="auto"/>
            </w:tcBorders>
            <w:vAlign w:val="center"/>
          </w:tcPr>
          <w:p w14:paraId="26E13E3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0" w:type="auto"/>
            <w:tcBorders>
              <w:top w:val="single" w:sz="6" w:space="0" w:color="auto"/>
              <w:left w:val="single" w:sz="6" w:space="0" w:color="auto"/>
              <w:bottom w:val="single" w:sz="6" w:space="0" w:color="auto"/>
              <w:right w:val="single" w:sz="6" w:space="0" w:color="auto"/>
            </w:tcBorders>
            <w:vAlign w:val="center"/>
          </w:tcPr>
          <w:p w14:paraId="2A1C880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37.3</w:t>
            </w:r>
          </w:p>
        </w:tc>
        <w:tc>
          <w:tcPr>
            <w:tcW w:w="0" w:type="auto"/>
            <w:tcBorders>
              <w:top w:val="single" w:sz="6" w:space="0" w:color="auto"/>
              <w:left w:val="single" w:sz="6" w:space="0" w:color="auto"/>
              <w:bottom w:val="single" w:sz="6" w:space="0" w:color="auto"/>
              <w:right w:val="single" w:sz="6" w:space="0" w:color="auto"/>
            </w:tcBorders>
            <w:vAlign w:val="center"/>
          </w:tcPr>
          <w:p w14:paraId="239AD89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2.8</w:t>
            </w:r>
          </w:p>
        </w:tc>
        <w:tc>
          <w:tcPr>
            <w:tcW w:w="0" w:type="auto"/>
            <w:tcBorders>
              <w:top w:val="single" w:sz="6" w:space="0" w:color="auto"/>
              <w:left w:val="single" w:sz="6" w:space="0" w:color="auto"/>
              <w:bottom w:val="single" w:sz="6" w:space="0" w:color="auto"/>
              <w:right w:val="single" w:sz="6" w:space="0" w:color="auto"/>
            </w:tcBorders>
            <w:vAlign w:val="center"/>
          </w:tcPr>
          <w:p w14:paraId="0674229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2.53</w:t>
            </w:r>
          </w:p>
        </w:tc>
        <w:tc>
          <w:tcPr>
            <w:tcW w:w="0" w:type="auto"/>
            <w:tcBorders>
              <w:top w:val="single" w:sz="6" w:space="0" w:color="auto"/>
              <w:left w:val="single" w:sz="6" w:space="0" w:color="auto"/>
              <w:bottom w:val="single" w:sz="6" w:space="0" w:color="auto"/>
              <w:right w:val="single" w:sz="6" w:space="0" w:color="auto"/>
            </w:tcBorders>
            <w:vAlign w:val="center"/>
          </w:tcPr>
          <w:p w14:paraId="305F35B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4F9BD4C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283E3AA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65CA4C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2348127F" w14:textId="77777777" w:rsidTr="00887829">
        <w:tc>
          <w:tcPr>
            <w:tcW w:w="0" w:type="auto"/>
            <w:vMerge/>
            <w:tcBorders>
              <w:left w:val="double" w:sz="4" w:space="0" w:color="auto"/>
              <w:right w:val="single" w:sz="6" w:space="0" w:color="auto"/>
            </w:tcBorders>
            <w:vAlign w:val="center"/>
          </w:tcPr>
          <w:p w14:paraId="299BFE6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07B85B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0" w:type="auto"/>
            <w:tcBorders>
              <w:top w:val="single" w:sz="6" w:space="0" w:color="auto"/>
              <w:left w:val="single" w:sz="6" w:space="0" w:color="auto"/>
              <w:bottom w:val="single" w:sz="6" w:space="0" w:color="auto"/>
              <w:right w:val="single" w:sz="6" w:space="0" w:color="auto"/>
            </w:tcBorders>
            <w:vAlign w:val="center"/>
          </w:tcPr>
          <w:p w14:paraId="7DC6991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29.6</w:t>
            </w:r>
          </w:p>
        </w:tc>
        <w:tc>
          <w:tcPr>
            <w:tcW w:w="0" w:type="auto"/>
            <w:tcBorders>
              <w:top w:val="single" w:sz="6" w:space="0" w:color="auto"/>
              <w:left w:val="single" w:sz="6" w:space="0" w:color="auto"/>
              <w:bottom w:val="single" w:sz="6" w:space="0" w:color="auto"/>
              <w:right w:val="single" w:sz="6" w:space="0" w:color="auto"/>
            </w:tcBorders>
            <w:vAlign w:val="center"/>
          </w:tcPr>
          <w:p w14:paraId="46EB399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2.19</w:t>
            </w:r>
          </w:p>
        </w:tc>
        <w:tc>
          <w:tcPr>
            <w:tcW w:w="0" w:type="auto"/>
            <w:tcBorders>
              <w:top w:val="single" w:sz="6" w:space="0" w:color="auto"/>
              <w:left w:val="single" w:sz="6" w:space="0" w:color="auto"/>
              <w:bottom w:val="single" w:sz="6" w:space="0" w:color="auto"/>
              <w:right w:val="single" w:sz="6" w:space="0" w:color="auto"/>
            </w:tcBorders>
            <w:vAlign w:val="center"/>
          </w:tcPr>
          <w:p w14:paraId="490CCE4A"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2.53</w:t>
            </w:r>
          </w:p>
        </w:tc>
        <w:tc>
          <w:tcPr>
            <w:tcW w:w="0" w:type="auto"/>
            <w:tcBorders>
              <w:top w:val="single" w:sz="6" w:space="0" w:color="auto"/>
              <w:left w:val="single" w:sz="6" w:space="0" w:color="auto"/>
              <w:bottom w:val="single" w:sz="6" w:space="0" w:color="auto"/>
              <w:right w:val="single" w:sz="6" w:space="0" w:color="auto"/>
            </w:tcBorders>
            <w:vAlign w:val="center"/>
          </w:tcPr>
          <w:p w14:paraId="0B52B97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FA1AFC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78E0F27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8C3315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435452C" w14:textId="77777777" w:rsidTr="00887829">
        <w:tc>
          <w:tcPr>
            <w:tcW w:w="0" w:type="auto"/>
            <w:vMerge/>
            <w:tcBorders>
              <w:left w:val="double" w:sz="4" w:space="0" w:color="auto"/>
              <w:right w:val="single" w:sz="6" w:space="0" w:color="auto"/>
            </w:tcBorders>
            <w:vAlign w:val="center"/>
          </w:tcPr>
          <w:p w14:paraId="1EFA67B5"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7694ED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0" w:type="auto"/>
            <w:tcBorders>
              <w:top w:val="single" w:sz="6" w:space="0" w:color="auto"/>
              <w:left w:val="single" w:sz="6" w:space="0" w:color="auto"/>
              <w:bottom w:val="single" w:sz="6" w:space="0" w:color="auto"/>
              <w:right w:val="single" w:sz="6" w:space="0" w:color="auto"/>
            </w:tcBorders>
            <w:vAlign w:val="center"/>
          </w:tcPr>
          <w:p w14:paraId="6E03526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21.7</w:t>
            </w:r>
          </w:p>
        </w:tc>
        <w:tc>
          <w:tcPr>
            <w:tcW w:w="0" w:type="auto"/>
            <w:tcBorders>
              <w:top w:val="single" w:sz="6" w:space="0" w:color="auto"/>
              <w:left w:val="single" w:sz="6" w:space="0" w:color="auto"/>
              <w:bottom w:val="single" w:sz="6" w:space="0" w:color="auto"/>
              <w:right w:val="single" w:sz="6" w:space="0" w:color="auto"/>
            </w:tcBorders>
            <w:vAlign w:val="center"/>
          </w:tcPr>
          <w:p w14:paraId="107CCBE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2.060</w:t>
            </w:r>
          </w:p>
        </w:tc>
        <w:tc>
          <w:tcPr>
            <w:tcW w:w="0" w:type="auto"/>
            <w:tcBorders>
              <w:top w:val="single" w:sz="6" w:space="0" w:color="auto"/>
              <w:left w:val="single" w:sz="6" w:space="0" w:color="auto"/>
              <w:bottom w:val="single" w:sz="6" w:space="0" w:color="auto"/>
              <w:right w:val="single" w:sz="6" w:space="0" w:color="auto"/>
            </w:tcBorders>
            <w:vAlign w:val="center"/>
          </w:tcPr>
          <w:p w14:paraId="1EA817D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2.40</w:t>
            </w:r>
          </w:p>
        </w:tc>
        <w:tc>
          <w:tcPr>
            <w:tcW w:w="0" w:type="auto"/>
            <w:tcBorders>
              <w:top w:val="single" w:sz="6" w:space="0" w:color="auto"/>
              <w:left w:val="single" w:sz="6" w:space="0" w:color="auto"/>
              <w:bottom w:val="single" w:sz="6" w:space="0" w:color="auto"/>
              <w:right w:val="single" w:sz="6" w:space="0" w:color="auto"/>
            </w:tcBorders>
            <w:vAlign w:val="center"/>
          </w:tcPr>
          <w:p w14:paraId="31A77DA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018C54C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7F9BFE7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E7F498C"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3263B09" w14:textId="77777777" w:rsidTr="00887829">
        <w:tc>
          <w:tcPr>
            <w:tcW w:w="0" w:type="auto"/>
            <w:vMerge/>
            <w:tcBorders>
              <w:left w:val="double" w:sz="4" w:space="0" w:color="auto"/>
              <w:right w:val="single" w:sz="6" w:space="0" w:color="auto"/>
            </w:tcBorders>
            <w:vAlign w:val="center"/>
          </w:tcPr>
          <w:p w14:paraId="5AAB5D22"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B20CB5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0" w:type="auto"/>
            <w:tcBorders>
              <w:top w:val="single" w:sz="6" w:space="0" w:color="auto"/>
              <w:left w:val="single" w:sz="6" w:space="0" w:color="auto"/>
              <w:bottom w:val="single" w:sz="6" w:space="0" w:color="auto"/>
              <w:right w:val="single" w:sz="6" w:space="0" w:color="auto"/>
            </w:tcBorders>
            <w:vAlign w:val="center"/>
          </w:tcPr>
          <w:p w14:paraId="3426FC8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21.1</w:t>
            </w:r>
          </w:p>
        </w:tc>
        <w:tc>
          <w:tcPr>
            <w:tcW w:w="0" w:type="auto"/>
            <w:tcBorders>
              <w:top w:val="single" w:sz="6" w:space="0" w:color="auto"/>
              <w:left w:val="single" w:sz="6" w:space="0" w:color="auto"/>
              <w:bottom w:val="single" w:sz="6" w:space="0" w:color="auto"/>
              <w:right w:val="single" w:sz="6" w:space="0" w:color="auto"/>
            </w:tcBorders>
            <w:vAlign w:val="center"/>
          </w:tcPr>
          <w:p w14:paraId="56B30BE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2.06</w:t>
            </w:r>
          </w:p>
        </w:tc>
        <w:tc>
          <w:tcPr>
            <w:tcW w:w="0" w:type="auto"/>
            <w:tcBorders>
              <w:top w:val="single" w:sz="6" w:space="0" w:color="auto"/>
              <w:left w:val="single" w:sz="6" w:space="0" w:color="auto"/>
              <w:bottom w:val="single" w:sz="6" w:space="0" w:color="auto"/>
              <w:right w:val="single" w:sz="6" w:space="0" w:color="auto"/>
            </w:tcBorders>
            <w:vAlign w:val="center"/>
          </w:tcPr>
          <w:p w14:paraId="2DDB971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2.51</w:t>
            </w:r>
          </w:p>
        </w:tc>
        <w:tc>
          <w:tcPr>
            <w:tcW w:w="0" w:type="auto"/>
            <w:tcBorders>
              <w:top w:val="single" w:sz="6" w:space="0" w:color="auto"/>
              <w:left w:val="single" w:sz="6" w:space="0" w:color="auto"/>
              <w:bottom w:val="single" w:sz="6" w:space="0" w:color="auto"/>
              <w:right w:val="single" w:sz="6" w:space="0" w:color="auto"/>
            </w:tcBorders>
            <w:vAlign w:val="center"/>
          </w:tcPr>
          <w:p w14:paraId="5C40642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2D50519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7D55F02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4EA14A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4955AA69" w14:textId="77777777" w:rsidTr="00887829">
        <w:tc>
          <w:tcPr>
            <w:tcW w:w="0" w:type="auto"/>
            <w:vMerge/>
            <w:tcBorders>
              <w:left w:val="double" w:sz="4" w:space="0" w:color="auto"/>
              <w:right w:val="single" w:sz="6" w:space="0" w:color="auto"/>
            </w:tcBorders>
            <w:vAlign w:val="center"/>
          </w:tcPr>
          <w:p w14:paraId="6CB373E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B714DA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0" w:type="auto"/>
            <w:tcBorders>
              <w:top w:val="single" w:sz="6" w:space="0" w:color="auto"/>
              <w:left w:val="single" w:sz="6" w:space="0" w:color="auto"/>
              <w:bottom w:val="single" w:sz="6" w:space="0" w:color="auto"/>
              <w:right w:val="single" w:sz="6" w:space="0" w:color="auto"/>
            </w:tcBorders>
            <w:vAlign w:val="center"/>
          </w:tcPr>
          <w:p w14:paraId="04BC615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13.4</w:t>
            </w:r>
          </w:p>
        </w:tc>
        <w:tc>
          <w:tcPr>
            <w:tcW w:w="0" w:type="auto"/>
            <w:tcBorders>
              <w:top w:val="single" w:sz="6" w:space="0" w:color="auto"/>
              <w:left w:val="single" w:sz="6" w:space="0" w:color="auto"/>
              <w:bottom w:val="single" w:sz="6" w:space="0" w:color="auto"/>
              <w:right w:val="single" w:sz="6" w:space="0" w:color="auto"/>
            </w:tcBorders>
            <w:vAlign w:val="center"/>
          </w:tcPr>
          <w:p w14:paraId="49EE715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1.68</w:t>
            </w:r>
          </w:p>
        </w:tc>
        <w:tc>
          <w:tcPr>
            <w:tcW w:w="0" w:type="auto"/>
            <w:tcBorders>
              <w:top w:val="single" w:sz="6" w:space="0" w:color="auto"/>
              <w:left w:val="single" w:sz="6" w:space="0" w:color="auto"/>
              <w:bottom w:val="single" w:sz="6" w:space="0" w:color="auto"/>
              <w:right w:val="single" w:sz="6" w:space="0" w:color="auto"/>
            </w:tcBorders>
            <w:vAlign w:val="center"/>
          </w:tcPr>
          <w:p w14:paraId="5B7ED55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2.66</w:t>
            </w:r>
          </w:p>
        </w:tc>
        <w:tc>
          <w:tcPr>
            <w:tcW w:w="0" w:type="auto"/>
            <w:tcBorders>
              <w:top w:val="single" w:sz="6" w:space="0" w:color="auto"/>
              <w:left w:val="single" w:sz="6" w:space="0" w:color="auto"/>
              <w:bottom w:val="single" w:sz="6" w:space="0" w:color="auto"/>
              <w:right w:val="single" w:sz="6" w:space="0" w:color="auto"/>
            </w:tcBorders>
            <w:vAlign w:val="center"/>
          </w:tcPr>
          <w:p w14:paraId="2BCA85E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137FC3F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278D946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D83EE3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44D0F02D" w14:textId="77777777" w:rsidTr="00887829">
        <w:tc>
          <w:tcPr>
            <w:tcW w:w="0" w:type="auto"/>
            <w:vMerge/>
            <w:tcBorders>
              <w:left w:val="double" w:sz="4" w:space="0" w:color="auto"/>
              <w:right w:val="single" w:sz="6" w:space="0" w:color="auto"/>
            </w:tcBorders>
            <w:vAlign w:val="center"/>
          </w:tcPr>
          <w:p w14:paraId="76776B7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E628E9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0" w:type="auto"/>
            <w:tcBorders>
              <w:top w:val="single" w:sz="6" w:space="0" w:color="auto"/>
              <w:left w:val="single" w:sz="6" w:space="0" w:color="auto"/>
              <w:bottom w:val="single" w:sz="6" w:space="0" w:color="auto"/>
              <w:right w:val="single" w:sz="6" w:space="0" w:color="auto"/>
            </w:tcBorders>
            <w:vAlign w:val="center"/>
          </w:tcPr>
          <w:p w14:paraId="0605397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6.49</w:t>
            </w:r>
          </w:p>
        </w:tc>
        <w:tc>
          <w:tcPr>
            <w:tcW w:w="0" w:type="auto"/>
            <w:tcBorders>
              <w:top w:val="single" w:sz="6" w:space="0" w:color="auto"/>
              <w:left w:val="single" w:sz="6" w:space="0" w:color="auto"/>
              <w:bottom w:val="single" w:sz="6" w:space="0" w:color="auto"/>
              <w:right w:val="single" w:sz="6" w:space="0" w:color="auto"/>
            </w:tcBorders>
            <w:vAlign w:val="center"/>
          </w:tcPr>
          <w:p w14:paraId="117A07F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0.29</w:t>
            </w:r>
          </w:p>
        </w:tc>
        <w:tc>
          <w:tcPr>
            <w:tcW w:w="0" w:type="auto"/>
            <w:tcBorders>
              <w:top w:val="single" w:sz="6" w:space="0" w:color="auto"/>
              <w:left w:val="single" w:sz="6" w:space="0" w:color="auto"/>
              <w:bottom w:val="single" w:sz="6" w:space="0" w:color="auto"/>
              <w:right w:val="single" w:sz="6" w:space="0" w:color="auto"/>
            </w:tcBorders>
            <w:vAlign w:val="center"/>
          </w:tcPr>
          <w:p w14:paraId="1191172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1.29</w:t>
            </w:r>
          </w:p>
        </w:tc>
        <w:tc>
          <w:tcPr>
            <w:tcW w:w="0" w:type="auto"/>
            <w:tcBorders>
              <w:top w:val="single" w:sz="6" w:space="0" w:color="auto"/>
              <w:left w:val="single" w:sz="6" w:space="0" w:color="auto"/>
              <w:bottom w:val="single" w:sz="6" w:space="0" w:color="auto"/>
              <w:right w:val="single" w:sz="6" w:space="0" w:color="auto"/>
            </w:tcBorders>
            <w:vAlign w:val="center"/>
          </w:tcPr>
          <w:p w14:paraId="06320D6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493836C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0C994EE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0749DA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80368B5" w14:textId="77777777" w:rsidTr="00887829">
        <w:tc>
          <w:tcPr>
            <w:tcW w:w="0" w:type="auto"/>
            <w:vMerge/>
            <w:tcBorders>
              <w:left w:val="double" w:sz="4" w:space="0" w:color="auto"/>
              <w:right w:val="single" w:sz="6" w:space="0" w:color="auto"/>
            </w:tcBorders>
            <w:vAlign w:val="center"/>
          </w:tcPr>
          <w:p w14:paraId="1E9AC664"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2B9AE3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185D3D3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3.92</w:t>
            </w:r>
          </w:p>
        </w:tc>
        <w:tc>
          <w:tcPr>
            <w:tcW w:w="0" w:type="auto"/>
            <w:tcBorders>
              <w:top w:val="single" w:sz="6" w:space="0" w:color="auto"/>
              <w:left w:val="single" w:sz="6" w:space="0" w:color="auto"/>
              <w:bottom w:val="single" w:sz="6" w:space="0" w:color="auto"/>
              <w:right w:val="single" w:sz="6" w:space="0" w:color="auto"/>
            </w:tcBorders>
            <w:vAlign w:val="center"/>
          </w:tcPr>
          <w:p w14:paraId="4C011FA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0.530</w:t>
            </w:r>
          </w:p>
        </w:tc>
        <w:tc>
          <w:tcPr>
            <w:tcW w:w="0" w:type="auto"/>
            <w:tcBorders>
              <w:top w:val="single" w:sz="6" w:space="0" w:color="auto"/>
              <w:left w:val="single" w:sz="6" w:space="0" w:color="auto"/>
              <w:bottom w:val="single" w:sz="6" w:space="0" w:color="auto"/>
              <w:right w:val="single" w:sz="6" w:space="0" w:color="auto"/>
            </w:tcBorders>
            <w:vAlign w:val="center"/>
          </w:tcPr>
          <w:p w14:paraId="6228DD0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0.485</w:t>
            </w:r>
          </w:p>
        </w:tc>
        <w:tc>
          <w:tcPr>
            <w:tcW w:w="0" w:type="auto"/>
            <w:tcBorders>
              <w:top w:val="single" w:sz="6" w:space="0" w:color="auto"/>
              <w:left w:val="single" w:sz="6" w:space="0" w:color="auto"/>
              <w:bottom w:val="single" w:sz="6" w:space="0" w:color="auto"/>
              <w:right w:val="single" w:sz="6" w:space="0" w:color="auto"/>
            </w:tcBorders>
            <w:vAlign w:val="center"/>
          </w:tcPr>
          <w:p w14:paraId="54B443B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2295913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0.0922</w:t>
            </w:r>
          </w:p>
        </w:tc>
        <w:tc>
          <w:tcPr>
            <w:tcW w:w="870" w:type="dxa"/>
            <w:tcBorders>
              <w:top w:val="single" w:sz="6" w:space="0" w:color="auto"/>
              <w:left w:val="single" w:sz="6" w:space="0" w:color="auto"/>
              <w:bottom w:val="single" w:sz="6" w:space="0" w:color="auto"/>
              <w:right w:val="single" w:sz="6" w:space="0" w:color="auto"/>
            </w:tcBorders>
            <w:vAlign w:val="center"/>
          </w:tcPr>
          <w:p w14:paraId="5EF1333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6459F7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6FF1B473" w14:textId="77777777" w:rsidTr="00887829">
        <w:tc>
          <w:tcPr>
            <w:tcW w:w="0" w:type="auto"/>
            <w:vMerge/>
            <w:tcBorders>
              <w:left w:val="double" w:sz="4" w:space="0" w:color="auto"/>
              <w:right w:val="single" w:sz="6" w:space="0" w:color="auto"/>
            </w:tcBorders>
            <w:vAlign w:val="center"/>
          </w:tcPr>
          <w:p w14:paraId="55D49E6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8CCB2A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3FEF5C9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2.04</w:t>
            </w:r>
          </w:p>
        </w:tc>
        <w:tc>
          <w:tcPr>
            <w:tcW w:w="0" w:type="auto"/>
            <w:tcBorders>
              <w:top w:val="single" w:sz="6" w:space="0" w:color="auto"/>
              <w:left w:val="single" w:sz="6" w:space="0" w:color="auto"/>
              <w:bottom w:val="single" w:sz="6" w:space="0" w:color="auto"/>
              <w:right w:val="single" w:sz="6" w:space="0" w:color="auto"/>
            </w:tcBorders>
            <w:vAlign w:val="center"/>
          </w:tcPr>
          <w:p w14:paraId="5CC0844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0.251</w:t>
            </w:r>
          </w:p>
        </w:tc>
        <w:tc>
          <w:tcPr>
            <w:tcW w:w="0" w:type="auto"/>
            <w:tcBorders>
              <w:top w:val="single" w:sz="6" w:space="0" w:color="auto"/>
              <w:left w:val="single" w:sz="6" w:space="0" w:color="auto"/>
              <w:bottom w:val="single" w:sz="6" w:space="0" w:color="auto"/>
              <w:right w:val="single" w:sz="6" w:space="0" w:color="auto"/>
            </w:tcBorders>
            <w:vAlign w:val="center"/>
          </w:tcPr>
          <w:p w14:paraId="609F1C5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0.255</w:t>
            </w:r>
          </w:p>
        </w:tc>
        <w:tc>
          <w:tcPr>
            <w:tcW w:w="0" w:type="auto"/>
            <w:tcBorders>
              <w:top w:val="single" w:sz="6" w:space="0" w:color="auto"/>
              <w:left w:val="single" w:sz="6" w:space="0" w:color="auto"/>
              <w:bottom w:val="single" w:sz="6" w:space="0" w:color="auto"/>
              <w:right w:val="single" w:sz="6" w:space="0" w:color="auto"/>
            </w:tcBorders>
            <w:vAlign w:val="center"/>
          </w:tcPr>
          <w:p w14:paraId="530FF8B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0.006</w:t>
            </w:r>
          </w:p>
        </w:tc>
        <w:tc>
          <w:tcPr>
            <w:tcW w:w="0" w:type="auto"/>
            <w:tcBorders>
              <w:top w:val="single" w:sz="6" w:space="0" w:color="auto"/>
              <w:left w:val="single" w:sz="6" w:space="0" w:color="auto"/>
              <w:bottom w:val="single" w:sz="6" w:space="0" w:color="auto"/>
              <w:right w:val="single" w:sz="6" w:space="0" w:color="auto"/>
            </w:tcBorders>
            <w:vAlign w:val="center"/>
          </w:tcPr>
          <w:p w14:paraId="26C4A77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0.1043</w:t>
            </w:r>
          </w:p>
        </w:tc>
        <w:tc>
          <w:tcPr>
            <w:tcW w:w="870" w:type="dxa"/>
            <w:tcBorders>
              <w:top w:val="single" w:sz="6" w:space="0" w:color="auto"/>
              <w:left w:val="single" w:sz="6" w:space="0" w:color="auto"/>
              <w:bottom w:val="single" w:sz="6" w:space="0" w:color="auto"/>
              <w:right w:val="single" w:sz="6" w:space="0" w:color="auto"/>
            </w:tcBorders>
            <w:vAlign w:val="center"/>
          </w:tcPr>
          <w:p w14:paraId="615A7D0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77AE00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2E9AD2DA" w14:textId="77777777" w:rsidTr="00887829">
        <w:tc>
          <w:tcPr>
            <w:tcW w:w="0" w:type="auto"/>
            <w:vMerge/>
            <w:tcBorders>
              <w:left w:val="double" w:sz="4" w:space="0" w:color="auto"/>
              <w:right w:val="single" w:sz="6" w:space="0" w:color="auto"/>
            </w:tcBorders>
            <w:vAlign w:val="center"/>
          </w:tcPr>
          <w:p w14:paraId="26A4914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266CB4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0C91454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w:t>
            </w:r>
          </w:p>
        </w:tc>
        <w:tc>
          <w:tcPr>
            <w:tcW w:w="0" w:type="auto"/>
            <w:tcBorders>
              <w:top w:val="single" w:sz="6" w:space="0" w:color="auto"/>
              <w:left w:val="single" w:sz="6" w:space="0" w:color="auto"/>
              <w:bottom w:val="single" w:sz="6" w:space="0" w:color="auto"/>
              <w:right w:val="single" w:sz="6" w:space="0" w:color="auto"/>
            </w:tcBorders>
            <w:vAlign w:val="center"/>
          </w:tcPr>
          <w:p w14:paraId="3C1A75A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0.119</w:t>
            </w:r>
          </w:p>
        </w:tc>
        <w:tc>
          <w:tcPr>
            <w:tcW w:w="0" w:type="auto"/>
            <w:tcBorders>
              <w:top w:val="single" w:sz="6" w:space="0" w:color="auto"/>
              <w:left w:val="single" w:sz="6" w:space="0" w:color="auto"/>
              <w:bottom w:val="single" w:sz="6" w:space="0" w:color="auto"/>
              <w:right w:val="single" w:sz="6" w:space="0" w:color="auto"/>
            </w:tcBorders>
            <w:vAlign w:val="center"/>
          </w:tcPr>
          <w:p w14:paraId="5E20537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0.097</w:t>
            </w:r>
          </w:p>
        </w:tc>
        <w:tc>
          <w:tcPr>
            <w:tcW w:w="0" w:type="auto"/>
            <w:tcBorders>
              <w:top w:val="single" w:sz="6" w:space="0" w:color="auto"/>
              <w:left w:val="single" w:sz="6" w:space="0" w:color="auto"/>
              <w:bottom w:val="single" w:sz="6" w:space="0" w:color="auto"/>
              <w:right w:val="single" w:sz="6" w:space="0" w:color="auto"/>
            </w:tcBorders>
            <w:vAlign w:val="center"/>
          </w:tcPr>
          <w:p w14:paraId="1930021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61CCBC6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06641D3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9C1E5D4"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11BF03A6" w14:textId="77777777" w:rsidTr="00887829">
        <w:tc>
          <w:tcPr>
            <w:tcW w:w="0" w:type="auto"/>
            <w:vMerge/>
            <w:tcBorders>
              <w:left w:val="double" w:sz="4" w:space="0" w:color="auto"/>
              <w:right w:val="single" w:sz="6" w:space="0" w:color="auto"/>
            </w:tcBorders>
            <w:vAlign w:val="center"/>
          </w:tcPr>
          <w:p w14:paraId="0497D11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F3BFA7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4B03EAF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705AC43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6527AB0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3DD84AF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2DC0940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4FFC00D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1B96E0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466E466" w14:textId="77777777" w:rsidTr="00887829">
        <w:tc>
          <w:tcPr>
            <w:tcW w:w="0" w:type="auto"/>
            <w:vMerge/>
            <w:tcBorders>
              <w:left w:val="double" w:sz="4" w:space="0" w:color="auto"/>
              <w:right w:val="single" w:sz="6" w:space="0" w:color="auto"/>
            </w:tcBorders>
            <w:vAlign w:val="center"/>
          </w:tcPr>
          <w:p w14:paraId="67FBA981"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CA2AE8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480E43C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664A7E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52D2E6B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7FE97EBF"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BB0732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7B3E6C1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4C6A9A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5A56A9B3" w14:textId="77777777" w:rsidTr="00887829">
        <w:tc>
          <w:tcPr>
            <w:tcW w:w="0" w:type="auto"/>
            <w:vMerge/>
            <w:tcBorders>
              <w:left w:val="double" w:sz="4" w:space="0" w:color="auto"/>
              <w:right w:val="single" w:sz="6" w:space="0" w:color="auto"/>
            </w:tcBorders>
            <w:vAlign w:val="center"/>
          </w:tcPr>
          <w:p w14:paraId="2A550582"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AC107C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7A54E01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2525E16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3944B01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1B24386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5793826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50FFA1B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9EB7E3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66DEA5AE" w14:textId="77777777" w:rsidTr="00887829">
        <w:tc>
          <w:tcPr>
            <w:tcW w:w="0" w:type="auto"/>
            <w:vMerge/>
            <w:tcBorders>
              <w:left w:val="double" w:sz="4" w:space="0" w:color="auto"/>
              <w:right w:val="single" w:sz="6" w:space="0" w:color="auto"/>
            </w:tcBorders>
            <w:vAlign w:val="center"/>
          </w:tcPr>
          <w:p w14:paraId="49B91311"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C1D414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695D186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337F082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2B69ACD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1018B609"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1F0C296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309CF56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07EADCF"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52ACD37" w14:textId="77777777" w:rsidTr="00887829">
        <w:tc>
          <w:tcPr>
            <w:tcW w:w="0" w:type="auto"/>
            <w:vMerge/>
            <w:tcBorders>
              <w:left w:val="double" w:sz="4" w:space="0" w:color="auto"/>
              <w:bottom w:val="single" w:sz="6" w:space="0" w:color="auto"/>
              <w:right w:val="single" w:sz="6" w:space="0" w:color="auto"/>
            </w:tcBorders>
            <w:vAlign w:val="center"/>
          </w:tcPr>
          <w:p w14:paraId="0686E8F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0A5178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5883E21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5686777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0.065</w:t>
            </w:r>
          </w:p>
        </w:tc>
        <w:tc>
          <w:tcPr>
            <w:tcW w:w="0" w:type="auto"/>
            <w:tcBorders>
              <w:top w:val="single" w:sz="6" w:space="0" w:color="auto"/>
              <w:left w:val="single" w:sz="6" w:space="0" w:color="auto"/>
              <w:bottom w:val="single" w:sz="6" w:space="0" w:color="auto"/>
              <w:right w:val="single" w:sz="6" w:space="0" w:color="auto"/>
            </w:tcBorders>
            <w:vAlign w:val="center"/>
          </w:tcPr>
          <w:p w14:paraId="7FA1B1A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0.061</w:t>
            </w:r>
          </w:p>
        </w:tc>
        <w:tc>
          <w:tcPr>
            <w:tcW w:w="0" w:type="auto"/>
            <w:tcBorders>
              <w:top w:val="single" w:sz="6" w:space="0" w:color="auto"/>
              <w:left w:val="single" w:sz="6" w:space="0" w:color="auto"/>
              <w:bottom w:val="single" w:sz="6" w:space="0" w:color="auto"/>
              <w:right w:val="single" w:sz="6" w:space="0" w:color="auto"/>
            </w:tcBorders>
            <w:vAlign w:val="center"/>
          </w:tcPr>
          <w:p w14:paraId="7929079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615276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495D53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321724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ED9A002" w14:textId="77777777" w:rsidTr="00887829">
        <w:tc>
          <w:tcPr>
            <w:tcW w:w="0" w:type="auto"/>
            <w:vMerge w:val="restart"/>
            <w:tcBorders>
              <w:top w:val="single" w:sz="6" w:space="0" w:color="auto"/>
              <w:left w:val="double" w:sz="4" w:space="0" w:color="auto"/>
              <w:right w:val="single" w:sz="6" w:space="0" w:color="auto"/>
            </w:tcBorders>
            <w:vAlign w:val="center"/>
          </w:tcPr>
          <w:p w14:paraId="260F7745" w14:textId="77777777" w:rsidR="00E81C5C" w:rsidRDefault="00E81C5C" w:rsidP="003511C1">
            <w:pPr>
              <w:autoSpaceDE w:val="0"/>
              <w:autoSpaceDN w:val="0"/>
              <w:adjustRightInd w:val="0"/>
              <w:spacing w:line="240" w:lineRule="auto"/>
              <w:jc w:val="left"/>
              <w:rPr>
                <w:color w:val="000000"/>
                <w:sz w:val="12"/>
                <w:szCs w:val="12"/>
                <w:lang w:val="en-GB"/>
              </w:rPr>
            </w:pPr>
            <w:r>
              <w:rPr>
                <w:color w:val="000000"/>
                <w:sz w:val="12"/>
                <w:szCs w:val="12"/>
                <w:lang w:val="en-GB"/>
              </w:rPr>
              <w:t>Petrol Large-SUV-Executive</w:t>
            </w:r>
          </w:p>
        </w:tc>
        <w:tc>
          <w:tcPr>
            <w:tcW w:w="0" w:type="auto"/>
            <w:tcBorders>
              <w:top w:val="single" w:sz="6" w:space="0" w:color="auto"/>
              <w:left w:val="single" w:sz="6" w:space="0" w:color="auto"/>
              <w:bottom w:val="single" w:sz="6" w:space="0" w:color="auto"/>
              <w:right w:val="single" w:sz="6" w:space="0" w:color="auto"/>
            </w:tcBorders>
            <w:vAlign w:val="center"/>
          </w:tcPr>
          <w:p w14:paraId="3A5F661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0" w:type="auto"/>
            <w:tcBorders>
              <w:top w:val="single" w:sz="6" w:space="0" w:color="auto"/>
              <w:left w:val="single" w:sz="6" w:space="0" w:color="auto"/>
              <w:bottom w:val="single" w:sz="6" w:space="0" w:color="auto"/>
              <w:right w:val="single" w:sz="6" w:space="0" w:color="auto"/>
            </w:tcBorders>
            <w:vAlign w:val="center"/>
          </w:tcPr>
          <w:p w14:paraId="78DB3F0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37.3</w:t>
            </w:r>
          </w:p>
        </w:tc>
        <w:tc>
          <w:tcPr>
            <w:tcW w:w="0" w:type="auto"/>
            <w:tcBorders>
              <w:top w:val="single" w:sz="6" w:space="0" w:color="auto"/>
              <w:left w:val="single" w:sz="6" w:space="0" w:color="auto"/>
              <w:bottom w:val="single" w:sz="6" w:space="0" w:color="auto"/>
              <w:right w:val="single" w:sz="6" w:space="0" w:color="auto"/>
            </w:tcBorders>
            <w:vAlign w:val="center"/>
          </w:tcPr>
          <w:p w14:paraId="0E0E4A9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2.77</w:t>
            </w:r>
          </w:p>
        </w:tc>
        <w:tc>
          <w:tcPr>
            <w:tcW w:w="0" w:type="auto"/>
            <w:tcBorders>
              <w:top w:val="single" w:sz="6" w:space="0" w:color="auto"/>
              <w:left w:val="single" w:sz="6" w:space="0" w:color="auto"/>
              <w:bottom w:val="single" w:sz="6" w:space="0" w:color="auto"/>
              <w:right w:val="single" w:sz="6" w:space="0" w:color="auto"/>
            </w:tcBorders>
            <w:vAlign w:val="center"/>
          </w:tcPr>
          <w:p w14:paraId="554F276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3.9</w:t>
            </w:r>
          </w:p>
        </w:tc>
        <w:tc>
          <w:tcPr>
            <w:tcW w:w="0" w:type="auto"/>
            <w:tcBorders>
              <w:top w:val="single" w:sz="6" w:space="0" w:color="auto"/>
              <w:left w:val="single" w:sz="6" w:space="0" w:color="auto"/>
              <w:bottom w:val="single" w:sz="6" w:space="0" w:color="auto"/>
              <w:right w:val="single" w:sz="6" w:space="0" w:color="auto"/>
            </w:tcBorders>
            <w:vAlign w:val="center"/>
          </w:tcPr>
          <w:p w14:paraId="58A7003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19BF41F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5952D60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9EAC6C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24A0A47D" w14:textId="77777777" w:rsidTr="00887829">
        <w:tc>
          <w:tcPr>
            <w:tcW w:w="0" w:type="auto"/>
            <w:vMerge/>
            <w:tcBorders>
              <w:left w:val="double" w:sz="4" w:space="0" w:color="auto"/>
              <w:right w:val="single" w:sz="6" w:space="0" w:color="auto"/>
            </w:tcBorders>
            <w:vAlign w:val="center"/>
          </w:tcPr>
          <w:p w14:paraId="1DDC3808"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45E537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0" w:type="auto"/>
            <w:tcBorders>
              <w:top w:val="single" w:sz="6" w:space="0" w:color="auto"/>
              <w:left w:val="single" w:sz="6" w:space="0" w:color="auto"/>
              <w:bottom w:val="single" w:sz="6" w:space="0" w:color="auto"/>
              <w:right w:val="single" w:sz="6" w:space="0" w:color="auto"/>
            </w:tcBorders>
            <w:vAlign w:val="center"/>
          </w:tcPr>
          <w:p w14:paraId="51B3C2E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29.6</w:t>
            </w:r>
          </w:p>
        </w:tc>
        <w:tc>
          <w:tcPr>
            <w:tcW w:w="0" w:type="auto"/>
            <w:tcBorders>
              <w:top w:val="single" w:sz="6" w:space="0" w:color="auto"/>
              <w:left w:val="single" w:sz="6" w:space="0" w:color="auto"/>
              <w:bottom w:val="single" w:sz="6" w:space="0" w:color="auto"/>
              <w:right w:val="single" w:sz="6" w:space="0" w:color="auto"/>
            </w:tcBorders>
            <w:vAlign w:val="center"/>
          </w:tcPr>
          <w:p w14:paraId="784A1D1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2.19</w:t>
            </w:r>
          </w:p>
        </w:tc>
        <w:tc>
          <w:tcPr>
            <w:tcW w:w="0" w:type="auto"/>
            <w:tcBorders>
              <w:top w:val="single" w:sz="6" w:space="0" w:color="auto"/>
              <w:left w:val="single" w:sz="6" w:space="0" w:color="auto"/>
              <w:bottom w:val="single" w:sz="6" w:space="0" w:color="auto"/>
              <w:right w:val="single" w:sz="6" w:space="0" w:color="auto"/>
            </w:tcBorders>
            <w:vAlign w:val="center"/>
          </w:tcPr>
          <w:p w14:paraId="4E4B0C7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3.9</w:t>
            </w:r>
          </w:p>
        </w:tc>
        <w:tc>
          <w:tcPr>
            <w:tcW w:w="0" w:type="auto"/>
            <w:tcBorders>
              <w:top w:val="single" w:sz="6" w:space="0" w:color="auto"/>
              <w:left w:val="single" w:sz="6" w:space="0" w:color="auto"/>
              <w:bottom w:val="single" w:sz="6" w:space="0" w:color="auto"/>
              <w:right w:val="single" w:sz="6" w:space="0" w:color="auto"/>
            </w:tcBorders>
            <w:vAlign w:val="center"/>
          </w:tcPr>
          <w:p w14:paraId="302B117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F49FE4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54AE151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56CA91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22BDD196" w14:textId="77777777" w:rsidTr="00887829">
        <w:tc>
          <w:tcPr>
            <w:tcW w:w="0" w:type="auto"/>
            <w:vMerge/>
            <w:tcBorders>
              <w:left w:val="double" w:sz="4" w:space="0" w:color="auto"/>
              <w:right w:val="single" w:sz="6" w:space="0" w:color="auto"/>
            </w:tcBorders>
            <w:vAlign w:val="center"/>
          </w:tcPr>
          <w:p w14:paraId="41D318E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A6FAA1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0" w:type="auto"/>
            <w:tcBorders>
              <w:top w:val="single" w:sz="6" w:space="0" w:color="auto"/>
              <w:left w:val="single" w:sz="6" w:space="0" w:color="auto"/>
              <w:bottom w:val="single" w:sz="6" w:space="0" w:color="auto"/>
              <w:right w:val="single" w:sz="6" w:space="0" w:color="auto"/>
            </w:tcBorders>
            <w:vAlign w:val="center"/>
          </w:tcPr>
          <w:p w14:paraId="08DE03F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21.7</w:t>
            </w:r>
          </w:p>
        </w:tc>
        <w:tc>
          <w:tcPr>
            <w:tcW w:w="0" w:type="auto"/>
            <w:tcBorders>
              <w:top w:val="single" w:sz="6" w:space="0" w:color="auto"/>
              <w:left w:val="single" w:sz="6" w:space="0" w:color="auto"/>
              <w:bottom w:val="single" w:sz="6" w:space="0" w:color="auto"/>
              <w:right w:val="single" w:sz="6" w:space="0" w:color="auto"/>
            </w:tcBorders>
            <w:vAlign w:val="center"/>
          </w:tcPr>
          <w:p w14:paraId="484ABDA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w:t>
            </w:r>
          </w:p>
        </w:tc>
        <w:tc>
          <w:tcPr>
            <w:tcW w:w="0" w:type="auto"/>
            <w:tcBorders>
              <w:top w:val="single" w:sz="6" w:space="0" w:color="auto"/>
              <w:left w:val="single" w:sz="6" w:space="0" w:color="auto"/>
              <w:bottom w:val="single" w:sz="6" w:space="0" w:color="auto"/>
              <w:right w:val="single" w:sz="6" w:space="0" w:color="auto"/>
            </w:tcBorders>
            <w:vAlign w:val="center"/>
          </w:tcPr>
          <w:p w14:paraId="765A558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2.70</w:t>
            </w:r>
          </w:p>
        </w:tc>
        <w:tc>
          <w:tcPr>
            <w:tcW w:w="0" w:type="auto"/>
            <w:tcBorders>
              <w:top w:val="single" w:sz="6" w:space="0" w:color="auto"/>
              <w:left w:val="single" w:sz="6" w:space="0" w:color="auto"/>
              <w:bottom w:val="single" w:sz="6" w:space="0" w:color="auto"/>
              <w:right w:val="single" w:sz="6" w:space="0" w:color="auto"/>
            </w:tcBorders>
            <w:vAlign w:val="center"/>
          </w:tcPr>
          <w:p w14:paraId="028F2BA8"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498A6DD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5EA40E6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6CA1CC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576FF143" w14:textId="77777777" w:rsidTr="00887829">
        <w:tc>
          <w:tcPr>
            <w:tcW w:w="0" w:type="auto"/>
            <w:vMerge/>
            <w:tcBorders>
              <w:left w:val="double" w:sz="4" w:space="0" w:color="auto"/>
              <w:right w:val="single" w:sz="6" w:space="0" w:color="auto"/>
            </w:tcBorders>
            <w:vAlign w:val="center"/>
          </w:tcPr>
          <w:p w14:paraId="671E272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AD1F8B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0" w:type="auto"/>
            <w:tcBorders>
              <w:top w:val="single" w:sz="6" w:space="0" w:color="auto"/>
              <w:left w:val="single" w:sz="6" w:space="0" w:color="auto"/>
              <w:bottom w:val="single" w:sz="6" w:space="0" w:color="auto"/>
              <w:right w:val="single" w:sz="6" w:space="0" w:color="auto"/>
            </w:tcBorders>
            <w:vAlign w:val="center"/>
          </w:tcPr>
          <w:p w14:paraId="343E3DC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21.1</w:t>
            </w:r>
          </w:p>
        </w:tc>
        <w:tc>
          <w:tcPr>
            <w:tcW w:w="0" w:type="auto"/>
            <w:tcBorders>
              <w:top w:val="single" w:sz="6" w:space="0" w:color="auto"/>
              <w:left w:val="single" w:sz="6" w:space="0" w:color="auto"/>
              <w:bottom w:val="single" w:sz="6" w:space="0" w:color="auto"/>
              <w:right w:val="single" w:sz="6" w:space="0" w:color="auto"/>
            </w:tcBorders>
            <w:vAlign w:val="center"/>
          </w:tcPr>
          <w:p w14:paraId="52D4937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2.1</w:t>
            </w:r>
          </w:p>
        </w:tc>
        <w:tc>
          <w:tcPr>
            <w:tcW w:w="0" w:type="auto"/>
            <w:tcBorders>
              <w:top w:val="single" w:sz="6" w:space="0" w:color="auto"/>
              <w:left w:val="single" w:sz="6" w:space="0" w:color="auto"/>
              <w:bottom w:val="single" w:sz="6" w:space="0" w:color="auto"/>
              <w:right w:val="single" w:sz="6" w:space="0" w:color="auto"/>
            </w:tcBorders>
            <w:vAlign w:val="center"/>
          </w:tcPr>
          <w:p w14:paraId="402B3C5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3.52</w:t>
            </w:r>
          </w:p>
        </w:tc>
        <w:tc>
          <w:tcPr>
            <w:tcW w:w="0" w:type="auto"/>
            <w:tcBorders>
              <w:top w:val="single" w:sz="6" w:space="0" w:color="auto"/>
              <w:left w:val="single" w:sz="6" w:space="0" w:color="auto"/>
              <w:bottom w:val="single" w:sz="6" w:space="0" w:color="auto"/>
              <w:right w:val="single" w:sz="6" w:space="0" w:color="auto"/>
            </w:tcBorders>
            <w:vAlign w:val="center"/>
          </w:tcPr>
          <w:p w14:paraId="55B5A659"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4BB83A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18B6063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A194B7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44056093" w14:textId="77777777" w:rsidTr="00887829">
        <w:tc>
          <w:tcPr>
            <w:tcW w:w="0" w:type="auto"/>
            <w:vMerge/>
            <w:tcBorders>
              <w:left w:val="double" w:sz="4" w:space="0" w:color="auto"/>
              <w:right w:val="single" w:sz="6" w:space="0" w:color="auto"/>
            </w:tcBorders>
            <w:vAlign w:val="center"/>
          </w:tcPr>
          <w:p w14:paraId="7C876E8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2A927E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0" w:type="auto"/>
            <w:tcBorders>
              <w:top w:val="single" w:sz="6" w:space="0" w:color="auto"/>
              <w:left w:val="single" w:sz="6" w:space="0" w:color="auto"/>
              <w:bottom w:val="single" w:sz="6" w:space="0" w:color="auto"/>
              <w:right w:val="single" w:sz="6" w:space="0" w:color="auto"/>
            </w:tcBorders>
            <w:vAlign w:val="center"/>
          </w:tcPr>
          <w:p w14:paraId="5E6CE5E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13.4</w:t>
            </w:r>
          </w:p>
        </w:tc>
        <w:tc>
          <w:tcPr>
            <w:tcW w:w="0" w:type="auto"/>
            <w:tcBorders>
              <w:top w:val="single" w:sz="6" w:space="0" w:color="auto"/>
              <w:left w:val="single" w:sz="6" w:space="0" w:color="auto"/>
              <w:bottom w:val="single" w:sz="6" w:space="0" w:color="auto"/>
              <w:right w:val="single" w:sz="6" w:space="0" w:color="auto"/>
            </w:tcBorders>
            <w:vAlign w:val="center"/>
          </w:tcPr>
          <w:p w14:paraId="12BC4A5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1.679</w:t>
            </w:r>
          </w:p>
        </w:tc>
        <w:tc>
          <w:tcPr>
            <w:tcW w:w="0" w:type="auto"/>
            <w:tcBorders>
              <w:top w:val="single" w:sz="6" w:space="0" w:color="auto"/>
              <w:left w:val="single" w:sz="6" w:space="0" w:color="auto"/>
              <w:bottom w:val="single" w:sz="6" w:space="0" w:color="auto"/>
              <w:right w:val="single" w:sz="6" w:space="0" w:color="auto"/>
            </w:tcBorders>
            <w:vAlign w:val="center"/>
          </w:tcPr>
          <w:p w14:paraId="5C7D0F19"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2.9</w:t>
            </w:r>
          </w:p>
        </w:tc>
        <w:tc>
          <w:tcPr>
            <w:tcW w:w="0" w:type="auto"/>
            <w:tcBorders>
              <w:top w:val="single" w:sz="6" w:space="0" w:color="auto"/>
              <w:left w:val="single" w:sz="6" w:space="0" w:color="auto"/>
              <w:bottom w:val="single" w:sz="6" w:space="0" w:color="auto"/>
              <w:right w:val="single" w:sz="6" w:space="0" w:color="auto"/>
            </w:tcBorders>
            <w:vAlign w:val="center"/>
          </w:tcPr>
          <w:p w14:paraId="44B918F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0BFF57E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5DDC1E2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07D5A7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887185E" w14:textId="77777777" w:rsidTr="00887829">
        <w:tc>
          <w:tcPr>
            <w:tcW w:w="0" w:type="auto"/>
            <w:vMerge/>
            <w:tcBorders>
              <w:left w:val="double" w:sz="4" w:space="0" w:color="auto"/>
              <w:right w:val="single" w:sz="6" w:space="0" w:color="auto"/>
            </w:tcBorders>
            <w:vAlign w:val="center"/>
          </w:tcPr>
          <w:p w14:paraId="1D56C83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54B8D2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5E73846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3.41</w:t>
            </w:r>
          </w:p>
        </w:tc>
        <w:tc>
          <w:tcPr>
            <w:tcW w:w="0" w:type="auto"/>
            <w:tcBorders>
              <w:top w:val="single" w:sz="6" w:space="0" w:color="auto"/>
              <w:left w:val="single" w:sz="6" w:space="0" w:color="auto"/>
              <w:bottom w:val="single" w:sz="6" w:space="0" w:color="auto"/>
              <w:right w:val="single" w:sz="6" w:space="0" w:color="auto"/>
            </w:tcBorders>
            <w:vAlign w:val="center"/>
          </w:tcPr>
          <w:p w14:paraId="10AA94A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0.43</w:t>
            </w:r>
          </w:p>
        </w:tc>
        <w:tc>
          <w:tcPr>
            <w:tcW w:w="0" w:type="auto"/>
            <w:tcBorders>
              <w:top w:val="single" w:sz="6" w:space="0" w:color="auto"/>
              <w:left w:val="single" w:sz="6" w:space="0" w:color="auto"/>
              <w:bottom w:val="single" w:sz="6" w:space="0" w:color="auto"/>
              <w:right w:val="single" w:sz="6" w:space="0" w:color="auto"/>
            </w:tcBorders>
            <w:vAlign w:val="center"/>
          </w:tcPr>
          <w:p w14:paraId="7B1641A1"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0.467</w:t>
            </w:r>
          </w:p>
        </w:tc>
        <w:tc>
          <w:tcPr>
            <w:tcW w:w="0" w:type="auto"/>
            <w:tcBorders>
              <w:top w:val="single" w:sz="6" w:space="0" w:color="auto"/>
              <w:left w:val="single" w:sz="6" w:space="0" w:color="auto"/>
              <w:bottom w:val="single" w:sz="6" w:space="0" w:color="auto"/>
              <w:right w:val="single" w:sz="6" w:space="0" w:color="auto"/>
            </w:tcBorders>
            <w:vAlign w:val="center"/>
          </w:tcPr>
          <w:p w14:paraId="1FE0B1B4"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0.011</w:t>
            </w:r>
          </w:p>
        </w:tc>
        <w:tc>
          <w:tcPr>
            <w:tcW w:w="0" w:type="auto"/>
            <w:tcBorders>
              <w:top w:val="single" w:sz="6" w:space="0" w:color="auto"/>
              <w:left w:val="single" w:sz="6" w:space="0" w:color="auto"/>
              <w:bottom w:val="single" w:sz="6" w:space="0" w:color="auto"/>
              <w:right w:val="single" w:sz="6" w:space="0" w:color="auto"/>
            </w:tcBorders>
            <w:vAlign w:val="center"/>
          </w:tcPr>
          <w:p w14:paraId="0A0E15B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0.0922</w:t>
            </w:r>
          </w:p>
        </w:tc>
        <w:tc>
          <w:tcPr>
            <w:tcW w:w="870" w:type="dxa"/>
            <w:tcBorders>
              <w:top w:val="single" w:sz="6" w:space="0" w:color="auto"/>
              <w:left w:val="single" w:sz="6" w:space="0" w:color="auto"/>
              <w:bottom w:val="single" w:sz="6" w:space="0" w:color="auto"/>
              <w:right w:val="single" w:sz="6" w:space="0" w:color="auto"/>
            </w:tcBorders>
            <w:vAlign w:val="center"/>
          </w:tcPr>
          <w:p w14:paraId="5964DB3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D3A818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1BE8B5B5" w14:textId="77777777" w:rsidTr="00887829">
        <w:tc>
          <w:tcPr>
            <w:tcW w:w="0" w:type="auto"/>
            <w:vMerge/>
            <w:tcBorders>
              <w:left w:val="double" w:sz="4" w:space="0" w:color="auto"/>
              <w:right w:val="single" w:sz="6" w:space="0" w:color="auto"/>
            </w:tcBorders>
            <w:vAlign w:val="center"/>
          </w:tcPr>
          <w:p w14:paraId="11BE943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74888B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14B2086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1.67</w:t>
            </w:r>
          </w:p>
        </w:tc>
        <w:tc>
          <w:tcPr>
            <w:tcW w:w="0" w:type="auto"/>
            <w:tcBorders>
              <w:top w:val="single" w:sz="6" w:space="0" w:color="auto"/>
              <w:left w:val="single" w:sz="6" w:space="0" w:color="auto"/>
              <w:bottom w:val="single" w:sz="6" w:space="0" w:color="auto"/>
              <w:right w:val="single" w:sz="6" w:space="0" w:color="auto"/>
            </w:tcBorders>
            <w:vAlign w:val="center"/>
          </w:tcPr>
          <w:p w14:paraId="0CF8760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0.196</w:t>
            </w:r>
          </w:p>
        </w:tc>
        <w:tc>
          <w:tcPr>
            <w:tcW w:w="0" w:type="auto"/>
            <w:tcBorders>
              <w:top w:val="single" w:sz="6" w:space="0" w:color="auto"/>
              <w:left w:val="single" w:sz="6" w:space="0" w:color="auto"/>
              <w:bottom w:val="single" w:sz="6" w:space="0" w:color="auto"/>
              <w:right w:val="single" w:sz="6" w:space="0" w:color="auto"/>
            </w:tcBorders>
            <w:vAlign w:val="center"/>
          </w:tcPr>
          <w:p w14:paraId="32D425D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0.242</w:t>
            </w:r>
          </w:p>
        </w:tc>
        <w:tc>
          <w:tcPr>
            <w:tcW w:w="0" w:type="auto"/>
            <w:tcBorders>
              <w:top w:val="single" w:sz="6" w:space="0" w:color="auto"/>
              <w:left w:val="single" w:sz="6" w:space="0" w:color="auto"/>
              <w:bottom w:val="single" w:sz="6" w:space="0" w:color="auto"/>
              <w:right w:val="single" w:sz="6" w:space="0" w:color="auto"/>
            </w:tcBorders>
            <w:vAlign w:val="center"/>
          </w:tcPr>
          <w:p w14:paraId="0FBC46E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0.006</w:t>
            </w:r>
          </w:p>
        </w:tc>
        <w:tc>
          <w:tcPr>
            <w:tcW w:w="0" w:type="auto"/>
            <w:tcBorders>
              <w:top w:val="single" w:sz="6" w:space="0" w:color="auto"/>
              <w:left w:val="single" w:sz="6" w:space="0" w:color="auto"/>
              <w:bottom w:val="single" w:sz="6" w:space="0" w:color="auto"/>
              <w:right w:val="single" w:sz="6" w:space="0" w:color="auto"/>
            </w:tcBorders>
            <w:vAlign w:val="center"/>
          </w:tcPr>
          <w:p w14:paraId="44F9D72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0.1043</w:t>
            </w:r>
          </w:p>
        </w:tc>
        <w:tc>
          <w:tcPr>
            <w:tcW w:w="870" w:type="dxa"/>
            <w:tcBorders>
              <w:top w:val="single" w:sz="6" w:space="0" w:color="auto"/>
              <w:left w:val="single" w:sz="6" w:space="0" w:color="auto"/>
              <w:bottom w:val="single" w:sz="6" w:space="0" w:color="auto"/>
              <w:right w:val="single" w:sz="6" w:space="0" w:color="auto"/>
            </w:tcBorders>
            <w:vAlign w:val="center"/>
          </w:tcPr>
          <w:p w14:paraId="3FC0B47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ED7E7E9"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3F8CAB93" w14:textId="77777777" w:rsidTr="00887829">
        <w:tc>
          <w:tcPr>
            <w:tcW w:w="0" w:type="auto"/>
            <w:vMerge/>
            <w:tcBorders>
              <w:left w:val="double" w:sz="4" w:space="0" w:color="auto"/>
              <w:right w:val="single" w:sz="6" w:space="0" w:color="auto"/>
            </w:tcBorders>
            <w:vAlign w:val="center"/>
          </w:tcPr>
          <w:p w14:paraId="498F8EFC"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36D362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2FC389D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1.50</w:t>
            </w:r>
          </w:p>
        </w:tc>
        <w:tc>
          <w:tcPr>
            <w:tcW w:w="0" w:type="auto"/>
            <w:tcBorders>
              <w:top w:val="single" w:sz="6" w:space="0" w:color="auto"/>
              <w:left w:val="single" w:sz="6" w:space="0" w:color="auto"/>
              <w:bottom w:val="single" w:sz="6" w:space="0" w:color="auto"/>
              <w:right w:val="single" w:sz="6" w:space="0" w:color="auto"/>
            </w:tcBorders>
            <w:vAlign w:val="center"/>
          </w:tcPr>
          <w:p w14:paraId="7B8C4A8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0.088</w:t>
            </w:r>
          </w:p>
        </w:tc>
        <w:tc>
          <w:tcPr>
            <w:tcW w:w="0" w:type="auto"/>
            <w:tcBorders>
              <w:top w:val="single" w:sz="6" w:space="0" w:color="auto"/>
              <w:left w:val="single" w:sz="6" w:space="0" w:color="auto"/>
              <w:bottom w:val="single" w:sz="6" w:space="0" w:color="auto"/>
              <w:right w:val="single" w:sz="6" w:space="0" w:color="auto"/>
            </w:tcBorders>
            <w:vAlign w:val="center"/>
          </w:tcPr>
          <w:p w14:paraId="50152C09"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0.091</w:t>
            </w:r>
          </w:p>
        </w:tc>
        <w:tc>
          <w:tcPr>
            <w:tcW w:w="0" w:type="auto"/>
            <w:tcBorders>
              <w:top w:val="single" w:sz="6" w:space="0" w:color="auto"/>
              <w:left w:val="single" w:sz="6" w:space="0" w:color="auto"/>
              <w:bottom w:val="single" w:sz="6" w:space="0" w:color="auto"/>
              <w:right w:val="single" w:sz="6" w:space="0" w:color="auto"/>
            </w:tcBorders>
            <w:vAlign w:val="center"/>
          </w:tcPr>
          <w:p w14:paraId="57473840"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6245C71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0.0342</w:t>
            </w:r>
          </w:p>
        </w:tc>
        <w:tc>
          <w:tcPr>
            <w:tcW w:w="870" w:type="dxa"/>
            <w:tcBorders>
              <w:top w:val="single" w:sz="6" w:space="0" w:color="auto"/>
              <w:left w:val="single" w:sz="6" w:space="0" w:color="auto"/>
              <w:bottom w:val="single" w:sz="6" w:space="0" w:color="auto"/>
              <w:right w:val="single" w:sz="6" w:space="0" w:color="auto"/>
            </w:tcBorders>
            <w:vAlign w:val="center"/>
          </w:tcPr>
          <w:p w14:paraId="29F2AC8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DD13FE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1F2A4A5C" w14:textId="77777777" w:rsidTr="00887829">
        <w:tc>
          <w:tcPr>
            <w:tcW w:w="0" w:type="auto"/>
            <w:vMerge/>
            <w:tcBorders>
              <w:left w:val="double" w:sz="4" w:space="0" w:color="auto"/>
              <w:right w:val="single" w:sz="6" w:space="0" w:color="auto"/>
            </w:tcBorders>
            <w:vAlign w:val="center"/>
          </w:tcPr>
          <w:p w14:paraId="129F0484"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97CF4D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49C9175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4290888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3DD22717"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42326FDA"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23F9D78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0.0343</w:t>
            </w:r>
          </w:p>
        </w:tc>
        <w:tc>
          <w:tcPr>
            <w:tcW w:w="870" w:type="dxa"/>
            <w:tcBorders>
              <w:top w:val="single" w:sz="6" w:space="0" w:color="auto"/>
              <w:left w:val="single" w:sz="6" w:space="0" w:color="auto"/>
              <w:bottom w:val="single" w:sz="6" w:space="0" w:color="auto"/>
              <w:right w:val="single" w:sz="6" w:space="0" w:color="auto"/>
            </w:tcBorders>
            <w:vAlign w:val="center"/>
          </w:tcPr>
          <w:p w14:paraId="42CD83D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147EBB4"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5DCAADCB" w14:textId="77777777" w:rsidTr="00887829">
        <w:tc>
          <w:tcPr>
            <w:tcW w:w="0" w:type="auto"/>
            <w:vMerge/>
            <w:tcBorders>
              <w:left w:val="double" w:sz="4" w:space="0" w:color="auto"/>
              <w:right w:val="single" w:sz="6" w:space="0" w:color="auto"/>
            </w:tcBorders>
            <w:vAlign w:val="center"/>
          </w:tcPr>
          <w:p w14:paraId="34736977"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AA1BCF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39DC300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4F2BF2A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6409F17F"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6C8291BD"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681E027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2522E9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5D1D45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4E090AE3" w14:textId="77777777" w:rsidTr="00887829">
        <w:tc>
          <w:tcPr>
            <w:tcW w:w="0" w:type="auto"/>
            <w:vMerge/>
            <w:tcBorders>
              <w:left w:val="double" w:sz="4" w:space="0" w:color="auto"/>
              <w:right w:val="single" w:sz="6" w:space="0" w:color="auto"/>
            </w:tcBorders>
            <w:vAlign w:val="center"/>
          </w:tcPr>
          <w:p w14:paraId="437A2F72"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17AF51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2518600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3329822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A72EB2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05B53BD3"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14C4C7A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5C2BF56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D72894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CF108EB" w14:textId="77777777" w:rsidTr="00887829">
        <w:tc>
          <w:tcPr>
            <w:tcW w:w="0" w:type="auto"/>
            <w:vMerge/>
            <w:tcBorders>
              <w:left w:val="double" w:sz="4" w:space="0" w:color="auto"/>
              <w:right w:val="single" w:sz="6" w:space="0" w:color="auto"/>
            </w:tcBorders>
            <w:vAlign w:val="center"/>
          </w:tcPr>
          <w:p w14:paraId="4BF372BE"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585B96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062701E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2180F86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6BC72A9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52B9B726"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39B413F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4C6F629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82635F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5F45EFF1" w14:textId="77777777" w:rsidTr="00887829">
        <w:tc>
          <w:tcPr>
            <w:tcW w:w="0" w:type="auto"/>
            <w:vMerge/>
            <w:tcBorders>
              <w:left w:val="double" w:sz="4" w:space="0" w:color="auto"/>
              <w:bottom w:val="single" w:sz="6" w:space="0" w:color="auto"/>
              <w:right w:val="single" w:sz="6" w:space="0" w:color="auto"/>
            </w:tcBorders>
            <w:vAlign w:val="center"/>
          </w:tcPr>
          <w:p w14:paraId="65EFDE16" w14:textId="77777777" w:rsidR="00E81C5C" w:rsidRPr="000855B2"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E27CD1B" w14:textId="77777777" w:rsidR="00E81C5C" w:rsidRPr="000855B2"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17F459D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0.53</w:t>
            </w:r>
          </w:p>
        </w:tc>
        <w:tc>
          <w:tcPr>
            <w:tcW w:w="0" w:type="auto"/>
            <w:tcBorders>
              <w:top w:val="single" w:sz="6" w:space="0" w:color="auto"/>
              <w:left w:val="single" w:sz="6" w:space="0" w:color="auto"/>
              <w:bottom w:val="single" w:sz="6" w:space="0" w:color="auto"/>
              <w:right w:val="single" w:sz="6" w:space="0" w:color="auto"/>
            </w:tcBorders>
            <w:vAlign w:val="center"/>
          </w:tcPr>
          <w:p w14:paraId="1427E04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0.048</w:t>
            </w:r>
          </w:p>
        </w:tc>
        <w:tc>
          <w:tcPr>
            <w:tcW w:w="0" w:type="auto"/>
            <w:tcBorders>
              <w:top w:val="single" w:sz="6" w:space="0" w:color="auto"/>
              <w:left w:val="single" w:sz="6" w:space="0" w:color="auto"/>
              <w:bottom w:val="single" w:sz="6" w:space="0" w:color="auto"/>
              <w:right w:val="single" w:sz="6" w:space="0" w:color="auto"/>
            </w:tcBorders>
            <w:vAlign w:val="center"/>
          </w:tcPr>
          <w:p w14:paraId="58D2F235"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0.059</w:t>
            </w:r>
          </w:p>
        </w:tc>
        <w:tc>
          <w:tcPr>
            <w:tcW w:w="0" w:type="auto"/>
            <w:tcBorders>
              <w:top w:val="single" w:sz="6" w:space="0" w:color="auto"/>
              <w:left w:val="single" w:sz="6" w:space="0" w:color="auto"/>
              <w:bottom w:val="single" w:sz="6" w:space="0" w:color="auto"/>
              <w:right w:val="single" w:sz="6" w:space="0" w:color="auto"/>
            </w:tcBorders>
            <w:vAlign w:val="center"/>
          </w:tcPr>
          <w:p w14:paraId="2FA2B7DE" w14:textId="77777777" w:rsidR="00E81C5C" w:rsidRPr="00591951" w:rsidRDefault="00E81C5C" w:rsidP="008231B8">
            <w:pPr>
              <w:autoSpaceDE w:val="0"/>
              <w:autoSpaceDN w:val="0"/>
              <w:adjustRightInd w:val="0"/>
              <w:spacing w:line="240" w:lineRule="auto"/>
              <w:jc w:val="center"/>
              <w:rPr>
                <w:color w:val="000000"/>
                <w:sz w:val="12"/>
                <w:szCs w:val="12"/>
                <w:lang w:val="en-GB"/>
              </w:rPr>
            </w:pPr>
            <w:r w:rsidRPr="00591951">
              <w:rPr>
                <w:color w:val="000000"/>
                <w:sz w:val="12"/>
                <w:szCs w:val="12"/>
                <w:lang w:val="en-GB"/>
              </w:rPr>
              <w:t>0.0013</w:t>
            </w:r>
          </w:p>
        </w:tc>
        <w:tc>
          <w:tcPr>
            <w:tcW w:w="0" w:type="auto"/>
            <w:tcBorders>
              <w:top w:val="single" w:sz="6" w:space="0" w:color="auto"/>
              <w:left w:val="single" w:sz="6" w:space="0" w:color="auto"/>
              <w:bottom w:val="single" w:sz="6" w:space="0" w:color="auto"/>
              <w:right w:val="single" w:sz="6" w:space="0" w:color="auto"/>
            </w:tcBorders>
            <w:vAlign w:val="center"/>
          </w:tcPr>
          <w:p w14:paraId="1074869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0.0123</w:t>
            </w:r>
          </w:p>
        </w:tc>
        <w:tc>
          <w:tcPr>
            <w:tcW w:w="870" w:type="dxa"/>
            <w:tcBorders>
              <w:top w:val="single" w:sz="6" w:space="0" w:color="auto"/>
              <w:left w:val="single" w:sz="6" w:space="0" w:color="auto"/>
              <w:bottom w:val="single" w:sz="6" w:space="0" w:color="auto"/>
              <w:right w:val="single" w:sz="6" w:space="0" w:color="auto"/>
            </w:tcBorders>
            <w:vAlign w:val="center"/>
          </w:tcPr>
          <w:p w14:paraId="615CC2A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EA51C9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3E53A1DE" w14:textId="77777777" w:rsidTr="00887829">
        <w:tc>
          <w:tcPr>
            <w:tcW w:w="0" w:type="auto"/>
            <w:vMerge w:val="restart"/>
            <w:tcBorders>
              <w:top w:val="single" w:sz="6" w:space="0" w:color="auto"/>
              <w:left w:val="double" w:sz="4" w:space="0" w:color="auto"/>
              <w:right w:val="single" w:sz="6" w:space="0" w:color="auto"/>
            </w:tcBorders>
            <w:vAlign w:val="center"/>
          </w:tcPr>
          <w:p w14:paraId="1912E7C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Pr>
                <w:color w:val="000000"/>
                <w:sz w:val="12"/>
                <w:szCs w:val="12"/>
                <w:lang w:val="en-GB"/>
              </w:rPr>
              <w:t>Small</w:t>
            </w:r>
          </w:p>
        </w:tc>
        <w:tc>
          <w:tcPr>
            <w:tcW w:w="0" w:type="auto"/>
            <w:tcBorders>
              <w:top w:val="single" w:sz="6" w:space="0" w:color="auto"/>
              <w:left w:val="single" w:sz="6" w:space="0" w:color="auto"/>
              <w:bottom w:val="single" w:sz="6" w:space="0" w:color="auto"/>
              <w:right w:val="single" w:sz="6" w:space="0" w:color="auto"/>
            </w:tcBorders>
            <w:vAlign w:val="center"/>
          </w:tcPr>
          <w:p w14:paraId="0551FD4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356F6E8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w:t>
            </w:r>
          </w:p>
        </w:tc>
        <w:tc>
          <w:tcPr>
            <w:tcW w:w="0" w:type="auto"/>
            <w:tcBorders>
              <w:top w:val="single" w:sz="6" w:space="0" w:color="auto"/>
              <w:left w:val="single" w:sz="6" w:space="0" w:color="auto"/>
              <w:bottom w:val="single" w:sz="6" w:space="0" w:color="auto"/>
              <w:right w:val="single" w:sz="6" w:space="0" w:color="auto"/>
            </w:tcBorders>
            <w:vAlign w:val="center"/>
          </w:tcPr>
          <w:p w14:paraId="0EF01F0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0.014</w:t>
            </w:r>
          </w:p>
        </w:tc>
        <w:tc>
          <w:tcPr>
            <w:tcW w:w="0" w:type="auto"/>
            <w:tcBorders>
              <w:top w:val="single" w:sz="6" w:space="0" w:color="auto"/>
              <w:left w:val="single" w:sz="6" w:space="0" w:color="auto"/>
              <w:bottom w:val="single" w:sz="6" w:space="0" w:color="auto"/>
              <w:right w:val="single" w:sz="6" w:space="0" w:color="auto"/>
            </w:tcBorders>
            <w:vAlign w:val="center"/>
          </w:tcPr>
          <w:p w14:paraId="2CE38EF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0.58</w:t>
            </w:r>
          </w:p>
        </w:tc>
        <w:tc>
          <w:tcPr>
            <w:tcW w:w="0" w:type="auto"/>
            <w:tcBorders>
              <w:top w:val="single" w:sz="6" w:space="0" w:color="auto"/>
              <w:left w:val="single" w:sz="6" w:space="0" w:color="auto"/>
              <w:bottom w:val="single" w:sz="6" w:space="0" w:color="auto"/>
              <w:right w:val="single" w:sz="6" w:space="0" w:color="auto"/>
            </w:tcBorders>
            <w:vAlign w:val="center"/>
          </w:tcPr>
          <w:p w14:paraId="30F136E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30D4488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5AF06D7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4A44E1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5D2DD55" w14:textId="77777777" w:rsidTr="00887829">
        <w:tc>
          <w:tcPr>
            <w:tcW w:w="0" w:type="auto"/>
            <w:vMerge/>
            <w:tcBorders>
              <w:left w:val="double" w:sz="4" w:space="0" w:color="auto"/>
              <w:right w:val="single" w:sz="6" w:space="0" w:color="auto"/>
            </w:tcBorders>
            <w:vAlign w:val="center"/>
          </w:tcPr>
          <w:p w14:paraId="29758443"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C5FC42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20F5B0E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0C90CE3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2A42BE5D" w14:textId="260FD18A"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w:t>
            </w:r>
            <w:r w:rsidR="00946CCD">
              <w:rPr>
                <w:color w:val="000000"/>
                <w:sz w:val="12"/>
                <w:szCs w:val="12"/>
                <w:lang w:val="en-GB"/>
              </w:rPr>
              <w:t>55</w:t>
            </w:r>
          </w:p>
        </w:tc>
        <w:tc>
          <w:tcPr>
            <w:tcW w:w="0" w:type="auto"/>
            <w:tcBorders>
              <w:top w:val="single" w:sz="6" w:space="0" w:color="auto"/>
              <w:left w:val="single" w:sz="6" w:space="0" w:color="auto"/>
              <w:bottom w:val="single" w:sz="6" w:space="0" w:color="auto"/>
              <w:right w:val="single" w:sz="6" w:space="0" w:color="auto"/>
            </w:tcBorders>
            <w:vAlign w:val="center"/>
          </w:tcPr>
          <w:p w14:paraId="5D8DAEBB"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1F75179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6A161B7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D29C0B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2668B631" w14:textId="77777777" w:rsidTr="00887829">
        <w:tc>
          <w:tcPr>
            <w:tcW w:w="0" w:type="auto"/>
            <w:vMerge/>
            <w:tcBorders>
              <w:left w:val="double" w:sz="4" w:space="0" w:color="auto"/>
              <w:right w:val="single" w:sz="6" w:space="0" w:color="auto"/>
            </w:tcBorders>
            <w:vAlign w:val="center"/>
          </w:tcPr>
          <w:p w14:paraId="3581F034"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4E8CB2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01C5EC2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2101B0B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58E4614D" w14:textId="5AC8EF5A"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w:t>
            </w:r>
            <w:r w:rsidR="00946CCD">
              <w:rPr>
                <w:color w:val="000000"/>
                <w:sz w:val="12"/>
                <w:szCs w:val="12"/>
                <w:lang w:val="en-GB"/>
              </w:rPr>
              <w:t>45</w:t>
            </w:r>
          </w:p>
        </w:tc>
        <w:tc>
          <w:tcPr>
            <w:tcW w:w="0" w:type="auto"/>
            <w:tcBorders>
              <w:top w:val="single" w:sz="6" w:space="0" w:color="auto"/>
              <w:left w:val="single" w:sz="6" w:space="0" w:color="auto"/>
              <w:bottom w:val="single" w:sz="6" w:space="0" w:color="auto"/>
              <w:right w:val="single" w:sz="6" w:space="0" w:color="auto"/>
            </w:tcBorders>
            <w:vAlign w:val="center"/>
          </w:tcPr>
          <w:p w14:paraId="4C75A023"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78D3E6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609FA72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7DD0DD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3425C96" w14:textId="77777777" w:rsidTr="00887829">
        <w:tc>
          <w:tcPr>
            <w:tcW w:w="0" w:type="auto"/>
            <w:vMerge/>
            <w:tcBorders>
              <w:left w:val="double" w:sz="4" w:space="0" w:color="auto"/>
              <w:right w:val="single" w:sz="6" w:space="0" w:color="auto"/>
            </w:tcBorders>
            <w:vAlign w:val="center"/>
          </w:tcPr>
          <w:p w14:paraId="1A223B69"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E4DFB2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00A97A2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00C053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6D3F29F5" w14:textId="67D9DA92"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0.3</w:t>
            </w:r>
            <w:r w:rsidR="00946CCD">
              <w:rPr>
                <w:color w:val="000000"/>
                <w:sz w:val="12"/>
                <w:szCs w:val="12"/>
                <w:lang w:val="en-GB"/>
              </w:rPr>
              <w:t>5</w:t>
            </w:r>
          </w:p>
        </w:tc>
        <w:tc>
          <w:tcPr>
            <w:tcW w:w="0" w:type="auto"/>
            <w:tcBorders>
              <w:top w:val="single" w:sz="6" w:space="0" w:color="auto"/>
              <w:left w:val="single" w:sz="6" w:space="0" w:color="auto"/>
              <w:bottom w:val="single" w:sz="6" w:space="0" w:color="auto"/>
              <w:right w:val="single" w:sz="6" w:space="0" w:color="auto"/>
            </w:tcBorders>
            <w:vAlign w:val="center"/>
          </w:tcPr>
          <w:p w14:paraId="2B399A98"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BEC8AD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1C96465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C1596A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08618409" w14:textId="77777777" w:rsidTr="00887829">
        <w:tc>
          <w:tcPr>
            <w:tcW w:w="0" w:type="auto"/>
            <w:vMerge/>
            <w:tcBorders>
              <w:left w:val="double" w:sz="4" w:space="0" w:color="auto"/>
              <w:bottom w:val="single" w:sz="6" w:space="0" w:color="auto"/>
              <w:right w:val="single" w:sz="6" w:space="0" w:color="auto"/>
            </w:tcBorders>
            <w:vAlign w:val="center"/>
          </w:tcPr>
          <w:p w14:paraId="53E6DC5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AA05E4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554CE39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01C3FAF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0.010</w:t>
            </w:r>
          </w:p>
        </w:tc>
        <w:tc>
          <w:tcPr>
            <w:tcW w:w="0" w:type="auto"/>
            <w:tcBorders>
              <w:top w:val="single" w:sz="6" w:space="0" w:color="auto"/>
              <w:left w:val="single" w:sz="6" w:space="0" w:color="auto"/>
              <w:bottom w:val="single" w:sz="6" w:space="0" w:color="auto"/>
              <w:right w:val="single" w:sz="6" w:space="0" w:color="auto"/>
            </w:tcBorders>
            <w:vAlign w:val="center"/>
          </w:tcPr>
          <w:p w14:paraId="56807B4C" w14:textId="0E7AD848"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0.1</w:t>
            </w:r>
            <w:r w:rsidR="00946CCD">
              <w:rPr>
                <w:color w:val="000000"/>
                <w:sz w:val="12"/>
                <w:szCs w:val="12"/>
                <w:lang w:val="en-GB"/>
              </w:rPr>
              <w:t>7</w:t>
            </w:r>
          </w:p>
        </w:tc>
        <w:tc>
          <w:tcPr>
            <w:tcW w:w="0" w:type="auto"/>
            <w:tcBorders>
              <w:top w:val="single" w:sz="6" w:space="0" w:color="auto"/>
              <w:left w:val="single" w:sz="6" w:space="0" w:color="auto"/>
              <w:bottom w:val="single" w:sz="6" w:space="0" w:color="auto"/>
              <w:right w:val="single" w:sz="6" w:space="0" w:color="auto"/>
            </w:tcBorders>
            <w:vAlign w:val="center"/>
          </w:tcPr>
          <w:p w14:paraId="1A070614"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1A80F43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6026091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E36D3A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6F4440E3" w14:textId="77777777" w:rsidTr="00887829">
        <w:tc>
          <w:tcPr>
            <w:tcW w:w="0" w:type="auto"/>
            <w:vMerge w:val="restart"/>
            <w:tcBorders>
              <w:top w:val="single" w:sz="6" w:space="0" w:color="auto"/>
              <w:left w:val="double" w:sz="4" w:space="0" w:color="auto"/>
              <w:right w:val="single" w:sz="6" w:space="0" w:color="auto"/>
            </w:tcBorders>
            <w:vAlign w:val="center"/>
          </w:tcPr>
          <w:p w14:paraId="2012F7C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Pr>
                <w:color w:val="000000"/>
                <w:sz w:val="12"/>
                <w:szCs w:val="12"/>
                <w:lang w:val="en-GB"/>
              </w:rPr>
              <w:t>Medium</w:t>
            </w:r>
          </w:p>
        </w:tc>
        <w:tc>
          <w:tcPr>
            <w:tcW w:w="0" w:type="auto"/>
            <w:tcBorders>
              <w:top w:val="single" w:sz="6" w:space="0" w:color="auto"/>
              <w:left w:val="single" w:sz="6" w:space="0" w:color="auto"/>
              <w:bottom w:val="single" w:sz="6" w:space="0" w:color="auto"/>
              <w:right w:val="single" w:sz="6" w:space="0" w:color="auto"/>
            </w:tcBorders>
            <w:vAlign w:val="center"/>
          </w:tcPr>
          <w:p w14:paraId="12B7809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24CC82F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0.688</w:t>
            </w:r>
          </w:p>
        </w:tc>
        <w:tc>
          <w:tcPr>
            <w:tcW w:w="0" w:type="auto"/>
            <w:tcBorders>
              <w:top w:val="single" w:sz="6" w:space="0" w:color="auto"/>
              <w:left w:val="single" w:sz="6" w:space="0" w:color="auto"/>
              <w:bottom w:val="single" w:sz="6" w:space="0" w:color="auto"/>
              <w:right w:val="single" w:sz="6" w:space="0" w:color="auto"/>
            </w:tcBorders>
            <w:vAlign w:val="center"/>
          </w:tcPr>
          <w:p w14:paraId="54C8DEF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0.159</w:t>
            </w:r>
          </w:p>
        </w:tc>
        <w:tc>
          <w:tcPr>
            <w:tcW w:w="0" w:type="auto"/>
            <w:tcBorders>
              <w:top w:val="single" w:sz="6" w:space="0" w:color="auto"/>
              <w:left w:val="single" w:sz="6" w:space="0" w:color="auto"/>
              <w:bottom w:val="single" w:sz="6" w:space="0" w:color="auto"/>
              <w:right w:val="single" w:sz="6" w:space="0" w:color="auto"/>
            </w:tcBorders>
            <w:vAlign w:val="center"/>
          </w:tcPr>
          <w:p w14:paraId="391FCF5A"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0.546</w:t>
            </w:r>
          </w:p>
        </w:tc>
        <w:tc>
          <w:tcPr>
            <w:tcW w:w="0" w:type="auto"/>
            <w:tcBorders>
              <w:top w:val="single" w:sz="6" w:space="0" w:color="auto"/>
              <w:left w:val="single" w:sz="6" w:space="0" w:color="auto"/>
              <w:bottom w:val="single" w:sz="6" w:space="0" w:color="auto"/>
              <w:right w:val="single" w:sz="6" w:space="0" w:color="auto"/>
            </w:tcBorders>
            <w:vAlign w:val="center"/>
          </w:tcPr>
          <w:p w14:paraId="14628D0F"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w:t>
            </w:r>
          </w:p>
        </w:tc>
        <w:tc>
          <w:tcPr>
            <w:tcW w:w="0" w:type="auto"/>
            <w:tcBorders>
              <w:top w:val="single" w:sz="6" w:space="0" w:color="auto"/>
              <w:left w:val="single" w:sz="6" w:space="0" w:color="auto"/>
              <w:bottom w:val="single" w:sz="6" w:space="0" w:color="auto"/>
              <w:right w:val="single" w:sz="6" w:space="0" w:color="auto"/>
            </w:tcBorders>
            <w:vAlign w:val="center"/>
          </w:tcPr>
          <w:p w14:paraId="23CA385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1FE11F4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A7AACCF"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5C9F181" w14:textId="77777777" w:rsidTr="00887829">
        <w:tc>
          <w:tcPr>
            <w:tcW w:w="0" w:type="auto"/>
            <w:vMerge/>
            <w:tcBorders>
              <w:left w:val="double" w:sz="4" w:space="0" w:color="auto"/>
              <w:right w:val="single" w:sz="6" w:space="0" w:color="auto"/>
            </w:tcBorders>
            <w:vAlign w:val="center"/>
          </w:tcPr>
          <w:p w14:paraId="287A2D71"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22E0DF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6BDA5BE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0.414</w:t>
            </w:r>
          </w:p>
        </w:tc>
        <w:tc>
          <w:tcPr>
            <w:tcW w:w="0" w:type="auto"/>
            <w:tcBorders>
              <w:top w:val="single" w:sz="6" w:space="0" w:color="auto"/>
              <w:left w:val="single" w:sz="6" w:space="0" w:color="auto"/>
              <w:bottom w:val="single" w:sz="6" w:space="0" w:color="auto"/>
              <w:right w:val="single" w:sz="6" w:space="0" w:color="auto"/>
            </w:tcBorders>
            <w:vAlign w:val="center"/>
          </w:tcPr>
          <w:p w14:paraId="330475F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0.047</w:t>
            </w:r>
          </w:p>
        </w:tc>
        <w:tc>
          <w:tcPr>
            <w:tcW w:w="0" w:type="auto"/>
            <w:tcBorders>
              <w:top w:val="single" w:sz="6" w:space="0" w:color="auto"/>
              <w:left w:val="single" w:sz="6" w:space="0" w:color="auto"/>
              <w:bottom w:val="single" w:sz="6" w:space="0" w:color="auto"/>
              <w:right w:val="single" w:sz="6" w:space="0" w:color="auto"/>
            </w:tcBorders>
            <w:vAlign w:val="center"/>
          </w:tcPr>
          <w:p w14:paraId="4D2EAF31"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0.690</w:t>
            </w:r>
          </w:p>
        </w:tc>
        <w:tc>
          <w:tcPr>
            <w:tcW w:w="0" w:type="auto"/>
            <w:tcBorders>
              <w:top w:val="single" w:sz="6" w:space="0" w:color="auto"/>
              <w:left w:val="single" w:sz="6" w:space="0" w:color="auto"/>
              <w:bottom w:val="single" w:sz="6" w:space="0" w:color="auto"/>
              <w:right w:val="single" w:sz="6" w:space="0" w:color="auto"/>
            </w:tcBorders>
            <w:vAlign w:val="center"/>
          </w:tcPr>
          <w:p w14:paraId="1303CD8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0.003</w:t>
            </w:r>
          </w:p>
        </w:tc>
        <w:tc>
          <w:tcPr>
            <w:tcW w:w="0" w:type="auto"/>
            <w:tcBorders>
              <w:top w:val="single" w:sz="6" w:space="0" w:color="auto"/>
              <w:left w:val="single" w:sz="6" w:space="0" w:color="auto"/>
              <w:bottom w:val="single" w:sz="6" w:space="0" w:color="auto"/>
              <w:right w:val="single" w:sz="6" w:space="0" w:color="auto"/>
            </w:tcBorders>
            <w:vAlign w:val="center"/>
          </w:tcPr>
          <w:p w14:paraId="13F1A9D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390E3EA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2857AE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79161598" w14:textId="77777777" w:rsidTr="00887829">
        <w:tc>
          <w:tcPr>
            <w:tcW w:w="0" w:type="auto"/>
            <w:vMerge/>
            <w:tcBorders>
              <w:left w:val="double" w:sz="4" w:space="0" w:color="auto"/>
              <w:right w:val="single" w:sz="6" w:space="0" w:color="auto"/>
            </w:tcBorders>
            <w:vAlign w:val="center"/>
          </w:tcPr>
          <w:p w14:paraId="2F428AD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6D58E6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69C4207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0.296</w:t>
            </w:r>
          </w:p>
        </w:tc>
        <w:tc>
          <w:tcPr>
            <w:tcW w:w="0" w:type="auto"/>
            <w:tcBorders>
              <w:top w:val="single" w:sz="6" w:space="0" w:color="auto"/>
              <w:left w:val="single" w:sz="6" w:space="0" w:color="auto"/>
              <w:bottom w:val="single" w:sz="6" w:space="0" w:color="auto"/>
              <w:right w:val="single" w:sz="6" w:space="0" w:color="auto"/>
            </w:tcBorders>
            <w:vAlign w:val="center"/>
          </w:tcPr>
          <w:p w14:paraId="241F41E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0.035</w:t>
            </w:r>
          </w:p>
        </w:tc>
        <w:tc>
          <w:tcPr>
            <w:tcW w:w="0" w:type="auto"/>
            <w:tcBorders>
              <w:top w:val="single" w:sz="6" w:space="0" w:color="auto"/>
              <w:left w:val="single" w:sz="6" w:space="0" w:color="auto"/>
              <w:bottom w:val="single" w:sz="6" w:space="0" w:color="auto"/>
              <w:right w:val="single" w:sz="6" w:space="0" w:color="auto"/>
            </w:tcBorders>
            <w:vAlign w:val="center"/>
          </w:tcPr>
          <w:p w14:paraId="5E307410"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0.716</w:t>
            </w:r>
          </w:p>
        </w:tc>
        <w:tc>
          <w:tcPr>
            <w:tcW w:w="0" w:type="auto"/>
            <w:tcBorders>
              <w:top w:val="single" w:sz="6" w:space="0" w:color="auto"/>
              <w:left w:val="single" w:sz="6" w:space="0" w:color="auto"/>
              <w:bottom w:val="single" w:sz="6" w:space="0" w:color="auto"/>
              <w:right w:val="single" w:sz="6" w:space="0" w:color="auto"/>
            </w:tcBorders>
            <w:vAlign w:val="center"/>
          </w:tcPr>
          <w:p w14:paraId="03E183A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0.005</w:t>
            </w:r>
          </w:p>
        </w:tc>
        <w:tc>
          <w:tcPr>
            <w:tcW w:w="0" w:type="auto"/>
            <w:tcBorders>
              <w:top w:val="single" w:sz="6" w:space="0" w:color="auto"/>
              <w:left w:val="single" w:sz="6" w:space="0" w:color="auto"/>
              <w:bottom w:val="single" w:sz="6" w:space="0" w:color="auto"/>
              <w:right w:val="single" w:sz="6" w:space="0" w:color="auto"/>
            </w:tcBorders>
            <w:vAlign w:val="center"/>
          </w:tcPr>
          <w:p w14:paraId="7D84381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5469B54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65D6C7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43F9B8CA" w14:textId="77777777" w:rsidTr="00887829">
        <w:tc>
          <w:tcPr>
            <w:tcW w:w="0" w:type="auto"/>
            <w:vMerge/>
            <w:tcBorders>
              <w:left w:val="double" w:sz="4" w:space="0" w:color="auto"/>
              <w:right w:val="single" w:sz="6" w:space="0" w:color="auto"/>
            </w:tcBorders>
            <w:vAlign w:val="center"/>
          </w:tcPr>
          <w:p w14:paraId="5F4773CF"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332B55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5B6304E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0.089</w:t>
            </w:r>
          </w:p>
        </w:tc>
        <w:tc>
          <w:tcPr>
            <w:tcW w:w="0" w:type="auto"/>
            <w:tcBorders>
              <w:top w:val="single" w:sz="6" w:space="0" w:color="auto"/>
              <w:left w:val="single" w:sz="6" w:space="0" w:color="auto"/>
              <w:bottom w:val="single" w:sz="6" w:space="0" w:color="auto"/>
              <w:right w:val="single" w:sz="6" w:space="0" w:color="auto"/>
            </w:tcBorders>
            <w:vAlign w:val="center"/>
          </w:tcPr>
          <w:p w14:paraId="00C0AE6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0.02</w:t>
            </w:r>
          </w:p>
        </w:tc>
        <w:tc>
          <w:tcPr>
            <w:tcW w:w="0" w:type="auto"/>
            <w:tcBorders>
              <w:top w:val="single" w:sz="6" w:space="0" w:color="auto"/>
              <w:left w:val="single" w:sz="6" w:space="0" w:color="auto"/>
              <w:bottom w:val="single" w:sz="6" w:space="0" w:color="auto"/>
              <w:right w:val="single" w:sz="6" w:space="0" w:color="auto"/>
            </w:tcBorders>
            <w:vAlign w:val="center"/>
          </w:tcPr>
          <w:p w14:paraId="7AF03328"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0.773</w:t>
            </w:r>
          </w:p>
        </w:tc>
        <w:tc>
          <w:tcPr>
            <w:tcW w:w="0" w:type="auto"/>
            <w:tcBorders>
              <w:top w:val="single" w:sz="6" w:space="0" w:color="auto"/>
              <w:left w:val="single" w:sz="6" w:space="0" w:color="auto"/>
              <w:bottom w:val="single" w:sz="6" w:space="0" w:color="auto"/>
              <w:right w:val="single" w:sz="6" w:space="0" w:color="auto"/>
            </w:tcBorders>
            <w:vAlign w:val="center"/>
          </w:tcPr>
          <w:p w14:paraId="6BE7822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0.007</w:t>
            </w:r>
          </w:p>
        </w:tc>
        <w:tc>
          <w:tcPr>
            <w:tcW w:w="0" w:type="auto"/>
            <w:tcBorders>
              <w:top w:val="single" w:sz="6" w:space="0" w:color="auto"/>
              <w:left w:val="single" w:sz="6" w:space="0" w:color="auto"/>
              <w:bottom w:val="single" w:sz="6" w:space="0" w:color="auto"/>
              <w:right w:val="single" w:sz="6" w:space="0" w:color="auto"/>
            </w:tcBorders>
            <w:vAlign w:val="center"/>
          </w:tcPr>
          <w:p w14:paraId="2B7860C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44260AC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277AB77"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28CA0CFB" w14:textId="77777777" w:rsidTr="00887829">
        <w:tc>
          <w:tcPr>
            <w:tcW w:w="0" w:type="auto"/>
            <w:vMerge/>
            <w:tcBorders>
              <w:left w:val="double" w:sz="4" w:space="0" w:color="auto"/>
              <w:right w:val="single" w:sz="6" w:space="0" w:color="auto"/>
            </w:tcBorders>
            <w:vAlign w:val="center"/>
          </w:tcPr>
          <w:p w14:paraId="5E32FEF1"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56B410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5EABD0A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w:t>
            </w:r>
          </w:p>
        </w:tc>
        <w:tc>
          <w:tcPr>
            <w:tcW w:w="0" w:type="auto"/>
            <w:tcBorders>
              <w:top w:val="single" w:sz="6" w:space="0" w:color="auto"/>
              <w:left w:val="single" w:sz="6" w:space="0" w:color="auto"/>
              <w:bottom w:val="single" w:sz="6" w:space="0" w:color="auto"/>
              <w:right w:val="single" w:sz="6" w:space="0" w:color="auto"/>
            </w:tcBorders>
            <w:vAlign w:val="center"/>
          </w:tcPr>
          <w:p w14:paraId="0070D90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0.014</w:t>
            </w:r>
          </w:p>
        </w:tc>
        <w:tc>
          <w:tcPr>
            <w:tcW w:w="0" w:type="auto"/>
            <w:tcBorders>
              <w:top w:val="single" w:sz="6" w:space="0" w:color="auto"/>
              <w:left w:val="single" w:sz="6" w:space="0" w:color="auto"/>
              <w:bottom w:val="single" w:sz="6" w:space="0" w:color="auto"/>
              <w:right w:val="single" w:sz="6" w:space="0" w:color="auto"/>
            </w:tcBorders>
            <w:vAlign w:val="center"/>
          </w:tcPr>
          <w:p w14:paraId="0442E87E"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0.58</w:t>
            </w:r>
          </w:p>
        </w:tc>
        <w:tc>
          <w:tcPr>
            <w:tcW w:w="0" w:type="auto"/>
            <w:tcBorders>
              <w:top w:val="single" w:sz="6" w:space="0" w:color="auto"/>
              <w:left w:val="single" w:sz="6" w:space="0" w:color="auto"/>
              <w:bottom w:val="single" w:sz="6" w:space="0" w:color="auto"/>
              <w:right w:val="single" w:sz="6" w:space="0" w:color="auto"/>
            </w:tcBorders>
            <w:vAlign w:val="center"/>
          </w:tcPr>
          <w:p w14:paraId="15DDE26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7C44147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5AD31CB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0027186"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946CCD" w:rsidRPr="000855B2" w14:paraId="57351FB5" w14:textId="77777777" w:rsidTr="00887829">
        <w:tc>
          <w:tcPr>
            <w:tcW w:w="0" w:type="auto"/>
            <w:vMerge/>
            <w:tcBorders>
              <w:left w:val="double" w:sz="4" w:space="0" w:color="auto"/>
              <w:right w:val="single" w:sz="6" w:space="0" w:color="auto"/>
            </w:tcBorders>
            <w:vAlign w:val="center"/>
          </w:tcPr>
          <w:p w14:paraId="6A60B0DA"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A6D99D4"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79B30C70"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64F12E41"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13886056" w14:textId="2BF6DC11" w:rsidR="00946CCD" w:rsidRPr="00FC6D86"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w:t>
            </w:r>
            <w:r>
              <w:rPr>
                <w:color w:val="000000"/>
                <w:sz w:val="12"/>
                <w:szCs w:val="12"/>
                <w:lang w:val="en-GB"/>
              </w:rPr>
              <w:t>55</w:t>
            </w:r>
          </w:p>
        </w:tc>
        <w:tc>
          <w:tcPr>
            <w:tcW w:w="0" w:type="auto"/>
            <w:tcBorders>
              <w:top w:val="single" w:sz="6" w:space="0" w:color="auto"/>
              <w:left w:val="single" w:sz="6" w:space="0" w:color="auto"/>
              <w:bottom w:val="single" w:sz="6" w:space="0" w:color="auto"/>
              <w:right w:val="single" w:sz="6" w:space="0" w:color="auto"/>
            </w:tcBorders>
            <w:vAlign w:val="center"/>
          </w:tcPr>
          <w:p w14:paraId="71E48C38"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67E43D66"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3A14520A"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89C1742"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0C130234" w14:textId="77777777" w:rsidTr="00887829">
        <w:tc>
          <w:tcPr>
            <w:tcW w:w="0" w:type="auto"/>
            <w:vMerge/>
            <w:tcBorders>
              <w:left w:val="double" w:sz="4" w:space="0" w:color="auto"/>
              <w:right w:val="single" w:sz="6" w:space="0" w:color="auto"/>
            </w:tcBorders>
            <w:vAlign w:val="center"/>
          </w:tcPr>
          <w:p w14:paraId="2C0E4FB4"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C1463EA"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7549D255"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2C170E47"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0B8B75F7" w14:textId="7CF2943B"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w:t>
            </w:r>
            <w:r>
              <w:rPr>
                <w:color w:val="000000"/>
                <w:sz w:val="12"/>
                <w:szCs w:val="12"/>
                <w:lang w:val="en-GB"/>
              </w:rPr>
              <w:t>45</w:t>
            </w:r>
          </w:p>
        </w:tc>
        <w:tc>
          <w:tcPr>
            <w:tcW w:w="0" w:type="auto"/>
            <w:tcBorders>
              <w:top w:val="single" w:sz="6" w:space="0" w:color="auto"/>
              <w:left w:val="single" w:sz="6" w:space="0" w:color="auto"/>
              <w:bottom w:val="single" w:sz="6" w:space="0" w:color="auto"/>
              <w:right w:val="single" w:sz="6" w:space="0" w:color="auto"/>
            </w:tcBorders>
            <w:vAlign w:val="center"/>
          </w:tcPr>
          <w:p w14:paraId="003932BE"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2D5C445E"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47B79D78"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A20EC38"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565978ED" w14:textId="77777777" w:rsidTr="00887829">
        <w:tc>
          <w:tcPr>
            <w:tcW w:w="0" w:type="auto"/>
            <w:vMerge/>
            <w:tcBorders>
              <w:left w:val="double" w:sz="4" w:space="0" w:color="auto"/>
              <w:right w:val="single" w:sz="6" w:space="0" w:color="auto"/>
            </w:tcBorders>
            <w:vAlign w:val="center"/>
          </w:tcPr>
          <w:p w14:paraId="504840E8"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EEEF113"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2FA35C37"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29157CA1"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385AED61" w14:textId="1F4E1BE1"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0.3</w:t>
            </w:r>
            <w:r>
              <w:rPr>
                <w:color w:val="000000"/>
                <w:sz w:val="12"/>
                <w:szCs w:val="12"/>
                <w:lang w:val="en-GB"/>
              </w:rPr>
              <w:t>5</w:t>
            </w:r>
          </w:p>
        </w:tc>
        <w:tc>
          <w:tcPr>
            <w:tcW w:w="0" w:type="auto"/>
            <w:tcBorders>
              <w:top w:val="single" w:sz="6" w:space="0" w:color="auto"/>
              <w:left w:val="single" w:sz="6" w:space="0" w:color="auto"/>
              <w:bottom w:val="single" w:sz="6" w:space="0" w:color="auto"/>
              <w:right w:val="single" w:sz="6" w:space="0" w:color="auto"/>
            </w:tcBorders>
            <w:vAlign w:val="center"/>
          </w:tcPr>
          <w:p w14:paraId="13516142"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340CCB3D"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69DDA7B8"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7781F66"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5ECC90CC" w14:textId="77777777" w:rsidTr="00887829">
        <w:tc>
          <w:tcPr>
            <w:tcW w:w="0" w:type="auto"/>
            <w:vMerge/>
            <w:tcBorders>
              <w:left w:val="double" w:sz="4" w:space="0" w:color="auto"/>
              <w:bottom w:val="single" w:sz="6" w:space="0" w:color="auto"/>
              <w:right w:val="single" w:sz="6" w:space="0" w:color="auto"/>
            </w:tcBorders>
            <w:vAlign w:val="center"/>
          </w:tcPr>
          <w:p w14:paraId="4180F317"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AFA8EC7"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49441E77"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5551A195"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37B0AF9D" w14:textId="19CDBAE2"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0.1</w:t>
            </w:r>
            <w:r>
              <w:rPr>
                <w:color w:val="000000"/>
                <w:sz w:val="12"/>
                <w:szCs w:val="12"/>
                <w:lang w:val="en-GB"/>
              </w:rPr>
              <w:t>7</w:t>
            </w:r>
          </w:p>
        </w:tc>
        <w:tc>
          <w:tcPr>
            <w:tcW w:w="0" w:type="auto"/>
            <w:tcBorders>
              <w:top w:val="single" w:sz="6" w:space="0" w:color="auto"/>
              <w:left w:val="single" w:sz="6" w:space="0" w:color="auto"/>
              <w:bottom w:val="single" w:sz="6" w:space="0" w:color="auto"/>
              <w:right w:val="single" w:sz="6" w:space="0" w:color="auto"/>
            </w:tcBorders>
            <w:vAlign w:val="center"/>
          </w:tcPr>
          <w:p w14:paraId="104DF5C0"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19D986D1"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4915BF04"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24DD40B"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E81C5C" w:rsidRPr="000855B2" w14:paraId="1E6CA5AD" w14:textId="77777777" w:rsidTr="00887829">
        <w:tc>
          <w:tcPr>
            <w:tcW w:w="0" w:type="auto"/>
            <w:vMerge w:val="restart"/>
            <w:tcBorders>
              <w:top w:val="single" w:sz="6" w:space="0" w:color="auto"/>
              <w:left w:val="double" w:sz="4" w:space="0" w:color="auto"/>
              <w:right w:val="single" w:sz="6" w:space="0" w:color="auto"/>
            </w:tcBorders>
            <w:vAlign w:val="center"/>
          </w:tcPr>
          <w:p w14:paraId="68DBC40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Pr>
                <w:color w:val="000000"/>
                <w:sz w:val="12"/>
                <w:szCs w:val="12"/>
                <w:lang w:val="en-GB"/>
              </w:rPr>
              <w:t>Large-SUV-Executive</w:t>
            </w:r>
          </w:p>
        </w:tc>
        <w:tc>
          <w:tcPr>
            <w:tcW w:w="0" w:type="auto"/>
            <w:tcBorders>
              <w:top w:val="single" w:sz="6" w:space="0" w:color="auto"/>
              <w:left w:val="single" w:sz="6" w:space="0" w:color="auto"/>
              <w:bottom w:val="single" w:sz="6" w:space="0" w:color="auto"/>
              <w:right w:val="single" w:sz="6" w:space="0" w:color="auto"/>
            </w:tcBorders>
            <w:vAlign w:val="center"/>
          </w:tcPr>
          <w:p w14:paraId="51FC9CF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631F31D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0.688</w:t>
            </w:r>
          </w:p>
        </w:tc>
        <w:tc>
          <w:tcPr>
            <w:tcW w:w="0" w:type="auto"/>
            <w:tcBorders>
              <w:top w:val="single" w:sz="6" w:space="0" w:color="auto"/>
              <w:left w:val="single" w:sz="6" w:space="0" w:color="auto"/>
              <w:bottom w:val="single" w:sz="6" w:space="0" w:color="auto"/>
              <w:right w:val="single" w:sz="6" w:space="0" w:color="auto"/>
            </w:tcBorders>
            <w:vAlign w:val="center"/>
          </w:tcPr>
          <w:p w14:paraId="3EC8953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0.159</w:t>
            </w:r>
          </w:p>
        </w:tc>
        <w:tc>
          <w:tcPr>
            <w:tcW w:w="0" w:type="auto"/>
            <w:tcBorders>
              <w:top w:val="single" w:sz="6" w:space="0" w:color="auto"/>
              <w:left w:val="single" w:sz="6" w:space="0" w:color="auto"/>
              <w:bottom w:val="single" w:sz="6" w:space="0" w:color="auto"/>
              <w:right w:val="single" w:sz="6" w:space="0" w:color="auto"/>
            </w:tcBorders>
            <w:vAlign w:val="center"/>
          </w:tcPr>
          <w:p w14:paraId="301260F0"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0.87</w:t>
            </w:r>
          </w:p>
        </w:tc>
        <w:tc>
          <w:tcPr>
            <w:tcW w:w="0" w:type="auto"/>
            <w:tcBorders>
              <w:top w:val="single" w:sz="6" w:space="0" w:color="auto"/>
              <w:left w:val="single" w:sz="6" w:space="0" w:color="auto"/>
              <w:bottom w:val="single" w:sz="6" w:space="0" w:color="auto"/>
              <w:right w:val="single" w:sz="6" w:space="0" w:color="auto"/>
            </w:tcBorders>
            <w:vAlign w:val="center"/>
          </w:tcPr>
          <w:p w14:paraId="4C1DA2DD"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w:t>
            </w:r>
          </w:p>
        </w:tc>
        <w:tc>
          <w:tcPr>
            <w:tcW w:w="0" w:type="auto"/>
            <w:tcBorders>
              <w:top w:val="single" w:sz="6" w:space="0" w:color="auto"/>
              <w:left w:val="single" w:sz="6" w:space="0" w:color="auto"/>
              <w:bottom w:val="single" w:sz="6" w:space="0" w:color="auto"/>
              <w:right w:val="single" w:sz="6" w:space="0" w:color="auto"/>
            </w:tcBorders>
            <w:vAlign w:val="center"/>
          </w:tcPr>
          <w:p w14:paraId="27FDE3A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5213890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27CF26A"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01CF6F66" w14:textId="77777777" w:rsidTr="00887829">
        <w:tc>
          <w:tcPr>
            <w:tcW w:w="0" w:type="auto"/>
            <w:vMerge/>
            <w:tcBorders>
              <w:left w:val="double" w:sz="4" w:space="0" w:color="auto"/>
              <w:right w:val="single" w:sz="6" w:space="0" w:color="auto"/>
            </w:tcBorders>
            <w:vAlign w:val="center"/>
          </w:tcPr>
          <w:p w14:paraId="491C972B"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8E024B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79EE318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0.414</w:t>
            </w:r>
          </w:p>
        </w:tc>
        <w:tc>
          <w:tcPr>
            <w:tcW w:w="0" w:type="auto"/>
            <w:tcBorders>
              <w:top w:val="single" w:sz="6" w:space="0" w:color="auto"/>
              <w:left w:val="single" w:sz="6" w:space="0" w:color="auto"/>
              <w:bottom w:val="single" w:sz="6" w:space="0" w:color="auto"/>
              <w:right w:val="single" w:sz="6" w:space="0" w:color="auto"/>
            </w:tcBorders>
            <w:vAlign w:val="center"/>
          </w:tcPr>
          <w:p w14:paraId="41EE5A0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0.070</w:t>
            </w:r>
          </w:p>
        </w:tc>
        <w:tc>
          <w:tcPr>
            <w:tcW w:w="0" w:type="auto"/>
            <w:tcBorders>
              <w:top w:val="single" w:sz="6" w:space="0" w:color="auto"/>
              <w:left w:val="single" w:sz="6" w:space="0" w:color="auto"/>
              <w:bottom w:val="single" w:sz="6" w:space="0" w:color="auto"/>
              <w:right w:val="single" w:sz="6" w:space="0" w:color="auto"/>
            </w:tcBorders>
            <w:vAlign w:val="center"/>
          </w:tcPr>
          <w:p w14:paraId="7000F763"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0.690</w:t>
            </w:r>
          </w:p>
        </w:tc>
        <w:tc>
          <w:tcPr>
            <w:tcW w:w="0" w:type="auto"/>
            <w:tcBorders>
              <w:top w:val="single" w:sz="6" w:space="0" w:color="auto"/>
              <w:left w:val="single" w:sz="6" w:space="0" w:color="auto"/>
              <w:bottom w:val="single" w:sz="6" w:space="0" w:color="auto"/>
              <w:right w:val="single" w:sz="6" w:space="0" w:color="auto"/>
            </w:tcBorders>
            <w:vAlign w:val="center"/>
          </w:tcPr>
          <w:p w14:paraId="701F9549"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0.003</w:t>
            </w:r>
          </w:p>
        </w:tc>
        <w:tc>
          <w:tcPr>
            <w:tcW w:w="0" w:type="auto"/>
            <w:tcBorders>
              <w:top w:val="single" w:sz="6" w:space="0" w:color="auto"/>
              <w:left w:val="single" w:sz="6" w:space="0" w:color="auto"/>
              <w:bottom w:val="single" w:sz="6" w:space="0" w:color="auto"/>
              <w:right w:val="single" w:sz="6" w:space="0" w:color="auto"/>
            </w:tcBorders>
            <w:vAlign w:val="center"/>
          </w:tcPr>
          <w:p w14:paraId="06AF095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0405C67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C9A983E"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445B4F97" w14:textId="77777777" w:rsidTr="00887829">
        <w:tc>
          <w:tcPr>
            <w:tcW w:w="0" w:type="auto"/>
            <w:vMerge/>
            <w:tcBorders>
              <w:left w:val="double" w:sz="4" w:space="0" w:color="auto"/>
              <w:right w:val="single" w:sz="6" w:space="0" w:color="auto"/>
            </w:tcBorders>
            <w:vAlign w:val="center"/>
          </w:tcPr>
          <w:p w14:paraId="0DF14CB0"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D17AAF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1007C5D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0.296</w:t>
            </w:r>
          </w:p>
        </w:tc>
        <w:tc>
          <w:tcPr>
            <w:tcW w:w="0" w:type="auto"/>
            <w:tcBorders>
              <w:top w:val="single" w:sz="6" w:space="0" w:color="auto"/>
              <w:left w:val="single" w:sz="6" w:space="0" w:color="auto"/>
              <w:bottom w:val="single" w:sz="6" w:space="0" w:color="auto"/>
              <w:right w:val="single" w:sz="6" w:space="0" w:color="auto"/>
            </w:tcBorders>
            <w:vAlign w:val="center"/>
          </w:tcPr>
          <w:p w14:paraId="153C9A0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50ECB8E2"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0.716</w:t>
            </w:r>
          </w:p>
        </w:tc>
        <w:tc>
          <w:tcPr>
            <w:tcW w:w="0" w:type="auto"/>
            <w:tcBorders>
              <w:top w:val="single" w:sz="6" w:space="0" w:color="auto"/>
              <w:left w:val="single" w:sz="6" w:space="0" w:color="auto"/>
              <w:bottom w:val="single" w:sz="6" w:space="0" w:color="auto"/>
              <w:right w:val="single" w:sz="6" w:space="0" w:color="auto"/>
            </w:tcBorders>
            <w:vAlign w:val="center"/>
          </w:tcPr>
          <w:p w14:paraId="247D898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0.005</w:t>
            </w:r>
          </w:p>
        </w:tc>
        <w:tc>
          <w:tcPr>
            <w:tcW w:w="0" w:type="auto"/>
            <w:tcBorders>
              <w:top w:val="single" w:sz="6" w:space="0" w:color="auto"/>
              <w:left w:val="single" w:sz="6" w:space="0" w:color="auto"/>
              <w:bottom w:val="single" w:sz="6" w:space="0" w:color="auto"/>
              <w:right w:val="single" w:sz="6" w:space="0" w:color="auto"/>
            </w:tcBorders>
            <w:vAlign w:val="center"/>
          </w:tcPr>
          <w:p w14:paraId="7F10AD5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3DD6EB8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91561F1"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721345C4" w14:textId="77777777" w:rsidTr="00887829">
        <w:tc>
          <w:tcPr>
            <w:tcW w:w="0" w:type="auto"/>
            <w:vMerge/>
            <w:tcBorders>
              <w:left w:val="double" w:sz="4" w:space="0" w:color="auto"/>
              <w:right w:val="single" w:sz="6" w:space="0" w:color="auto"/>
            </w:tcBorders>
            <w:vAlign w:val="center"/>
          </w:tcPr>
          <w:p w14:paraId="7E092333"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F98697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5511EF1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0.089</w:t>
            </w:r>
          </w:p>
        </w:tc>
        <w:tc>
          <w:tcPr>
            <w:tcW w:w="0" w:type="auto"/>
            <w:tcBorders>
              <w:top w:val="single" w:sz="6" w:space="0" w:color="auto"/>
              <w:left w:val="single" w:sz="6" w:space="0" w:color="auto"/>
              <w:bottom w:val="single" w:sz="6" w:space="0" w:color="auto"/>
              <w:right w:val="single" w:sz="6" w:space="0" w:color="auto"/>
            </w:tcBorders>
            <w:vAlign w:val="center"/>
          </w:tcPr>
          <w:p w14:paraId="2C0E136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0.037</w:t>
            </w:r>
          </w:p>
        </w:tc>
        <w:tc>
          <w:tcPr>
            <w:tcW w:w="0" w:type="auto"/>
            <w:tcBorders>
              <w:top w:val="single" w:sz="6" w:space="0" w:color="auto"/>
              <w:left w:val="single" w:sz="6" w:space="0" w:color="auto"/>
              <w:bottom w:val="single" w:sz="6" w:space="0" w:color="auto"/>
              <w:right w:val="single" w:sz="6" w:space="0" w:color="auto"/>
            </w:tcBorders>
            <w:vAlign w:val="center"/>
          </w:tcPr>
          <w:p w14:paraId="330C4724"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0.77</w:t>
            </w:r>
          </w:p>
        </w:tc>
        <w:tc>
          <w:tcPr>
            <w:tcW w:w="0" w:type="auto"/>
            <w:tcBorders>
              <w:top w:val="single" w:sz="6" w:space="0" w:color="auto"/>
              <w:left w:val="single" w:sz="6" w:space="0" w:color="auto"/>
              <w:bottom w:val="single" w:sz="6" w:space="0" w:color="auto"/>
              <w:right w:val="single" w:sz="6" w:space="0" w:color="auto"/>
            </w:tcBorders>
            <w:vAlign w:val="center"/>
          </w:tcPr>
          <w:p w14:paraId="7912044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433BB7B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6504CFA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049F65D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12925306" w14:textId="77777777" w:rsidTr="00887829">
        <w:tc>
          <w:tcPr>
            <w:tcW w:w="0" w:type="auto"/>
            <w:vMerge/>
            <w:tcBorders>
              <w:left w:val="double" w:sz="4" w:space="0" w:color="auto"/>
              <w:right w:val="single" w:sz="6" w:space="0" w:color="auto"/>
            </w:tcBorders>
            <w:vAlign w:val="center"/>
          </w:tcPr>
          <w:p w14:paraId="68686DC8"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09487BF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3CC91C5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0.092</w:t>
            </w:r>
          </w:p>
        </w:tc>
        <w:tc>
          <w:tcPr>
            <w:tcW w:w="0" w:type="auto"/>
            <w:tcBorders>
              <w:top w:val="single" w:sz="6" w:space="0" w:color="auto"/>
              <w:left w:val="single" w:sz="6" w:space="0" w:color="auto"/>
              <w:bottom w:val="single" w:sz="6" w:space="0" w:color="auto"/>
              <w:right w:val="single" w:sz="6" w:space="0" w:color="auto"/>
            </w:tcBorders>
            <w:vAlign w:val="center"/>
          </w:tcPr>
          <w:p w14:paraId="0A51B68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0.014</w:t>
            </w:r>
          </w:p>
        </w:tc>
        <w:tc>
          <w:tcPr>
            <w:tcW w:w="0" w:type="auto"/>
            <w:tcBorders>
              <w:top w:val="single" w:sz="6" w:space="0" w:color="auto"/>
              <w:left w:val="single" w:sz="6" w:space="0" w:color="auto"/>
              <w:bottom w:val="single" w:sz="6" w:space="0" w:color="auto"/>
              <w:right w:val="single" w:sz="6" w:space="0" w:color="auto"/>
            </w:tcBorders>
            <w:vAlign w:val="center"/>
          </w:tcPr>
          <w:p w14:paraId="7BD479B0" w14:textId="77777777" w:rsidR="00E81C5C" w:rsidRPr="00FC6D86" w:rsidRDefault="00E81C5C"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0.58</w:t>
            </w:r>
          </w:p>
        </w:tc>
        <w:tc>
          <w:tcPr>
            <w:tcW w:w="0" w:type="auto"/>
            <w:tcBorders>
              <w:top w:val="single" w:sz="6" w:space="0" w:color="auto"/>
              <w:left w:val="single" w:sz="6" w:space="0" w:color="auto"/>
              <w:bottom w:val="single" w:sz="6" w:space="0" w:color="auto"/>
              <w:right w:val="single" w:sz="6" w:space="0" w:color="auto"/>
            </w:tcBorders>
            <w:vAlign w:val="center"/>
          </w:tcPr>
          <w:p w14:paraId="214D3F9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w:t>
            </w:r>
          </w:p>
        </w:tc>
        <w:tc>
          <w:tcPr>
            <w:tcW w:w="0" w:type="auto"/>
            <w:tcBorders>
              <w:top w:val="single" w:sz="6" w:space="0" w:color="auto"/>
              <w:left w:val="single" w:sz="6" w:space="0" w:color="auto"/>
              <w:bottom w:val="single" w:sz="6" w:space="0" w:color="auto"/>
              <w:right w:val="single" w:sz="6" w:space="0" w:color="auto"/>
            </w:tcBorders>
            <w:vAlign w:val="center"/>
          </w:tcPr>
          <w:p w14:paraId="2B8C3D1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0.0010</w:t>
            </w:r>
          </w:p>
        </w:tc>
        <w:tc>
          <w:tcPr>
            <w:tcW w:w="870" w:type="dxa"/>
            <w:tcBorders>
              <w:top w:val="single" w:sz="6" w:space="0" w:color="auto"/>
              <w:left w:val="single" w:sz="6" w:space="0" w:color="auto"/>
              <w:bottom w:val="single" w:sz="6" w:space="0" w:color="auto"/>
              <w:right w:val="single" w:sz="6" w:space="0" w:color="auto"/>
            </w:tcBorders>
            <w:vAlign w:val="center"/>
          </w:tcPr>
          <w:p w14:paraId="3E0FB98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C4C34C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946CCD" w:rsidRPr="000855B2" w14:paraId="4C229FC8" w14:textId="77777777" w:rsidTr="00887829">
        <w:tc>
          <w:tcPr>
            <w:tcW w:w="0" w:type="auto"/>
            <w:vMerge/>
            <w:tcBorders>
              <w:left w:val="double" w:sz="4" w:space="0" w:color="auto"/>
              <w:right w:val="single" w:sz="6" w:space="0" w:color="auto"/>
            </w:tcBorders>
            <w:vAlign w:val="center"/>
          </w:tcPr>
          <w:p w14:paraId="1287C9A6"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E4FAF2E"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52007BA9"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0.040</w:t>
            </w:r>
          </w:p>
        </w:tc>
        <w:tc>
          <w:tcPr>
            <w:tcW w:w="0" w:type="auto"/>
            <w:tcBorders>
              <w:top w:val="single" w:sz="6" w:space="0" w:color="auto"/>
              <w:left w:val="single" w:sz="6" w:space="0" w:color="auto"/>
              <w:bottom w:val="single" w:sz="6" w:space="0" w:color="auto"/>
              <w:right w:val="single" w:sz="6" w:space="0" w:color="auto"/>
            </w:tcBorders>
            <w:vAlign w:val="center"/>
          </w:tcPr>
          <w:p w14:paraId="7794D749"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24140402" w14:textId="722B4195" w:rsidR="00946CCD" w:rsidRPr="00FC6D86"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w:t>
            </w:r>
            <w:r>
              <w:rPr>
                <w:color w:val="000000"/>
                <w:sz w:val="12"/>
                <w:szCs w:val="12"/>
                <w:lang w:val="en-GB"/>
              </w:rPr>
              <w:t>55</w:t>
            </w:r>
          </w:p>
        </w:tc>
        <w:tc>
          <w:tcPr>
            <w:tcW w:w="0" w:type="auto"/>
            <w:tcBorders>
              <w:top w:val="single" w:sz="6" w:space="0" w:color="auto"/>
              <w:left w:val="single" w:sz="6" w:space="0" w:color="auto"/>
              <w:bottom w:val="single" w:sz="6" w:space="0" w:color="auto"/>
              <w:right w:val="single" w:sz="6" w:space="0" w:color="auto"/>
            </w:tcBorders>
            <w:vAlign w:val="center"/>
          </w:tcPr>
          <w:p w14:paraId="2EEA7733"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73EBBB63"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3580B954"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2652A8CE"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6C72E718" w14:textId="77777777" w:rsidTr="00887829">
        <w:tc>
          <w:tcPr>
            <w:tcW w:w="0" w:type="auto"/>
            <w:vMerge/>
            <w:tcBorders>
              <w:left w:val="double" w:sz="4" w:space="0" w:color="auto"/>
              <w:right w:val="single" w:sz="6" w:space="0" w:color="auto"/>
            </w:tcBorders>
            <w:vAlign w:val="center"/>
          </w:tcPr>
          <w:p w14:paraId="6758974B"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CB0F7B4"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0" w:type="auto"/>
            <w:tcBorders>
              <w:top w:val="single" w:sz="6" w:space="0" w:color="auto"/>
              <w:left w:val="single" w:sz="6" w:space="0" w:color="auto"/>
              <w:bottom w:val="single" w:sz="6" w:space="0" w:color="auto"/>
              <w:right w:val="single" w:sz="6" w:space="0" w:color="auto"/>
            </w:tcBorders>
            <w:vAlign w:val="center"/>
          </w:tcPr>
          <w:p w14:paraId="3C1B9DF7"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0A87E3F3"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1A40A53D" w14:textId="5998B3EE"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w:t>
            </w:r>
            <w:r>
              <w:rPr>
                <w:color w:val="000000"/>
                <w:sz w:val="12"/>
                <w:szCs w:val="12"/>
                <w:lang w:val="en-GB"/>
              </w:rPr>
              <w:t>45</w:t>
            </w:r>
          </w:p>
        </w:tc>
        <w:tc>
          <w:tcPr>
            <w:tcW w:w="0" w:type="auto"/>
            <w:tcBorders>
              <w:top w:val="single" w:sz="6" w:space="0" w:color="auto"/>
              <w:left w:val="single" w:sz="6" w:space="0" w:color="auto"/>
              <w:bottom w:val="single" w:sz="6" w:space="0" w:color="auto"/>
              <w:right w:val="single" w:sz="6" w:space="0" w:color="auto"/>
            </w:tcBorders>
            <w:vAlign w:val="center"/>
          </w:tcPr>
          <w:p w14:paraId="3D0FE555"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25DDD55B"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4A4ED7FA"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DC07C71"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584A4DF4" w14:textId="77777777" w:rsidTr="00887829">
        <w:tc>
          <w:tcPr>
            <w:tcW w:w="0" w:type="auto"/>
            <w:vMerge/>
            <w:tcBorders>
              <w:left w:val="double" w:sz="4" w:space="0" w:color="auto"/>
              <w:right w:val="single" w:sz="6" w:space="0" w:color="auto"/>
            </w:tcBorders>
            <w:vAlign w:val="center"/>
          </w:tcPr>
          <w:p w14:paraId="0F188114"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3A1C8B65"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0" w:type="auto"/>
            <w:tcBorders>
              <w:top w:val="single" w:sz="6" w:space="0" w:color="auto"/>
              <w:left w:val="single" w:sz="6" w:space="0" w:color="auto"/>
              <w:bottom w:val="single" w:sz="6" w:space="0" w:color="auto"/>
              <w:right w:val="single" w:sz="6" w:space="0" w:color="auto"/>
            </w:tcBorders>
            <w:vAlign w:val="center"/>
          </w:tcPr>
          <w:p w14:paraId="741C8531"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052EB166"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6B584EA0" w14:textId="0CCB67FC"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0.3</w:t>
            </w:r>
            <w:r>
              <w:rPr>
                <w:color w:val="000000"/>
                <w:sz w:val="12"/>
                <w:szCs w:val="12"/>
                <w:lang w:val="en-GB"/>
              </w:rPr>
              <w:t>5</w:t>
            </w:r>
          </w:p>
        </w:tc>
        <w:tc>
          <w:tcPr>
            <w:tcW w:w="0" w:type="auto"/>
            <w:tcBorders>
              <w:top w:val="single" w:sz="6" w:space="0" w:color="auto"/>
              <w:left w:val="single" w:sz="6" w:space="0" w:color="auto"/>
              <w:bottom w:val="single" w:sz="6" w:space="0" w:color="auto"/>
              <w:right w:val="single" w:sz="6" w:space="0" w:color="auto"/>
            </w:tcBorders>
            <w:vAlign w:val="center"/>
          </w:tcPr>
          <w:p w14:paraId="35CD2F49"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1B9BD15F"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43BBF8C9"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1D44179B"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946CCD" w:rsidRPr="000855B2" w14:paraId="0875ADDC" w14:textId="77777777" w:rsidTr="00887829">
        <w:tc>
          <w:tcPr>
            <w:tcW w:w="0" w:type="auto"/>
            <w:vMerge/>
            <w:tcBorders>
              <w:left w:val="double" w:sz="4" w:space="0" w:color="auto"/>
              <w:bottom w:val="single" w:sz="6" w:space="0" w:color="auto"/>
              <w:right w:val="single" w:sz="6" w:space="0" w:color="auto"/>
            </w:tcBorders>
            <w:vAlign w:val="center"/>
          </w:tcPr>
          <w:p w14:paraId="359D6FC5" w14:textId="77777777" w:rsidR="00946CCD" w:rsidRDefault="00946CCD"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3D5A225" w14:textId="77777777" w:rsidR="00946CCD" w:rsidRDefault="00946CCD"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0" w:type="auto"/>
            <w:tcBorders>
              <w:top w:val="single" w:sz="6" w:space="0" w:color="auto"/>
              <w:left w:val="single" w:sz="6" w:space="0" w:color="auto"/>
              <w:bottom w:val="single" w:sz="6" w:space="0" w:color="auto"/>
              <w:right w:val="single" w:sz="6" w:space="0" w:color="auto"/>
            </w:tcBorders>
            <w:vAlign w:val="center"/>
          </w:tcPr>
          <w:p w14:paraId="65BA4D84"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0.049</w:t>
            </w:r>
          </w:p>
        </w:tc>
        <w:tc>
          <w:tcPr>
            <w:tcW w:w="0" w:type="auto"/>
            <w:tcBorders>
              <w:top w:val="single" w:sz="6" w:space="0" w:color="auto"/>
              <w:left w:val="single" w:sz="6" w:space="0" w:color="auto"/>
              <w:bottom w:val="single" w:sz="6" w:space="0" w:color="auto"/>
              <w:right w:val="single" w:sz="6" w:space="0" w:color="auto"/>
            </w:tcBorders>
            <w:vAlign w:val="center"/>
          </w:tcPr>
          <w:p w14:paraId="373CA655"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0.0080</w:t>
            </w:r>
          </w:p>
        </w:tc>
        <w:tc>
          <w:tcPr>
            <w:tcW w:w="0" w:type="auto"/>
            <w:tcBorders>
              <w:top w:val="single" w:sz="6" w:space="0" w:color="auto"/>
              <w:left w:val="single" w:sz="6" w:space="0" w:color="auto"/>
              <w:bottom w:val="single" w:sz="6" w:space="0" w:color="auto"/>
              <w:right w:val="single" w:sz="6" w:space="0" w:color="auto"/>
            </w:tcBorders>
            <w:vAlign w:val="center"/>
          </w:tcPr>
          <w:p w14:paraId="2CC5DB81" w14:textId="526A37EB" w:rsidR="00946CCD" w:rsidRPr="00FC6D86" w:rsidRDefault="00946CCD" w:rsidP="008231B8">
            <w:pPr>
              <w:autoSpaceDE w:val="0"/>
              <w:autoSpaceDN w:val="0"/>
              <w:adjustRightInd w:val="0"/>
              <w:spacing w:line="240" w:lineRule="auto"/>
              <w:jc w:val="center"/>
              <w:rPr>
                <w:color w:val="000000"/>
                <w:sz w:val="12"/>
                <w:szCs w:val="12"/>
                <w:lang w:val="en-GB"/>
              </w:rPr>
            </w:pPr>
            <w:r w:rsidRPr="00FC6D86">
              <w:rPr>
                <w:color w:val="000000"/>
                <w:sz w:val="12"/>
                <w:szCs w:val="12"/>
                <w:lang w:val="en-GB"/>
              </w:rPr>
              <w:t>0.1</w:t>
            </w:r>
            <w:r>
              <w:rPr>
                <w:color w:val="000000"/>
                <w:sz w:val="12"/>
                <w:szCs w:val="12"/>
                <w:lang w:val="en-GB"/>
              </w:rPr>
              <w:t>7</w:t>
            </w:r>
          </w:p>
        </w:tc>
        <w:tc>
          <w:tcPr>
            <w:tcW w:w="0" w:type="auto"/>
            <w:tcBorders>
              <w:top w:val="single" w:sz="6" w:space="0" w:color="auto"/>
              <w:left w:val="single" w:sz="6" w:space="0" w:color="auto"/>
              <w:bottom w:val="single" w:sz="6" w:space="0" w:color="auto"/>
              <w:right w:val="single" w:sz="6" w:space="0" w:color="auto"/>
            </w:tcBorders>
            <w:vAlign w:val="center"/>
          </w:tcPr>
          <w:p w14:paraId="3D82A86C" w14:textId="77777777" w:rsidR="00946CCD" w:rsidRPr="00777C4F" w:rsidRDefault="00946CCD"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88418CA"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0.0019</w:t>
            </w:r>
          </w:p>
        </w:tc>
        <w:tc>
          <w:tcPr>
            <w:tcW w:w="870" w:type="dxa"/>
            <w:tcBorders>
              <w:top w:val="single" w:sz="6" w:space="0" w:color="auto"/>
              <w:left w:val="single" w:sz="6" w:space="0" w:color="auto"/>
              <w:bottom w:val="single" w:sz="6" w:space="0" w:color="auto"/>
              <w:right w:val="single" w:sz="6" w:space="0" w:color="auto"/>
            </w:tcBorders>
            <w:vAlign w:val="center"/>
          </w:tcPr>
          <w:p w14:paraId="5EB7EA41" w14:textId="77777777" w:rsidR="00946CCD" w:rsidRPr="000855B2" w:rsidRDefault="00946CCD"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0A29688" w14:textId="77777777" w:rsidR="00946CCD" w:rsidRPr="000855B2" w:rsidRDefault="00946CCD"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Pr="000855B2">
              <w:rPr>
                <w:color w:val="000000"/>
                <w:sz w:val="12"/>
                <w:szCs w:val="12"/>
                <w:lang w:val="en-GB"/>
              </w:rPr>
              <w:t>398</w:t>
            </w:r>
          </w:p>
        </w:tc>
      </w:tr>
      <w:tr w:rsidR="00E81C5C" w:rsidRPr="000855B2" w14:paraId="57205610" w14:textId="77777777" w:rsidTr="00887829">
        <w:tc>
          <w:tcPr>
            <w:tcW w:w="0" w:type="auto"/>
            <w:vMerge w:val="restart"/>
            <w:tcBorders>
              <w:top w:val="single" w:sz="6" w:space="0" w:color="auto"/>
              <w:left w:val="double" w:sz="4" w:space="0" w:color="auto"/>
              <w:right w:val="single" w:sz="6" w:space="0" w:color="auto"/>
            </w:tcBorders>
            <w:vAlign w:val="center"/>
          </w:tcPr>
          <w:p w14:paraId="259B8B3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LPG</w:t>
            </w:r>
          </w:p>
        </w:tc>
        <w:tc>
          <w:tcPr>
            <w:tcW w:w="0" w:type="auto"/>
            <w:tcBorders>
              <w:top w:val="single" w:sz="6" w:space="0" w:color="auto"/>
              <w:left w:val="single" w:sz="6" w:space="0" w:color="auto"/>
              <w:bottom w:val="single" w:sz="6" w:space="0" w:color="auto"/>
              <w:right w:val="single" w:sz="6" w:space="0" w:color="auto"/>
            </w:tcBorders>
            <w:vAlign w:val="center"/>
          </w:tcPr>
          <w:p w14:paraId="5B38A2F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26D0730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6.832</w:t>
            </w:r>
          </w:p>
        </w:tc>
        <w:tc>
          <w:tcPr>
            <w:tcW w:w="0" w:type="auto"/>
            <w:tcBorders>
              <w:top w:val="single" w:sz="6" w:space="0" w:color="auto"/>
              <w:left w:val="single" w:sz="6" w:space="0" w:color="auto"/>
              <w:bottom w:val="single" w:sz="6" w:space="0" w:color="auto"/>
              <w:right w:val="single" w:sz="6" w:space="0" w:color="auto"/>
            </w:tcBorders>
            <w:vAlign w:val="center"/>
          </w:tcPr>
          <w:p w14:paraId="25D9040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1.05</w:t>
            </w:r>
          </w:p>
        </w:tc>
        <w:tc>
          <w:tcPr>
            <w:tcW w:w="0" w:type="auto"/>
            <w:tcBorders>
              <w:top w:val="single" w:sz="6" w:space="0" w:color="auto"/>
              <w:left w:val="single" w:sz="6" w:space="0" w:color="auto"/>
              <w:bottom w:val="single" w:sz="6" w:space="0" w:color="auto"/>
              <w:right w:val="single" w:sz="6" w:space="0" w:color="auto"/>
            </w:tcBorders>
            <w:vAlign w:val="center"/>
          </w:tcPr>
          <w:p w14:paraId="117CFE8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2.36</w:t>
            </w:r>
          </w:p>
        </w:tc>
        <w:tc>
          <w:tcPr>
            <w:tcW w:w="0" w:type="auto"/>
            <w:tcBorders>
              <w:top w:val="single" w:sz="6" w:space="0" w:color="auto"/>
              <w:left w:val="single" w:sz="6" w:space="0" w:color="auto"/>
              <w:bottom w:val="single" w:sz="6" w:space="0" w:color="auto"/>
              <w:right w:val="single" w:sz="6" w:space="0" w:color="auto"/>
            </w:tcBorders>
            <w:vAlign w:val="center"/>
          </w:tcPr>
          <w:p w14:paraId="033E37ED" w14:textId="77777777" w:rsidR="00E81C5C" w:rsidRPr="00777C4F" w:rsidRDefault="00E81C5C" w:rsidP="008231B8">
            <w:pPr>
              <w:autoSpaceDE w:val="0"/>
              <w:autoSpaceDN w:val="0"/>
              <w:adjustRightInd w:val="0"/>
              <w:spacing w:line="240" w:lineRule="auto"/>
              <w:jc w:val="center"/>
              <w:rPr>
                <w:color w:val="000000"/>
                <w:sz w:val="12"/>
                <w:szCs w:val="12"/>
                <w:lang w:val="en-GB"/>
              </w:rPr>
            </w:pPr>
            <w:r w:rsidRPr="00777C4F">
              <w:rPr>
                <w:color w:val="000000"/>
                <w:sz w:val="12"/>
                <w:szCs w:val="12"/>
                <w:lang w:val="en-GB"/>
              </w:rPr>
              <w:t>0.00</w:t>
            </w:r>
          </w:p>
        </w:tc>
        <w:tc>
          <w:tcPr>
            <w:tcW w:w="0" w:type="auto"/>
            <w:tcBorders>
              <w:top w:val="single" w:sz="6" w:space="0" w:color="auto"/>
              <w:left w:val="single" w:sz="6" w:space="0" w:color="auto"/>
              <w:bottom w:val="single" w:sz="6" w:space="0" w:color="auto"/>
              <w:right w:val="single" w:sz="6" w:space="0" w:color="auto"/>
            </w:tcBorders>
            <w:vAlign w:val="center"/>
          </w:tcPr>
          <w:p w14:paraId="04F4244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0.0020</w:t>
            </w:r>
          </w:p>
        </w:tc>
        <w:tc>
          <w:tcPr>
            <w:tcW w:w="870" w:type="dxa"/>
            <w:tcBorders>
              <w:top w:val="single" w:sz="6" w:space="0" w:color="auto"/>
              <w:left w:val="single" w:sz="6" w:space="0" w:color="auto"/>
              <w:bottom w:val="single" w:sz="6" w:space="0" w:color="auto"/>
              <w:right w:val="single" w:sz="6" w:space="0" w:color="auto"/>
            </w:tcBorders>
            <w:vAlign w:val="center"/>
          </w:tcPr>
          <w:p w14:paraId="251FFBC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70ADF2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663</w:t>
            </w:r>
          </w:p>
        </w:tc>
      </w:tr>
      <w:tr w:rsidR="00E81C5C" w:rsidRPr="000855B2" w14:paraId="10372B99" w14:textId="77777777" w:rsidTr="00887829">
        <w:tc>
          <w:tcPr>
            <w:tcW w:w="0" w:type="auto"/>
            <w:vMerge/>
            <w:tcBorders>
              <w:left w:val="double" w:sz="4" w:space="0" w:color="auto"/>
              <w:right w:val="single" w:sz="6" w:space="0" w:color="auto"/>
            </w:tcBorders>
            <w:vAlign w:val="center"/>
          </w:tcPr>
          <w:p w14:paraId="0E929974"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2915B15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0" w:type="auto"/>
            <w:tcBorders>
              <w:top w:val="single" w:sz="6" w:space="0" w:color="auto"/>
              <w:left w:val="single" w:sz="6" w:space="0" w:color="auto"/>
              <w:bottom w:val="single" w:sz="6" w:space="0" w:color="auto"/>
              <w:right w:val="single" w:sz="6" w:space="0" w:color="auto"/>
            </w:tcBorders>
            <w:vAlign w:val="center"/>
          </w:tcPr>
          <w:p w14:paraId="4041F56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3.57</w:t>
            </w:r>
          </w:p>
        </w:tc>
        <w:tc>
          <w:tcPr>
            <w:tcW w:w="0" w:type="auto"/>
            <w:tcBorders>
              <w:top w:val="single" w:sz="6" w:space="0" w:color="auto"/>
              <w:left w:val="single" w:sz="6" w:space="0" w:color="auto"/>
              <w:bottom w:val="single" w:sz="6" w:space="0" w:color="auto"/>
              <w:right w:val="single" w:sz="6" w:space="0" w:color="auto"/>
            </w:tcBorders>
            <w:vAlign w:val="center"/>
          </w:tcPr>
          <w:p w14:paraId="3D71631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0.723</w:t>
            </w:r>
          </w:p>
        </w:tc>
        <w:tc>
          <w:tcPr>
            <w:tcW w:w="0" w:type="auto"/>
            <w:tcBorders>
              <w:top w:val="single" w:sz="6" w:space="0" w:color="auto"/>
              <w:left w:val="single" w:sz="6" w:space="0" w:color="auto"/>
              <w:bottom w:val="single" w:sz="6" w:space="0" w:color="auto"/>
              <w:right w:val="single" w:sz="6" w:space="0" w:color="auto"/>
            </w:tcBorders>
            <w:vAlign w:val="center"/>
          </w:tcPr>
          <w:p w14:paraId="41F332E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0.414</w:t>
            </w:r>
          </w:p>
        </w:tc>
        <w:tc>
          <w:tcPr>
            <w:tcW w:w="0" w:type="auto"/>
            <w:tcBorders>
              <w:top w:val="single" w:sz="6" w:space="0" w:color="auto"/>
              <w:left w:val="single" w:sz="6" w:space="0" w:color="auto"/>
              <w:bottom w:val="single" w:sz="6" w:space="0" w:color="auto"/>
              <w:right w:val="single" w:sz="6" w:space="0" w:color="auto"/>
            </w:tcBorders>
            <w:vAlign w:val="center"/>
          </w:tcPr>
          <w:p w14:paraId="29F5E2E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0.02</w:t>
            </w:r>
          </w:p>
        </w:tc>
        <w:tc>
          <w:tcPr>
            <w:tcW w:w="0" w:type="auto"/>
            <w:tcBorders>
              <w:top w:val="single" w:sz="6" w:space="0" w:color="auto"/>
              <w:left w:val="single" w:sz="6" w:space="0" w:color="auto"/>
              <w:bottom w:val="single" w:sz="6" w:space="0" w:color="auto"/>
              <w:right w:val="single" w:sz="6" w:space="0" w:color="auto"/>
            </w:tcBorders>
            <w:vAlign w:val="center"/>
          </w:tcPr>
          <w:p w14:paraId="590E76D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0.0880</w:t>
            </w:r>
          </w:p>
        </w:tc>
        <w:tc>
          <w:tcPr>
            <w:tcW w:w="870" w:type="dxa"/>
            <w:tcBorders>
              <w:top w:val="single" w:sz="6" w:space="0" w:color="auto"/>
              <w:left w:val="single" w:sz="6" w:space="0" w:color="auto"/>
              <w:bottom w:val="single" w:sz="6" w:space="0" w:color="auto"/>
              <w:right w:val="single" w:sz="6" w:space="0" w:color="auto"/>
            </w:tcBorders>
            <w:vAlign w:val="center"/>
          </w:tcPr>
          <w:p w14:paraId="1AF29F9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68E0B97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596</w:t>
            </w:r>
          </w:p>
        </w:tc>
      </w:tr>
      <w:tr w:rsidR="00E81C5C" w:rsidRPr="000855B2" w14:paraId="22513215" w14:textId="77777777" w:rsidTr="00887829">
        <w:tc>
          <w:tcPr>
            <w:tcW w:w="0" w:type="auto"/>
            <w:vMerge/>
            <w:tcBorders>
              <w:left w:val="double" w:sz="4" w:space="0" w:color="auto"/>
              <w:right w:val="single" w:sz="6" w:space="0" w:color="auto"/>
            </w:tcBorders>
            <w:vAlign w:val="center"/>
          </w:tcPr>
          <w:p w14:paraId="2F90569D"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4F578A3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0" w:type="auto"/>
            <w:tcBorders>
              <w:top w:val="single" w:sz="6" w:space="0" w:color="auto"/>
              <w:left w:val="single" w:sz="6" w:space="0" w:color="auto"/>
              <w:bottom w:val="single" w:sz="6" w:space="0" w:color="auto"/>
              <w:right w:val="single" w:sz="6" w:space="0" w:color="auto"/>
            </w:tcBorders>
            <w:vAlign w:val="center"/>
          </w:tcPr>
          <w:p w14:paraId="6C5D6CB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2.48</w:t>
            </w:r>
          </w:p>
        </w:tc>
        <w:tc>
          <w:tcPr>
            <w:tcW w:w="0" w:type="auto"/>
            <w:tcBorders>
              <w:top w:val="single" w:sz="6" w:space="0" w:color="auto"/>
              <w:left w:val="single" w:sz="6" w:space="0" w:color="auto"/>
              <w:bottom w:val="single" w:sz="6" w:space="0" w:color="auto"/>
              <w:right w:val="single" w:sz="6" w:space="0" w:color="auto"/>
            </w:tcBorders>
            <w:vAlign w:val="center"/>
          </w:tcPr>
          <w:p w14:paraId="572180E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0.342</w:t>
            </w:r>
          </w:p>
        </w:tc>
        <w:tc>
          <w:tcPr>
            <w:tcW w:w="0" w:type="auto"/>
            <w:tcBorders>
              <w:top w:val="single" w:sz="6" w:space="0" w:color="auto"/>
              <w:left w:val="single" w:sz="6" w:space="0" w:color="auto"/>
              <w:bottom w:val="single" w:sz="6" w:space="0" w:color="auto"/>
              <w:right w:val="single" w:sz="6" w:space="0" w:color="auto"/>
            </w:tcBorders>
            <w:vAlign w:val="center"/>
          </w:tcPr>
          <w:p w14:paraId="3B5BDE1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0.180</w:t>
            </w:r>
          </w:p>
        </w:tc>
        <w:tc>
          <w:tcPr>
            <w:tcW w:w="0" w:type="auto"/>
            <w:tcBorders>
              <w:top w:val="single" w:sz="6" w:space="0" w:color="auto"/>
              <w:left w:val="single" w:sz="6" w:space="0" w:color="auto"/>
              <w:bottom w:val="single" w:sz="6" w:space="0" w:color="auto"/>
              <w:right w:val="single" w:sz="6" w:space="0" w:color="auto"/>
            </w:tcBorders>
            <w:vAlign w:val="center"/>
          </w:tcPr>
          <w:p w14:paraId="4E63D19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0.008</w:t>
            </w:r>
          </w:p>
        </w:tc>
        <w:tc>
          <w:tcPr>
            <w:tcW w:w="0" w:type="auto"/>
            <w:tcBorders>
              <w:top w:val="single" w:sz="6" w:space="0" w:color="auto"/>
              <w:left w:val="single" w:sz="6" w:space="0" w:color="auto"/>
              <w:bottom w:val="single" w:sz="6" w:space="0" w:color="auto"/>
              <w:right w:val="single" w:sz="6" w:space="0" w:color="auto"/>
            </w:tcBorders>
            <w:vAlign w:val="center"/>
          </w:tcPr>
          <w:p w14:paraId="666CD21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0.1007</w:t>
            </w:r>
          </w:p>
        </w:tc>
        <w:tc>
          <w:tcPr>
            <w:tcW w:w="870" w:type="dxa"/>
            <w:tcBorders>
              <w:top w:val="single" w:sz="6" w:space="0" w:color="auto"/>
              <w:left w:val="single" w:sz="6" w:space="0" w:color="auto"/>
              <w:bottom w:val="single" w:sz="6" w:space="0" w:color="auto"/>
              <w:right w:val="single" w:sz="6" w:space="0" w:color="auto"/>
            </w:tcBorders>
            <w:vAlign w:val="center"/>
          </w:tcPr>
          <w:p w14:paraId="77C4B1B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FE1BE5F"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530</w:t>
            </w:r>
          </w:p>
        </w:tc>
      </w:tr>
      <w:tr w:rsidR="00E81C5C" w:rsidRPr="000855B2" w14:paraId="04D75C95" w14:textId="77777777" w:rsidTr="00887829">
        <w:tc>
          <w:tcPr>
            <w:tcW w:w="0" w:type="auto"/>
            <w:vMerge/>
            <w:tcBorders>
              <w:left w:val="double" w:sz="4" w:space="0" w:color="auto"/>
              <w:right w:val="single" w:sz="6" w:space="0" w:color="auto"/>
            </w:tcBorders>
            <w:vAlign w:val="center"/>
          </w:tcPr>
          <w:p w14:paraId="1FFB14DD"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7E5C35D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0" w:type="auto"/>
            <w:tcBorders>
              <w:top w:val="single" w:sz="6" w:space="0" w:color="auto"/>
              <w:left w:val="single" w:sz="6" w:space="0" w:color="auto"/>
              <w:bottom w:val="single" w:sz="6" w:space="0" w:color="auto"/>
              <w:right w:val="single" w:sz="6" w:space="0" w:color="auto"/>
            </w:tcBorders>
            <w:vAlign w:val="center"/>
          </w:tcPr>
          <w:p w14:paraId="3289F42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1.79</w:t>
            </w:r>
          </w:p>
        </w:tc>
        <w:tc>
          <w:tcPr>
            <w:tcW w:w="0" w:type="auto"/>
            <w:tcBorders>
              <w:top w:val="single" w:sz="6" w:space="0" w:color="auto"/>
              <w:left w:val="single" w:sz="6" w:space="0" w:color="auto"/>
              <w:bottom w:val="single" w:sz="6" w:space="0" w:color="auto"/>
              <w:right w:val="single" w:sz="6" w:space="0" w:color="auto"/>
            </w:tcBorders>
            <w:vAlign w:val="center"/>
          </w:tcPr>
          <w:p w14:paraId="7168A35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0.120</w:t>
            </w:r>
          </w:p>
        </w:tc>
        <w:tc>
          <w:tcPr>
            <w:tcW w:w="0" w:type="auto"/>
            <w:tcBorders>
              <w:top w:val="single" w:sz="6" w:space="0" w:color="auto"/>
              <w:left w:val="single" w:sz="6" w:space="0" w:color="auto"/>
              <w:bottom w:val="single" w:sz="6" w:space="0" w:color="auto"/>
              <w:right w:val="single" w:sz="6" w:space="0" w:color="auto"/>
            </w:tcBorders>
            <w:vAlign w:val="center"/>
          </w:tcPr>
          <w:p w14:paraId="564ED6E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0.090</w:t>
            </w:r>
          </w:p>
        </w:tc>
        <w:tc>
          <w:tcPr>
            <w:tcW w:w="0" w:type="auto"/>
            <w:tcBorders>
              <w:top w:val="single" w:sz="6" w:space="0" w:color="auto"/>
              <w:left w:val="single" w:sz="6" w:space="0" w:color="auto"/>
              <w:bottom w:val="single" w:sz="6" w:space="0" w:color="auto"/>
              <w:right w:val="single" w:sz="6" w:space="0" w:color="auto"/>
            </w:tcBorders>
            <w:vAlign w:val="center"/>
          </w:tcPr>
          <w:p w14:paraId="29986DC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7B78AA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374E5CE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544F64B5"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464</w:t>
            </w:r>
          </w:p>
        </w:tc>
      </w:tr>
      <w:tr w:rsidR="00E81C5C" w:rsidRPr="000855B2" w14:paraId="11F9CF48" w14:textId="77777777" w:rsidTr="00887829">
        <w:tc>
          <w:tcPr>
            <w:tcW w:w="0" w:type="auto"/>
            <w:vMerge/>
            <w:tcBorders>
              <w:left w:val="double" w:sz="4" w:space="0" w:color="auto"/>
              <w:right w:val="single" w:sz="6" w:space="0" w:color="auto"/>
            </w:tcBorders>
            <w:vAlign w:val="center"/>
          </w:tcPr>
          <w:p w14:paraId="55077806"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1A946B5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0" w:type="auto"/>
            <w:tcBorders>
              <w:top w:val="single" w:sz="6" w:space="0" w:color="auto"/>
              <w:left w:val="single" w:sz="6" w:space="0" w:color="auto"/>
              <w:bottom w:val="single" w:sz="6" w:space="0" w:color="auto"/>
              <w:right w:val="single" w:sz="6" w:space="0" w:color="auto"/>
            </w:tcBorders>
            <w:vAlign w:val="center"/>
          </w:tcPr>
          <w:p w14:paraId="4AE7281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20FB119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5ADEB00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2C133AF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78CA8B7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0D56589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491370D"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02C44490" w14:textId="77777777" w:rsidTr="00887829">
        <w:tc>
          <w:tcPr>
            <w:tcW w:w="0" w:type="auto"/>
            <w:vMerge/>
            <w:tcBorders>
              <w:left w:val="double" w:sz="4" w:space="0" w:color="auto"/>
              <w:right w:val="single" w:sz="6" w:space="0" w:color="auto"/>
            </w:tcBorders>
            <w:vAlign w:val="center"/>
          </w:tcPr>
          <w:p w14:paraId="3791C3AA"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6E0C27A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0" w:type="auto"/>
            <w:tcBorders>
              <w:top w:val="single" w:sz="6" w:space="0" w:color="auto"/>
              <w:left w:val="single" w:sz="6" w:space="0" w:color="auto"/>
              <w:bottom w:val="single" w:sz="6" w:space="0" w:color="auto"/>
              <w:right w:val="single" w:sz="6" w:space="0" w:color="auto"/>
            </w:tcBorders>
            <w:vAlign w:val="center"/>
          </w:tcPr>
          <w:p w14:paraId="635AE64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3141D25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452F408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40CC3F1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769DDF7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2194128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897CDF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CBA4AA8" w14:textId="77777777" w:rsidTr="00887829">
        <w:tc>
          <w:tcPr>
            <w:tcW w:w="0" w:type="auto"/>
            <w:vMerge/>
            <w:tcBorders>
              <w:left w:val="double" w:sz="4" w:space="0" w:color="auto"/>
              <w:bottom w:val="single" w:sz="6" w:space="0" w:color="auto"/>
              <w:right w:val="single" w:sz="6" w:space="0" w:color="auto"/>
            </w:tcBorders>
            <w:vAlign w:val="center"/>
          </w:tcPr>
          <w:p w14:paraId="3E86E9A8" w14:textId="77777777" w:rsidR="00E81C5C" w:rsidRDefault="00E81C5C" w:rsidP="003511C1">
            <w:pPr>
              <w:autoSpaceDE w:val="0"/>
              <w:autoSpaceDN w:val="0"/>
              <w:adjustRightInd w:val="0"/>
              <w:spacing w:line="240" w:lineRule="auto"/>
              <w:jc w:val="left"/>
              <w:rPr>
                <w:color w:val="000000"/>
                <w:sz w:val="12"/>
                <w:szCs w:val="12"/>
                <w:lang w:val="en-GB"/>
              </w:rPr>
            </w:pPr>
          </w:p>
        </w:tc>
        <w:tc>
          <w:tcPr>
            <w:tcW w:w="0" w:type="auto"/>
            <w:tcBorders>
              <w:top w:val="single" w:sz="6" w:space="0" w:color="auto"/>
              <w:left w:val="single" w:sz="6" w:space="0" w:color="auto"/>
              <w:bottom w:val="single" w:sz="6" w:space="0" w:color="auto"/>
              <w:right w:val="single" w:sz="6" w:space="0" w:color="auto"/>
            </w:tcBorders>
            <w:vAlign w:val="center"/>
          </w:tcPr>
          <w:p w14:paraId="58BEA55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 – EC 715/2007</w:t>
            </w:r>
          </w:p>
        </w:tc>
        <w:tc>
          <w:tcPr>
            <w:tcW w:w="0" w:type="auto"/>
            <w:tcBorders>
              <w:top w:val="single" w:sz="6" w:space="0" w:color="auto"/>
              <w:left w:val="single" w:sz="6" w:space="0" w:color="auto"/>
              <w:bottom w:val="single" w:sz="6" w:space="0" w:color="auto"/>
              <w:right w:val="single" w:sz="6" w:space="0" w:color="auto"/>
            </w:tcBorders>
            <w:vAlign w:val="center"/>
          </w:tcPr>
          <w:p w14:paraId="24DA5DF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0.62</w:t>
            </w:r>
          </w:p>
        </w:tc>
        <w:tc>
          <w:tcPr>
            <w:tcW w:w="0" w:type="auto"/>
            <w:tcBorders>
              <w:top w:val="single" w:sz="6" w:space="0" w:color="auto"/>
              <w:left w:val="single" w:sz="6" w:space="0" w:color="auto"/>
              <w:bottom w:val="single" w:sz="6" w:space="0" w:color="auto"/>
              <w:right w:val="single" w:sz="6" w:space="0" w:color="auto"/>
            </w:tcBorders>
            <w:vAlign w:val="center"/>
          </w:tcPr>
          <w:p w14:paraId="68529DC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0.10</w:t>
            </w:r>
          </w:p>
        </w:tc>
        <w:tc>
          <w:tcPr>
            <w:tcW w:w="0" w:type="auto"/>
            <w:tcBorders>
              <w:top w:val="single" w:sz="6" w:space="0" w:color="auto"/>
              <w:left w:val="single" w:sz="6" w:space="0" w:color="auto"/>
              <w:bottom w:val="single" w:sz="6" w:space="0" w:color="auto"/>
              <w:right w:val="single" w:sz="6" w:space="0" w:color="auto"/>
            </w:tcBorders>
            <w:vAlign w:val="center"/>
          </w:tcPr>
          <w:p w14:paraId="447B89C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single" w:sz="6" w:space="0" w:color="auto"/>
              <w:right w:val="single" w:sz="6" w:space="0" w:color="auto"/>
            </w:tcBorders>
            <w:vAlign w:val="center"/>
          </w:tcPr>
          <w:p w14:paraId="526055E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0.004</w:t>
            </w:r>
          </w:p>
        </w:tc>
        <w:tc>
          <w:tcPr>
            <w:tcW w:w="0" w:type="auto"/>
            <w:tcBorders>
              <w:top w:val="single" w:sz="6" w:space="0" w:color="auto"/>
              <w:left w:val="single" w:sz="6" w:space="0" w:color="auto"/>
              <w:bottom w:val="single" w:sz="6" w:space="0" w:color="auto"/>
              <w:right w:val="single" w:sz="6" w:space="0" w:color="auto"/>
            </w:tcBorders>
            <w:vAlign w:val="center"/>
          </w:tcPr>
          <w:p w14:paraId="54CC5FE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single" w:sz="6" w:space="0" w:color="auto"/>
              <w:right w:val="single" w:sz="6" w:space="0" w:color="auto"/>
            </w:tcBorders>
            <w:vAlign w:val="center"/>
          </w:tcPr>
          <w:p w14:paraId="3F86EFD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6ACC2CF"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25038CC3"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31CEBF2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2-Stroke</w:t>
            </w:r>
          </w:p>
        </w:tc>
        <w:tc>
          <w:tcPr>
            <w:tcW w:w="0" w:type="auto"/>
            <w:tcBorders>
              <w:top w:val="single" w:sz="6" w:space="0" w:color="auto"/>
              <w:left w:val="single" w:sz="6" w:space="0" w:color="auto"/>
              <w:bottom w:val="single" w:sz="6" w:space="0" w:color="auto"/>
              <w:right w:val="single" w:sz="6" w:space="0" w:color="auto"/>
            </w:tcBorders>
            <w:vAlign w:val="center"/>
          </w:tcPr>
          <w:p w14:paraId="63876CB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0" w:type="auto"/>
            <w:tcBorders>
              <w:top w:val="single" w:sz="6" w:space="0" w:color="auto"/>
              <w:left w:val="single" w:sz="6" w:space="0" w:color="auto"/>
              <w:bottom w:val="single" w:sz="6" w:space="0" w:color="auto"/>
              <w:right w:val="single" w:sz="6" w:space="0" w:color="auto"/>
            </w:tcBorders>
            <w:vAlign w:val="center"/>
          </w:tcPr>
          <w:p w14:paraId="5D62A1D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11.4</w:t>
            </w:r>
          </w:p>
        </w:tc>
        <w:tc>
          <w:tcPr>
            <w:tcW w:w="0" w:type="auto"/>
            <w:tcBorders>
              <w:top w:val="single" w:sz="6" w:space="0" w:color="auto"/>
              <w:left w:val="single" w:sz="6" w:space="0" w:color="auto"/>
              <w:bottom w:val="single" w:sz="6" w:space="0" w:color="auto"/>
              <w:right w:val="single" w:sz="6" w:space="0" w:color="auto"/>
            </w:tcBorders>
            <w:vAlign w:val="center"/>
          </w:tcPr>
          <w:p w14:paraId="2BE87F0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8.9</w:t>
            </w:r>
          </w:p>
        </w:tc>
        <w:tc>
          <w:tcPr>
            <w:tcW w:w="0" w:type="auto"/>
            <w:tcBorders>
              <w:top w:val="single" w:sz="6" w:space="0" w:color="auto"/>
              <w:left w:val="single" w:sz="6" w:space="0" w:color="auto"/>
              <w:bottom w:val="single" w:sz="6" w:space="0" w:color="auto"/>
              <w:right w:val="single" w:sz="6" w:space="0" w:color="auto"/>
            </w:tcBorders>
            <w:vAlign w:val="center"/>
          </w:tcPr>
          <w:p w14:paraId="115D8D3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0.730</w:t>
            </w:r>
          </w:p>
        </w:tc>
        <w:tc>
          <w:tcPr>
            <w:tcW w:w="0" w:type="auto"/>
            <w:tcBorders>
              <w:top w:val="single" w:sz="6" w:space="0" w:color="auto"/>
              <w:left w:val="single" w:sz="6" w:space="0" w:color="auto"/>
              <w:bottom w:val="single" w:sz="6" w:space="0" w:color="auto"/>
              <w:right w:val="single" w:sz="6" w:space="0" w:color="auto"/>
            </w:tcBorders>
            <w:vAlign w:val="center"/>
          </w:tcPr>
          <w:p w14:paraId="4CFFBC9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0.005</w:t>
            </w:r>
          </w:p>
        </w:tc>
        <w:tc>
          <w:tcPr>
            <w:tcW w:w="0" w:type="auto"/>
            <w:tcBorders>
              <w:top w:val="single" w:sz="6" w:space="0" w:color="auto"/>
              <w:left w:val="single" w:sz="6" w:space="0" w:color="auto"/>
              <w:bottom w:val="single" w:sz="6" w:space="0" w:color="auto"/>
              <w:right w:val="single" w:sz="6" w:space="0" w:color="auto"/>
            </w:tcBorders>
            <w:vAlign w:val="center"/>
          </w:tcPr>
          <w:p w14:paraId="09F1DFF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870" w:type="dxa"/>
            <w:tcBorders>
              <w:top w:val="single" w:sz="6" w:space="0" w:color="auto"/>
              <w:left w:val="single" w:sz="6" w:space="0" w:color="auto"/>
              <w:bottom w:val="single" w:sz="6" w:space="0" w:color="auto"/>
              <w:right w:val="single" w:sz="6" w:space="0" w:color="auto"/>
            </w:tcBorders>
            <w:vAlign w:val="center"/>
          </w:tcPr>
          <w:p w14:paraId="1F2ADA8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A0E634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r>
      <w:tr w:rsidR="00E81C5C" w:rsidRPr="000855B2" w14:paraId="2F89DB43"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143BD2E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Hybrid </w:t>
            </w:r>
            <w:r w:rsidR="008231B8">
              <w:rPr>
                <w:color w:val="000000"/>
                <w:sz w:val="12"/>
                <w:szCs w:val="12"/>
                <w:lang w:val="en-GB"/>
              </w:rPr>
              <w:t>Petrol</w:t>
            </w:r>
            <w:r w:rsidRPr="000855B2">
              <w:rPr>
                <w:color w:val="000000"/>
                <w:sz w:val="12"/>
                <w:szCs w:val="12"/>
                <w:lang w:val="en-GB"/>
              </w:rPr>
              <w:t xml:space="preserve"> </w:t>
            </w:r>
            <w:r w:rsidR="002758A0">
              <w:rPr>
                <w:color w:val="000000"/>
                <w:sz w:val="12"/>
                <w:szCs w:val="12"/>
                <w:lang w:val="en-GB"/>
              </w:rPr>
              <w:t>Small</w:t>
            </w:r>
          </w:p>
        </w:tc>
        <w:tc>
          <w:tcPr>
            <w:tcW w:w="0" w:type="auto"/>
            <w:tcBorders>
              <w:top w:val="single" w:sz="6" w:space="0" w:color="auto"/>
              <w:left w:val="single" w:sz="6" w:space="0" w:color="auto"/>
              <w:bottom w:val="single" w:sz="6" w:space="0" w:color="auto"/>
              <w:right w:val="single" w:sz="6" w:space="0" w:color="auto"/>
            </w:tcBorders>
            <w:vAlign w:val="center"/>
          </w:tcPr>
          <w:p w14:paraId="5615EAD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21DFF40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0.042</w:t>
            </w:r>
          </w:p>
        </w:tc>
        <w:tc>
          <w:tcPr>
            <w:tcW w:w="0" w:type="auto"/>
            <w:tcBorders>
              <w:top w:val="single" w:sz="6" w:space="0" w:color="auto"/>
              <w:left w:val="single" w:sz="6" w:space="0" w:color="auto"/>
              <w:bottom w:val="single" w:sz="6" w:space="0" w:color="auto"/>
              <w:right w:val="single" w:sz="6" w:space="0" w:color="auto"/>
            </w:tcBorders>
            <w:vAlign w:val="center"/>
          </w:tcPr>
          <w:p w14:paraId="27A299C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single" w:sz="6" w:space="0" w:color="auto"/>
              <w:right w:val="single" w:sz="6" w:space="0" w:color="auto"/>
            </w:tcBorders>
            <w:vAlign w:val="center"/>
          </w:tcPr>
          <w:p w14:paraId="23F20ED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0.013</w:t>
            </w:r>
          </w:p>
        </w:tc>
        <w:tc>
          <w:tcPr>
            <w:tcW w:w="0" w:type="auto"/>
            <w:tcBorders>
              <w:top w:val="single" w:sz="6" w:space="0" w:color="auto"/>
              <w:left w:val="single" w:sz="6" w:space="0" w:color="auto"/>
              <w:bottom w:val="single" w:sz="6" w:space="0" w:color="auto"/>
              <w:right w:val="single" w:sz="6" w:space="0" w:color="auto"/>
            </w:tcBorders>
            <w:vAlign w:val="center"/>
          </w:tcPr>
          <w:p w14:paraId="1830BDC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0.0002</w:t>
            </w:r>
          </w:p>
        </w:tc>
        <w:tc>
          <w:tcPr>
            <w:tcW w:w="0" w:type="auto"/>
            <w:tcBorders>
              <w:top w:val="single" w:sz="6" w:space="0" w:color="auto"/>
              <w:left w:val="single" w:sz="6" w:space="0" w:color="auto"/>
              <w:bottom w:val="single" w:sz="6" w:space="0" w:color="auto"/>
              <w:right w:val="single" w:sz="6" w:space="0" w:color="auto"/>
            </w:tcBorders>
            <w:vAlign w:val="center"/>
          </w:tcPr>
          <w:p w14:paraId="20EE3DF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0.0328</w:t>
            </w:r>
          </w:p>
        </w:tc>
        <w:tc>
          <w:tcPr>
            <w:tcW w:w="870" w:type="dxa"/>
            <w:tcBorders>
              <w:top w:val="single" w:sz="6" w:space="0" w:color="auto"/>
              <w:left w:val="single" w:sz="6" w:space="0" w:color="auto"/>
              <w:bottom w:val="single" w:sz="6" w:space="0" w:color="auto"/>
              <w:right w:val="single" w:sz="6" w:space="0" w:color="auto"/>
            </w:tcBorders>
            <w:vAlign w:val="center"/>
          </w:tcPr>
          <w:p w14:paraId="6ECAD93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6FBA8D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A88756B"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56AD5D0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Hybrid </w:t>
            </w:r>
            <w:r w:rsidR="008231B8">
              <w:rPr>
                <w:color w:val="000000"/>
                <w:sz w:val="12"/>
                <w:szCs w:val="12"/>
                <w:lang w:val="en-GB"/>
              </w:rPr>
              <w:t>Petrol</w:t>
            </w:r>
            <w:r w:rsidRPr="000855B2">
              <w:rPr>
                <w:color w:val="000000"/>
                <w:sz w:val="12"/>
                <w:szCs w:val="12"/>
                <w:lang w:val="en-GB"/>
              </w:rPr>
              <w:t xml:space="preserve"> </w:t>
            </w:r>
            <w:r w:rsidR="002758A0">
              <w:rPr>
                <w:color w:val="000000"/>
                <w:sz w:val="12"/>
                <w:szCs w:val="12"/>
                <w:lang w:val="en-GB"/>
              </w:rPr>
              <w:t>Medium</w:t>
            </w:r>
          </w:p>
        </w:tc>
        <w:tc>
          <w:tcPr>
            <w:tcW w:w="0" w:type="auto"/>
            <w:tcBorders>
              <w:top w:val="single" w:sz="6" w:space="0" w:color="auto"/>
              <w:left w:val="single" w:sz="6" w:space="0" w:color="auto"/>
              <w:bottom w:val="single" w:sz="6" w:space="0" w:color="auto"/>
              <w:right w:val="single" w:sz="6" w:space="0" w:color="auto"/>
            </w:tcBorders>
            <w:vAlign w:val="center"/>
          </w:tcPr>
          <w:p w14:paraId="53D5A3A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45F4825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0.043</w:t>
            </w:r>
          </w:p>
        </w:tc>
        <w:tc>
          <w:tcPr>
            <w:tcW w:w="0" w:type="auto"/>
            <w:tcBorders>
              <w:top w:val="single" w:sz="6" w:space="0" w:color="auto"/>
              <w:left w:val="single" w:sz="6" w:space="0" w:color="auto"/>
              <w:bottom w:val="single" w:sz="6" w:space="0" w:color="auto"/>
              <w:right w:val="single" w:sz="6" w:space="0" w:color="auto"/>
            </w:tcBorders>
            <w:vAlign w:val="center"/>
          </w:tcPr>
          <w:p w14:paraId="5039AF7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single" w:sz="6" w:space="0" w:color="auto"/>
              <w:right w:val="single" w:sz="6" w:space="0" w:color="auto"/>
            </w:tcBorders>
            <w:vAlign w:val="center"/>
          </w:tcPr>
          <w:p w14:paraId="500DD40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0.013</w:t>
            </w:r>
          </w:p>
        </w:tc>
        <w:tc>
          <w:tcPr>
            <w:tcW w:w="0" w:type="auto"/>
            <w:tcBorders>
              <w:top w:val="single" w:sz="6" w:space="0" w:color="auto"/>
              <w:left w:val="single" w:sz="6" w:space="0" w:color="auto"/>
              <w:bottom w:val="single" w:sz="6" w:space="0" w:color="auto"/>
              <w:right w:val="single" w:sz="6" w:space="0" w:color="auto"/>
            </w:tcBorders>
            <w:vAlign w:val="center"/>
          </w:tcPr>
          <w:p w14:paraId="3D8C024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0.0002</w:t>
            </w:r>
          </w:p>
        </w:tc>
        <w:tc>
          <w:tcPr>
            <w:tcW w:w="0" w:type="auto"/>
            <w:tcBorders>
              <w:top w:val="single" w:sz="6" w:space="0" w:color="auto"/>
              <w:left w:val="single" w:sz="6" w:space="0" w:color="auto"/>
              <w:bottom w:val="single" w:sz="6" w:space="0" w:color="auto"/>
              <w:right w:val="single" w:sz="6" w:space="0" w:color="auto"/>
            </w:tcBorders>
            <w:vAlign w:val="center"/>
          </w:tcPr>
          <w:p w14:paraId="3F407A0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0.0327</w:t>
            </w:r>
          </w:p>
        </w:tc>
        <w:tc>
          <w:tcPr>
            <w:tcW w:w="870" w:type="dxa"/>
            <w:tcBorders>
              <w:top w:val="single" w:sz="6" w:space="0" w:color="auto"/>
              <w:left w:val="single" w:sz="6" w:space="0" w:color="auto"/>
              <w:bottom w:val="single" w:sz="6" w:space="0" w:color="auto"/>
              <w:right w:val="single" w:sz="6" w:space="0" w:color="auto"/>
            </w:tcBorders>
            <w:vAlign w:val="center"/>
          </w:tcPr>
          <w:p w14:paraId="2795E0F1"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3BE35032"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1DE70A92"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000D48E4" w14:textId="77777777" w:rsidR="00E81C5C" w:rsidRDefault="008231B8" w:rsidP="003511C1">
            <w:pPr>
              <w:autoSpaceDE w:val="0"/>
              <w:autoSpaceDN w:val="0"/>
              <w:adjustRightInd w:val="0"/>
              <w:spacing w:line="240" w:lineRule="auto"/>
              <w:jc w:val="left"/>
              <w:rPr>
                <w:color w:val="000000"/>
                <w:sz w:val="12"/>
                <w:szCs w:val="12"/>
                <w:lang w:val="en-GB"/>
              </w:rPr>
            </w:pPr>
            <w:r>
              <w:rPr>
                <w:color w:val="000000"/>
                <w:sz w:val="12"/>
                <w:szCs w:val="12"/>
                <w:lang w:val="en-GB"/>
              </w:rPr>
              <w:t>Hybrid Petrol</w:t>
            </w:r>
            <w:r w:rsidR="00E81C5C" w:rsidRPr="000855B2">
              <w:rPr>
                <w:color w:val="000000"/>
                <w:sz w:val="12"/>
                <w:szCs w:val="12"/>
                <w:lang w:val="en-GB"/>
              </w:rPr>
              <w:t xml:space="preserve"> </w:t>
            </w:r>
            <w:r w:rsidR="002758A0">
              <w:rPr>
                <w:color w:val="000000"/>
                <w:sz w:val="12"/>
                <w:szCs w:val="12"/>
                <w:lang w:val="en-GB"/>
              </w:rPr>
              <w:t>Large</w:t>
            </w:r>
          </w:p>
        </w:tc>
        <w:tc>
          <w:tcPr>
            <w:tcW w:w="0" w:type="auto"/>
            <w:tcBorders>
              <w:top w:val="single" w:sz="6" w:space="0" w:color="auto"/>
              <w:left w:val="single" w:sz="6" w:space="0" w:color="auto"/>
              <w:bottom w:val="single" w:sz="6" w:space="0" w:color="auto"/>
              <w:right w:val="single" w:sz="6" w:space="0" w:color="auto"/>
            </w:tcBorders>
            <w:vAlign w:val="center"/>
          </w:tcPr>
          <w:p w14:paraId="18B1FD1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7F471FEA"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0.043</w:t>
            </w:r>
          </w:p>
        </w:tc>
        <w:tc>
          <w:tcPr>
            <w:tcW w:w="0" w:type="auto"/>
            <w:tcBorders>
              <w:top w:val="single" w:sz="6" w:space="0" w:color="auto"/>
              <w:left w:val="single" w:sz="6" w:space="0" w:color="auto"/>
              <w:bottom w:val="single" w:sz="6" w:space="0" w:color="auto"/>
              <w:right w:val="single" w:sz="6" w:space="0" w:color="auto"/>
            </w:tcBorders>
            <w:vAlign w:val="center"/>
          </w:tcPr>
          <w:p w14:paraId="66A0433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single" w:sz="6" w:space="0" w:color="auto"/>
              <w:right w:val="single" w:sz="6" w:space="0" w:color="auto"/>
            </w:tcBorders>
            <w:vAlign w:val="center"/>
          </w:tcPr>
          <w:p w14:paraId="2D3FA2A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0.013</w:t>
            </w:r>
          </w:p>
        </w:tc>
        <w:tc>
          <w:tcPr>
            <w:tcW w:w="0" w:type="auto"/>
            <w:tcBorders>
              <w:top w:val="single" w:sz="6" w:space="0" w:color="auto"/>
              <w:left w:val="single" w:sz="6" w:space="0" w:color="auto"/>
              <w:bottom w:val="single" w:sz="6" w:space="0" w:color="auto"/>
              <w:right w:val="single" w:sz="6" w:space="0" w:color="auto"/>
            </w:tcBorders>
            <w:vAlign w:val="center"/>
          </w:tcPr>
          <w:p w14:paraId="7D50667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0.0002</w:t>
            </w:r>
          </w:p>
        </w:tc>
        <w:tc>
          <w:tcPr>
            <w:tcW w:w="0" w:type="auto"/>
            <w:tcBorders>
              <w:top w:val="single" w:sz="6" w:space="0" w:color="auto"/>
              <w:left w:val="single" w:sz="6" w:space="0" w:color="auto"/>
              <w:bottom w:val="single" w:sz="6" w:space="0" w:color="auto"/>
              <w:right w:val="single" w:sz="6" w:space="0" w:color="auto"/>
            </w:tcBorders>
            <w:vAlign w:val="center"/>
          </w:tcPr>
          <w:p w14:paraId="1077D619"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0.0327</w:t>
            </w:r>
          </w:p>
        </w:tc>
        <w:tc>
          <w:tcPr>
            <w:tcW w:w="870" w:type="dxa"/>
            <w:tcBorders>
              <w:top w:val="single" w:sz="6" w:space="0" w:color="auto"/>
              <w:left w:val="single" w:sz="6" w:space="0" w:color="auto"/>
              <w:bottom w:val="single" w:sz="6" w:space="0" w:color="auto"/>
              <w:right w:val="single" w:sz="6" w:space="0" w:color="auto"/>
            </w:tcBorders>
            <w:vAlign w:val="center"/>
          </w:tcPr>
          <w:p w14:paraId="605D421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74BD515B"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08DEC6B3" w14:textId="77777777" w:rsidTr="00887829">
        <w:tc>
          <w:tcPr>
            <w:tcW w:w="0" w:type="auto"/>
            <w:tcBorders>
              <w:top w:val="single" w:sz="6" w:space="0" w:color="auto"/>
              <w:left w:val="double" w:sz="4" w:space="0" w:color="auto"/>
              <w:bottom w:val="single" w:sz="6" w:space="0" w:color="auto"/>
              <w:right w:val="single" w:sz="6" w:space="0" w:color="auto"/>
            </w:tcBorders>
            <w:vAlign w:val="center"/>
          </w:tcPr>
          <w:p w14:paraId="438D35E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E85</w:t>
            </w:r>
          </w:p>
        </w:tc>
        <w:tc>
          <w:tcPr>
            <w:tcW w:w="0" w:type="auto"/>
            <w:tcBorders>
              <w:top w:val="single" w:sz="6" w:space="0" w:color="auto"/>
              <w:left w:val="single" w:sz="6" w:space="0" w:color="auto"/>
              <w:bottom w:val="single" w:sz="6" w:space="0" w:color="auto"/>
              <w:right w:val="single" w:sz="6" w:space="0" w:color="auto"/>
            </w:tcBorders>
            <w:vAlign w:val="center"/>
          </w:tcPr>
          <w:p w14:paraId="1B5A38A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single" w:sz="6" w:space="0" w:color="auto"/>
              <w:right w:val="single" w:sz="6" w:space="0" w:color="auto"/>
            </w:tcBorders>
            <w:vAlign w:val="center"/>
          </w:tcPr>
          <w:p w14:paraId="6F3C7F6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0.459</w:t>
            </w:r>
          </w:p>
        </w:tc>
        <w:tc>
          <w:tcPr>
            <w:tcW w:w="0" w:type="auto"/>
            <w:tcBorders>
              <w:top w:val="single" w:sz="6" w:space="0" w:color="auto"/>
              <w:left w:val="single" w:sz="6" w:space="0" w:color="auto"/>
              <w:bottom w:val="single" w:sz="6" w:space="0" w:color="auto"/>
              <w:right w:val="single" w:sz="6" w:space="0" w:color="auto"/>
            </w:tcBorders>
            <w:vAlign w:val="center"/>
          </w:tcPr>
          <w:p w14:paraId="7EEFEA8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0.062</w:t>
            </w:r>
          </w:p>
        </w:tc>
        <w:tc>
          <w:tcPr>
            <w:tcW w:w="0" w:type="auto"/>
            <w:tcBorders>
              <w:top w:val="single" w:sz="6" w:space="0" w:color="auto"/>
              <w:left w:val="single" w:sz="6" w:space="0" w:color="auto"/>
              <w:bottom w:val="single" w:sz="6" w:space="0" w:color="auto"/>
              <w:right w:val="single" w:sz="6" w:space="0" w:color="auto"/>
            </w:tcBorders>
            <w:vAlign w:val="center"/>
          </w:tcPr>
          <w:p w14:paraId="5506318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0.053</w:t>
            </w:r>
          </w:p>
        </w:tc>
        <w:tc>
          <w:tcPr>
            <w:tcW w:w="0" w:type="auto"/>
            <w:tcBorders>
              <w:top w:val="single" w:sz="6" w:space="0" w:color="auto"/>
              <w:left w:val="single" w:sz="6" w:space="0" w:color="auto"/>
              <w:bottom w:val="single" w:sz="6" w:space="0" w:color="auto"/>
              <w:right w:val="single" w:sz="6" w:space="0" w:color="auto"/>
            </w:tcBorders>
            <w:vAlign w:val="center"/>
          </w:tcPr>
          <w:p w14:paraId="69A64607"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w:t>
            </w:r>
          </w:p>
        </w:tc>
        <w:tc>
          <w:tcPr>
            <w:tcW w:w="0" w:type="auto"/>
            <w:tcBorders>
              <w:top w:val="single" w:sz="6" w:space="0" w:color="auto"/>
              <w:left w:val="single" w:sz="6" w:space="0" w:color="auto"/>
              <w:bottom w:val="single" w:sz="6" w:space="0" w:color="auto"/>
              <w:right w:val="single" w:sz="6" w:space="0" w:color="auto"/>
            </w:tcBorders>
            <w:vAlign w:val="center"/>
          </w:tcPr>
          <w:p w14:paraId="2AD979C6"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0.0339</w:t>
            </w:r>
          </w:p>
        </w:tc>
        <w:tc>
          <w:tcPr>
            <w:tcW w:w="870" w:type="dxa"/>
            <w:tcBorders>
              <w:top w:val="single" w:sz="6" w:space="0" w:color="auto"/>
              <w:left w:val="single" w:sz="6" w:space="0" w:color="auto"/>
              <w:bottom w:val="single" w:sz="6" w:space="0" w:color="auto"/>
              <w:right w:val="single" w:sz="6" w:space="0" w:color="auto"/>
            </w:tcBorders>
            <w:vAlign w:val="center"/>
          </w:tcPr>
          <w:p w14:paraId="742164B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single" w:sz="6" w:space="0" w:color="auto"/>
              <w:right w:val="double" w:sz="4" w:space="0" w:color="auto"/>
            </w:tcBorders>
            <w:vAlign w:val="center"/>
          </w:tcPr>
          <w:p w14:paraId="40228F43"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tr w:rsidR="00E81C5C" w:rsidRPr="000855B2" w14:paraId="7EC609A0" w14:textId="77777777" w:rsidTr="00887829">
        <w:tc>
          <w:tcPr>
            <w:tcW w:w="0" w:type="auto"/>
            <w:tcBorders>
              <w:top w:val="single" w:sz="6" w:space="0" w:color="auto"/>
              <w:left w:val="double" w:sz="4" w:space="0" w:color="auto"/>
              <w:bottom w:val="double" w:sz="4" w:space="0" w:color="auto"/>
              <w:right w:val="single" w:sz="6" w:space="0" w:color="auto"/>
            </w:tcBorders>
            <w:vAlign w:val="center"/>
          </w:tcPr>
          <w:p w14:paraId="65796DD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CNG</w:t>
            </w:r>
          </w:p>
        </w:tc>
        <w:tc>
          <w:tcPr>
            <w:tcW w:w="0" w:type="auto"/>
            <w:tcBorders>
              <w:top w:val="single" w:sz="6" w:space="0" w:color="auto"/>
              <w:left w:val="single" w:sz="6" w:space="0" w:color="auto"/>
              <w:bottom w:val="double" w:sz="4" w:space="0" w:color="auto"/>
              <w:right w:val="single" w:sz="6" w:space="0" w:color="auto"/>
            </w:tcBorders>
            <w:vAlign w:val="center"/>
          </w:tcPr>
          <w:p w14:paraId="7E77760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and later</w:t>
            </w:r>
          </w:p>
        </w:tc>
        <w:tc>
          <w:tcPr>
            <w:tcW w:w="0" w:type="auto"/>
            <w:tcBorders>
              <w:top w:val="single" w:sz="6" w:space="0" w:color="auto"/>
              <w:left w:val="single" w:sz="6" w:space="0" w:color="auto"/>
              <w:bottom w:val="double" w:sz="4" w:space="0" w:color="auto"/>
              <w:right w:val="single" w:sz="6" w:space="0" w:color="auto"/>
            </w:tcBorders>
            <w:vAlign w:val="center"/>
          </w:tcPr>
          <w:p w14:paraId="47F872E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0.616</w:t>
            </w:r>
          </w:p>
        </w:tc>
        <w:tc>
          <w:tcPr>
            <w:tcW w:w="0" w:type="auto"/>
            <w:tcBorders>
              <w:top w:val="single" w:sz="6" w:space="0" w:color="auto"/>
              <w:left w:val="single" w:sz="6" w:space="0" w:color="auto"/>
              <w:bottom w:val="double" w:sz="4" w:space="0" w:color="auto"/>
              <w:right w:val="single" w:sz="6" w:space="0" w:color="auto"/>
            </w:tcBorders>
            <w:vAlign w:val="center"/>
          </w:tcPr>
          <w:p w14:paraId="215C681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0.035</w:t>
            </w:r>
          </w:p>
        </w:tc>
        <w:tc>
          <w:tcPr>
            <w:tcW w:w="0" w:type="auto"/>
            <w:tcBorders>
              <w:top w:val="single" w:sz="6" w:space="0" w:color="auto"/>
              <w:left w:val="single" w:sz="6" w:space="0" w:color="auto"/>
              <w:bottom w:val="double" w:sz="4" w:space="0" w:color="auto"/>
              <w:right w:val="single" w:sz="6" w:space="0" w:color="auto"/>
            </w:tcBorders>
            <w:vAlign w:val="center"/>
          </w:tcPr>
          <w:p w14:paraId="7111732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0.056</w:t>
            </w:r>
          </w:p>
        </w:tc>
        <w:tc>
          <w:tcPr>
            <w:tcW w:w="0" w:type="auto"/>
            <w:tcBorders>
              <w:top w:val="single" w:sz="6" w:space="0" w:color="auto"/>
              <w:left w:val="single" w:sz="6" w:space="0" w:color="auto"/>
              <w:bottom w:val="double" w:sz="4" w:space="0" w:color="auto"/>
              <w:right w:val="single" w:sz="6" w:space="0" w:color="auto"/>
            </w:tcBorders>
            <w:vAlign w:val="center"/>
          </w:tcPr>
          <w:p w14:paraId="457C49C2"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w:t>
            </w:r>
          </w:p>
        </w:tc>
        <w:tc>
          <w:tcPr>
            <w:tcW w:w="0" w:type="auto"/>
            <w:tcBorders>
              <w:top w:val="single" w:sz="6" w:space="0" w:color="auto"/>
              <w:left w:val="single" w:sz="6" w:space="0" w:color="auto"/>
              <w:bottom w:val="double" w:sz="4" w:space="0" w:color="auto"/>
              <w:right w:val="single" w:sz="6" w:space="0" w:color="auto"/>
            </w:tcBorders>
            <w:vAlign w:val="center"/>
          </w:tcPr>
          <w:p w14:paraId="4C266B2C"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0.0338</w:t>
            </w:r>
          </w:p>
        </w:tc>
        <w:tc>
          <w:tcPr>
            <w:tcW w:w="870" w:type="dxa"/>
            <w:tcBorders>
              <w:top w:val="single" w:sz="6" w:space="0" w:color="auto"/>
              <w:left w:val="single" w:sz="6" w:space="0" w:color="auto"/>
              <w:bottom w:val="double" w:sz="4" w:space="0" w:color="auto"/>
              <w:right w:val="single" w:sz="6" w:space="0" w:color="auto"/>
            </w:tcBorders>
            <w:vAlign w:val="center"/>
          </w:tcPr>
          <w:p w14:paraId="78EA4CB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1.82E-05</w:t>
            </w:r>
          </w:p>
        </w:tc>
        <w:tc>
          <w:tcPr>
            <w:tcW w:w="774" w:type="dxa"/>
            <w:tcBorders>
              <w:top w:val="single" w:sz="6" w:space="0" w:color="auto"/>
              <w:left w:val="single" w:sz="6" w:space="0" w:color="auto"/>
              <w:bottom w:val="double" w:sz="4" w:space="0" w:color="auto"/>
              <w:right w:val="double" w:sz="4" w:space="0" w:color="auto"/>
            </w:tcBorders>
            <w:vAlign w:val="center"/>
          </w:tcPr>
          <w:p w14:paraId="4F8D6770" w14:textId="77777777" w:rsidR="00E81C5C" w:rsidRPr="000855B2" w:rsidRDefault="003511C1" w:rsidP="008231B8">
            <w:pPr>
              <w:autoSpaceDE w:val="0"/>
              <w:autoSpaceDN w:val="0"/>
              <w:adjustRightInd w:val="0"/>
              <w:spacing w:line="240" w:lineRule="auto"/>
              <w:jc w:val="center"/>
              <w:rPr>
                <w:color w:val="000000"/>
                <w:sz w:val="12"/>
                <w:szCs w:val="12"/>
                <w:lang w:val="en-GB"/>
              </w:rPr>
            </w:pPr>
            <w:r>
              <w:rPr>
                <w:color w:val="000000"/>
                <w:sz w:val="12"/>
                <w:szCs w:val="12"/>
                <w:lang w:val="en-GB"/>
              </w:rPr>
              <w:t>0.</w:t>
            </w:r>
            <w:r w:rsidR="00E81C5C" w:rsidRPr="000855B2">
              <w:rPr>
                <w:color w:val="000000"/>
                <w:sz w:val="12"/>
                <w:szCs w:val="12"/>
                <w:lang w:val="en-GB"/>
              </w:rPr>
              <w:t>398</w:t>
            </w:r>
          </w:p>
        </w:tc>
      </w:tr>
      <w:bookmarkEnd w:id="89"/>
    </w:tbl>
    <w:p w14:paraId="0E6C4C71" w14:textId="6C1F06C6" w:rsidR="001D2587" w:rsidRPr="000855B2" w:rsidRDefault="001D2587" w:rsidP="00E43131">
      <w:pPr>
        <w:pStyle w:val="Caption"/>
      </w:pPr>
      <w:r w:rsidRPr="000855B2">
        <w:rPr>
          <w:highlight w:val="yellow"/>
        </w:rPr>
        <w:br w:type="page"/>
      </w:r>
      <w:r w:rsidR="00A040D1"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18</w:t>
      </w:r>
      <w:r w:rsidR="00FB454C">
        <w:rPr>
          <w:noProof/>
        </w:rPr>
        <w:fldChar w:fldCharType="end"/>
      </w:r>
      <w:r w:rsidR="00944F54">
        <w:t xml:space="preserve">: </w:t>
      </w:r>
      <w:r w:rsidRPr="000855B2">
        <w:t xml:space="preserve">Tier 2 </w:t>
      </w:r>
      <w:r w:rsidR="00482973" w:rsidRPr="000855B2">
        <w:t xml:space="preserve">exhaust </w:t>
      </w:r>
      <w:r w:rsidRPr="000855B2">
        <w:t>emission factors for passenger cars, NFR 1</w:t>
      </w:r>
      <w:r w:rsidR="00437ECC" w:rsidRPr="000855B2">
        <w:t>.</w:t>
      </w:r>
      <w:r w:rsidRPr="000855B2">
        <w:t>A</w:t>
      </w:r>
      <w:r w:rsidR="00437ECC" w:rsidRPr="000855B2">
        <w:t>.</w:t>
      </w:r>
      <w:r w:rsidRPr="000855B2">
        <w:t>3</w:t>
      </w:r>
      <w:r w:rsidR="00437ECC" w:rsidRPr="000855B2">
        <w:t>.</w:t>
      </w:r>
      <w:r w:rsidRPr="000855B2">
        <w:t>b</w:t>
      </w:r>
      <w:r w:rsidR="00437ECC" w:rsidRPr="000855B2">
        <w:t>.</w:t>
      </w:r>
      <w:r w:rsidRPr="000855B2">
        <w:t>i</w:t>
      </w:r>
    </w:p>
    <w:tbl>
      <w:tblPr>
        <w:tblW w:w="6747" w:type="dxa"/>
        <w:tblLayout w:type="fixed"/>
        <w:tblLook w:val="0000" w:firstRow="0" w:lastRow="0" w:firstColumn="0" w:lastColumn="0" w:noHBand="0" w:noVBand="0"/>
      </w:tblPr>
      <w:tblGrid>
        <w:gridCol w:w="1304"/>
        <w:gridCol w:w="1531"/>
        <w:gridCol w:w="964"/>
        <w:gridCol w:w="737"/>
        <w:gridCol w:w="737"/>
        <w:gridCol w:w="737"/>
        <w:gridCol w:w="737"/>
      </w:tblGrid>
      <w:tr w:rsidR="00E81C5C" w:rsidRPr="000855B2" w14:paraId="491058B3" w14:textId="77777777" w:rsidTr="00887829">
        <w:tc>
          <w:tcPr>
            <w:tcW w:w="1304" w:type="dxa"/>
            <w:tcBorders>
              <w:top w:val="double" w:sz="4" w:space="0" w:color="auto"/>
              <w:left w:val="double" w:sz="4" w:space="0" w:color="auto"/>
              <w:bottom w:val="single" w:sz="6" w:space="0" w:color="auto"/>
              <w:right w:val="single" w:sz="6" w:space="0" w:color="auto"/>
            </w:tcBorders>
            <w:vAlign w:val="center"/>
          </w:tcPr>
          <w:p w14:paraId="6BBD54B4" w14:textId="77777777" w:rsidR="00E81C5C" w:rsidRDefault="00E81C5C" w:rsidP="00D23F66">
            <w:pPr>
              <w:autoSpaceDE w:val="0"/>
              <w:autoSpaceDN w:val="0"/>
              <w:adjustRightInd w:val="0"/>
              <w:spacing w:line="240" w:lineRule="auto"/>
              <w:jc w:val="center"/>
              <w:rPr>
                <w:b/>
                <w:bCs/>
                <w:color w:val="000000"/>
                <w:sz w:val="12"/>
                <w:szCs w:val="12"/>
                <w:lang w:val="en-GB"/>
              </w:rPr>
            </w:pPr>
            <w:bookmarkStart w:id="90" w:name="OLE_LINK2"/>
            <w:r w:rsidRPr="000855B2">
              <w:rPr>
                <w:b/>
                <w:bCs/>
                <w:color w:val="000000"/>
                <w:sz w:val="12"/>
                <w:szCs w:val="12"/>
                <w:lang w:val="en-GB"/>
              </w:rPr>
              <w:t>Type</w:t>
            </w:r>
          </w:p>
        </w:tc>
        <w:tc>
          <w:tcPr>
            <w:tcW w:w="1531" w:type="dxa"/>
            <w:vMerge w:val="restart"/>
            <w:tcBorders>
              <w:top w:val="double" w:sz="4" w:space="0" w:color="auto"/>
              <w:left w:val="single" w:sz="6" w:space="0" w:color="auto"/>
              <w:right w:val="single" w:sz="6" w:space="0" w:color="auto"/>
            </w:tcBorders>
            <w:vAlign w:val="center"/>
          </w:tcPr>
          <w:p w14:paraId="59676C6F"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Technology</w:t>
            </w:r>
          </w:p>
        </w:tc>
        <w:tc>
          <w:tcPr>
            <w:tcW w:w="964" w:type="dxa"/>
            <w:tcBorders>
              <w:top w:val="double" w:sz="4" w:space="0" w:color="auto"/>
              <w:left w:val="single" w:sz="6" w:space="0" w:color="auto"/>
              <w:bottom w:val="single" w:sz="6" w:space="0" w:color="auto"/>
              <w:right w:val="single" w:sz="6" w:space="0" w:color="auto"/>
            </w:tcBorders>
            <w:vAlign w:val="center"/>
          </w:tcPr>
          <w:p w14:paraId="6FB7BFA7"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PM2.5</w:t>
            </w:r>
          </w:p>
        </w:tc>
        <w:tc>
          <w:tcPr>
            <w:tcW w:w="737" w:type="dxa"/>
            <w:tcBorders>
              <w:top w:val="double" w:sz="4" w:space="0" w:color="auto"/>
              <w:left w:val="single" w:sz="6" w:space="0" w:color="auto"/>
              <w:bottom w:val="single" w:sz="6" w:space="0" w:color="auto"/>
              <w:right w:val="single" w:sz="6" w:space="0" w:color="auto"/>
            </w:tcBorders>
            <w:vAlign w:val="center"/>
          </w:tcPr>
          <w:p w14:paraId="774067FE"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ID(1,2,3,cd)P</w:t>
            </w:r>
          </w:p>
        </w:tc>
        <w:tc>
          <w:tcPr>
            <w:tcW w:w="737" w:type="dxa"/>
            <w:tcBorders>
              <w:top w:val="double" w:sz="4" w:space="0" w:color="auto"/>
              <w:left w:val="single" w:sz="6" w:space="0" w:color="auto"/>
              <w:bottom w:val="single" w:sz="6" w:space="0" w:color="auto"/>
              <w:right w:val="single" w:sz="6" w:space="0" w:color="auto"/>
            </w:tcBorders>
            <w:vAlign w:val="center"/>
          </w:tcPr>
          <w:p w14:paraId="7CE28510"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B(k)F</w:t>
            </w:r>
          </w:p>
        </w:tc>
        <w:tc>
          <w:tcPr>
            <w:tcW w:w="737" w:type="dxa"/>
            <w:tcBorders>
              <w:top w:val="double" w:sz="4" w:space="0" w:color="auto"/>
              <w:left w:val="single" w:sz="6" w:space="0" w:color="auto"/>
              <w:bottom w:val="single" w:sz="6" w:space="0" w:color="auto"/>
              <w:right w:val="single" w:sz="6" w:space="0" w:color="auto"/>
            </w:tcBorders>
            <w:vAlign w:val="center"/>
          </w:tcPr>
          <w:p w14:paraId="1917B884"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B(b)F</w:t>
            </w:r>
          </w:p>
        </w:tc>
        <w:tc>
          <w:tcPr>
            <w:tcW w:w="737" w:type="dxa"/>
            <w:tcBorders>
              <w:top w:val="double" w:sz="4" w:space="0" w:color="auto"/>
              <w:left w:val="single" w:sz="6" w:space="0" w:color="auto"/>
              <w:bottom w:val="single" w:sz="6" w:space="0" w:color="auto"/>
              <w:right w:val="double" w:sz="4" w:space="0" w:color="auto"/>
            </w:tcBorders>
            <w:vAlign w:val="center"/>
          </w:tcPr>
          <w:p w14:paraId="3E0E639D"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B(a)P</w:t>
            </w:r>
          </w:p>
        </w:tc>
      </w:tr>
      <w:tr w:rsidR="00E81C5C" w:rsidRPr="000855B2" w14:paraId="6AF5BF71"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13279CA1" w14:textId="77777777" w:rsidR="00E81C5C" w:rsidRDefault="00E81C5C" w:rsidP="00D23F66">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Units</w:t>
            </w:r>
          </w:p>
        </w:tc>
        <w:tc>
          <w:tcPr>
            <w:tcW w:w="1531" w:type="dxa"/>
            <w:vMerge/>
            <w:tcBorders>
              <w:left w:val="single" w:sz="6" w:space="0" w:color="auto"/>
              <w:right w:val="single" w:sz="6" w:space="0" w:color="auto"/>
            </w:tcBorders>
            <w:vAlign w:val="center"/>
          </w:tcPr>
          <w:p w14:paraId="71B0788B"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1A0D6535"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single" w:sz="6" w:space="0" w:color="auto"/>
            </w:tcBorders>
            <w:vAlign w:val="center"/>
          </w:tcPr>
          <w:p w14:paraId="0EF06DB6"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single" w:sz="6" w:space="0" w:color="auto"/>
            </w:tcBorders>
            <w:vAlign w:val="center"/>
          </w:tcPr>
          <w:p w14:paraId="38AD8F39"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single" w:sz="6" w:space="0" w:color="auto"/>
            </w:tcBorders>
            <w:vAlign w:val="center"/>
          </w:tcPr>
          <w:p w14:paraId="755C48B5"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c>
          <w:tcPr>
            <w:tcW w:w="737" w:type="dxa"/>
            <w:tcBorders>
              <w:top w:val="single" w:sz="6" w:space="0" w:color="auto"/>
              <w:left w:val="single" w:sz="6" w:space="0" w:color="auto"/>
              <w:bottom w:val="single" w:sz="6" w:space="0" w:color="auto"/>
              <w:right w:val="double" w:sz="4" w:space="0" w:color="auto"/>
            </w:tcBorders>
            <w:vAlign w:val="center"/>
          </w:tcPr>
          <w:p w14:paraId="705E4123"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g/km</w:t>
            </w:r>
          </w:p>
        </w:tc>
      </w:tr>
      <w:tr w:rsidR="00E81C5C" w:rsidRPr="000855B2" w14:paraId="60D759EA" w14:textId="77777777" w:rsidTr="00246BA6">
        <w:tc>
          <w:tcPr>
            <w:tcW w:w="1304" w:type="dxa"/>
            <w:tcBorders>
              <w:top w:val="single" w:sz="6" w:space="0" w:color="auto"/>
              <w:left w:val="double" w:sz="4" w:space="0" w:color="auto"/>
              <w:bottom w:val="single" w:sz="12" w:space="0" w:color="auto"/>
              <w:right w:val="single" w:sz="6" w:space="0" w:color="auto"/>
            </w:tcBorders>
            <w:vAlign w:val="center"/>
          </w:tcPr>
          <w:p w14:paraId="70BE4942" w14:textId="77777777" w:rsidR="00E81C5C" w:rsidRDefault="00E81C5C" w:rsidP="00D23F66">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Notes</w:t>
            </w:r>
          </w:p>
        </w:tc>
        <w:tc>
          <w:tcPr>
            <w:tcW w:w="1531" w:type="dxa"/>
            <w:vMerge/>
            <w:tcBorders>
              <w:left w:val="single" w:sz="6" w:space="0" w:color="auto"/>
              <w:bottom w:val="single" w:sz="12" w:space="0" w:color="auto"/>
              <w:right w:val="single" w:sz="6" w:space="0" w:color="auto"/>
            </w:tcBorders>
            <w:vAlign w:val="center"/>
          </w:tcPr>
          <w:p w14:paraId="4F0D68E1" w14:textId="77777777" w:rsidR="00E81C5C" w:rsidRPr="000855B2" w:rsidRDefault="00E81C5C" w:rsidP="008231B8">
            <w:pPr>
              <w:autoSpaceDE w:val="0"/>
              <w:autoSpaceDN w:val="0"/>
              <w:adjustRightInd w:val="0"/>
              <w:spacing w:line="240" w:lineRule="auto"/>
              <w:jc w:val="center"/>
              <w:rPr>
                <w:b/>
                <w:bCs/>
                <w:color w:val="000000"/>
                <w:sz w:val="12"/>
                <w:szCs w:val="12"/>
                <w:lang w:val="en-GB"/>
              </w:rPr>
            </w:pPr>
          </w:p>
        </w:tc>
        <w:tc>
          <w:tcPr>
            <w:tcW w:w="964" w:type="dxa"/>
            <w:tcBorders>
              <w:top w:val="single" w:sz="6" w:space="0" w:color="auto"/>
              <w:left w:val="single" w:sz="6" w:space="0" w:color="auto"/>
              <w:bottom w:val="single" w:sz="12" w:space="0" w:color="auto"/>
              <w:right w:val="single" w:sz="6" w:space="0" w:color="auto"/>
            </w:tcBorders>
            <w:vAlign w:val="center"/>
          </w:tcPr>
          <w:p w14:paraId="507D5BF9" w14:textId="77777777" w:rsidR="00E81C5C" w:rsidRDefault="00E81C5C" w:rsidP="008231B8">
            <w:pPr>
              <w:autoSpaceDE w:val="0"/>
              <w:autoSpaceDN w:val="0"/>
              <w:adjustRightInd w:val="0"/>
              <w:spacing w:line="240" w:lineRule="auto"/>
              <w:jc w:val="center"/>
              <w:rPr>
                <w:b/>
                <w:bCs/>
                <w:color w:val="000000"/>
                <w:sz w:val="12"/>
                <w:szCs w:val="12"/>
                <w:lang w:val="en-GB"/>
              </w:rPr>
            </w:pPr>
            <w:r w:rsidRPr="000855B2">
              <w:rPr>
                <w:b/>
                <w:bCs/>
                <w:color w:val="000000"/>
                <w:sz w:val="12"/>
                <w:szCs w:val="12"/>
                <w:lang w:val="en-GB"/>
              </w:rPr>
              <w:t>PM2.5=PM10=TSP</w:t>
            </w:r>
          </w:p>
        </w:tc>
        <w:tc>
          <w:tcPr>
            <w:tcW w:w="737" w:type="dxa"/>
            <w:tcBorders>
              <w:top w:val="single" w:sz="6" w:space="0" w:color="auto"/>
              <w:left w:val="single" w:sz="6" w:space="0" w:color="auto"/>
              <w:bottom w:val="single" w:sz="12" w:space="0" w:color="auto"/>
              <w:right w:val="single" w:sz="6" w:space="0" w:color="auto"/>
            </w:tcBorders>
            <w:vAlign w:val="center"/>
          </w:tcPr>
          <w:p w14:paraId="743E504C" w14:textId="77777777" w:rsidR="00E81C5C" w:rsidRDefault="00E81C5C" w:rsidP="008231B8">
            <w:pPr>
              <w:autoSpaceDE w:val="0"/>
              <w:autoSpaceDN w:val="0"/>
              <w:adjustRightInd w:val="0"/>
              <w:spacing w:line="240" w:lineRule="auto"/>
              <w:jc w:val="center"/>
              <w:rPr>
                <w:b/>
                <w:bCs/>
                <w:color w:val="000000"/>
                <w:sz w:val="12"/>
                <w:szCs w:val="12"/>
                <w:lang w:val="en-GB"/>
              </w:rPr>
            </w:pPr>
          </w:p>
        </w:tc>
        <w:tc>
          <w:tcPr>
            <w:tcW w:w="737" w:type="dxa"/>
            <w:tcBorders>
              <w:top w:val="single" w:sz="6" w:space="0" w:color="auto"/>
              <w:left w:val="single" w:sz="6" w:space="0" w:color="auto"/>
              <w:bottom w:val="single" w:sz="12" w:space="0" w:color="auto"/>
              <w:right w:val="single" w:sz="6" w:space="0" w:color="auto"/>
            </w:tcBorders>
            <w:vAlign w:val="center"/>
          </w:tcPr>
          <w:p w14:paraId="159B6295" w14:textId="77777777" w:rsidR="00E81C5C" w:rsidRDefault="00E81C5C" w:rsidP="008231B8">
            <w:pPr>
              <w:autoSpaceDE w:val="0"/>
              <w:autoSpaceDN w:val="0"/>
              <w:adjustRightInd w:val="0"/>
              <w:spacing w:line="240" w:lineRule="auto"/>
              <w:jc w:val="center"/>
              <w:rPr>
                <w:b/>
                <w:bCs/>
                <w:color w:val="000000"/>
                <w:sz w:val="12"/>
                <w:szCs w:val="12"/>
                <w:lang w:val="en-GB"/>
              </w:rPr>
            </w:pPr>
          </w:p>
        </w:tc>
        <w:tc>
          <w:tcPr>
            <w:tcW w:w="737" w:type="dxa"/>
            <w:tcBorders>
              <w:top w:val="single" w:sz="6" w:space="0" w:color="auto"/>
              <w:left w:val="single" w:sz="6" w:space="0" w:color="auto"/>
              <w:bottom w:val="single" w:sz="12" w:space="0" w:color="auto"/>
              <w:right w:val="single" w:sz="6" w:space="0" w:color="auto"/>
            </w:tcBorders>
            <w:vAlign w:val="center"/>
          </w:tcPr>
          <w:p w14:paraId="0521A20F" w14:textId="77777777" w:rsidR="00E81C5C" w:rsidRDefault="00E81C5C" w:rsidP="008231B8">
            <w:pPr>
              <w:autoSpaceDE w:val="0"/>
              <w:autoSpaceDN w:val="0"/>
              <w:adjustRightInd w:val="0"/>
              <w:spacing w:line="240" w:lineRule="auto"/>
              <w:jc w:val="center"/>
              <w:rPr>
                <w:b/>
                <w:bCs/>
                <w:color w:val="000000"/>
                <w:sz w:val="12"/>
                <w:szCs w:val="12"/>
                <w:lang w:val="en-GB"/>
              </w:rPr>
            </w:pPr>
          </w:p>
        </w:tc>
        <w:tc>
          <w:tcPr>
            <w:tcW w:w="737" w:type="dxa"/>
            <w:tcBorders>
              <w:top w:val="single" w:sz="6" w:space="0" w:color="auto"/>
              <w:left w:val="single" w:sz="6" w:space="0" w:color="auto"/>
              <w:bottom w:val="single" w:sz="12" w:space="0" w:color="auto"/>
              <w:right w:val="double" w:sz="4" w:space="0" w:color="auto"/>
            </w:tcBorders>
            <w:vAlign w:val="center"/>
          </w:tcPr>
          <w:p w14:paraId="7652C834" w14:textId="77777777" w:rsidR="00E81C5C" w:rsidRDefault="00E81C5C" w:rsidP="008231B8">
            <w:pPr>
              <w:autoSpaceDE w:val="0"/>
              <w:autoSpaceDN w:val="0"/>
              <w:adjustRightInd w:val="0"/>
              <w:spacing w:line="240" w:lineRule="auto"/>
              <w:jc w:val="center"/>
              <w:rPr>
                <w:b/>
                <w:bCs/>
                <w:color w:val="000000"/>
                <w:sz w:val="12"/>
                <w:szCs w:val="12"/>
                <w:lang w:val="en-GB"/>
              </w:rPr>
            </w:pPr>
          </w:p>
        </w:tc>
      </w:tr>
      <w:tr w:rsidR="00E81C5C" w:rsidRPr="000855B2" w14:paraId="5B20775F" w14:textId="77777777" w:rsidTr="00246BA6">
        <w:tc>
          <w:tcPr>
            <w:tcW w:w="1304" w:type="dxa"/>
            <w:vMerge w:val="restart"/>
            <w:tcBorders>
              <w:top w:val="single" w:sz="12" w:space="0" w:color="auto"/>
              <w:left w:val="double" w:sz="4" w:space="0" w:color="auto"/>
              <w:right w:val="single" w:sz="6" w:space="0" w:color="auto"/>
            </w:tcBorders>
            <w:vAlign w:val="center"/>
          </w:tcPr>
          <w:p w14:paraId="40A15CEB"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Mini</w:t>
            </w:r>
          </w:p>
        </w:tc>
        <w:tc>
          <w:tcPr>
            <w:tcW w:w="1531" w:type="dxa"/>
            <w:tcBorders>
              <w:top w:val="single" w:sz="12" w:space="0" w:color="auto"/>
              <w:left w:val="single" w:sz="6" w:space="0" w:color="auto"/>
              <w:bottom w:val="single" w:sz="6" w:space="0" w:color="auto"/>
              <w:right w:val="single" w:sz="6" w:space="0" w:color="auto"/>
            </w:tcBorders>
            <w:vAlign w:val="center"/>
          </w:tcPr>
          <w:p w14:paraId="0976875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12" w:space="0" w:color="auto"/>
              <w:left w:val="single" w:sz="6" w:space="0" w:color="auto"/>
              <w:bottom w:val="single" w:sz="6" w:space="0" w:color="auto"/>
              <w:right w:val="single" w:sz="6" w:space="0" w:color="auto"/>
            </w:tcBorders>
            <w:vAlign w:val="center"/>
          </w:tcPr>
          <w:p w14:paraId="233260D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12" w:space="0" w:color="auto"/>
              <w:left w:val="single" w:sz="6" w:space="0" w:color="auto"/>
              <w:bottom w:val="single" w:sz="6" w:space="0" w:color="auto"/>
              <w:right w:val="single" w:sz="6" w:space="0" w:color="auto"/>
            </w:tcBorders>
            <w:vAlign w:val="center"/>
          </w:tcPr>
          <w:p w14:paraId="5EB991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12" w:space="0" w:color="auto"/>
              <w:left w:val="single" w:sz="6" w:space="0" w:color="auto"/>
              <w:bottom w:val="single" w:sz="6" w:space="0" w:color="auto"/>
              <w:right w:val="single" w:sz="6" w:space="0" w:color="auto"/>
            </w:tcBorders>
            <w:vAlign w:val="center"/>
          </w:tcPr>
          <w:p w14:paraId="1010290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12" w:space="0" w:color="auto"/>
              <w:left w:val="single" w:sz="6" w:space="0" w:color="auto"/>
              <w:bottom w:val="single" w:sz="6" w:space="0" w:color="auto"/>
              <w:right w:val="single" w:sz="6" w:space="0" w:color="auto"/>
            </w:tcBorders>
            <w:vAlign w:val="center"/>
          </w:tcPr>
          <w:p w14:paraId="5702D4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12" w:space="0" w:color="auto"/>
              <w:left w:val="single" w:sz="6" w:space="0" w:color="auto"/>
              <w:bottom w:val="single" w:sz="6" w:space="0" w:color="auto"/>
              <w:right w:val="double" w:sz="4" w:space="0" w:color="auto"/>
            </w:tcBorders>
            <w:vAlign w:val="center"/>
          </w:tcPr>
          <w:p w14:paraId="22A2D05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9B27FC9" w14:textId="77777777" w:rsidTr="00887829">
        <w:tc>
          <w:tcPr>
            <w:tcW w:w="1304" w:type="dxa"/>
            <w:vMerge/>
            <w:tcBorders>
              <w:left w:val="double" w:sz="4" w:space="0" w:color="auto"/>
              <w:right w:val="single" w:sz="6" w:space="0" w:color="auto"/>
            </w:tcBorders>
            <w:vAlign w:val="center"/>
          </w:tcPr>
          <w:p w14:paraId="07904D75"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5F8421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600C5C3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553AD7D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D762FF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A1BC63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68F120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992C93B" w14:textId="77777777" w:rsidTr="00887829">
        <w:tc>
          <w:tcPr>
            <w:tcW w:w="1304" w:type="dxa"/>
            <w:vMerge/>
            <w:tcBorders>
              <w:left w:val="double" w:sz="4" w:space="0" w:color="auto"/>
              <w:right w:val="single" w:sz="6" w:space="0" w:color="auto"/>
            </w:tcBorders>
            <w:vAlign w:val="center"/>
          </w:tcPr>
          <w:p w14:paraId="2FDD308A"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39BF4E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210F026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57DD1ED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8F5C32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74C71D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7AB8AB5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749F3D5" w14:textId="77777777" w:rsidTr="00887829">
        <w:tc>
          <w:tcPr>
            <w:tcW w:w="1304" w:type="dxa"/>
            <w:vMerge/>
            <w:tcBorders>
              <w:left w:val="double" w:sz="4" w:space="0" w:color="auto"/>
              <w:right w:val="single" w:sz="6" w:space="0" w:color="auto"/>
            </w:tcBorders>
            <w:vAlign w:val="center"/>
          </w:tcPr>
          <w:p w14:paraId="2F3EA9FC"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20C025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71C181C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279C19B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2A934F5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0573F2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E1E9BC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D0B5F71" w14:textId="77777777" w:rsidTr="00887829">
        <w:tc>
          <w:tcPr>
            <w:tcW w:w="1304" w:type="dxa"/>
            <w:vMerge/>
            <w:tcBorders>
              <w:left w:val="double" w:sz="4" w:space="0" w:color="auto"/>
              <w:bottom w:val="single" w:sz="6" w:space="0" w:color="auto"/>
              <w:right w:val="single" w:sz="6" w:space="0" w:color="auto"/>
            </w:tcBorders>
            <w:vAlign w:val="center"/>
          </w:tcPr>
          <w:p w14:paraId="4B1C1F7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0F050C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6E57CAB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3909BCC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59D065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34086FA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2B10B4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9A25401" w14:textId="77777777" w:rsidTr="00887829">
        <w:tc>
          <w:tcPr>
            <w:tcW w:w="1304" w:type="dxa"/>
            <w:vMerge w:val="restart"/>
            <w:tcBorders>
              <w:top w:val="single" w:sz="6" w:space="0" w:color="auto"/>
              <w:left w:val="double" w:sz="4" w:space="0" w:color="auto"/>
              <w:right w:val="single" w:sz="6" w:space="0" w:color="auto"/>
            </w:tcBorders>
            <w:vAlign w:val="center"/>
          </w:tcPr>
          <w:p w14:paraId="58593D0E"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Small</w:t>
            </w:r>
          </w:p>
        </w:tc>
        <w:tc>
          <w:tcPr>
            <w:tcW w:w="1531" w:type="dxa"/>
            <w:tcBorders>
              <w:top w:val="single" w:sz="6" w:space="0" w:color="auto"/>
              <w:left w:val="single" w:sz="6" w:space="0" w:color="auto"/>
              <w:bottom w:val="single" w:sz="6" w:space="0" w:color="auto"/>
              <w:right w:val="single" w:sz="6" w:space="0" w:color="auto"/>
            </w:tcBorders>
            <w:vAlign w:val="center"/>
          </w:tcPr>
          <w:p w14:paraId="7288151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964" w:type="dxa"/>
            <w:tcBorders>
              <w:top w:val="single" w:sz="6" w:space="0" w:color="auto"/>
              <w:left w:val="single" w:sz="6" w:space="0" w:color="auto"/>
              <w:bottom w:val="single" w:sz="6" w:space="0" w:color="auto"/>
              <w:right w:val="single" w:sz="6" w:space="0" w:color="auto"/>
            </w:tcBorders>
            <w:vAlign w:val="center"/>
          </w:tcPr>
          <w:p w14:paraId="699E908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31BCEF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5CE04CA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3E9518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48E87A2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35DC3DF4" w14:textId="77777777" w:rsidTr="00887829">
        <w:tc>
          <w:tcPr>
            <w:tcW w:w="1304" w:type="dxa"/>
            <w:vMerge/>
            <w:tcBorders>
              <w:left w:val="double" w:sz="4" w:space="0" w:color="auto"/>
              <w:right w:val="single" w:sz="6" w:space="0" w:color="auto"/>
            </w:tcBorders>
            <w:vAlign w:val="center"/>
          </w:tcPr>
          <w:p w14:paraId="037D6230"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C2C8B4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964" w:type="dxa"/>
            <w:tcBorders>
              <w:top w:val="single" w:sz="6" w:space="0" w:color="auto"/>
              <w:left w:val="single" w:sz="6" w:space="0" w:color="auto"/>
              <w:bottom w:val="single" w:sz="6" w:space="0" w:color="auto"/>
              <w:right w:val="single" w:sz="6" w:space="0" w:color="auto"/>
            </w:tcBorders>
            <w:vAlign w:val="center"/>
          </w:tcPr>
          <w:p w14:paraId="53E7F35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46F34A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3943178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5DE94B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5A02BB6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658AEE70" w14:textId="77777777" w:rsidTr="00887829">
        <w:tc>
          <w:tcPr>
            <w:tcW w:w="1304" w:type="dxa"/>
            <w:vMerge/>
            <w:tcBorders>
              <w:left w:val="double" w:sz="4" w:space="0" w:color="auto"/>
              <w:right w:val="single" w:sz="6" w:space="0" w:color="auto"/>
            </w:tcBorders>
            <w:vAlign w:val="center"/>
          </w:tcPr>
          <w:p w14:paraId="5D4183D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56AE26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964" w:type="dxa"/>
            <w:tcBorders>
              <w:top w:val="single" w:sz="6" w:space="0" w:color="auto"/>
              <w:left w:val="single" w:sz="6" w:space="0" w:color="auto"/>
              <w:bottom w:val="single" w:sz="6" w:space="0" w:color="auto"/>
              <w:right w:val="single" w:sz="6" w:space="0" w:color="auto"/>
            </w:tcBorders>
            <w:vAlign w:val="center"/>
          </w:tcPr>
          <w:p w14:paraId="607BB44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4C0BAA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0C45EF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387D326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6047F0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502B7718" w14:textId="77777777" w:rsidTr="00887829">
        <w:tc>
          <w:tcPr>
            <w:tcW w:w="1304" w:type="dxa"/>
            <w:vMerge/>
            <w:tcBorders>
              <w:left w:val="double" w:sz="4" w:space="0" w:color="auto"/>
              <w:right w:val="single" w:sz="6" w:space="0" w:color="auto"/>
            </w:tcBorders>
            <w:vAlign w:val="center"/>
          </w:tcPr>
          <w:p w14:paraId="1DEA1AED"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917C09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964" w:type="dxa"/>
            <w:tcBorders>
              <w:top w:val="single" w:sz="6" w:space="0" w:color="auto"/>
              <w:left w:val="single" w:sz="6" w:space="0" w:color="auto"/>
              <w:bottom w:val="single" w:sz="6" w:space="0" w:color="auto"/>
              <w:right w:val="single" w:sz="6" w:space="0" w:color="auto"/>
            </w:tcBorders>
            <w:vAlign w:val="center"/>
          </w:tcPr>
          <w:p w14:paraId="5F43B65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43B834B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0CCB91B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78A22AF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0058226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55AB447C" w14:textId="77777777" w:rsidTr="00887829">
        <w:tc>
          <w:tcPr>
            <w:tcW w:w="1304" w:type="dxa"/>
            <w:vMerge/>
            <w:tcBorders>
              <w:left w:val="double" w:sz="4" w:space="0" w:color="auto"/>
              <w:right w:val="single" w:sz="6" w:space="0" w:color="auto"/>
            </w:tcBorders>
            <w:vAlign w:val="center"/>
          </w:tcPr>
          <w:p w14:paraId="2E84B2BB"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3C97E1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964" w:type="dxa"/>
            <w:tcBorders>
              <w:top w:val="single" w:sz="6" w:space="0" w:color="auto"/>
              <w:left w:val="single" w:sz="6" w:space="0" w:color="auto"/>
              <w:bottom w:val="single" w:sz="6" w:space="0" w:color="auto"/>
              <w:right w:val="single" w:sz="6" w:space="0" w:color="auto"/>
            </w:tcBorders>
            <w:vAlign w:val="center"/>
          </w:tcPr>
          <w:p w14:paraId="53F6D6C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3F9A606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2070BCD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00935C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C6123E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16D80DC0" w14:textId="77777777" w:rsidTr="00887829">
        <w:tc>
          <w:tcPr>
            <w:tcW w:w="1304" w:type="dxa"/>
            <w:vMerge/>
            <w:tcBorders>
              <w:left w:val="double" w:sz="4" w:space="0" w:color="auto"/>
              <w:right w:val="single" w:sz="6" w:space="0" w:color="auto"/>
            </w:tcBorders>
            <w:vAlign w:val="center"/>
          </w:tcPr>
          <w:p w14:paraId="266F34A5"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343717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964" w:type="dxa"/>
            <w:tcBorders>
              <w:top w:val="single" w:sz="6" w:space="0" w:color="auto"/>
              <w:left w:val="single" w:sz="6" w:space="0" w:color="auto"/>
              <w:bottom w:val="single" w:sz="6" w:space="0" w:color="auto"/>
              <w:right w:val="single" w:sz="6" w:space="0" w:color="auto"/>
            </w:tcBorders>
            <w:vAlign w:val="center"/>
          </w:tcPr>
          <w:p w14:paraId="1D65903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5C59821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0E0817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6FD3E5F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2F2AC51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565D00C5" w14:textId="77777777" w:rsidTr="00887829">
        <w:tc>
          <w:tcPr>
            <w:tcW w:w="1304" w:type="dxa"/>
            <w:vMerge/>
            <w:tcBorders>
              <w:left w:val="double" w:sz="4" w:space="0" w:color="auto"/>
              <w:right w:val="single" w:sz="6" w:space="0" w:color="auto"/>
            </w:tcBorders>
            <w:vAlign w:val="center"/>
          </w:tcPr>
          <w:p w14:paraId="7994450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8292C4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6E94A10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56F3097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4C0398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D6CF66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78364E0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C2E2A2A" w14:textId="77777777" w:rsidTr="00887829">
        <w:tc>
          <w:tcPr>
            <w:tcW w:w="1304" w:type="dxa"/>
            <w:vMerge/>
            <w:tcBorders>
              <w:left w:val="double" w:sz="4" w:space="0" w:color="auto"/>
              <w:right w:val="single" w:sz="6" w:space="0" w:color="auto"/>
            </w:tcBorders>
            <w:vAlign w:val="center"/>
          </w:tcPr>
          <w:p w14:paraId="48F35A4F"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ADC733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363E1CF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7EA0AD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38AED5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641E2A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8A0CEE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DCD6685" w14:textId="77777777" w:rsidTr="00887829">
        <w:tc>
          <w:tcPr>
            <w:tcW w:w="1304" w:type="dxa"/>
            <w:vMerge/>
            <w:tcBorders>
              <w:left w:val="double" w:sz="4" w:space="0" w:color="auto"/>
              <w:right w:val="single" w:sz="6" w:space="0" w:color="auto"/>
            </w:tcBorders>
            <w:vAlign w:val="center"/>
          </w:tcPr>
          <w:p w14:paraId="72147A9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6AF5A2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6021803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0040FB8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7FF18D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068573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DE74EF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D2F76B1" w14:textId="77777777" w:rsidTr="00887829">
        <w:tc>
          <w:tcPr>
            <w:tcW w:w="1304" w:type="dxa"/>
            <w:vMerge/>
            <w:tcBorders>
              <w:left w:val="double" w:sz="4" w:space="0" w:color="auto"/>
              <w:right w:val="single" w:sz="6" w:space="0" w:color="auto"/>
            </w:tcBorders>
            <w:vAlign w:val="center"/>
          </w:tcPr>
          <w:p w14:paraId="2BE2E1D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9FEFA0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05CAC13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4E638A0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BB27AE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9225D7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6678A3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5CEE267" w14:textId="77777777" w:rsidTr="00887829">
        <w:tc>
          <w:tcPr>
            <w:tcW w:w="1304" w:type="dxa"/>
            <w:vMerge/>
            <w:tcBorders>
              <w:left w:val="double" w:sz="4" w:space="0" w:color="auto"/>
              <w:right w:val="single" w:sz="6" w:space="0" w:color="auto"/>
            </w:tcBorders>
            <w:vAlign w:val="center"/>
          </w:tcPr>
          <w:p w14:paraId="10E93C0C"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EB1405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50FF563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6E9ACCA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3A8F7C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4359B0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789354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66A9C933" w14:textId="77777777" w:rsidTr="00887829">
        <w:tc>
          <w:tcPr>
            <w:tcW w:w="1304" w:type="dxa"/>
            <w:vMerge/>
            <w:tcBorders>
              <w:left w:val="double" w:sz="4" w:space="0" w:color="auto"/>
              <w:right w:val="single" w:sz="6" w:space="0" w:color="auto"/>
            </w:tcBorders>
            <w:vAlign w:val="center"/>
          </w:tcPr>
          <w:p w14:paraId="2CD066EE"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209865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52727A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0CCC15D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0C6E1EA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79B1F8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515214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BBEF30D" w14:textId="77777777" w:rsidTr="00887829">
        <w:tc>
          <w:tcPr>
            <w:tcW w:w="1304" w:type="dxa"/>
            <w:vMerge/>
            <w:tcBorders>
              <w:left w:val="double" w:sz="4" w:space="0" w:color="auto"/>
              <w:right w:val="single" w:sz="6" w:space="0" w:color="auto"/>
            </w:tcBorders>
            <w:vAlign w:val="center"/>
          </w:tcPr>
          <w:p w14:paraId="1A989CC5"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BC2F2F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30F0509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0E51712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656F928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0455345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3C4B0C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F6DCB29" w14:textId="77777777" w:rsidTr="00887829">
        <w:tc>
          <w:tcPr>
            <w:tcW w:w="1304" w:type="dxa"/>
            <w:vMerge/>
            <w:tcBorders>
              <w:left w:val="double" w:sz="4" w:space="0" w:color="auto"/>
              <w:bottom w:val="single" w:sz="6" w:space="0" w:color="auto"/>
              <w:right w:val="single" w:sz="6" w:space="0" w:color="auto"/>
            </w:tcBorders>
            <w:vAlign w:val="center"/>
          </w:tcPr>
          <w:p w14:paraId="277F000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E300EB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24B2437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65D3587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7F6A3F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4BFC9AB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34C9091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0500A095" w14:textId="77777777" w:rsidTr="00887829">
        <w:tc>
          <w:tcPr>
            <w:tcW w:w="1304" w:type="dxa"/>
            <w:vMerge w:val="restart"/>
            <w:tcBorders>
              <w:top w:val="single" w:sz="6" w:space="0" w:color="auto"/>
              <w:left w:val="double" w:sz="4" w:space="0" w:color="auto"/>
              <w:right w:val="single" w:sz="6" w:space="0" w:color="auto"/>
            </w:tcBorders>
            <w:vAlign w:val="center"/>
          </w:tcPr>
          <w:p w14:paraId="5217B2A5"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Medium</w:t>
            </w:r>
          </w:p>
        </w:tc>
        <w:tc>
          <w:tcPr>
            <w:tcW w:w="1531" w:type="dxa"/>
            <w:tcBorders>
              <w:top w:val="single" w:sz="6" w:space="0" w:color="auto"/>
              <w:left w:val="single" w:sz="6" w:space="0" w:color="auto"/>
              <w:bottom w:val="single" w:sz="6" w:space="0" w:color="auto"/>
              <w:right w:val="single" w:sz="6" w:space="0" w:color="auto"/>
            </w:tcBorders>
            <w:vAlign w:val="center"/>
          </w:tcPr>
          <w:p w14:paraId="722D3A1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964" w:type="dxa"/>
            <w:tcBorders>
              <w:top w:val="single" w:sz="6" w:space="0" w:color="auto"/>
              <w:left w:val="single" w:sz="6" w:space="0" w:color="auto"/>
              <w:bottom w:val="single" w:sz="6" w:space="0" w:color="auto"/>
              <w:right w:val="single" w:sz="6" w:space="0" w:color="auto"/>
            </w:tcBorders>
            <w:vAlign w:val="center"/>
          </w:tcPr>
          <w:p w14:paraId="4C1B19A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46B472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1393367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119C67C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84688F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027DC52B" w14:textId="77777777" w:rsidTr="00887829">
        <w:tc>
          <w:tcPr>
            <w:tcW w:w="1304" w:type="dxa"/>
            <w:vMerge/>
            <w:tcBorders>
              <w:left w:val="double" w:sz="4" w:space="0" w:color="auto"/>
              <w:right w:val="single" w:sz="6" w:space="0" w:color="auto"/>
            </w:tcBorders>
            <w:vAlign w:val="center"/>
          </w:tcPr>
          <w:p w14:paraId="041D207E"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C74234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964" w:type="dxa"/>
            <w:tcBorders>
              <w:top w:val="single" w:sz="6" w:space="0" w:color="auto"/>
              <w:left w:val="single" w:sz="6" w:space="0" w:color="auto"/>
              <w:bottom w:val="single" w:sz="6" w:space="0" w:color="auto"/>
              <w:right w:val="single" w:sz="6" w:space="0" w:color="auto"/>
            </w:tcBorders>
            <w:vAlign w:val="center"/>
          </w:tcPr>
          <w:p w14:paraId="3E79C8F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611F56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0A46D4E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5A63732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446281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74E7E3DA" w14:textId="77777777" w:rsidTr="00887829">
        <w:tc>
          <w:tcPr>
            <w:tcW w:w="1304" w:type="dxa"/>
            <w:vMerge/>
            <w:tcBorders>
              <w:left w:val="double" w:sz="4" w:space="0" w:color="auto"/>
              <w:right w:val="single" w:sz="6" w:space="0" w:color="auto"/>
            </w:tcBorders>
            <w:vAlign w:val="center"/>
          </w:tcPr>
          <w:p w14:paraId="2E01B3ED"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260528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964" w:type="dxa"/>
            <w:tcBorders>
              <w:top w:val="single" w:sz="6" w:space="0" w:color="auto"/>
              <w:left w:val="single" w:sz="6" w:space="0" w:color="auto"/>
              <w:bottom w:val="single" w:sz="6" w:space="0" w:color="auto"/>
              <w:right w:val="single" w:sz="6" w:space="0" w:color="auto"/>
            </w:tcBorders>
            <w:vAlign w:val="center"/>
          </w:tcPr>
          <w:p w14:paraId="144A13A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78E1B48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05D69ED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1598803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67A825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3E5734FC" w14:textId="77777777" w:rsidTr="00887829">
        <w:tc>
          <w:tcPr>
            <w:tcW w:w="1304" w:type="dxa"/>
            <w:vMerge/>
            <w:tcBorders>
              <w:left w:val="double" w:sz="4" w:space="0" w:color="auto"/>
              <w:right w:val="single" w:sz="6" w:space="0" w:color="auto"/>
            </w:tcBorders>
            <w:vAlign w:val="center"/>
          </w:tcPr>
          <w:p w14:paraId="7F1D19A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A6D240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964" w:type="dxa"/>
            <w:tcBorders>
              <w:top w:val="single" w:sz="6" w:space="0" w:color="auto"/>
              <w:left w:val="single" w:sz="6" w:space="0" w:color="auto"/>
              <w:bottom w:val="single" w:sz="6" w:space="0" w:color="auto"/>
              <w:right w:val="single" w:sz="6" w:space="0" w:color="auto"/>
            </w:tcBorders>
            <w:vAlign w:val="center"/>
          </w:tcPr>
          <w:p w14:paraId="680B379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15FA38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1D110A1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31BD205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F8DCF5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3CB86C9A" w14:textId="77777777" w:rsidTr="00887829">
        <w:tc>
          <w:tcPr>
            <w:tcW w:w="1304" w:type="dxa"/>
            <w:vMerge/>
            <w:tcBorders>
              <w:left w:val="double" w:sz="4" w:space="0" w:color="auto"/>
              <w:right w:val="single" w:sz="6" w:space="0" w:color="auto"/>
            </w:tcBorders>
            <w:vAlign w:val="center"/>
          </w:tcPr>
          <w:p w14:paraId="32988A3B"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0FBB56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964" w:type="dxa"/>
            <w:tcBorders>
              <w:top w:val="single" w:sz="6" w:space="0" w:color="auto"/>
              <w:left w:val="single" w:sz="6" w:space="0" w:color="auto"/>
              <w:bottom w:val="single" w:sz="6" w:space="0" w:color="auto"/>
              <w:right w:val="single" w:sz="6" w:space="0" w:color="auto"/>
            </w:tcBorders>
            <w:vAlign w:val="center"/>
          </w:tcPr>
          <w:p w14:paraId="736A09B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4603127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EE80B3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703085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A64811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1E8BC580" w14:textId="77777777" w:rsidTr="00887829">
        <w:tc>
          <w:tcPr>
            <w:tcW w:w="1304" w:type="dxa"/>
            <w:vMerge/>
            <w:tcBorders>
              <w:left w:val="double" w:sz="4" w:space="0" w:color="auto"/>
              <w:right w:val="single" w:sz="6" w:space="0" w:color="auto"/>
            </w:tcBorders>
            <w:vAlign w:val="center"/>
          </w:tcPr>
          <w:p w14:paraId="0A2B1A5A"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29EB05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Open Loop</w:t>
            </w:r>
          </w:p>
        </w:tc>
        <w:tc>
          <w:tcPr>
            <w:tcW w:w="964" w:type="dxa"/>
            <w:tcBorders>
              <w:top w:val="single" w:sz="6" w:space="0" w:color="auto"/>
              <w:left w:val="single" w:sz="6" w:space="0" w:color="auto"/>
              <w:bottom w:val="single" w:sz="6" w:space="0" w:color="auto"/>
              <w:right w:val="single" w:sz="6" w:space="0" w:color="auto"/>
            </w:tcBorders>
            <w:vAlign w:val="center"/>
          </w:tcPr>
          <w:p w14:paraId="0CDF8B3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76EC8AC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6B93FCC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755697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12BAAD0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7BB2AF1C" w14:textId="77777777" w:rsidTr="00887829">
        <w:tc>
          <w:tcPr>
            <w:tcW w:w="1304" w:type="dxa"/>
            <w:vMerge/>
            <w:tcBorders>
              <w:left w:val="double" w:sz="4" w:space="0" w:color="auto"/>
              <w:right w:val="single" w:sz="6" w:space="0" w:color="auto"/>
            </w:tcBorders>
            <w:vAlign w:val="center"/>
          </w:tcPr>
          <w:p w14:paraId="7324739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872B17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430EB47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262D0BD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292C518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440B61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19712A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8742BF7" w14:textId="77777777" w:rsidTr="00887829">
        <w:tc>
          <w:tcPr>
            <w:tcW w:w="1304" w:type="dxa"/>
            <w:vMerge/>
            <w:tcBorders>
              <w:left w:val="double" w:sz="4" w:space="0" w:color="auto"/>
              <w:right w:val="single" w:sz="6" w:space="0" w:color="auto"/>
            </w:tcBorders>
            <w:vAlign w:val="center"/>
          </w:tcPr>
          <w:p w14:paraId="10F4B25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66AA67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148134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3BD6ECD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3F49B28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0953A40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8C7EA4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AB79339" w14:textId="77777777" w:rsidTr="00887829">
        <w:tc>
          <w:tcPr>
            <w:tcW w:w="1304" w:type="dxa"/>
            <w:vMerge/>
            <w:tcBorders>
              <w:left w:val="double" w:sz="4" w:space="0" w:color="auto"/>
              <w:right w:val="single" w:sz="6" w:space="0" w:color="auto"/>
            </w:tcBorders>
            <w:vAlign w:val="center"/>
          </w:tcPr>
          <w:p w14:paraId="7BC7921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23BB99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384BDC3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514B848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9279CA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FB2D28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A43163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1BB13E1" w14:textId="77777777" w:rsidTr="00887829">
        <w:tc>
          <w:tcPr>
            <w:tcW w:w="1304" w:type="dxa"/>
            <w:vMerge/>
            <w:tcBorders>
              <w:left w:val="double" w:sz="4" w:space="0" w:color="auto"/>
              <w:right w:val="single" w:sz="6" w:space="0" w:color="auto"/>
            </w:tcBorders>
            <w:vAlign w:val="center"/>
          </w:tcPr>
          <w:p w14:paraId="5F97AC60"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8BCC15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5C51A74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438B40F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5048D67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5597C8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50B68A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64172C5C" w14:textId="77777777" w:rsidTr="00887829">
        <w:tc>
          <w:tcPr>
            <w:tcW w:w="1304" w:type="dxa"/>
            <w:vMerge/>
            <w:tcBorders>
              <w:left w:val="double" w:sz="4" w:space="0" w:color="auto"/>
              <w:right w:val="single" w:sz="6" w:space="0" w:color="auto"/>
            </w:tcBorders>
            <w:vAlign w:val="center"/>
          </w:tcPr>
          <w:p w14:paraId="40F67B9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AEF924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63CB08B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7F19BE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19B1F24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AA8BA5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601F4C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6F617CD" w14:textId="77777777" w:rsidTr="00887829">
        <w:tc>
          <w:tcPr>
            <w:tcW w:w="1304" w:type="dxa"/>
            <w:vMerge/>
            <w:tcBorders>
              <w:left w:val="double" w:sz="4" w:space="0" w:color="auto"/>
              <w:right w:val="single" w:sz="6" w:space="0" w:color="auto"/>
            </w:tcBorders>
            <w:vAlign w:val="center"/>
          </w:tcPr>
          <w:p w14:paraId="680DB19E"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063DF5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427B66B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131F71B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385B268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BE275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9D18C0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6A5E0594" w14:textId="77777777" w:rsidTr="00887829">
        <w:tc>
          <w:tcPr>
            <w:tcW w:w="1304" w:type="dxa"/>
            <w:vMerge/>
            <w:tcBorders>
              <w:left w:val="double" w:sz="4" w:space="0" w:color="auto"/>
              <w:right w:val="single" w:sz="6" w:space="0" w:color="auto"/>
            </w:tcBorders>
            <w:vAlign w:val="center"/>
          </w:tcPr>
          <w:p w14:paraId="39FBE7D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FFA112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0771BEA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31AC7F5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19ED31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051453E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77E369C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7660DAD" w14:textId="77777777" w:rsidTr="00887829">
        <w:tc>
          <w:tcPr>
            <w:tcW w:w="1304" w:type="dxa"/>
            <w:vMerge/>
            <w:tcBorders>
              <w:left w:val="double" w:sz="4" w:space="0" w:color="auto"/>
              <w:bottom w:val="single" w:sz="6" w:space="0" w:color="auto"/>
              <w:right w:val="single" w:sz="6" w:space="0" w:color="auto"/>
            </w:tcBorders>
            <w:vAlign w:val="center"/>
          </w:tcPr>
          <w:p w14:paraId="3408FC9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7CE45E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1F5C991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3E69EFF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0127535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5CB5C39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41D698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60F08F0A" w14:textId="77777777" w:rsidTr="00887829">
        <w:tc>
          <w:tcPr>
            <w:tcW w:w="1304" w:type="dxa"/>
            <w:vMerge w:val="restart"/>
            <w:tcBorders>
              <w:top w:val="single" w:sz="6" w:space="0" w:color="auto"/>
              <w:left w:val="double" w:sz="4" w:space="0" w:color="auto"/>
              <w:right w:val="single" w:sz="6" w:space="0" w:color="auto"/>
            </w:tcBorders>
            <w:vAlign w:val="center"/>
          </w:tcPr>
          <w:p w14:paraId="61277113" w14:textId="77777777" w:rsidR="00E81C5C" w:rsidRDefault="002758A0" w:rsidP="003511C1">
            <w:pPr>
              <w:autoSpaceDE w:val="0"/>
              <w:autoSpaceDN w:val="0"/>
              <w:adjustRightInd w:val="0"/>
              <w:spacing w:line="240" w:lineRule="auto"/>
              <w:jc w:val="left"/>
              <w:rPr>
                <w:color w:val="000000"/>
                <w:sz w:val="12"/>
                <w:szCs w:val="12"/>
                <w:lang w:val="en-GB"/>
              </w:rPr>
            </w:pPr>
            <w:r>
              <w:rPr>
                <w:color w:val="000000"/>
                <w:sz w:val="12"/>
                <w:szCs w:val="12"/>
                <w:lang w:val="en-GB"/>
              </w:rPr>
              <w:t>Petrol Large-SUV-Executive</w:t>
            </w:r>
          </w:p>
        </w:tc>
        <w:tc>
          <w:tcPr>
            <w:tcW w:w="1531" w:type="dxa"/>
            <w:tcBorders>
              <w:top w:val="single" w:sz="6" w:space="0" w:color="auto"/>
              <w:left w:val="single" w:sz="6" w:space="0" w:color="auto"/>
              <w:bottom w:val="single" w:sz="6" w:space="0" w:color="auto"/>
              <w:right w:val="single" w:sz="6" w:space="0" w:color="auto"/>
            </w:tcBorders>
            <w:vAlign w:val="center"/>
          </w:tcPr>
          <w:p w14:paraId="4129CDD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PRE ECE</w:t>
            </w:r>
          </w:p>
        </w:tc>
        <w:tc>
          <w:tcPr>
            <w:tcW w:w="964" w:type="dxa"/>
            <w:tcBorders>
              <w:top w:val="single" w:sz="6" w:space="0" w:color="auto"/>
              <w:left w:val="single" w:sz="6" w:space="0" w:color="auto"/>
              <w:bottom w:val="single" w:sz="6" w:space="0" w:color="auto"/>
              <w:right w:val="single" w:sz="6" w:space="0" w:color="auto"/>
            </w:tcBorders>
            <w:vAlign w:val="center"/>
          </w:tcPr>
          <w:p w14:paraId="7BCA156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2A3228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176F508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2470540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04558C3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5D6F86E0" w14:textId="77777777" w:rsidTr="00887829">
        <w:tc>
          <w:tcPr>
            <w:tcW w:w="1304" w:type="dxa"/>
            <w:vMerge/>
            <w:tcBorders>
              <w:left w:val="double" w:sz="4" w:space="0" w:color="auto"/>
              <w:right w:val="single" w:sz="6" w:space="0" w:color="auto"/>
            </w:tcBorders>
            <w:vAlign w:val="center"/>
          </w:tcPr>
          <w:p w14:paraId="07AC5EE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AC1AFD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15/00-01</w:t>
            </w:r>
          </w:p>
        </w:tc>
        <w:tc>
          <w:tcPr>
            <w:tcW w:w="964" w:type="dxa"/>
            <w:tcBorders>
              <w:top w:val="single" w:sz="6" w:space="0" w:color="auto"/>
              <w:left w:val="single" w:sz="6" w:space="0" w:color="auto"/>
              <w:bottom w:val="single" w:sz="6" w:space="0" w:color="auto"/>
              <w:right w:val="single" w:sz="6" w:space="0" w:color="auto"/>
            </w:tcBorders>
            <w:vAlign w:val="center"/>
          </w:tcPr>
          <w:p w14:paraId="7382ADF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775953E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38F5413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33D331D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482C100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6332EC1A" w14:textId="77777777" w:rsidTr="00887829">
        <w:tc>
          <w:tcPr>
            <w:tcW w:w="1304" w:type="dxa"/>
            <w:vMerge/>
            <w:tcBorders>
              <w:left w:val="double" w:sz="4" w:space="0" w:color="auto"/>
              <w:right w:val="single" w:sz="6" w:space="0" w:color="auto"/>
            </w:tcBorders>
            <w:vAlign w:val="center"/>
          </w:tcPr>
          <w:p w14:paraId="1A963145"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EECDB2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15/02</w:t>
            </w:r>
          </w:p>
        </w:tc>
        <w:tc>
          <w:tcPr>
            <w:tcW w:w="964" w:type="dxa"/>
            <w:tcBorders>
              <w:top w:val="single" w:sz="6" w:space="0" w:color="auto"/>
              <w:left w:val="single" w:sz="6" w:space="0" w:color="auto"/>
              <w:bottom w:val="single" w:sz="6" w:space="0" w:color="auto"/>
              <w:right w:val="single" w:sz="6" w:space="0" w:color="auto"/>
            </w:tcBorders>
            <w:vAlign w:val="center"/>
          </w:tcPr>
          <w:p w14:paraId="2F9FBAF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DD442C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7312130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177195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7B90204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1265F029" w14:textId="77777777" w:rsidTr="00887829">
        <w:tc>
          <w:tcPr>
            <w:tcW w:w="1304" w:type="dxa"/>
            <w:vMerge/>
            <w:tcBorders>
              <w:left w:val="double" w:sz="4" w:space="0" w:color="auto"/>
              <w:right w:val="single" w:sz="6" w:space="0" w:color="auto"/>
            </w:tcBorders>
            <w:vAlign w:val="center"/>
          </w:tcPr>
          <w:p w14:paraId="3398972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FEBC11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15/03</w:t>
            </w:r>
          </w:p>
        </w:tc>
        <w:tc>
          <w:tcPr>
            <w:tcW w:w="964" w:type="dxa"/>
            <w:tcBorders>
              <w:top w:val="single" w:sz="6" w:space="0" w:color="auto"/>
              <w:left w:val="single" w:sz="6" w:space="0" w:color="auto"/>
              <w:bottom w:val="single" w:sz="6" w:space="0" w:color="auto"/>
              <w:right w:val="single" w:sz="6" w:space="0" w:color="auto"/>
            </w:tcBorders>
            <w:vAlign w:val="center"/>
          </w:tcPr>
          <w:p w14:paraId="125B1D8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4C88378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20C7296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138D56A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042EC0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18A0C75D" w14:textId="77777777" w:rsidTr="00887829">
        <w:tc>
          <w:tcPr>
            <w:tcW w:w="1304" w:type="dxa"/>
            <w:vMerge/>
            <w:tcBorders>
              <w:left w:val="double" w:sz="4" w:space="0" w:color="auto"/>
              <w:right w:val="single" w:sz="6" w:space="0" w:color="auto"/>
            </w:tcBorders>
            <w:vAlign w:val="center"/>
          </w:tcPr>
          <w:p w14:paraId="6BBB150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322C05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ECE 15/04</w:t>
            </w:r>
          </w:p>
        </w:tc>
        <w:tc>
          <w:tcPr>
            <w:tcW w:w="964" w:type="dxa"/>
            <w:tcBorders>
              <w:top w:val="single" w:sz="6" w:space="0" w:color="auto"/>
              <w:left w:val="single" w:sz="6" w:space="0" w:color="auto"/>
              <w:bottom w:val="single" w:sz="6" w:space="0" w:color="auto"/>
              <w:right w:val="single" w:sz="6" w:space="0" w:color="auto"/>
            </w:tcBorders>
            <w:vAlign w:val="center"/>
          </w:tcPr>
          <w:p w14:paraId="67392A0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70F6F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46390B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157B6CA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3B03B76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504D35BB" w14:textId="77777777" w:rsidTr="00887829">
        <w:tc>
          <w:tcPr>
            <w:tcW w:w="1304" w:type="dxa"/>
            <w:vMerge/>
            <w:tcBorders>
              <w:left w:val="double" w:sz="4" w:space="0" w:color="auto"/>
              <w:right w:val="single" w:sz="6" w:space="0" w:color="auto"/>
            </w:tcBorders>
            <w:vAlign w:val="center"/>
          </w:tcPr>
          <w:p w14:paraId="6B0CEA70"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98AB89B"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09D8FE2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649A207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07DB4A7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02C4B90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FFA4C4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AA7E117" w14:textId="77777777" w:rsidTr="00887829">
        <w:tc>
          <w:tcPr>
            <w:tcW w:w="1304" w:type="dxa"/>
            <w:vMerge/>
            <w:tcBorders>
              <w:left w:val="double" w:sz="4" w:space="0" w:color="auto"/>
              <w:right w:val="single" w:sz="6" w:space="0" w:color="auto"/>
            </w:tcBorders>
            <w:vAlign w:val="center"/>
          </w:tcPr>
          <w:p w14:paraId="3D13340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4BFDC5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6F75C43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13F6139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6259F04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F62BF2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7A4B6D2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7F35F7A7" w14:textId="77777777" w:rsidTr="00887829">
        <w:tc>
          <w:tcPr>
            <w:tcW w:w="1304" w:type="dxa"/>
            <w:vMerge/>
            <w:tcBorders>
              <w:left w:val="double" w:sz="4" w:space="0" w:color="auto"/>
              <w:right w:val="single" w:sz="6" w:space="0" w:color="auto"/>
            </w:tcBorders>
            <w:vAlign w:val="center"/>
          </w:tcPr>
          <w:p w14:paraId="5572FA8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7012E2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43559C9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466411D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080D0A3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74CF6A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E9E6FD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387308C5" w14:textId="77777777" w:rsidTr="00887829">
        <w:tc>
          <w:tcPr>
            <w:tcW w:w="1304" w:type="dxa"/>
            <w:vMerge/>
            <w:tcBorders>
              <w:left w:val="double" w:sz="4" w:space="0" w:color="auto"/>
              <w:right w:val="single" w:sz="6" w:space="0" w:color="auto"/>
            </w:tcBorders>
            <w:vAlign w:val="center"/>
          </w:tcPr>
          <w:p w14:paraId="546AAC5D"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B635EC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4E38B15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6FF852C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248BDBD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47E324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185CBAB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1C8D0688" w14:textId="77777777" w:rsidTr="00887829">
        <w:tc>
          <w:tcPr>
            <w:tcW w:w="1304" w:type="dxa"/>
            <w:vMerge/>
            <w:tcBorders>
              <w:left w:val="double" w:sz="4" w:space="0" w:color="auto"/>
              <w:right w:val="single" w:sz="6" w:space="0" w:color="auto"/>
            </w:tcBorders>
            <w:vAlign w:val="center"/>
          </w:tcPr>
          <w:p w14:paraId="302439B2"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8C62A1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654AB38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7DD68BA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2AB93DD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F85705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5D33854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3F90DA4" w14:textId="77777777" w:rsidTr="00887829">
        <w:tc>
          <w:tcPr>
            <w:tcW w:w="1304" w:type="dxa"/>
            <w:vMerge/>
            <w:tcBorders>
              <w:left w:val="double" w:sz="4" w:space="0" w:color="auto"/>
              <w:right w:val="single" w:sz="6" w:space="0" w:color="auto"/>
            </w:tcBorders>
            <w:vAlign w:val="center"/>
          </w:tcPr>
          <w:p w14:paraId="69404E0B"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2FEF681"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6A438C0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0.0014</w:t>
            </w:r>
          </w:p>
        </w:tc>
        <w:tc>
          <w:tcPr>
            <w:tcW w:w="737" w:type="dxa"/>
            <w:tcBorders>
              <w:top w:val="single" w:sz="6" w:space="0" w:color="auto"/>
              <w:left w:val="single" w:sz="6" w:space="0" w:color="auto"/>
              <w:bottom w:val="single" w:sz="6" w:space="0" w:color="auto"/>
              <w:right w:val="single" w:sz="6" w:space="0" w:color="auto"/>
            </w:tcBorders>
            <w:vAlign w:val="center"/>
          </w:tcPr>
          <w:p w14:paraId="3C5FC83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4191313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7A18C94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3EF075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1E68732" w14:textId="77777777" w:rsidTr="00887829">
        <w:tc>
          <w:tcPr>
            <w:tcW w:w="1304" w:type="dxa"/>
            <w:vMerge/>
            <w:tcBorders>
              <w:left w:val="double" w:sz="4" w:space="0" w:color="auto"/>
              <w:right w:val="single" w:sz="6" w:space="0" w:color="auto"/>
            </w:tcBorders>
            <w:vAlign w:val="center"/>
          </w:tcPr>
          <w:p w14:paraId="248D042D"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0E603A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2326ADD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1DE8670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77C5416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656BA9D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E5EB22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099A06A" w14:textId="77777777" w:rsidTr="00887829">
        <w:tc>
          <w:tcPr>
            <w:tcW w:w="1304" w:type="dxa"/>
            <w:vMerge/>
            <w:tcBorders>
              <w:left w:val="double" w:sz="4" w:space="0" w:color="auto"/>
              <w:bottom w:val="single" w:sz="6" w:space="0" w:color="auto"/>
              <w:right w:val="single" w:sz="6" w:space="0" w:color="auto"/>
            </w:tcBorders>
            <w:vAlign w:val="center"/>
          </w:tcPr>
          <w:p w14:paraId="43DD6600"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F9EE9D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2E7E914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0.0016</w:t>
            </w:r>
          </w:p>
        </w:tc>
        <w:tc>
          <w:tcPr>
            <w:tcW w:w="737" w:type="dxa"/>
            <w:tcBorders>
              <w:top w:val="single" w:sz="6" w:space="0" w:color="auto"/>
              <w:left w:val="single" w:sz="6" w:space="0" w:color="auto"/>
              <w:bottom w:val="single" w:sz="6" w:space="0" w:color="auto"/>
              <w:right w:val="single" w:sz="6" w:space="0" w:color="auto"/>
            </w:tcBorders>
            <w:vAlign w:val="center"/>
          </w:tcPr>
          <w:p w14:paraId="48987AB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1CA9304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1ADCD3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23A5898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5DE0FC9F" w14:textId="77777777" w:rsidTr="00887829">
        <w:tc>
          <w:tcPr>
            <w:tcW w:w="1304" w:type="dxa"/>
            <w:vMerge w:val="restart"/>
            <w:tcBorders>
              <w:top w:val="single" w:sz="6" w:space="0" w:color="auto"/>
              <w:left w:val="double" w:sz="4" w:space="0" w:color="auto"/>
              <w:right w:val="single" w:sz="6" w:space="0" w:color="auto"/>
            </w:tcBorders>
            <w:vAlign w:val="center"/>
          </w:tcPr>
          <w:p w14:paraId="40ABC7F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sidR="002758A0">
              <w:rPr>
                <w:color w:val="000000"/>
                <w:sz w:val="12"/>
                <w:szCs w:val="12"/>
                <w:lang w:val="en-GB"/>
              </w:rPr>
              <w:t>Small</w:t>
            </w:r>
          </w:p>
        </w:tc>
        <w:tc>
          <w:tcPr>
            <w:tcW w:w="1531" w:type="dxa"/>
            <w:tcBorders>
              <w:top w:val="single" w:sz="6" w:space="0" w:color="auto"/>
              <w:left w:val="single" w:sz="6" w:space="0" w:color="auto"/>
              <w:bottom w:val="single" w:sz="6" w:space="0" w:color="auto"/>
              <w:right w:val="single" w:sz="6" w:space="0" w:color="auto"/>
            </w:tcBorders>
            <w:vAlign w:val="center"/>
          </w:tcPr>
          <w:p w14:paraId="1923372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7708C17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0.0314</w:t>
            </w:r>
          </w:p>
        </w:tc>
        <w:tc>
          <w:tcPr>
            <w:tcW w:w="737" w:type="dxa"/>
            <w:tcBorders>
              <w:top w:val="single" w:sz="6" w:space="0" w:color="auto"/>
              <w:left w:val="single" w:sz="6" w:space="0" w:color="auto"/>
              <w:bottom w:val="single" w:sz="6" w:space="0" w:color="auto"/>
              <w:right w:val="single" w:sz="6" w:space="0" w:color="auto"/>
            </w:tcBorders>
            <w:vAlign w:val="center"/>
          </w:tcPr>
          <w:p w14:paraId="25F3DA3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17062DF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31F38D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FD4B2E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AE7B6F7" w14:textId="77777777" w:rsidTr="00887829">
        <w:tc>
          <w:tcPr>
            <w:tcW w:w="1304" w:type="dxa"/>
            <w:vMerge/>
            <w:tcBorders>
              <w:left w:val="double" w:sz="4" w:space="0" w:color="auto"/>
              <w:right w:val="single" w:sz="6" w:space="0" w:color="auto"/>
            </w:tcBorders>
            <w:vAlign w:val="center"/>
          </w:tcPr>
          <w:p w14:paraId="1B48476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EE782D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529294A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0.0021</w:t>
            </w:r>
          </w:p>
        </w:tc>
        <w:tc>
          <w:tcPr>
            <w:tcW w:w="737" w:type="dxa"/>
            <w:tcBorders>
              <w:top w:val="single" w:sz="6" w:space="0" w:color="auto"/>
              <w:left w:val="single" w:sz="6" w:space="0" w:color="auto"/>
              <w:bottom w:val="single" w:sz="6" w:space="0" w:color="auto"/>
              <w:right w:val="single" w:sz="6" w:space="0" w:color="auto"/>
            </w:tcBorders>
            <w:vAlign w:val="center"/>
          </w:tcPr>
          <w:p w14:paraId="5C5E50E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2953175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73B2775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2099E4B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38C3A13" w14:textId="77777777" w:rsidTr="00887829">
        <w:tc>
          <w:tcPr>
            <w:tcW w:w="1304" w:type="dxa"/>
            <w:vMerge/>
            <w:tcBorders>
              <w:left w:val="double" w:sz="4" w:space="0" w:color="auto"/>
              <w:right w:val="single" w:sz="6" w:space="0" w:color="auto"/>
            </w:tcBorders>
            <w:vAlign w:val="center"/>
          </w:tcPr>
          <w:p w14:paraId="3662F8F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DF5463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159462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788D3E5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5D9DFCF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10FEED7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EE7F41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1161A4B6" w14:textId="77777777" w:rsidTr="00887829">
        <w:tc>
          <w:tcPr>
            <w:tcW w:w="1304" w:type="dxa"/>
            <w:vMerge/>
            <w:tcBorders>
              <w:left w:val="double" w:sz="4" w:space="0" w:color="auto"/>
              <w:right w:val="single" w:sz="6" w:space="0" w:color="auto"/>
            </w:tcBorders>
            <w:vAlign w:val="center"/>
          </w:tcPr>
          <w:p w14:paraId="759CC05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98AE65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00B2E49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69F7E73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666E26E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2AD8911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5142F94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00497E92" w14:textId="77777777" w:rsidTr="00887829">
        <w:tc>
          <w:tcPr>
            <w:tcW w:w="1304" w:type="dxa"/>
            <w:vMerge/>
            <w:tcBorders>
              <w:left w:val="double" w:sz="4" w:space="0" w:color="auto"/>
              <w:bottom w:val="single" w:sz="6" w:space="0" w:color="auto"/>
              <w:right w:val="single" w:sz="6" w:space="0" w:color="auto"/>
            </w:tcBorders>
            <w:vAlign w:val="center"/>
          </w:tcPr>
          <w:p w14:paraId="69F88905" w14:textId="77777777" w:rsidR="00E81C5C" w:rsidRPr="000855B2"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EAD79C7" w14:textId="77777777" w:rsidR="00E81C5C" w:rsidRPr="000855B2"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6025B5E3"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21BFA334"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FE4BE48"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1564B96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542A92AB"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0B5DEBA" w14:textId="77777777" w:rsidTr="00887829">
        <w:tc>
          <w:tcPr>
            <w:tcW w:w="1304" w:type="dxa"/>
            <w:vMerge w:val="restart"/>
            <w:tcBorders>
              <w:top w:val="single" w:sz="6" w:space="0" w:color="auto"/>
              <w:left w:val="double" w:sz="4" w:space="0" w:color="auto"/>
              <w:right w:val="single" w:sz="6" w:space="0" w:color="auto"/>
            </w:tcBorders>
            <w:vAlign w:val="center"/>
          </w:tcPr>
          <w:p w14:paraId="1E894F5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sidR="002758A0">
              <w:rPr>
                <w:color w:val="000000"/>
                <w:sz w:val="12"/>
                <w:szCs w:val="12"/>
                <w:lang w:val="en-GB"/>
              </w:rPr>
              <w:t>Medium</w:t>
            </w:r>
          </w:p>
        </w:tc>
        <w:tc>
          <w:tcPr>
            <w:tcW w:w="1531" w:type="dxa"/>
            <w:tcBorders>
              <w:top w:val="single" w:sz="6" w:space="0" w:color="auto"/>
              <w:left w:val="single" w:sz="6" w:space="0" w:color="auto"/>
              <w:bottom w:val="single" w:sz="6" w:space="0" w:color="auto"/>
              <w:right w:val="single" w:sz="6" w:space="0" w:color="auto"/>
            </w:tcBorders>
            <w:vAlign w:val="center"/>
          </w:tcPr>
          <w:p w14:paraId="14B5FEE6"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25007F3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0.2209</w:t>
            </w:r>
          </w:p>
        </w:tc>
        <w:tc>
          <w:tcPr>
            <w:tcW w:w="737" w:type="dxa"/>
            <w:tcBorders>
              <w:top w:val="single" w:sz="6" w:space="0" w:color="auto"/>
              <w:left w:val="single" w:sz="6" w:space="0" w:color="auto"/>
              <w:bottom w:val="single" w:sz="6" w:space="0" w:color="auto"/>
              <w:right w:val="single" w:sz="6" w:space="0" w:color="auto"/>
            </w:tcBorders>
            <w:vAlign w:val="center"/>
          </w:tcPr>
          <w:p w14:paraId="1F1C592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1D94617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06CE71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CE9CEF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5C9AEECB" w14:textId="77777777" w:rsidTr="00887829">
        <w:tc>
          <w:tcPr>
            <w:tcW w:w="1304" w:type="dxa"/>
            <w:vMerge/>
            <w:tcBorders>
              <w:left w:val="double" w:sz="4" w:space="0" w:color="auto"/>
              <w:right w:val="single" w:sz="6" w:space="0" w:color="auto"/>
            </w:tcBorders>
            <w:vAlign w:val="center"/>
          </w:tcPr>
          <w:p w14:paraId="1C2E6F39"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C6D958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530E423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0.0842</w:t>
            </w:r>
          </w:p>
        </w:tc>
        <w:tc>
          <w:tcPr>
            <w:tcW w:w="737" w:type="dxa"/>
            <w:tcBorders>
              <w:top w:val="single" w:sz="6" w:space="0" w:color="auto"/>
              <w:left w:val="single" w:sz="6" w:space="0" w:color="auto"/>
              <w:bottom w:val="single" w:sz="6" w:space="0" w:color="auto"/>
              <w:right w:val="single" w:sz="6" w:space="0" w:color="auto"/>
            </w:tcBorders>
            <w:vAlign w:val="center"/>
          </w:tcPr>
          <w:p w14:paraId="65103B6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3AC4F54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31028A7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49870A1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080A4075" w14:textId="77777777" w:rsidTr="00887829">
        <w:tc>
          <w:tcPr>
            <w:tcW w:w="1304" w:type="dxa"/>
            <w:vMerge/>
            <w:tcBorders>
              <w:left w:val="double" w:sz="4" w:space="0" w:color="auto"/>
              <w:right w:val="single" w:sz="6" w:space="0" w:color="auto"/>
            </w:tcBorders>
            <w:vAlign w:val="center"/>
          </w:tcPr>
          <w:p w14:paraId="3EC7C4CD"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0D5CB4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74E3743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0.0548</w:t>
            </w:r>
          </w:p>
        </w:tc>
        <w:tc>
          <w:tcPr>
            <w:tcW w:w="737" w:type="dxa"/>
            <w:tcBorders>
              <w:top w:val="single" w:sz="6" w:space="0" w:color="auto"/>
              <w:left w:val="single" w:sz="6" w:space="0" w:color="auto"/>
              <w:bottom w:val="single" w:sz="6" w:space="0" w:color="auto"/>
              <w:right w:val="single" w:sz="6" w:space="0" w:color="auto"/>
            </w:tcBorders>
            <w:vAlign w:val="center"/>
          </w:tcPr>
          <w:p w14:paraId="54ED9E7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3AE5489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091FCC3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23EAF6C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17D09F3C" w14:textId="77777777" w:rsidTr="00887829">
        <w:tc>
          <w:tcPr>
            <w:tcW w:w="1304" w:type="dxa"/>
            <w:vMerge/>
            <w:tcBorders>
              <w:left w:val="double" w:sz="4" w:space="0" w:color="auto"/>
              <w:right w:val="single" w:sz="6" w:space="0" w:color="auto"/>
            </w:tcBorders>
            <w:vAlign w:val="center"/>
          </w:tcPr>
          <w:p w14:paraId="0C578E44"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15F97E4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1F6F214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0.0391</w:t>
            </w:r>
          </w:p>
        </w:tc>
        <w:tc>
          <w:tcPr>
            <w:tcW w:w="737" w:type="dxa"/>
            <w:tcBorders>
              <w:top w:val="single" w:sz="6" w:space="0" w:color="auto"/>
              <w:left w:val="single" w:sz="6" w:space="0" w:color="auto"/>
              <w:bottom w:val="single" w:sz="6" w:space="0" w:color="auto"/>
              <w:right w:val="single" w:sz="6" w:space="0" w:color="auto"/>
            </w:tcBorders>
            <w:vAlign w:val="center"/>
          </w:tcPr>
          <w:p w14:paraId="055C30F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3CCFC9A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0A77D58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248397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0C21C4ED" w14:textId="77777777" w:rsidTr="00887829">
        <w:tc>
          <w:tcPr>
            <w:tcW w:w="1304" w:type="dxa"/>
            <w:vMerge/>
            <w:tcBorders>
              <w:left w:val="double" w:sz="4" w:space="0" w:color="auto"/>
              <w:right w:val="single" w:sz="6" w:space="0" w:color="auto"/>
            </w:tcBorders>
            <w:vAlign w:val="center"/>
          </w:tcPr>
          <w:p w14:paraId="39798BF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6FACA3D"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5E2D3B4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0.0314</w:t>
            </w:r>
          </w:p>
        </w:tc>
        <w:tc>
          <w:tcPr>
            <w:tcW w:w="737" w:type="dxa"/>
            <w:tcBorders>
              <w:top w:val="single" w:sz="6" w:space="0" w:color="auto"/>
              <w:left w:val="single" w:sz="6" w:space="0" w:color="auto"/>
              <w:bottom w:val="single" w:sz="6" w:space="0" w:color="auto"/>
              <w:right w:val="single" w:sz="6" w:space="0" w:color="auto"/>
            </w:tcBorders>
            <w:vAlign w:val="center"/>
          </w:tcPr>
          <w:p w14:paraId="0848310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548E3E7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FFE983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52373E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05EE592B" w14:textId="77777777" w:rsidTr="00887829">
        <w:tc>
          <w:tcPr>
            <w:tcW w:w="1304" w:type="dxa"/>
            <w:vMerge/>
            <w:tcBorders>
              <w:left w:val="double" w:sz="4" w:space="0" w:color="auto"/>
              <w:right w:val="single" w:sz="6" w:space="0" w:color="auto"/>
            </w:tcBorders>
            <w:vAlign w:val="center"/>
          </w:tcPr>
          <w:p w14:paraId="068C7C70"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68E7AF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33109BB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0.0021</w:t>
            </w:r>
          </w:p>
        </w:tc>
        <w:tc>
          <w:tcPr>
            <w:tcW w:w="737" w:type="dxa"/>
            <w:tcBorders>
              <w:top w:val="single" w:sz="6" w:space="0" w:color="auto"/>
              <w:left w:val="single" w:sz="6" w:space="0" w:color="auto"/>
              <w:bottom w:val="single" w:sz="6" w:space="0" w:color="auto"/>
              <w:right w:val="single" w:sz="6" w:space="0" w:color="auto"/>
            </w:tcBorders>
            <w:vAlign w:val="center"/>
          </w:tcPr>
          <w:p w14:paraId="1F31AB1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4F7D90B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1F264E0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B8CDC5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273E4B88" w14:textId="77777777" w:rsidTr="00887829">
        <w:tc>
          <w:tcPr>
            <w:tcW w:w="1304" w:type="dxa"/>
            <w:vMerge/>
            <w:tcBorders>
              <w:left w:val="double" w:sz="4" w:space="0" w:color="auto"/>
              <w:right w:val="single" w:sz="6" w:space="0" w:color="auto"/>
            </w:tcBorders>
            <w:vAlign w:val="center"/>
          </w:tcPr>
          <w:p w14:paraId="23DF6C6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D4DDA6C"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3EC12D8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13FBD0F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3E8D179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45CE864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F01E86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22673C35" w14:textId="77777777" w:rsidTr="00887829">
        <w:tc>
          <w:tcPr>
            <w:tcW w:w="1304" w:type="dxa"/>
            <w:vMerge/>
            <w:tcBorders>
              <w:left w:val="double" w:sz="4" w:space="0" w:color="auto"/>
              <w:right w:val="single" w:sz="6" w:space="0" w:color="auto"/>
            </w:tcBorders>
            <w:vAlign w:val="center"/>
          </w:tcPr>
          <w:p w14:paraId="1BE46126"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236F9FE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0C5579F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4634E2E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5F1A08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51A7D7A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2F09B4B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513CCBE4" w14:textId="77777777" w:rsidTr="00887829">
        <w:tc>
          <w:tcPr>
            <w:tcW w:w="1304" w:type="dxa"/>
            <w:vMerge/>
            <w:tcBorders>
              <w:left w:val="double" w:sz="4" w:space="0" w:color="auto"/>
              <w:bottom w:val="single" w:sz="6" w:space="0" w:color="auto"/>
              <w:right w:val="single" w:sz="6" w:space="0" w:color="auto"/>
            </w:tcBorders>
            <w:vAlign w:val="center"/>
          </w:tcPr>
          <w:p w14:paraId="6D7D81A9" w14:textId="77777777" w:rsidR="00E81C5C" w:rsidRPr="000855B2"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2E42A62" w14:textId="77777777" w:rsidR="00E81C5C" w:rsidRPr="000855B2"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063A99FE"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11325515"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52F6CCC0"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119D34D"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6CC288F" w14:textId="77777777" w:rsidR="00E81C5C" w:rsidRPr="000855B2"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18438542" w14:textId="77777777" w:rsidTr="00887829">
        <w:tc>
          <w:tcPr>
            <w:tcW w:w="1304" w:type="dxa"/>
            <w:vMerge w:val="restart"/>
            <w:tcBorders>
              <w:top w:val="single" w:sz="6" w:space="0" w:color="auto"/>
              <w:left w:val="double" w:sz="4" w:space="0" w:color="auto"/>
              <w:right w:val="single" w:sz="6" w:space="0" w:color="auto"/>
            </w:tcBorders>
            <w:vAlign w:val="center"/>
          </w:tcPr>
          <w:p w14:paraId="2466D0C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Diesel </w:t>
            </w:r>
            <w:r w:rsidR="002758A0">
              <w:rPr>
                <w:color w:val="000000"/>
                <w:sz w:val="12"/>
                <w:szCs w:val="12"/>
                <w:lang w:val="en-GB"/>
              </w:rPr>
              <w:t>Large-SUV-Executive</w:t>
            </w:r>
          </w:p>
        </w:tc>
        <w:tc>
          <w:tcPr>
            <w:tcW w:w="1531" w:type="dxa"/>
            <w:tcBorders>
              <w:top w:val="single" w:sz="6" w:space="0" w:color="auto"/>
              <w:left w:val="single" w:sz="6" w:space="0" w:color="auto"/>
              <w:bottom w:val="single" w:sz="6" w:space="0" w:color="auto"/>
              <w:right w:val="single" w:sz="6" w:space="0" w:color="auto"/>
            </w:tcBorders>
            <w:vAlign w:val="center"/>
          </w:tcPr>
          <w:p w14:paraId="1764522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7EB0D00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0.2209</w:t>
            </w:r>
          </w:p>
        </w:tc>
        <w:tc>
          <w:tcPr>
            <w:tcW w:w="737" w:type="dxa"/>
            <w:tcBorders>
              <w:top w:val="single" w:sz="6" w:space="0" w:color="auto"/>
              <w:left w:val="single" w:sz="6" w:space="0" w:color="auto"/>
              <w:bottom w:val="single" w:sz="6" w:space="0" w:color="auto"/>
              <w:right w:val="single" w:sz="6" w:space="0" w:color="auto"/>
            </w:tcBorders>
            <w:vAlign w:val="center"/>
          </w:tcPr>
          <w:p w14:paraId="6028796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0BC713F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F554AC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623D8D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74185997" w14:textId="77777777" w:rsidTr="00887829">
        <w:tc>
          <w:tcPr>
            <w:tcW w:w="1304" w:type="dxa"/>
            <w:vMerge/>
            <w:tcBorders>
              <w:left w:val="double" w:sz="4" w:space="0" w:color="auto"/>
              <w:right w:val="single" w:sz="6" w:space="0" w:color="auto"/>
            </w:tcBorders>
            <w:vAlign w:val="center"/>
          </w:tcPr>
          <w:p w14:paraId="715BE8D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DFFDB2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0B87C57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0.0842</w:t>
            </w:r>
          </w:p>
        </w:tc>
        <w:tc>
          <w:tcPr>
            <w:tcW w:w="737" w:type="dxa"/>
            <w:tcBorders>
              <w:top w:val="single" w:sz="6" w:space="0" w:color="auto"/>
              <w:left w:val="single" w:sz="6" w:space="0" w:color="auto"/>
              <w:bottom w:val="single" w:sz="6" w:space="0" w:color="auto"/>
              <w:right w:val="single" w:sz="6" w:space="0" w:color="auto"/>
            </w:tcBorders>
            <w:vAlign w:val="center"/>
          </w:tcPr>
          <w:p w14:paraId="72AFD6D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5ED1400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1C91612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049A3A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1F4BD6D1" w14:textId="77777777" w:rsidTr="00887829">
        <w:tc>
          <w:tcPr>
            <w:tcW w:w="1304" w:type="dxa"/>
            <w:vMerge/>
            <w:tcBorders>
              <w:left w:val="double" w:sz="4" w:space="0" w:color="auto"/>
              <w:right w:val="single" w:sz="6" w:space="0" w:color="auto"/>
            </w:tcBorders>
            <w:vAlign w:val="center"/>
          </w:tcPr>
          <w:p w14:paraId="6531F5D5"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8B0CF8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421593F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0.0548</w:t>
            </w:r>
          </w:p>
        </w:tc>
        <w:tc>
          <w:tcPr>
            <w:tcW w:w="737" w:type="dxa"/>
            <w:tcBorders>
              <w:top w:val="single" w:sz="6" w:space="0" w:color="auto"/>
              <w:left w:val="single" w:sz="6" w:space="0" w:color="auto"/>
              <w:bottom w:val="single" w:sz="6" w:space="0" w:color="auto"/>
              <w:right w:val="single" w:sz="6" w:space="0" w:color="auto"/>
            </w:tcBorders>
            <w:vAlign w:val="center"/>
          </w:tcPr>
          <w:p w14:paraId="50DAD14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59BB3D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714EFC2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7E2CFF5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762A712C" w14:textId="77777777" w:rsidTr="00887829">
        <w:tc>
          <w:tcPr>
            <w:tcW w:w="1304" w:type="dxa"/>
            <w:vMerge/>
            <w:tcBorders>
              <w:left w:val="double" w:sz="4" w:space="0" w:color="auto"/>
              <w:right w:val="single" w:sz="6" w:space="0" w:color="auto"/>
            </w:tcBorders>
            <w:vAlign w:val="center"/>
          </w:tcPr>
          <w:p w14:paraId="3B7CC44D"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C83968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1F32FA6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0.0391</w:t>
            </w:r>
          </w:p>
        </w:tc>
        <w:tc>
          <w:tcPr>
            <w:tcW w:w="737" w:type="dxa"/>
            <w:tcBorders>
              <w:top w:val="single" w:sz="6" w:space="0" w:color="auto"/>
              <w:left w:val="single" w:sz="6" w:space="0" w:color="auto"/>
              <w:bottom w:val="single" w:sz="6" w:space="0" w:color="auto"/>
              <w:right w:val="single" w:sz="6" w:space="0" w:color="auto"/>
            </w:tcBorders>
            <w:vAlign w:val="center"/>
          </w:tcPr>
          <w:p w14:paraId="01BE470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BB85F3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B29A23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741E63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3F0374CD" w14:textId="77777777" w:rsidTr="00887829">
        <w:tc>
          <w:tcPr>
            <w:tcW w:w="1304" w:type="dxa"/>
            <w:vMerge/>
            <w:tcBorders>
              <w:left w:val="double" w:sz="4" w:space="0" w:color="auto"/>
              <w:right w:val="single" w:sz="6" w:space="0" w:color="auto"/>
            </w:tcBorders>
            <w:vAlign w:val="center"/>
          </w:tcPr>
          <w:p w14:paraId="55449BF8"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420640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29A9CF0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0.0314</w:t>
            </w:r>
          </w:p>
        </w:tc>
        <w:tc>
          <w:tcPr>
            <w:tcW w:w="737" w:type="dxa"/>
            <w:tcBorders>
              <w:top w:val="single" w:sz="6" w:space="0" w:color="auto"/>
              <w:left w:val="single" w:sz="6" w:space="0" w:color="auto"/>
              <w:bottom w:val="single" w:sz="6" w:space="0" w:color="auto"/>
              <w:right w:val="single" w:sz="6" w:space="0" w:color="auto"/>
            </w:tcBorders>
            <w:vAlign w:val="center"/>
          </w:tcPr>
          <w:p w14:paraId="72776C9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6A8E007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64B5FCF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34B5D6F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6CFD5CEA" w14:textId="77777777" w:rsidTr="00887829">
        <w:tc>
          <w:tcPr>
            <w:tcW w:w="1304" w:type="dxa"/>
            <w:vMerge/>
            <w:tcBorders>
              <w:left w:val="double" w:sz="4" w:space="0" w:color="auto"/>
              <w:right w:val="single" w:sz="6" w:space="0" w:color="auto"/>
            </w:tcBorders>
            <w:vAlign w:val="center"/>
          </w:tcPr>
          <w:p w14:paraId="02A4BE7C"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52C3EA4"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5 – EC 715/2007</w:t>
            </w:r>
          </w:p>
        </w:tc>
        <w:tc>
          <w:tcPr>
            <w:tcW w:w="964" w:type="dxa"/>
            <w:tcBorders>
              <w:top w:val="single" w:sz="6" w:space="0" w:color="auto"/>
              <w:left w:val="single" w:sz="6" w:space="0" w:color="auto"/>
              <w:bottom w:val="single" w:sz="6" w:space="0" w:color="auto"/>
              <w:right w:val="single" w:sz="6" w:space="0" w:color="auto"/>
            </w:tcBorders>
            <w:vAlign w:val="center"/>
          </w:tcPr>
          <w:p w14:paraId="0D6BD7C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0.0021</w:t>
            </w:r>
          </w:p>
        </w:tc>
        <w:tc>
          <w:tcPr>
            <w:tcW w:w="737" w:type="dxa"/>
            <w:tcBorders>
              <w:top w:val="single" w:sz="6" w:space="0" w:color="auto"/>
              <w:left w:val="single" w:sz="6" w:space="0" w:color="auto"/>
              <w:bottom w:val="single" w:sz="6" w:space="0" w:color="auto"/>
              <w:right w:val="single" w:sz="6" w:space="0" w:color="auto"/>
            </w:tcBorders>
            <w:vAlign w:val="center"/>
          </w:tcPr>
          <w:p w14:paraId="7D41884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5615258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044E851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5354884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460B4DA1" w14:textId="77777777" w:rsidTr="00887829">
        <w:tc>
          <w:tcPr>
            <w:tcW w:w="1304" w:type="dxa"/>
            <w:vMerge/>
            <w:tcBorders>
              <w:left w:val="double" w:sz="4" w:space="0" w:color="auto"/>
              <w:right w:val="single" w:sz="6" w:space="0" w:color="auto"/>
            </w:tcBorders>
            <w:vAlign w:val="center"/>
          </w:tcPr>
          <w:p w14:paraId="4EE27BA3"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61ADF527"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Euro 6 </w:t>
            </w:r>
            <w:r>
              <w:rPr>
                <w:color w:val="000000"/>
                <w:sz w:val="12"/>
                <w:szCs w:val="12"/>
                <w:lang w:val="en-GB"/>
              </w:rPr>
              <w:t>up to 2016</w:t>
            </w:r>
          </w:p>
        </w:tc>
        <w:tc>
          <w:tcPr>
            <w:tcW w:w="964" w:type="dxa"/>
            <w:tcBorders>
              <w:top w:val="single" w:sz="6" w:space="0" w:color="auto"/>
              <w:left w:val="single" w:sz="6" w:space="0" w:color="auto"/>
              <w:bottom w:val="single" w:sz="6" w:space="0" w:color="auto"/>
              <w:right w:val="single" w:sz="6" w:space="0" w:color="auto"/>
            </w:tcBorders>
            <w:vAlign w:val="center"/>
          </w:tcPr>
          <w:p w14:paraId="69A2CA4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25381D2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4C4377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268FB9B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72D3E52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56A5AC94" w14:textId="77777777" w:rsidTr="00887829">
        <w:tc>
          <w:tcPr>
            <w:tcW w:w="1304" w:type="dxa"/>
            <w:vMerge/>
            <w:tcBorders>
              <w:left w:val="double" w:sz="4" w:space="0" w:color="auto"/>
              <w:right w:val="single" w:sz="6" w:space="0" w:color="auto"/>
            </w:tcBorders>
            <w:vAlign w:val="center"/>
          </w:tcPr>
          <w:p w14:paraId="3AADFD85"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FE39D9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2017-2019</w:t>
            </w:r>
          </w:p>
        </w:tc>
        <w:tc>
          <w:tcPr>
            <w:tcW w:w="964" w:type="dxa"/>
            <w:tcBorders>
              <w:top w:val="single" w:sz="6" w:space="0" w:color="auto"/>
              <w:left w:val="single" w:sz="6" w:space="0" w:color="auto"/>
              <w:bottom w:val="single" w:sz="6" w:space="0" w:color="auto"/>
              <w:right w:val="single" w:sz="6" w:space="0" w:color="auto"/>
            </w:tcBorders>
            <w:vAlign w:val="center"/>
          </w:tcPr>
          <w:p w14:paraId="1A21DEF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207337D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7F312C7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1C83750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7A2E209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70EFD096" w14:textId="77777777" w:rsidTr="00887829">
        <w:tc>
          <w:tcPr>
            <w:tcW w:w="1304" w:type="dxa"/>
            <w:vMerge/>
            <w:tcBorders>
              <w:left w:val="double" w:sz="4" w:space="0" w:color="auto"/>
              <w:bottom w:val="single" w:sz="6" w:space="0" w:color="auto"/>
              <w:right w:val="single" w:sz="6" w:space="0" w:color="auto"/>
            </w:tcBorders>
            <w:vAlign w:val="center"/>
          </w:tcPr>
          <w:p w14:paraId="2CDA94B1"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5887057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6</w:t>
            </w:r>
            <w:r>
              <w:rPr>
                <w:color w:val="000000"/>
                <w:sz w:val="12"/>
                <w:szCs w:val="12"/>
                <w:lang w:val="en-GB"/>
              </w:rPr>
              <w:t xml:space="preserve"> 2020+</w:t>
            </w:r>
          </w:p>
        </w:tc>
        <w:tc>
          <w:tcPr>
            <w:tcW w:w="964" w:type="dxa"/>
            <w:tcBorders>
              <w:top w:val="single" w:sz="6" w:space="0" w:color="auto"/>
              <w:left w:val="single" w:sz="6" w:space="0" w:color="auto"/>
              <w:bottom w:val="single" w:sz="6" w:space="0" w:color="auto"/>
              <w:right w:val="single" w:sz="6" w:space="0" w:color="auto"/>
            </w:tcBorders>
            <w:vAlign w:val="center"/>
          </w:tcPr>
          <w:p w14:paraId="4EEA9FA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0.0015</w:t>
            </w:r>
          </w:p>
        </w:tc>
        <w:tc>
          <w:tcPr>
            <w:tcW w:w="737" w:type="dxa"/>
            <w:tcBorders>
              <w:top w:val="single" w:sz="6" w:space="0" w:color="auto"/>
              <w:left w:val="single" w:sz="6" w:space="0" w:color="auto"/>
              <w:bottom w:val="single" w:sz="6" w:space="0" w:color="auto"/>
              <w:right w:val="single" w:sz="6" w:space="0" w:color="auto"/>
            </w:tcBorders>
            <w:vAlign w:val="center"/>
          </w:tcPr>
          <w:p w14:paraId="19FB53D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1.62E-06</w:t>
            </w:r>
          </w:p>
        </w:tc>
        <w:tc>
          <w:tcPr>
            <w:tcW w:w="737" w:type="dxa"/>
            <w:tcBorders>
              <w:top w:val="single" w:sz="6" w:space="0" w:color="auto"/>
              <w:left w:val="single" w:sz="6" w:space="0" w:color="auto"/>
              <w:bottom w:val="single" w:sz="6" w:space="0" w:color="auto"/>
              <w:right w:val="single" w:sz="6" w:space="0" w:color="auto"/>
            </w:tcBorders>
            <w:vAlign w:val="center"/>
          </w:tcPr>
          <w:p w14:paraId="59CCED5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1.53E-06</w:t>
            </w:r>
          </w:p>
        </w:tc>
        <w:tc>
          <w:tcPr>
            <w:tcW w:w="737" w:type="dxa"/>
            <w:tcBorders>
              <w:top w:val="single" w:sz="6" w:space="0" w:color="auto"/>
              <w:left w:val="single" w:sz="6" w:space="0" w:color="auto"/>
              <w:bottom w:val="single" w:sz="6" w:space="0" w:color="auto"/>
              <w:right w:val="single" w:sz="6" w:space="0" w:color="auto"/>
            </w:tcBorders>
            <w:vAlign w:val="center"/>
          </w:tcPr>
          <w:p w14:paraId="25BB362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1.95E-06</w:t>
            </w:r>
          </w:p>
        </w:tc>
        <w:tc>
          <w:tcPr>
            <w:tcW w:w="737" w:type="dxa"/>
            <w:tcBorders>
              <w:top w:val="single" w:sz="6" w:space="0" w:color="auto"/>
              <w:left w:val="single" w:sz="6" w:space="0" w:color="auto"/>
              <w:bottom w:val="single" w:sz="6" w:space="0" w:color="auto"/>
              <w:right w:val="double" w:sz="4" w:space="0" w:color="auto"/>
            </w:tcBorders>
            <w:vAlign w:val="center"/>
          </w:tcPr>
          <w:p w14:paraId="1A19F59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1.74E-06</w:t>
            </w:r>
          </w:p>
        </w:tc>
      </w:tr>
      <w:tr w:rsidR="00E81C5C" w:rsidRPr="000855B2" w14:paraId="62246855" w14:textId="77777777" w:rsidTr="00887829">
        <w:tc>
          <w:tcPr>
            <w:tcW w:w="1304" w:type="dxa"/>
            <w:vMerge w:val="restart"/>
            <w:tcBorders>
              <w:top w:val="single" w:sz="6" w:space="0" w:color="auto"/>
              <w:left w:val="double" w:sz="4" w:space="0" w:color="auto"/>
              <w:right w:val="single" w:sz="6" w:space="0" w:color="auto"/>
            </w:tcBorders>
            <w:vAlign w:val="center"/>
          </w:tcPr>
          <w:p w14:paraId="3B21FACF"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LPG</w:t>
            </w:r>
          </w:p>
        </w:tc>
        <w:tc>
          <w:tcPr>
            <w:tcW w:w="1531" w:type="dxa"/>
            <w:tcBorders>
              <w:top w:val="single" w:sz="6" w:space="0" w:color="auto"/>
              <w:left w:val="single" w:sz="6" w:space="0" w:color="auto"/>
              <w:bottom w:val="single" w:sz="6" w:space="0" w:color="auto"/>
              <w:right w:val="single" w:sz="6" w:space="0" w:color="auto"/>
            </w:tcBorders>
            <w:vAlign w:val="center"/>
          </w:tcPr>
          <w:p w14:paraId="219FBBD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07F58BA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71FC7FF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7EC69DF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24A8030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5C87D5D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7FE40A81" w14:textId="77777777" w:rsidTr="00887829">
        <w:tc>
          <w:tcPr>
            <w:tcW w:w="1304" w:type="dxa"/>
            <w:vMerge/>
            <w:tcBorders>
              <w:left w:val="double" w:sz="4" w:space="0" w:color="auto"/>
              <w:right w:val="single" w:sz="6" w:space="0" w:color="auto"/>
            </w:tcBorders>
            <w:vAlign w:val="center"/>
          </w:tcPr>
          <w:p w14:paraId="29C3780C"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4AE11EC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1 - 91/441/EEC</w:t>
            </w:r>
          </w:p>
        </w:tc>
        <w:tc>
          <w:tcPr>
            <w:tcW w:w="964" w:type="dxa"/>
            <w:tcBorders>
              <w:top w:val="single" w:sz="6" w:space="0" w:color="auto"/>
              <w:left w:val="single" w:sz="6" w:space="0" w:color="auto"/>
              <w:bottom w:val="single" w:sz="6" w:space="0" w:color="auto"/>
              <w:right w:val="single" w:sz="6" w:space="0" w:color="auto"/>
            </w:tcBorders>
            <w:vAlign w:val="center"/>
          </w:tcPr>
          <w:p w14:paraId="3967926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5567B9B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074D05A4"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30DE1BBA"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53DA7C6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02158C3E" w14:textId="77777777" w:rsidTr="00887829">
        <w:tc>
          <w:tcPr>
            <w:tcW w:w="1304" w:type="dxa"/>
            <w:vMerge/>
            <w:tcBorders>
              <w:left w:val="double" w:sz="4" w:space="0" w:color="auto"/>
              <w:right w:val="single" w:sz="6" w:space="0" w:color="auto"/>
            </w:tcBorders>
            <w:vAlign w:val="center"/>
          </w:tcPr>
          <w:p w14:paraId="6A73FDCF"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7EDCCD4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2 - 94/12/EEC</w:t>
            </w:r>
          </w:p>
        </w:tc>
        <w:tc>
          <w:tcPr>
            <w:tcW w:w="964" w:type="dxa"/>
            <w:tcBorders>
              <w:top w:val="single" w:sz="6" w:space="0" w:color="auto"/>
              <w:left w:val="single" w:sz="6" w:space="0" w:color="auto"/>
              <w:bottom w:val="single" w:sz="6" w:space="0" w:color="auto"/>
              <w:right w:val="single" w:sz="6" w:space="0" w:color="auto"/>
            </w:tcBorders>
            <w:vAlign w:val="center"/>
          </w:tcPr>
          <w:p w14:paraId="77BC304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0.0022</w:t>
            </w:r>
          </w:p>
        </w:tc>
        <w:tc>
          <w:tcPr>
            <w:tcW w:w="737" w:type="dxa"/>
            <w:tcBorders>
              <w:top w:val="single" w:sz="6" w:space="0" w:color="auto"/>
              <w:left w:val="single" w:sz="6" w:space="0" w:color="auto"/>
              <w:bottom w:val="single" w:sz="6" w:space="0" w:color="auto"/>
              <w:right w:val="single" w:sz="6" w:space="0" w:color="auto"/>
            </w:tcBorders>
            <w:vAlign w:val="center"/>
          </w:tcPr>
          <w:p w14:paraId="0993F31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0BE0E21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4D4D689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2DB1339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652B01D5" w14:textId="77777777" w:rsidTr="00887829">
        <w:tc>
          <w:tcPr>
            <w:tcW w:w="1304" w:type="dxa"/>
            <w:vMerge/>
            <w:tcBorders>
              <w:left w:val="double" w:sz="4" w:space="0" w:color="auto"/>
              <w:right w:val="single" w:sz="6" w:space="0" w:color="auto"/>
            </w:tcBorders>
            <w:vAlign w:val="center"/>
          </w:tcPr>
          <w:p w14:paraId="0FB1CC37"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32F41B7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3 - 98/69/EC I</w:t>
            </w:r>
          </w:p>
        </w:tc>
        <w:tc>
          <w:tcPr>
            <w:tcW w:w="964" w:type="dxa"/>
            <w:tcBorders>
              <w:top w:val="single" w:sz="6" w:space="0" w:color="auto"/>
              <w:left w:val="single" w:sz="6" w:space="0" w:color="auto"/>
              <w:bottom w:val="single" w:sz="6" w:space="0" w:color="auto"/>
              <w:right w:val="single" w:sz="6" w:space="0" w:color="auto"/>
            </w:tcBorders>
            <w:vAlign w:val="center"/>
          </w:tcPr>
          <w:p w14:paraId="59CEB1F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698F509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3A13793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181EDE7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73497C1B"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40185F14" w14:textId="77777777" w:rsidTr="00887829">
        <w:tc>
          <w:tcPr>
            <w:tcW w:w="1304" w:type="dxa"/>
            <w:vMerge/>
            <w:tcBorders>
              <w:left w:val="double" w:sz="4" w:space="0" w:color="auto"/>
              <w:bottom w:val="single" w:sz="6" w:space="0" w:color="auto"/>
              <w:right w:val="single" w:sz="6" w:space="0" w:color="auto"/>
            </w:tcBorders>
            <w:vAlign w:val="center"/>
          </w:tcPr>
          <w:p w14:paraId="3DF2231E" w14:textId="77777777" w:rsidR="00E81C5C" w:rsidRDefault="00E81C5C" w:rsidP="003511C1">
            <w:pPr>
              <w:autoSpaceDE w:val="0"/>
              <w:autoSpaceDN w:val="0"/>
              <w:adjustRightInd w:val="0"/>
              <w:spacing w:line="240" w:lineRule="auto"/>
              <w:jc w:val="left"/>
              <w:rPr>
                <w:color w:val="000000"/>
                <w:sz w:val="12"/>
                <w:szCs w:val="12"/>
                <w:lang w:val="en-GB"/>
              </w:rPr>
            </w:pPr>
          </w:p>
        </w:tc>
        <w:tc>
          <w:tcPr>
            <w:tcW w:w="1531" w:type="dxa"/>
            <w:tcBorders>
              <w:top w:val="single" w:sz="6" w:space="0" w:color="auto"/>
              <w:left w:val="single" w:sz="6" w:space="0" w:color="auto"/>
              <w:bottom w:val="single" w:sz="6" w:space="0" w:color="auto"/>
              <w:right w:val="single" w:sz="6" w:space="0" w:color="auto"/>
            </w:tcBorders>
            <w:vAlign w:val="center"/>
          </w:tcPr>
          <w:p w14:paraId="0D3A0E78"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0749B98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325F692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1150DED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c>
          <w:tcPr>
            <w:tcW w:w="737" w:type="dxa"/>
            <w:tcBorders>
              <w:top w:val="single" w:sz="6" w:space="0" w:color="auto"/>
              <w:left w:val="single" w:sz="6" w:space="0" w:color="auto"/>
              <w:bottom w:val="single" w:sz="6" w:space="0" w:color="auto"/>
              <w:right w:val="single" w:sz="6" w:space="0" w:color="auto"/>
            </w:tcBorders>
            <w:vAlign w:val="center"/>
          </w:tcPr>
          <w:p w14:paraId="6681E5B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0.00E+00</w:t>
            </w:r>
          </w:p>
        </w:tc>
        <w:tc>
          <w:tcPr>
            <w:tcW w:w="737" w:type="dxa"/>
            <w:tcBorders>
              <w:top w:val="single" w:sz="6" w:space="0" w:color="auto"/>
              <w:left w:val="single" w:sz="6" w:space="0" w:color="auto"/>
              <w:bottom w:val="single" w:sz="6" w:space="0" w:color="auto"/>
              <w:right w:val="double" w:sz="4" w:space="0" w:color="auto"/>
            </w:tcBorders>
            <w:vAlign w:val="center"/>
          </w:tcPr>
          <w:p w14:paraId="2056E19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1.00E-08</w:t>
            </w:r>
          </w:p>
        </w:tc>
      </w:tr>
      <w:tr w:rsidR="00E81C5C" w:rsidRPr="000855B2" w14:paraId="41922821"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02044F3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2-Stroke</w:t>
            </w:r>
          </w:p>
        </w:tc>
        <w:tc>
          <w:tcPr>
            <w:tcW w:w="1531" w:type="dxa"/>
            <w:tcBorders>
              <w:top w:val="single" w:sz="6" w:space="0" w:color="auto"/>
              <w:left w:val="single" w:sz="6" w:space="0" w:color="auto"/>
              <w:bottom w:val="single" w:sz="6" w:space="0" w:color="auto"/>
              <w:right w:val="single" w:sz="6" w:space="0" w:color="auto"/>
            </w:tcBorders>
            <w:vAlign w:val="center"/>
          </w:tcPr>
          <w:p w14:paraId="7A5FDFB9"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Conventional</w:t>
            </w:r>
          </w:p>
        </w:tc>
        <w:tc>
          <w:tcPr>
            <w:tcW w:w="964" w:type="dxa"/>
            <w:tcBorders>
              <w:top w:val="single" w:sz="6" w:space="0" w:color="auto"/>
              <w:left w:val="single" w:sz="6" w:space="0" w:color="auto"/>
              <w:bottom w:val="single" w:sz="6" w:space="0" w:color="auto"/>
              <w:right w:val="single" w:sz="6" w:space="0" w:color="auto"/>
            </w:tcBorders>
            <w:vAlign w:val="center"/>
          </w:tcPr>
          <w:p w14:paraId="4B16A7E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3F33544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1.03E-06</w:t>
            </w:r>
          </w:p>
        </w:tc>
        <w:tc>
          <w:tcPr>
            <w:tcW w:w="737" w:type="dxa"/>
            <w:tcBorders>
              <w:top w:val="single" w:sz="6" w:space="0" w:color="auto"/>
              <w:left w:val="single" w:sz="6" w:space="0" w:color="auto"/>
              <w:bottom w:val="single" w:sz="6" w:space="0" w:color="auto"/>
              <w:right w:val="single" w:sz="6" w:space="0" w:color="auto"/>
            </w:tcBorders>
            <w:vAlign w:val="center"/>
          </w:tcPr>
          <w:p w14:paraId="2F34229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3.00E-07</w:t>
            </w:r>
          </w:p>
        </w:tc>
        <w:tc>
          <w:tcPr>
            <w:tcW w:w="737" w:type="dxa"/>
            <w:tcBorders>
              <w:top w:val="single" w:sz="6" w:space="0" w:color="auto"/>
              <w:left w:val="single" w:sz="6" w:space="0" w:color="auto"/>
              <w:bottom w:val="single" w:sz="6" w:space="0" w:color="auto"/>
              <w:right w:val="single" w:sz="6" w:space="0" w:color="auto"/>
            </w:tcBorders>
            <w:vAlign w:val="center"/>
          </w:tcPr>
          <w:p w14:paraId="7E1F168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8.80E-07</w:t>
            </w:r>
          </w:p>
        </w:tc>
        <w:tc>
          <w:tcPr>
            <w:tcW w:w="737" w:type="dxa"/>
            <w:tcBorders>
              <w:top w:val="single" w:sz="6" w:space="0" w:color="auto"/>
              <w:left w:val="single" w:sz="6" w:space="0" w:color="auto"/>
              <w:bottom w:val="single" w:sz="6" w:space="0" w:color="auto"/>
              <w:right w:val="double" w:sz="4" w:space="0" w:color="auto"/>
            </w:tcBorders>
            <w:vAlign w:val="center"/>
          </w:tcPr>
          <w:p w14:paraId="09B00A9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4.80E-07</w:t>
            </w:r>
          </w:p>
        </w:tc>
      </w:tr>
      <w:tr w:rsidR="00E81C5C" w:rsidRPr="000855B2" w14:paraId="24C8CE5A"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1F1A5075"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 xml:space="preserve">Hybrid </w:t>
            </w:r>
            <w:r w:rsidR="008231B8">
              <w:rPr>
                <w:color w:val="000000"/>
                <w:sz w:val="12"/>
                <w:szCs w:val="12"/>
                <w:lang w:val="en-GB"/>
              </w:rPr>
              <w:t>Petrol</w:t>
            </w:r>
            <w:r w:rsidRPr="000855B2">
              <w:rPr>
                <w:color w:val="000000"/>
                <w:sz w:val="12"/>
                <w:szCs w:val="12"/>
                <w:lang w:val="en-GB"/>
              </w:rPr>
              <w:t xml:space="preserve"> </w:t>
            </w:r>
            <w:r w:rsidR="002758A0">
              <w:rPr>
                <w:color w:val="000000"/>
                <w:sz w:val="12"/>
                <w:szCs w:val="12"/>
                <w:lang w:val="en-GB"/>
              </w:rPr>
              <w:t>Small</w:t>
            </w:r>
          </w:p>
        </w:tc>
        <w:tc>
          <w:tcPr>
            <w:tcW w:w="1531" w:type="dxa"/>
            <w:tcBorders>
              <w:top w:val="single" w:sz="6" w:space="0" w:color="auto"/>
              <w:left w:val="single" w:sz="6" w:space="0" w:color="auto"/>
              <w:bottom w:val="single" w:sz="6" w:space="0" w:color="auto"/>
              <w:right w:val="single" w:sz="6" w:space="0" w:color="auto"/>
            </w:tcBorders>
            <w:vAlign w:val="center"/>
          </w:tcPr>
          <w:p w14:paraId="4F8D6382"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7E2F453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7680659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3.9E-07</w:t>
            </w:r>
          </w:p>
        </w:tc>
        <w:tc>
          <w:tcPr>
            <w:tcW w:w="737" w:type="dxa"/>
            <w:tcBorders>
              <w:top w:val="single" w:sz="6" w:space="0" w:color="auto"/>
              <w:left w:val="single" w:sz="6" w:space="0" w:color="auto"/>
              <w:bottom w:val="single" w:sz="6" w:space="0" w:color="auto"/>
              <w:right w:val="single" w:sz="6" w:space="0" w:color="auto"/>
            </w:tcBorders>
            <w:vAlign w:val="center"/>
          </w:tcPr>
          <w:p w14:paraId="36C72F3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126C5D6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6248FAC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B225E66"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46A11F6C" w14:textId="77777777" w:rsidR="00E81C5C" w:rsidRDefault="008231B8" w:rsidP="003511C1">
            <w:pPr>
              <w:autoSpaceDE w:val="0"/>
              <w:autoSpaceDN w:val="0"/>
              <w:adjustRightInd w:val="0"/>
              <w:spacing w:line="240" w:lineRule="auto"/>
              <w:jc w:val="left"/>
              <w:rPr>
                <w:color w:val="000000"/>
                <w:sz w:val="12"/>
                <w:szCs w:val="12"/>
                <w:lang w:val="en-GB"/>
              </w:rPr>
            </w:pPr>
            <w:r>
              <w:rPr>
                <w:color w:val="000000"/>
                <w:sz w:val="12"/>
                <w:szCs w:val="12"/>
                <w:lang w:val="en-GB"/>
              </w:rPr>
              <w:t>Hybrid Petrol</w:t>
            </w:r>
            <w:r w:rsidR="00E81C5C" w:rsidRPr="000855B2">
              <w:rPr>
                <w:color w:val="000000"/>
                <w:sz w:val="12"/>
                <w:szCs w:val="12"/>
                <w:lang w:val="en-GB"/>
              </w:rPr>
              <w:t xml:space="preserve"> </w:t>
            </w:r>
            <w:r w:rsidR="002758A0">
              <w:rPr>
                <w:color w:val="000000"/>
                <w:sz w:val="12"/>
                <w:szCs w:val="12"/>
                <w:lang w:val="en-GB"/>
              </w:rPr>
              <w:t>Medium</w:t>
            </w:r>
          </w:p>
        </w:tc>
        <w:tc>
          <w:tcPr>
            <w:tcW w:w="1531" w:type="dxa"/>
            <w:tcBorders>
              <w:top w:val="single" w:sz="6" w:space="0" w:color="auto"/>
              <w:left w:val="single" w:sz="6" w:space="0" w:color="auto"/>
              <w:bottom w:val="single" w:sz="6" w:space="0" w:color="auto"/>
              <w:right w:val="single" w:sz="6" w:space="0" w:color="auto"/>
            </w:tcBorders>
            <w:vAlign w:val="center"/>
          </w:tcPr>
          <w:p w14:paraId="2E3F4C1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4D56469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01DE4EC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3.9E-07</w:t>
            </w:r>
          </w:p>
        </w:tc>
        <w:tc>
          <w:tcPr>
            <w:tcW w:w="737" w:type="dxa"/>
            <w:tcBorders>
              <w:top w:val="single" w:sz="6" w:space="0" w:color="auto"/>
              <w:left w:val="single" w:sz="6" w:space="0" w:color="auto"/>
              <w:bottom w:val="single" w:sz="6" w:space="0" w:color="auto"/>
              <w:right w:val="single" w:sz="6" w:space="0" w:color="auto"/>
            </w:tcBorders>
            <w:vAlign w:val="center"/>
          </w:tcPr>
          <w:p w14:paraId="48818FF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2D7D0F37"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31BD6D99"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4C1EFA7F"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008C4467" w14:textId="77777777" w:rsidR="00E81C5C" w:rsidRDefault="008231B8" w:rsidP="003511C1">
            <w:pPr>
              <w:autoSpaceDE w:val="0"/>
              <w:autoSpaceDN w:val="0"/>
              <w:adjustRightInd w:val="0"/>
              <w:spacing w:line="240" w:lineRule="auto"/>
              <w:jc w:val="left"/>
              <w:rPr>
                <w:color w:val="000000"/>
                <w:sz w:val="12"/>
                <w:szCs w:val="12"/>
                <w:lang w:val="en-GB"/>
              </w:rPr>
            </w:pPr>
            <w:r>
              <w:rPr>
                <w:color w:val="000000"/>
                <w:sz w:val="12"/>
                <w:szCs w:val="12"/>
                <w:lang w:val="en-GB"/>
              </w:rPr>
              <w:t>Hybrid Petrol</w:t>
            </w:r>
            <w:r w:rsidR="00E81C5C" w:rsidRPr="000855B2">
              <w:rPr>
                <w:color w:val="000000"/>
                <w:sz w:val="12"/>
                <w:szCs w:val="12"/>
                <w:lang w:val="en-GB"/>
              </w:rPr>
              <w:t xml:space="preserve"> </w:t>
            </w:r>
            <w:r w:rsidR="002758A0">
              <w:rPr>
                <w:color w:val="000000"/>
                <w:sz w:val="12"/>
                <w:szCs w:val="12"/>
                <w:lang w:val="en-GB"/>
              </w:rPr>
              <w:t>Large</w:t>
            </w:r>
          </w:p>
        </w:tc>
        <w:tc>
          <w:tcPr>
            <w:tcW w:w="1531" w:type="dxa"/>
            <w:tcBorders>
              <w:top w:val="single" w:sz="6" w:space="0" w:color="auto"/>
              <w:left w:val="single" w:sz="6" w:space="0" w:color="auto"/>
              <w:bottom w:val="single" w:sz="6" w:space="0" w:color="auto"/>
              <w:right w:val="single" w:sz="6" w:space="0" w:color="auto"/>
            </w:tcBorders>
            <w:vAlign w:val="center"/>
          </w:tcPr>
          <w:p w14:paraId="2028D2A0"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5925083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n.a.</w:t>
            </w:r>
          </w:p>
        </w:tc>
        <w:tc>
          <w:tcPr>
            <w:tcW w:w="737" w:type="dxa"/>
            <w:tcBorders>
              <w:top w:val="single" w:sz="6" w:space="0" w:color="auto"/>
              <w:left w:val="single" w:sz="6" w:space="0" w:color="auto"/>
              <w:bottom w:val="single" w:sz="6" w:space="0" w:color="auto"/>
              <w:right w:val="single" w:sz="6" w:space="0" w:color="auto"/>
            </w:tcBorders>
            <w:vAlign w:val="center"/>
          </w:tcPr>
          <w:p w14:paraId="7CB9CF68"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3.9E-07</w:t>
            </w:r>
          </w:p>
        </w:tc>
        <w:tc>
          <w:tcPr>
            <w:tcW w:w="737" w:type="dxa"/>
            <w:tcBorders>
              <w:top w:val="single" w:sz="6" w:space="0" w:color="auto"/>
              <w:left w:val="single" w:sz="6" w:space="0" w:color="auto"/>
              <w:bottom w:val="single" w:sz="6" w:space="0" w:color="auto"/>
              <w:right w:val="single" w:sz="6" w:space="0" w:color="auto"/>
            </w:tcBorders>
            <w:vAlign w:val="center"/>
          </w:tcPr>
          <w:p w14:paraId="7F56B69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3CA8FD0E"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3A00CF56"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24CF3F88" w14:textId="77777777" w:rsidTr="00887829">
        <w:tc>
          <w:tcPr>
            <w:tcW w:w="1304" w:type="dxa"/>
            <w:tcBorders>
              <w:top w:val="single" w:sz="6" w:space="0" w:color="auto"/>
              <w:left w:val="double" w:sz="4" w:space="0" w:color="auto"/>
              <w:bottom w:val="single" w:sz="6" w:space="0" w:color="auto"/>
              <w:right w:val="single" w:sz="6" w:space="0" w:color="auto"/>
            </w:tcBorders>
            <w:vAlign w:val="center"/>
          </w:tcPr>
          <w:p w14:paraId="5B7CB55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lastRenderedPageBreak/>
              <w:t>E85</w:t>
            </w:r>
          </w:p>
        </w:tc>
        <w:tc>
          <w:tcPr>
            <w:tcW w:w="1531" w:type="dxa"/>
            <w:tcBorders>
              <w:top w:val="single" w:sz="6" w:space="0" w:color="auto"/>
              <w:left w:val="single" w:sz="6" w:space="0" w:color="auto"/>
              <w:bottom w:val="single" w:sz="6" w:space="0" w:color="auto"/>
              <w:right w:val="single" w:sz="6" w:space="0" w:color="auto"/>
            </w:tcBorders>
            <w:vAlign w:val="center"/>
          </w:tcPr>
          <w:p w14:paraId="5A450D2A"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single" w:sz="6" w:space="0" w:color="auto"/>
              <w:right w:val="single" w:sz="6" w:space="0" w:color="auto"/>
            </w:tcBorders>
            <w:vAlign w:val="center"/>
          </w:tcPr>
          <w:p w14:paraId="2616E03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single" w:sz="6" w:space="0" w:color="auto"/>
              <w:right w:val="single" w:sz="6" w:space="0" w:color="auto"/>
            </w:tcBorders>
            <w:vAlign w:val="center"/>
          </w:tcPr>
          <w:p w14:paraId="56A3B322"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single" w:sz="6" w:space="0" w:color="auto"/>
              <w:right w:val="single" w:sz="6" w:space="0" w:color="auto"/>
            </w:tcBorders>
            <w:vAlign w:val="center"/>
          </w:tcPr>
          <w:p w14:paraId="611BF87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single" w:sz="6" w:space="0" w:color="auto"/>
              <w:right w:val="single" w:sz="6" w:space="0" w:color="auto"/>
            </w:tcBorders>
            <w:vAlign w:val="center"/>
          </w:tcPr>
          <w:p w14:paraId="0916DFC5"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single" w:sz="6" w:space="0" w:color="auto"/>
              <w:right w:val="double" w:sz="4" w:space="0" w:color="auto"/>
            </w:tcBorders>
            <w:vAlign w:val="center"/>
          </w:tcPr>
          <w:p w14:paraId="4D933E70"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tr w:rsidR="00E81C5C" w:rsidRPr="000855B2" w14:paraId="74222726" w14:textId="77777777" w:rsidTr="00887829">
        <w:tc>
          <w:tcPr>
            <w:tcW w:w="1304" w:type="dxa"/>
            <w:tcBorders>
              <w:top w:val="single" w:sz="6" w:space="0" w:color="auto"/>
              <w:left w:val="double" w:sz="4" w:space="0" w:color="auto"/>
              <w:bottom w:val="double" w:sz="4" w:space="0" w:color="auto"/>
              <w:right w:val="single" w:sz="6" w:space="0" w:color="auto"/>
            </w:tcBorders>
            <w:vAlign w:val="center"/>
          </w:tcPr>
          <w:p w14:paraId="3DC50D03"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CNG</w:t>
            </w:r>
          </w:p>
        </w:tc>
        <w:tc>
          <w:tcPr>
            <w:tcW w:w="1531" w:type="dxa"/>
            <w:tcBorders>
              <w:top w:val="single" w:sz="6" w:space="0" w:color="auto"/>
              <w:left w:val="single" w:sz="6" w:space="0" w:color="auto"/>
              <w:bottom w:val="double" w:sz="4" w:space="0" w:color="auto"/>
              <w:right w:val="single" w:sz="6" w:space="0" w:color="auto"/>
            </w:tcBorders>
            <w:vAlign w:val="center"/>
          </w:tcPr>
          <w:p w14:paraId="4B91064E" w14:textId="77777777" w:rsidR="00E81C5C" w:rsidRDefault="00E81C5C" w:rsidP="003511C1">
            <w:pPr>
              <w:autoSpaceDE w:val="0"/>
              <w:autoSpaceDN w:val="0"/>
              <w:adjustRightInd w:val="0"/>
              <w:spacing w:line="240" w:lineRule="auto"/>
              <w:jc w:val="left"/>
              <w:rPr>
                <w:color w:val="000000"/>
                <w:sz w:val="12"/>
                <w:szCs w:val="12"/>
                <w:lang w:val="en-GB"/>
              </w:rPr>
            </w:pPr>
            <w:r w:rsidRPr="000855B2">
              <w:rPr>
                <w:color w:val="000000"/>
                <w:sz w:val="12"/>
                <w:szCs w:val="12"/>
                <w:lang w:val="en-GB"/>
              </w:rPr>
              <w:t>Euro 4 - 98/69/EC II</w:t>
            </w:r>
          </w:p>
        </w:tc>
        <w:tc>
          <w:tcPr>
            <w:tcW w:w="964" w:type="dxa"/>
            <w:tcBorders>
              <w:top w:val="single" w:sz="6" w:space="0" w:color="auto"/>
              <w:left w:val="single" w:sz="6" w:space="0" w:color="auto"/>
              <w:bottom w:val="double" w:sz="4" w:space="0" w:color="auto"/>
              <w:right w:val="single" w:sz="6" w:space="0" w:color="auto"/>
            </w:tcBorders>
            <w:vAlign w:val="center"/>
          </w:tcPr>
          <w:p w14:paraId="15ABAC7D"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0.0011</w:t>
            </w:r>
          </w:p>
        </w:tc>
        <w:tc>
          <w:tcPr>
            <w:tcW w:w="737" w:type="dxa"/>
            <w:tcBorders>
              <w:top w:val="single" w:sz="6" w:space="0" w:color="auto"/>
              <w:left w:val="single" w:sz="6" w:space="0" w:color="auto"/>
              <w:bottom w:val="double" w:sz="4" w:space="0" w:color="auto"/>
              <w:right w:val="single" w:sz="6" w:space="0" w:color="auto"/>
            </w:tcBorders>
            <w:vAlign w:val="center"/>
          </w:tcPr>
          <w:p w14:paraId="7604FC31"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3.90E-07</w:t>
            </w:r>
          </w:p>
        </w:tc>
        <w:tc>
          <w:tcPr>
            <w:tcW w:w="737" w:type="dxa"/>
            <w:tcBorders>
              <w:top w:val="single" w:sz="6" w:space="0" w:color="auto"/>
              <w:left w:val="single" w:sz="6" w:space="0" w:color="auto"/>
              <w:bottom w:val="double" w:sz="4" w:space="0" w:color="auto"/>
              <w:right w:val="single" w:sz="6" w:space="0" w:color="auto"/>
            </w:tcBorders>
            <w:vAlign w:val="center"/>
          </w:tcPr>
          <w:p w14:paraId="384BDA43"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2.60E-07</w:t>
            </w:r>
          </w:p>
        </w:tc>
        <w:tc>
          <w:tcPr>
            <w:tcW w:w="737" w:type="dxa"/>
            <w:tcBorders>
              <w:top w:val="single" w:sz="6" w:space="0" w:color="auto"/>
              <w:left w:val="single" w:sz="6" w:space="0" w:color="auto"/>
              <w:bottom w:val="double" w:sz="4" w:space="0" w:color="auto"/>
              <w:right w:val="single" w:sz="6" w:space="0" w:color="auto"/>
            </w:tcBorders>
            <w:vAlign w:val="center"/>
          </w:tcPr>
          <w:p w14:paraId="51011CEC"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3.60E-07</w:t>
            </w:r>
          </w:p>
        </w:tc>
        <w:tc>
          <w:tcPr>
            <w:tcW w:w="737" w:type="dxa"/>
            <w:tcBorders>
              <w:top w:val="single" w:sz="6" w:space="0" w:color="auto"/>
              <w:left w:val="single" w:sz="6" w:space="0" w:color="auto"/>
              <w:bottom w:val="double" w:sz="4" w:space="0" w:color="auto"/>
              <w:right w:val="double" w:sz="4" w:space="0" w:color="auto"/>
            </w:tcBorders>
            <w:vAlign w:val="center"/>
          </w:tcPr>
          <w:p w14:paraId="32BF68BF" w14:textId="77777777" w:rsidR="00E81C5C" w:rsidRDefault="00E81C5C" w:rsidP="008231B8">
            <w:pPr>
              <w:autoSpaceDE w:val="0"/>
              <w:autoSpaceDN w:val="0"/>
              <w:adjustRightInd w:val="0"/>
              <w:spacing w:line="240" w:lineRule="auto"/>
              <w:jc w:val="center"/>
              <w:rPr>
                <w:color w:val="000000"/>
                <w:sz w:val="12"/>
                <w:szCs w:val="12"/>
                <w:lang w:val="en-GB"/>
              </w:rPr>
            </w:pPr>
            <w:r w:rsidRPr="000855B2">
              <w:rPr>
                <w:color w:val="000000"/>
                <w:sz w:val="12"/>
                <w:szCs w:val="12"/>
                <w:lang w:val="en-GB"/>
              </w:rPr>
              <w:t>3.20E-07</w:t>
            </w:r>
          </w:p>
        </w:tc>
      </w:tr>
      <w:bookmarkEnd w:id="90"/>
    </w:tbl>
    <w:p w14:paraId="5D44CCBF" w14:textId="626BE134" w:rsidR="001D2587" w:rsidRPr="000855B2" w:rsidRDefault="001D2587" w:rsidP="00E43131">
      <w:pPr>
        <w:pStyle w:val="Caption"/>
      </w:pPr>
      <w:r w:rsidRPr="000855B2">
        <w:rPr>
          <w:highlight w:val="yellow"/>
        </w:rPr>
        <w:br w:type="page"/>
      </w:r>
      <w:r w:rsidR="00A040D1"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19</w:t>
      </w:r>
      <w:r w:rsidR="00FB454C">
        <w:rPr>
          <w:noProof/>
        </w:rPr>
        <w:fldChar w:fldCharType="end"/>
      </w:r>
      <w:r w:rsidR="00944F54">
        <w:t xml:space="preserve">: </w:t>
      </w:r>
      <w:r w:rsidRPr="000855B2">
        <w:t xml:space="preserve">Tier 2 </w:t>
      </w:r>
      <w:r w:rsidR="00482973" w:rsidRPr="000855B2">
        <w:t xml:space="preserve">exhaust </w:t>
      </w:r>
      <w:r w:rsidRPr="000855B2">
        <w:t xml:space="preserve">emission factors for </w:t>
      </w:r>
      <w:r w:rsidR="00CF67A4" w:rsidRPr="000855B2">
        <w:t>light commercial</w:t>
      </w:r>
      <w:r w:rsidRPr="000855B2">
        <w:t xml:space="preserve"> vehicles, NFR 1</w:t>
      </w:r>
      <w:r w:rsidR="00437ECC" w:rsidRPr="000855B2">
        <w:t>.</w:t>
      </w:r>
      <w:r w:rsidRPr="000855B2">
        <w:t>A</w:t>
      </w:r>
      <w:r w:rsidR="00437ECC" w:rsidRPr="000855B2">
        <w:t>.</w:t>
      </w:r>
      <w:r w:rsidRPr="000855B2">
        <w:t>3</w:t>
      </w:r>
      <w:r w:rsidR="00437ECC" w:rsidRPr="000855B2">
        <w:t>.</w:t>
      </w:r>
      <w:r w:rsidRPr="000855B2">
        <w:t>b</w:t>
      </w:r>
      <w:r w:rsidR="00437ECC" w:rsidRPr="000855B2">
        <w:t>.</w:t>
      </w:r>
      <w:r w:rsidRPr="000855B2">
        <w:t>ii</w:t>
      </w:r>
    </w:p>
    <w:tbl>
      <w:tblPr>
        <w:tblW w:w="8220" w:type="dxa"/>
        <w:tblLayout w:type="fixed"/>
        <w:tblLook w:val="0000" w:firstRow="0" w:lastRow="0" w:firstColumn="0" w:lastColumn="0" w:noHBand="0" w:noVBand="0"/>
      </w:tblPr>
      <w:tblGrid>
        <w:gridCol w:w="1110"/>
        <w:gridCol w:w="1800"/>
        <w:gridCol w:w="630"/>
        <w:gridCol w:w="810"/>
        <w:gridCol w:w="806"/>
        <w:gridCol w:w="724"/>
        <w:gridCol w:w="671"/>
        <w:gridCol w:w="850"/>
        <w:gridCol w:w="819"/>
      </w:tblGrid>
      <w:tr w:rsidR="00CF1AAA" w:rsidRPr="000855B2" w14:paraId="300BFD47" w14:textId="77777777" w:rsidTr="00887829">
        <w:tc>
          <w:tcPr>
            <w:tcW w:w="1110" w:type="dxa"/>
            <w:tcBorders>
              <w:top w:val="double" w:sz="4" w:space="0" w:color="auto"/>
              <w:left w:val="double" w:sz="4" w:space="0" w:color="auto"/>
              <w:bottom w:val="single" w:sz="6" w:space="0" w:color="auto"/>
              <w:right w:val="single" w:sz="6" w:space="0" w:color="auto"/>
            </w:tcBorders>
            <w:vAlign w:val="center"/>
          </w:tcPr>
          <w:p w14:paraId="336FA39D" w14:textId="77777777" w:rsidR="00957E20" w:rsidRDefault="00C11E19" w:rsidP="008231B8">
            <w:pPr>
              <w:autoSpaceDE w:val="0"/>
              <w:autoSpaceDN w:val="0"/>
              <w:adjustRightInd w:val="0"/>
              <w:spacing w:line="240" w:lineRule="auto"/>
              <w:jc w:val="center"/>
              <w:rPr>
                <w:b/>
                <w:bCs/>
                <w:color w:val="000000"/>
                <w:sz w:val="14"/>
                <w:szCs w:val="14"/>
                <w:lang w:val="en-GB"/>
              </w:rPr>
            </w:pPr>
            <w:bookmarkStart w:id="91" w:name="OLE_LINK3"/>
            <w:r w:rsidRPr="000855B2">
              <w:rPr>
                <w:b/>
                <w:bCs/>
                <w:color w:val="000000"/>
                <w:sz w:val="14"/>
                <w:szCs w:val="14"/>
                <w:lang w:val="en-GB"/>
              </w:rPr>
              <w:t>Type</w:t>
            </w:r>
          </w:p>
        </w:tc>
        <w:tc>
          <w:tcPr>
            <w:tcW w:w="1800" w:type="dxa"/>
            <w:vMerge w:val="restart"/>
            <w:tcBorders>
              <w:top w:val="double" w:sz="4" w:space="0" w:color="auto"/>
              <w:left w:val="single" w:sz="6" w:space="0" w:color="auto"/>
              <w:right w:val="single" w:sz="6" w:space="0" w:color="auto"/>
            </w:tcBorders>
            <w:vAlign w:val="center"/>
          </w:tcPr>
          <w:p w14:paraId="5CE48AE9" w14:textId="77777777" w:rsidR="00C11E19" w:rsidRPr="000855B2"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630" w:type="dxa"/>
            <w:tcBorders>
              <w:top w:val="double" w:sz="4" w:space="0" w:color="auto"/>
              <w:left w:val="single" w:sz="6" w:space="0" w:color="auto"/>
              <w:bottom w:val="single" w:sz="6" w:space="0" w:color="auto"/>
              <w:right w:val="single" w:sz="6" w:space="0" w:color="auto"/>
            </w:tcBorders>
            <w:vAlign w:val="center"/>
          </w:tcPr>
          <w:p w14:paraId="46B1F46C"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p>
        </w:tc>
        <w:tc>
          <w:tcPr>
            <w:tcW w:w="810" w:type="dxa"/>
            <w:tcBorders>
              <w:top w:val="double" w:sz="4" w:space="0" w:color="auto"/>
              <w:left w:val="single" w:sz="6" w:space="0" w:color="auto"/>
              <w:bottom w:val="single" w:sz="6" w:space="0" w:color="auto"/>
              <w:right w:val="single" w:sz="6" w:space="0" w:color="auto"/>
            </w:tcBorders>
            <w:vAlign w:val="center"/>
          </w:tcPr>
          <w:p w14:paraId="33FA9CAA"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NMVOC</w:t>
            </w:r>
          </w:p>
        </w:tc>
        <w:tc>
          <w:tcPr>
            <w:tcW w:w="806" w:type="dxa"/>
            <w:tcBorders>
              <w:top w:val="double" w:sz="4" w:space="0" w:color="auto"/>
              <w:left w:val="single" w:sz="6" w:space="0" w:color="auto"/>
              <w:bottom w:val="single" w:sz="6" w:space="0" w:color="auto"/>
              <w:right w:val="single" w:sz="6" w:space="0" w:color="auto"/>
            </w:tcBorders>
            <w:vAlign w:val="center"/>
          </w:tcPr>
          <w:p w14:paraId="3058FFE6"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w:t>
            </w:r>
            <w:r w:rsidRPr="000855B2">
              <w:rPr>
                <w:b/>
                <w:bCs/>
                <w:color w:val="000000"/>
                <w:sz w:val="14"/>
                <w:szCs w:val="14"/>
                <w:vertAlign w:val="subscript"/>
                <w:lang w:val="en-GB"/>
              </w:rPr>
              <w:t>x</w:t>
            </w:r>
          </w:p>
        </w:tc>
        <w:tc>
          <w:tcPr>
            <w:tcW w:w="724" w:type="dxa"/>
            <w:tcBorders>
              <w:top w:val="double" w:sz="4" w:space="0" w:color="auto"/>
              <w:left w:val="single" w:sz="6" w:space="0" w:color="auto"/>
              <w:bottom w:val="single" w:sz="6" w:space="0" w:color="auto"/>
              <w:right w:val="single" w:sz="6" w:space="0" w:color="auto"/>
            </w:tcBorders>
            <w:vAlign w:val="center"/>
          </w:tcPr>
          <w:p w14:paraId="615DE1BC"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N2O</w:t>
            </w:r>
          </w:p>
        </w:tc>
        <w:tc>
          <w:tcPr>
            <w:tcW w:w="671" w:type="dxa"/>
            <w:tcBorders>
              <w:top w:val="double" w:sz="4" w:space="0" w:color="auto"/>
              <w:left w:val="single" w:sz="6" w:space="0" w:color="auto"/>
              <w:bottom w:val="single" w:sz="6" w:space="0" w:color="auto"/>
              <w:right w:val="single" w:sz="6" w:space="0" w:color="auto"/>
            </w:tcBorders>
            <w:vAlign w:val="center"/>
          </w:tcPr>
          <w:p w14:paraId="69A9D890"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NH3</w:t>
            </w:r>
          </w:p>
        </w:tc>
        <w:tc>
          <w:tcPr>
            <w:tcW w:w="850" w:type="dxa"/>
            <w:tcBorders>
              <w:top w:val="double" w:sz="4" w:space="0" w:color="auto"/>
              <w:left w:val="single" w:sz="6" w:space="0" w:color="auto"/>
              <w:bottom w:val="single" w:sz="6" w:space="0" w:color="auto"/>
              <w:right w:val="single" w:sz="6" w:space="0" w:color="auto"/>
            </w:tcBorders>
            <w:vAlign w:val="center"/>
          </w:tcPr>
          <w:p w14:paraId="33E60267"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Pb</w:t>
            </w:r>
          </w:p>
        </w:tc>
        <w:tc>
          <w:tcPr>
            <w:tcW w:w="819" w:type="dxa"/>
            <w:tcBorders>
              <w:top w:val="double" w:sz="4" w:space="0" w:color="auto"/>
              <w:left w:val="single" w:sz="6" w:space="0" w:color="auto"/>
              <w:bottom w:val="single" w:sz="6" w:space="0" w:color="auto"/>
              <w:right w:val="double" w:sz="4" w:space="0" w:color="auto"/>
            </w:tcBorders>
            <w:vAlign w:val="center"/>
          </w:tcPr>
          <w:p w14:paraId="19F6E716"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r w:rsidRPr="000855B2">
              <w:rPr>
                <w:b/>
                <w:bCs/>
                <w:color w:val="000000"/>
                <w:sz w:val="14"/>
                <w:szCs w:val="14"/>
                <w:vertAlign w:val="subscript"/>
                <w:lang w:val="en-GB"/>
              </w:rPr>
              <w:t xml:space="preserve">2 </w:t>
            </w:r>
            <w:r w:rsidRPr="000855B2">
              <w:rPr>
                <w:b/>
                <w:bCs/>
                <w:color w:val="000000"/>
                <w:sz w:val="14"/>
                <w:szCs w:val="14"/>
                <w:lang w:val="en-GB"/>
              </w:rPr>
              <w:t>lube</w:t>
            </w:r>
          </w:p>
        </w:tc>
      </w:tr>
      <w:tr w:rsidR="00CF1AAA" w:rsidRPr="000855B2" w14:paraId="564F79F7" w14:textId="77777777" w:rsidTr="00887829">
        <w:tc>
          <w:tcPr>
            <w:tcW w:w="1110" w:type="dxa"/>
            <w:tcBorders>
              <w:top w:val="single" w:sz="6" w:space="0" w:color="auto"/>
              <w:left w:val="double" w:sz="4" w:space="0" w:color="auto"/>
              <w:bottom w:val="single" w:sz="6" w:space="0" w:color="auto"/>
              <w:right w:val="single" w:sz="6" w:space="0" w:color="auto"/>
            </w:tcBorders>
            <w:vAlign w:val="center"/>
          </w:tcPr>
          <w:p w14:paraId="57004ECE"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800" w:type="dxa"/>
            <w:vMerge/>
            <w:tcBorders>
              <w:left w:val="single" w:sz="6" w:space="0" w:color="auto"/>
              <w:right w:val="single" w:sz="6" w:space="0" w:color="auto"/>
            </w:tcBorders>
            <w:vAlign w:val="center"/>
          </w:tcPr>
          <w:p w14:paraId="41DC0FA6"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630" w:type="dxa"/>
            <w:tcBorders>
              <w:top w:val="single" w:sz="6" w:space="0" w:color="auto"/>
              <w:left w:val="single" w:sz="6" w:space="0" w:color="auto"/>
              <w:bottom w:val="single" w:sz="6" w:space="0" w:color="auto"/>
              <w:right w:val="single" w:sz="6" w:space="0" w:color="auto"/>
            </w:tcBorders>
            <w:vAlign w:val="center"/>
          </w:tcPr>
          <w:p w14:paraId="325132D7"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10" w:type="dxa"/>
            <w:tcBorders>
              <w:top w:val="single" w:sz="6" w:space="0" w:color="auto"/>
              <w:left w:val="single" w:sz="6" w:space="0" w:color="auto"/>
              <w:bottom w:val="single" w:sz="6" w:space="0" w:color="auto"/>
              <w:right w:val="single" w:sz="6" w:space="0" w:color="auto"/>
            </w:tcBorders>
            <w:vAlign w:val="center"/>
          </w:tcPr>
          <w:p w14:paraId="70182C48"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06" w:type="dxa"/>
            <w:tcBorders>
              <w:top w:val="single" w:sz="6" w:space="0" w:color="auto"/>
              <w:left w:val="single" w:sz="6" w:space="0" w:color="auto"/>
              <w:bottom w:val="single" w:sz="6" w:space="0" w:color="auto"/>
              <w:right w:val="single" w:sz="6" w:space="0" w:color="auto"/>
            </w:tcBorders>
            <w:vAlign w:val="center"/>
          </w:tcPr>
          <w:p w14:paraId="6A67BF9D"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24" w:type="dxa"/>
            <w:tcBorders>
              <w:top w:val="single" w:sz="6" w:space="0" w:color="auto"/>
              <w:left w:val="single" w:sz="6" w:space="0" w:color="auto"/>
              <w:bottom w:val="single" w:sz="6" w:space="0" w:color="auto"/>
              <w:right w:val="single" w:sz="6" w:space="0" w:color="auto"/>
            </w:tcBorders>
            <w:vAlign w:val="center"/>
          </w:tcPr>
          <w:p w14:paraId="292ED4CF"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671" w:type="dxa"/>
            <w:tcBorders>
              <w:top w:val="single" w:sz="6" w:space="0" w:color="auto"/>
              <w:left w:val="single" w:sz="6" w:space="0" w:color="auto"/>
              <w:bottom w:val="single" w:sz="4" w:space="0" w:color="auto"/>
              <w:right w:val="single" w:sz="6" w:space="0" w:color="auto"/>
            </w:tcBorders>
            <w:vAlign w:val="center"/>
          </w:tcPr>
          <w:p w14:paraId="04A6DCD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0" w:type="dxa"/>
            <w:tcBorders>
              <w:top w:val="single" w:sz="6" w:space="0" w:color="auto"/>
              <w:left w:val="single" w:sz="6" w:space="0" w:color="auto"/>
              <w:bottom w:val="single" w:sz="4" w:space="0" w:color="auto"/>
              <w:right w:val="single" w:sz="6" w:space="0" w:color="auto"/>
            </w:tcBorders>
            <w:vAlign w:val="center"/>
          </w:tcPr>
          <w:p w14:paraId="1072330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19" w:type="dxa"/>
            <w:tcBorders>
              <w:top w:val="single" w:sz="6" w:space="0" w:color="auto"/>
              <w:left w:val="single" w:sz="6" w:space="0" w:color="auto"/>
              <w:bottom w:val="single" w:sz="6" w:space="0" w:color="auto"/>
              <w:right w:val="double" w:sz="4" w:space="0" w:color="auto"/>
            </w:tcBorders>
            <w:vAlign w:val="center"/>
          </w:tcPr>
          <w:p w14:paraId="081CDCCE"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CF1AAA" w:rsidRPr="000855B2" w14:paraId="0604BF2B" w14:textId="77777777" w:rsidTr="00246BA6">
        <w:tc>
          <w:tcPr>
            <w:tcW w:w="1110" w:type="dxa"/>
            <w:tcBorders>
              <w:top w:val="single" w:sz="6" w:space="0" w:color="auto"/>
              <w:left w:val="double" w:sz="4" w:space="0" w:color="auto"/>
              <w:bottom w:val="single" w:sz="12" w:space="0" w:color="auto"/>
              <w:right w:val="single" w:sz="6" w:space="0" w:color="auto"/>
            </w:tcBorders>
            <w:vAlign w:val="center"/>
          </w:tcPr>
          <w:p w14:paraId="4206DC3C"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800" w:type="dxa"/>
            <w:vMerge/>
            <w:tcBorders>
              <w:left w:val="single" w:sz="6" w:space="0" w:color="auto"/>
              <w:bottom w:val="single" w:sz="12" w:space="0" w:color="auto"/>
              <w:right w:val="single" w:sz="6" w:space="0" w:color="auto"/>
            </w:tcBorders>
            <w:vAlign w:val="center"/>
          </w:tcPr>
          <w:p w14:paraId="1C3BCC08"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630" w:type="dxa"/>
            <w:tcBorders>
              <w:top w:val="single" w:sz="6" w:space="0" w:color="auto"/>
              <w:left w:val="single" w:sz="6" w:space="0" w:color="auto"/>
              <w:bottom w:val="single" w:sz="12" w:space="0" w:color="auto"/>
              <w:right w:val="single" w:sz="6" w:space="0" w:color="auto"/>
            </w:tcBorders>
            <w:vAlign w:val="center"/>
          </w:tcPr>
          <w:p w14:paraId="3D0F0767"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10" w:type="dxa"/>
            <w:tcBorders>
              <w:top w:val="single" w:sz="6" w:space="0" w:color="auto"/>
              <w:left w:val="single" w:sz="6" w:space="0" w:color="auto"/>
              <w:bottom w:val="single" w:sz="12" w:space="0" w:color="auto"/>
              <w:right w:val="single" w:sz="6" w:space="0" w:color="auto"/>
            </w:tcBorders>
            <w:vAlign w:val="center"/>
          </w:tcPr>
          <w:p w14:paraId="049BD29D"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THC-CH4</w:t>
            </w:r>
          </w:p>
        </w:tc>
        <w:tc>
          <w:tcPr>
            <w:tcW w:w="806" w:type="dxa"/>
            <w:tcBorders>
              <w:top w:val="single" w:sz="6" w:space="0" w:color="auto"/>
              <w:left w:val="single" w:sz="6" w:space="0" w:color="auto"/>
              <w:bottom w:val="single" w:sz="12" w:space="0" w:color="auto"/>
              <w:right w:val="single" w:sz="6" w:space="0" w:color="auto"/>
            </w:tcBorders>
            <w:vAlign w:val="center"/>
          </w:tcPr>
          <w:p w14:paraId="68EB7C7E"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NO</w:t>
            </w:r>
            <w:r w:rsidRPr="000855B2">
              <w:rPr>
                <w:b/>
                <w:bCs/>
                <w:color w:val="000000"/>
                <w:sz w:val="14"/>
                <w:szCs w:val="14"/>
                <w:vertAlign w:val="subscript"/>
                <w:lang w:val="en-GB"/>
              </w:rPr>
              <w:t>2</w:t>
            </w:r>
            <w:r w:rsidRPr="000855B2">
              <w:rPr>
                <w:b/>
                <w:bCs/>
                <w:color w:val="000000"/>
                <w:sz w:val="14"/>
                <w:szCs w:val="14"/>
                <w:lang w:val="en-GB"/>
              </w:rPr>
              <w:t xml:space="preserve"> equivalent</w:t>
            </w:r>
          </w:p>
        </w:tc>
        <w:tc>
          <w:tcPr>
            <w:tcW w:w="724" w:type="dxa"/>
            <w:tcBorders>
              <w:top w:val="single" w:sz="6" w:space="0" w:color="auto"/>
              <w:left w:val="single" w:sz="6" w:space="0" w:color="auto"/>
              <w:bottom w:val="single" w:sz="12" w:space="0" w:color="auto"/>
              <w:right w:val="single" w:sz="6" w:space="0" w:color="auto"/>
            </w:tcBorders>
            <w:vAlign w:val="center"/>
          </w:tcPr>
          <w:p w14:paraId="2D13D51A"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671" w:type="dxa"/>
            <w:tcBorders>
              <w:top w:val="single" w:sz="4" w:space="0" w:color="auto"/>
              <w:left w:val="single" w:sz="6" w:space="0" w:color="auto"/>
              <w:bottom w:val="single" w:sz="12" w:space="0" w:color="auto"/>
              <w:right w:val="single" w:sz="6" w:space="0" w:color="auto"/>
            </w:tcBorders>
            <w:vAlign w:val="center"/>
          </w:tcPr>
          <w:p w14:paraId="6CE30C6D"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50" w:type="dxa"/>
            <w:tcBorders>
              <w:top w:val="single" w:sz="4" w:space="0" w:color="auto"/>
              <w:left w:val="single" w:sz="6" w:space="0" w:color="auto"/>
              <w:bottom w:val="single" w:sz="12" w:space="0" w:color="auto"/>
              <w:right w:val="single" w:sz="6" w:space="0" w:color="auto"/>
            </w:tcBorders>
            <w:vAlign w:val="center"/>
          </w:tcPr>
          <w:p w14:paraId="5D60A476"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19" w:type="dxa"/>
            <w:tcBorders>
              <w:top w:val="single" w:sz="6" w:space="0" w:color="auto"/>
              <w:left w:val="single" w:sz="6" w:space="0" w:color="auto"/>
              <w:bottom w:val="single" w:sz="12" w:space="0" w:color="auto"/>
              <w:right w:val="double" w:sz="4" w:space="0" w:color="auto"/>
            </w:tcBorders>
            <w:vAlign w:val="center"/>
          </w:tcPr>
          <w:p w14:paraId="5F922E3D"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due to lube oil</w:t>
            </w:r>
          </w:p>
        </w:tc>
      </w:tr>
      <w:tr w:rsidR="005A3DC8" w:rsidRPr="000855B2" w14:paraId="126F469A" w14:textId="77777777" w:rsidTr="00246BA6">
        <w:tc>
          <w:tcPr>
            <w:tcW w:w="1110" w:type="dxa"/>
            <w:vMerge w:val="restart"/>
            <w:tcBorders>
              <w:top w:val="single" w:sz="12" w:space="0" w:color="auto"/>
              <w:left w:val="double" w:sz="4" w:space="0" w:color="auto"/>
              <w:right w:val="single" w:sz="6" w:space="0" w:color="auto"/>
            </w:tcBorders>
            <w:vAlign w:val="center"/>
          </w:tcPr>
          <w:p w14:paraId="7F268266" w14:textId="77777777" w:rsidR="005A3DC8" w:rsidRPr="005A3DC8" w:rsidRDefault="008231B8" w:rsidP="0000485C">
            <w:pPr>
              <w:spacing w:line="240" w:lineRule="auto"/>
              <w:rPr>
                <w:sz w:val="14"/>
                <w:szCs w:val="14"/>
                <w:lang w:val="en-US"/>
              </w:rPr>
            </w:pPr>
            <w:r>
              <w:rPr>
                <w:sz w:val="14"/>
                <w:szCs w:val="14"/>
                <w:lang w:val="en-US"/>
              </w:rPr>
              <w:t>Petrol</w:t>
            </w:r>
          </w:p>
        </w:tc>
        <w:tc>
          <w:tcPr>
            <w:tcW w:w="1800" w:type="dxa"/>
            <w:tcBorders>
              <w:top w:val="single" w:sz="12" w:space="0" w:color="auto"/>
              <w:left w:val="single" w:sz="6" w:space="0" w:color="auto"/>
              <w:bottom w:val="single" w:sz="6" w:space="0" w:color="auto"/>
              <w:right w:val="single" w:sz="6" w:space="0" w:color="auto"/>
            </w:tcBorders>
            <w:vAlign w:val="center"/>
          </w:tcPr>
          <w:p w14:paraId="03658296" w14:textId="77777777" w:rsidR="005A3DC8" w:rsidRDefault="005A3DC8" w:rsidP="00410789">
            <w:pPr>
              <w:spacing w:line="240" w:lineRule="auto"/>
              <w:rPr>
                <w:sz w:val="14"/>
                <w:szCs w:val="14"/>
                <w:lang w:val="en-GB"/>
              </w:rPr>
            </w:pPr>
            <w:r w:rsidRPr="000855B2">
              <w:rPr>
                <w:sz w:val="14"/>
                <w:szCs w:val="14"/>
                <w:lang w:val="en-GB"/>
              </w:rPr>
              <w:t>Conventional</w:t>
            </w:r>
          </w:p>
        </w:tc>
        <w:tc>
          <w:tcPr>
            <w:tcW w:w="630" w:type="dxa"/>
            <w:tcBorders>
              <w:top w:val="single" w:sz="12" w:space="0" w:color="auto"/>
              <w:left w:val="single" w:sz="6" w:space="0" w:color="auto"/>
              <w:bottom w:val="single" w:sz="6" w:space="0" w:color="auto"/>
              <w:right w:val="single" w:sz="6" w:space="0" w:color="auto"/>
            </w:tcBorders>
            <w:vAlign w:val="center"/>
          </w:tcPr>
          <w:p w14:paraId="684F6DF6" w14:textId="77777777" w:rsidR="005A3DC8" w:rsidRPr="000855B2" w:rsidRDefault="005A3DC8" w:rsidP="008231B8">
            <w:pPr>
              <w:spacing w:line="240" w:lineRule="auto"/>
              <w:jc w:val="center"/>
              <w:rPr>
                <w:sz w:val="14"/>
                <w:szCs w:val="14"/>
                <w:lang w:val="en-GB"/>
              </w:rPr>
            </w:pPr>
            <w:r w:rsidRPr="000855B2">
              <w:rPr>
                <w:sz w:val="14"/>
                <w:szCs w:val="14"/>
                <w:lang w:val="en-GB"/>
              </w:rPr>
              <w:t>25.5</w:t>
            </w:r>
          </w:p>
        </w:tc>
        <w:tc>
          <w:tcPr>
            <w:tcW w:w="810" w:type="dxa"/>
            <w:tcBorders>
              <w:top w:val="single" w:sz="12" w:space="0" w:color="auto"/>
              <w:left w:val="single" w:sz="6" w:space="0" w:color="auto"/>
              <w:bottom w:val="single" w:sz="6" w:space="0" w:color="auto"/>
              <w:right w:val="single" w:sz="6" w:space="0" w:color="auto"/>
            </w:tcBorders>
            <w:vAlign w:val="center"/>
          </w:tcPr>
          <w:p w14:paraId="4A3A5C6B" w14:textId="77777777" w:rsidR="005A3DC8" w:rsidRDefault="005A3DC8" w:rsidP="008231B8">
            <w:pPr>
              <w:spacing w:line="240" w:lineRule="auto"/>
              <w:jc w:val="center"/>
              <w:rPr>
                <w:sz w:val="14"/>
                <w:szCs w:val="14"/>
                <w:lang w:val="en-GB"/>
              </w:rPr>
            </w:pPr>
            <w:r w:rsidRPr="000855B2">
              <w:rPr>
                <w:sz w:val="14"/>
                <w:szCs w:val="14"/>
                <w:lang w:val="en-GB"/>
              </w:rPr>
              <w:t>3.44</w:t>
            </w:r>
          </w:p>
        </w:tc>
        <w:tc>
          <w:tcPr>
            <w:tcW w:w="806" w:type="dxa"/>
            <w:tcBorders>
              <w:top w:val="single" w:sz="12" w:space="0" w:color="auto"/>
              <w:left w:val="single" w:sz="6" w:space="0" w:color="auto"/>
              <w:bottom w:val="single" w:sz="6" w:space="0" w:color="auto"/>
              <w:right w:val="single" w:sz="6" w:space="0" w:color="auto"/>
            </w:tcBorders>
            <w:vAlign w:val="center"/>
          </w:tcPr>
          <w:p w14:paraId="3BF85DD9" w14:textId="77777777" w:rsidR="005A3DC8" w:rsidRDefault="005A3DC8" w:rsidP="008231B8">
            <w:pPr>
              <w:spacing w:line="240" w:lineRule="auto"/>
              <w:jc w:val="center"/>
              <w:rPr>
                <w:sz w:val="14"/>
                <w:szCs w:val="14"/>
                <w:lang w:val="en-GB"/>
              </w:rPr>
            </w:pPr>
            <w:r w:rsidRPr="000855B2">
              <w:rPr>
                <w:sz w:val="14"/>
                <w:szCs w:val="14"/>
                <w:lang w:val="en-GB"/>
              </w:rPr>
              <w:t>3.09</w:t>
            </w:r>
          </w:p>
        </w:tc>
        <w:tc>
          <w:tcPr>
            <w:tcW w:w="724" w:type="dxa"/>
            <w:tcBorders>
              <w:top w:val="single" w:sz="12" w:space="0" w:color="auto"/>
              <w:left w:val="single" w:sz="6" w:space="0" w:color="auto"/>
              <w:bottom w:val="single" w:sz="6" w:space="0" w:color="auto"/>
              <w:right w:val="single" w:sz="6" w:space="0" w:color="auto"/>
            </w:tcBorders>
            <w:vAlign w:val="center"/>
          </w:tcPr>
          <w:p w14:paraId="423513AA" w14:textId="77777777" w:rsidR="005A3DC8" w:rsidRDefault="005A3DC8" w:rsidP="008231B8">
            <w:pPr>
              <w:spacing w:line="240" w:lineRule="auto"/>
              <w:jc w:val="center"/>
              <w:rPr>
                <w:sz w:val="14"/>
                <w:szCs w:val="14"/>
                <w:lang w:val="en-GB"/>
              </w:rPr>
            </w:pPr>
            <w:r w:rsidRPr="000855B2">
              <w:rPr>
                <w:sz w:val="14"/>
                <w:szCs w:val="14"/>
                <w:lang w:val="en-GB"/>
              </w:rPr>
              <w:t>0.010</w:t>
            </w:r>
          </w:p>
        </w:tc>
        <w:tc>
          <w:tcPr>
            <w:tcW w:w="671" w:type="dxa"/>
            <w:tcBorders>
              <w:top w:val="single" w:sz="12" w:space="0" w:color="auto"/>
              <w:left w:val="single" w:sz="6" w:space="0" w:color="auto"/>
              <w:bottom w:val="single" w:sz="6" w:space="0" w:color="auto"/>
              <w:right w:val="single" w:sz="6" w:space="0" w:color="auto"/>
            </w:tcBorders>
            <w:vAlign w:val="center"/>
          </w:tcPr>
          <w:p w14:paraId="094045B1" w14:textId="77777777" w:rsidR="005A3DC8" w:rsidRDefault="005A3DC8" w:rsidP="008231B8">
            <w:pPr>
              <w:spacing w:line="240" w:lineRule="auto"/>
              <w:jc w:val="center"/>
              <w:rPr>
                <w:sz w:val="14"/>
                <w:szCs w:val="14"/>
                <w:lang w:val="en-GB"/>
              </w:rPr>
            </w:pPr>
            <w:r w:rsidRPr="000855B2">
              <w:rPr>
                <w:sz w:val="14"/>
                <w:szCs w:val="14"/>
                <w:lang w:val="en-GB"/>
              </w:rPr>
              <w:t>0.0025</w:t>
            </w:r>
          </w:p>
        </w:tc>
        <w:tc>
          <w:tcPr>
            <w:tcW w:w="850" w:type="dxa"/>
            <w:tcBorders>
              <w:top w:val="single" w:sz="12" w:space="0" w:color="auto"/>
              <w:left w:val="single" w:sz="6" w:space="0" w:color="auto"/>
              <w:bottom w:val="single" w:sz="6" w:space="0" w:color="auto"/>
              <w:right w:val="single" w:sz="6" w:space="0" w:color="auto"/>
            </w:tcBorders>
            <w:vAlign w:val="center"/>
          </w:tcPr>
          <w:p w14:paraId="01BE3E1E" w14:textId="77777777" w:rsidR="005A3DC8" w:rsidRDefault="005A3DC8" w:rsidP="008231B8">
            <w:pPr>
              <w:spacing w:line="240" w:lineRule="auto"/>
              <w:jc w:val="center"/>
              <w:rPr>
                <w:sz w:val="14"/>
                <w:szCs w:val="14"/>
                <w:lang w:val="en-GB"/>
              </w:rPr>
            </w:pPr>
            <w:r w:rsidRPr="000855B2">
              <w:rPr>
                <w:sz w:val="14"/>
                <w:szCs w:val="14"/>
                <w:lang w:val="en-GB"/>
              </w:rPr>
              <w:t>2.82E-06</w:t>
            </w:r>
          </w:p>
        </w:tc>
        <w:tc>
          <w:tcPr>
            <w:tcW w:w="819" w:type="dxa"/>
            <w:tcBorders>
              <w:top w:val="single" w:sz="12" w:space="0" w:color="auto"/>
              <w:left w:val="single" w:sz="6" w:space="0" w:color="auto"/>
              <w:bottom w:val="single" w:sz="6" w:space="0" w:color="auto"/>
              <w:right w:val="double" w:sz="4" w:space="0" w:color="auto"/>
            </w:tcBorders>
            <w:vAlign w:val="center"/>
          </w:tcPr>
          <w:p w14:paraId="7A61BBD1" w14:textId="77777777" w:rsidR="005A3DC8" w:rsidRDefault="005A3DC8" w:rsidP="008231B8">
            <w:pPr>
              <w:spacing w:line="240" w:lineRule="auto"/>
              <w:jc w:val="center"/>
              <w:rPr>
                <w:sz w:val="14"/>
                <w:szCs w:val="14"/>
                <w:lang w:val="en-GB"/>
              </w:rPr>
            </w:pPr>
            <w:r w:rsidRPr="000855B2">
              <w:rPr>
                <w:sz w:val="14"/>
                <w:szCs w:val="14"/>
                <w:lang w:val="en-GB"/>
              </w:rPr>
              <w:t>6.63E-01</w:t>
            </w:r>
          </w:p>
        </w:tc>
      </w:tr>
      <w:tr w:rsidR="005A3DC8" w:rsidRPr="000855B2" w14:paraId="1BC5B840" w14:textId="77777777" w:rsidTr="00887829">
        <w:tc>
          <w:tcPr>
            <w:tcW w:w="1110" w:type="dxa"/>
            <w:vMerge/>
            <w:tcBorders>
              <w:left w:val="double" w:sz="4" w:space="0" w:color="auto"/>
              <w:right w:val="single" w:sz="6" w:space="0" w:color="auto"/>
            </w:tcBorders>
            <w:vAlign w:val="center"/>
          </w:tcPr>
          <w:p w14:paraId="51F44E4C"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246C96F9" w14:textId="77777777" w:rsidR="005A3DC8" w:rsidRDefault="005A3DC8" w:rsidP="00410789">
            <w:pPr>
              <w:spacing w:line="240" w:lineRule="auto"/>
              <w:rPr>
                <w:sz w:val="14"/>
                <w:szCs w:val="14"/>
                <w:lang w:val="en-GB"/>
              </w:rPr>
            </w:pPr>
            <w:r w:rsidRPr="000855B2">
              <w:rPr>
                <w:sz w:val="14"/>
                <w:szCs w:val="14"/>
                <w:lang w:val="en-GB"/>
              </w:rPr>
              <w:t>Euro 1 - 93/59/EEC</w:t>
            </w:r>
          </w:p>
        </w:tc>
        <w:tc>
          <w:tcPr>
            <w:tcW w:w="630" w:type="dxa"/>
            <w:tcBorders>
              <w:top w:val="single" w:sz="6" w:space="0" w:color="auto"/>
              <w:left w:val="single" w:sz="6" w:space="0" w:color="auto"/>
              <w:bottom w:val="single" w:sz="6" w:space="0" w:color="auto"/>
              <w:right w:val="single" w:sz="6" w:space="0" w:color="auto"/>
            </w:tcBorders>
            <w:vAlign w:val="center"/>
          </w:tcPr>
          <w:p w14:paraId="74E88E5E" w14:textId="77777777" w:rsidR="005A3DC8" w:rsidRPr="000855B2" w:rsidRDefault="005A3DC8" w:rsidP="008231B8">
            <w:pPr>
              <w:spacing w:line="240" w:lineRule="auto"/>
              <w:jc w:val="center"/>
              <w:rPr>
                <w:sz w:val="14"/>
                <w:szCs w:val="14"/>
                <w:lang w:val="en-GB"/>
              </w:rPr>
            </w:pPr>
            <w:r w:rsidRPr="000855B2">
              <w:rPr>
                <w:sz w:val="14"/>
                <w:szCs w:val="14"/>
                <w:lang w:val="en-GB"/>
              </w:rPr>
              <w:t>8.82</w:t>
            </w:r>
          </w:p>
        </w:tc>
        <w:tc>
          <w:tcPr>
            <w:tcW w:w="810" w:type="dxa"/>
            <w:tcBorders>
              <w:top w:val="single" w:sz="6" w:space="0" w:color="auto"/>
              <w:left w:val="single" w:sz="6" w:space="0" w:color="auto"/>
              <w:bottom w:val="single" w:sz="6" w:space="0" w:color="auto"/>
              <w:right w:val="single" w:sz="6" w:space="0" w:color="auto"/>
            </w:tcBorders>
            <w:vAlign w:val="center"/>
          </w:tcPr>
          <w:p w14:paraId="18AAAA08" w14:textId="77777777" w:rsidR="005A3DC8" w:rsidRDefault="005A3DC8" w:rsidP="008231B8">
            <w:pPr>
              <w:spacing w:line="240" w:lineRule="auto"/>
              <w:jc w:val="center"/>
              <w:rPr>
                <w:sz w:val="14"/>
                <w:szCs w:val="14"/>
                <w:lang w:val="en-GB"/>
              </w:rPr>
            </w:pPr>
            <w:r w:rsidRPr="000855B2">
              <w:rPr>
                <w:sz w:val="14"/>
                <w:szCs w:val="14"/>
                <w:lang w:val="en-GB"/>
              </w:rPr>
              <w:t>0.614</w:t>
            </w:r>
          </w:p>
        </w:tc>
        <w:tc>
          <w:tcPr>
            <w:tcW w:w="806" w:type="dxa"/>
            <w:tcBorders>
              <w:top w:val="single" w:sz="6" w:space="0" w:color="auto"/>
              <w:left w:val="single" w:sz="6" w:space="0" w:color="auto"/>
              <w:bottom w:val="single" w:sz="6" w:space="0" w:color="auto"/>
              <w:right w:val="single" w:sz="6" w:space="0" w:color="auto"/>
            </w:tcBorders>
            <w:vAlign w:val="center"/>
          </w:tcPr>
          <w:p w14:paraId="6649AE60" w14:textId="77777777" w:rsidR="005A3DC8" w:rsidRDefault="005A3DC8" w:rsidP="008231B8">
            <w:pPr>
              <w:spacing w:line="240" w:lineRule="auto"/>
              <w:jc w:val="center"/>
              <w:rPr>
                <w:sz w:val="14"/>
                <w:szCs w:val="14"/>
                <w:lang w:val="en-GB"/>
              </w:rPr>
            </w:pPr>
            <w:r w:rsidRPr="000855B2">
              <w:rPr>
                <w:sz w:val="14"/>
                <w:szCs w:val="14"/>
                <w:lang w:val="en-GB"/>
              </w:rPr>
              <w:t>0.563</w:t>
            </w:r>
          </w:p>
        </w:tc>
        <w:tc>
          <w:tcPr>
            <w:tcW w:w="724" w:type="dxa"/>
            <w:tcBorders>
              <w:top w:val="single" w:sz="6" w:space="0" w:color="auto"/>
              <w:left w:val="single" w:sz="6" w:space="0" w:color="auto"/>
              <w:bottom w:val="single" w:sz="6" w:space="0" w:color="auto"/>
              <w:right w:val="single" w:sz="6" w:space="0" w:color="auto"/>
            </w:tcBorders>
            <w:vAlign w:val="center"/>
          </w:tcPr>
          <w:p w14:paraId="33B37EEE" w14:textId="77777777" w:rsidR="005A3DC8" w:rsidRDefault="005A3DC8" w:rsidP="008231B8">
            <w:pPr>
              <w:spacing w:line="240" w:lineRule="auto"/>
              <w:jc w:val="center"/>
              <w:rPr>
                <w:sz w:val="14"/>
                <w:szCs w:val="14"/>
                <w:lang w:val="en-GB"/>
              </w:rPr>
            </w:pPr>
            <w:r w:rsidRPr="000855B2">
              <w:rPr>
                <w:sz w:val="14"/>
                <w:szCs w:val="14"/>
                <w:lang w:val="en-GB"/>
              </w:rPr>
              <w:t>0.025</w:t>
            </w:r>
          </w:p>
        </w:tc>
        <w:tc>
          <w:tcPr>
            <w:tcW w:w="671" w:type="dxa"/>
            <w:tcBorders>
              <w:top w:val="single" w:sz="6" w:space="0" w:color="auto"/>
              <w:left w:val="single" w:sz="6" w:space="0" w:color="auto"/>
              <w:bottom w:val="single" w:sz="6" w:space="0" w:color="auto"/>
              <w:right w:val="single" w:sz="6" w:space="0" w:color="auto"/>
            </w:tcBorders>
            <w:vAlign w:val="center"/>
          </w:tcPr>
          <w:p w14:paraId="08193313" w14:textId="77777777" w:rsidR="005A3DC8" w:rsidRDefault="005A3DC8" w:rsidP="008231B8">
            <w:pPr>
              <w:spacing w:line="240" w:lineRule="auto"/>
              <w:jc w:val="center"/>
              <w:rPr>
                <w:sz w:val="14"/>
                <w:szCs w:val="14"/>
                <w:lang w:val="en-GB"/>
              </w:rPr>
            </w:pPr>
            <w:r w:rsidRPr="000855B2">
              <w:rPr>
                <w:sz w:val="14"/>
                <w:szCs w:val="14"/>
                <w:lang w:val="en-GB"/>
              </w:rPr>
              <w:t>0.0758</w:t>
            </w:r>
          </w:p>
        </w:tc>
        <w:tc>
          <w:tcPr>
            <w:tcW w:w="850" w:type="dxa"/>
            <w:tcBorders>
              <w:top w:val="single" w:sz="6" w:space="0" w:color="auto"/>
              <w:left w:val="single" w:sz="6" w:space="0" w:color="auto"/>
              <w:bottom w:val="single" w:sz="6" w:space="0" w:color="auto"/>
              <w:right w:val="single" w:sz="6" w:space="0" w:color="auto"/>
            </w:tcBorders>
            <w:vAlign w:val="center"/>
          </w:tcPr>
          <w:p w14:paraId="49C925BC"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44B9823A" w14:textId="77777777" w:rsidR="005A3DC8" w:rsidRDefault="005A3DC8" w:rsidP="008231B8">
            <w:pPr>
              <w:spacing w:line="240" w:lineRule="auto"/>
              <w:jc w:val="center"/>
              <w:rPr>
                <w:sz w:val="14"/>
                <w:szCs w:val="14"/>
                <w:lang w:val="en-GB"/>
              </w:rPr>
            </w:pPr>
            <w:r w:rsidRPr="000855B2">
              <w:rPr>
                <w:sz w:val="14"/>
                <w:szCs w:val="14"/>
                <w:lang w:val="en-GB"/>
              </w:rPr>
              <w:t>5.96E-01</w:t>
            </w:r>
          </w:p>
        </w:tc>
      </w:tr>
      <w:tr w:rsidR="005A3DC8" w:rsidRPr="000855B2" w14:paraId="23E8FD2E" w14:textId="77777777" w:rsidTr="00887829">
        <w:tc>
          <w:tcPr>
            <w:tcW w:w="1110" w:type="dxa"/>
            <w:vMerge/>
            <w:tcBorders>
              <w:left w:val="double" w:sz="4" w:space="0" w:color="auto"/>
              <w:right w:val="single" w:sz="6" w:space="0" w:color="auto"/>
            </w:tcBorders>
            <w:vAlign w:val="center"/>
          </w:tcPr>
          <w:p w14:paraId="0B3A262D"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0D7454B" w14:textId="77777777" w:rsidR="005A3DC8" w:rsidRDefault="005A3DC8" w:rsidP="00410789">
            <w:pPr>
              <w:spacing w:line="240" w:lineRule="auto"/>
              <w:rPr>
                <w:sz w:val="14"/>
                <w:szCs w:val="14"/>
                <w:lang w:val="en-GB"/>
              </w:rPr>
            </w:pPr>
            <w:r w:rsidRPr="000855B2">
              <w:rPr>
                <w:sz w:val="14"/>
                <w:szCs w:val="14"/>
                <w:lang w:val="en-GB"/>
              </w:rPr>
              <w:t>Euro 2 - 96/69/EEC</w:t>
            </w:r>
          </w:p>
        </w:tc>
        <w:tc>
          <w:tcPr>
            <w:tcW w:w="630" w:type="dxa"/>
            <w:tcBorders>
              <w:top w:val="single" w:sz="6" w:space="0" w:color="auto"/>
              <w:left w:val="single" w:sz="6" w:space="0" w:color="auto"/>
              <w:bottom w:val="single" w:sz="6" w:space="0" w:color="auto"/>
              <w:right w:val="single" w:sz="6" w:space="0" w:color="auto"/>
            </w:tcBorders>
            <w:vAlign w:val="center"/>
          </w:tcPr>
          <w:p w14:paraId="6D8A29E2" w14:textId="77777777" w:rsidR="005A3DC8" w:rsidRPr="000855B2" w:rsidRDefault="005A3DC8" w:rsidP="008231B8">
            <w:pPr>
              <w:spacing w:line="240" w:lineRule="auto"/>
              <w:jc w:val="center"/>
              <w:rPr>
                <w:sz w:val="14"/>
                <w:szCs w:val="14"/>
                <w:lang w:val="en-GB"/>
              </w:rPr>
            </w:pPr>
            <w:r w:rsidRPr="000855B2">
              <w:rPr>
                <w:sz w:val="14"/>
                <w:szCs w:val="14"/>
                <w:lang w:val="en-GB"/>
              </w:rPr>
              <w:t>5.89</w:t>
            </w:r>
          </w:p>
        </w:tc>
        <w:tc>
          <w:tcPr>
            <w:tcW w:w="810" w:type="dxa"/>
            <w:tcBorders>
              <w:top w:val="single" w:sz="6" w:space="0" w:color="auto"/>
              <w:left w:val="single" w:sz="6" w:space="0" w:color="auto"/>
              <w:bottom w:val="single" w:sz="6" w:space="0" w:color="auto"/>
              <w:right w:val="single" w:sz="6" w:space="0" w:color="auto"/>
            </w:tcBorders>
            <w:vAlign w:val="center"/>
          </w:tcPr>
          <w:p w14:paraId="6875A28F" w14:textId="77777777" w:rsidR="005A3DC8" w:rsidRDefault="005A3DC8" w:rsidP="008231B8">
            <w:pPr>
              <w:spacing w:line="240" w:lineRule="auto"/>
              <w:jc w:val="center"/>
              <w:rPr>
                <w:sz w:val="14"/>
                <w:szCs w:val="14"/>
                <w:lang w:val="en-GB"/>
              </w:rPr>
            </w:pPr>
            <w:r w:rsidRPr="000855B2">
              <w:rPr>
                <w:sz w:val="14"/>
                <w:szCs w:val="14"/>
                <w:lang w:val="en-GB"/>
              </w:rPr>
              <w:t>0.304</w:t>
            </w:r>
          </w:p>
        </w:tc>
        <w:tc>
          <w:tcPr>
            <w:tcW w:w="806" w:type="dxa"/>
            <w:tcBorders>
              <w:top w:val="single" w:sz="6" w:space="0" w:color="auto"/>
              <w:left w:val="single" w:sz="6" w:space="0" w:color="auto"/>
              <w:bottom w:val="single" w:sz="6" w:space="0" w:color="auto"/>
              <w:right w:val="single" w:sz="6" w:space="0" w:color="auto"/>
            </w:tcBorders>
            <w:vAlign w:val="center"/>
          </w:tcPr>
          <w:p w14:paraId="03EA31AD" w14:textId="77777777" w:rsidR="005A3DC8" w:rsidRDefault="005A3DC8" w:rsidP="008231B8">
            <w:pPr>
              <w:spacing w:line="240" w:lineRule="auto"/>
              <w:jc w:val="center"/>
              <w:rPr>
                <w:sz w:val="14"/>
                <w:szCs w:val="14"/>
                <w:lang w:val="en-GB"/>
              </w:rPr>
            </w:pPr>
            <w:r w:rsidRPr="000855B2">
              <w:rPr>
                <w:sz w:val="14"/>
                <w:szCs w:val="14"/>
                <w:lang w:val="en-GB"/>
              </w:rPr>
              <w:t>0.230</w:t>
            </w:r>
          </w:p>
        </w:tc>
        <w:tc>
          <w:tcPr>
            <w:tcW w:w="724" w:type="dxa"/>
            <w:tcBorders>
              <w:top w:val="single" w:sz="6" w:space="0" w:color="auto"/>
              <w:left w:val="single" w:sz="6" w:space="0" w:color="auto"/>
              <w:bottom w:val="single" w:sz="6" w:space="0" w:color="auto"/>
              <w:right w:val="single" w:sz="6" w:space="0" w:color="auto"/>
            </w:tcBorders>
            <w:vAlign w:val="center"/>
          </w:tcPr>
          <w:p w14:paraId="4A8078A3" w14:textId="77777777" w:rsidR="005A3DC8" w:rsidRDefault="005A3DC8" w:rsidP="008231B8">
            <w:pPr>
              <w:spacing w:line="240" w:lineRule="auto"/>
              <w:jc w:val="center"/>
              <w:rPr>
                <w:sz w:val="14"/>
                <w:szCs w:val="14"/>
                <w:lang w:val="en-GB"/>
              </w:rPr>
            </w:pPr>
            <w:r w:rsidRPr="000855B2">
              <w:rPr>
                <w:sz w:val="14"/>
                <w:szCs w:val="14"/>
                <w:lang w:val="en-GB"/>
              </w:rPr>
              <w:t>0.025</w:t>
            </w:r>
          </w:p>
        </w:tc>
        <w:tc>
          <w:tcPr>
            <w:tcW w:w="671" w:type="dxa"/>
            <w:tcBorders>
              <w:top w:val="single" w:sz="6" w:space="0" w:color="auto"/>
              <w:left w:val="single" w:sz="6" w:space="0" w:color="auto"/>
              <w:bottom w:val="single" w:sz="6" w:space="0" w:color="auto"/>
              <w:right w:val="single" w:sz="6" w:space="0" w:color="auto"/>
            </w:tcBorders>
            <w:vAlign w:val="center"/>
          </w:tcPr>
          <w:p w14:paraId="3DA0E74C" w14:textId="77777777" w:rsidR="005A3DC8" w:rsidRDefault="005A3DC8" w:rsidP="008231B8">
            <w:pPr>
              <w:spacing w:line="240" w:lineRule="auto"/>
              <w:jc w:val="center"/>
              <w:rPr>
                <w:sz w:val="14"/>
                <w:szCs w:val="14"/>
                <w:lang w:val="en-GB"/>
              </w:rPr>
            </w:pPr>
            <w:r w:rsidRPr="000855B2">
              <w:rPr>
                <w:sz w:val="14"/>
                <w:szCs w:val="14"/>
                <w:lang w:val="en-GB"/>
              </w:rPr>
              <w:t>0.0910</w:t>
            </w:r>
          </w:p>
        </w:tc>
        <w:tc>
          <w:tcPr>
            <w:tcW w:w="850" w:type="dxa"/>
            <w:tcBorders>
              <w:top w:val="single" w:sz="6" w:space="0" w:color="auto"/>
              <w:left w:val="single" w:sz="6" w:space="0" w:color="auto"/>
              <w:bottom w:val="single" w:sz="6" w:space="0" w:color="auto"/>
              <w:right w:val="single" w:sz="6" w:space="0" w:color="auto"/>
            </w:tcBorders>
            <w:vAlign w:val="center"/>
          </w:tcPr>
          <w:p w14:paraId="60D61F88"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118484D8" w14:textId="77777777" w:rsidR="005A3DC8" w:rsidRDefault="005A3DC8" w:rsidP="008231B8">
            <w:pPr>
              <w:spacing w:line="240" w:lineRule="auto"/>
              <w:jc w:val="center"/>
              <w:rPr>
                <w:sz w:val="14"/>
                <w:szCs w:val="14"/>
                <w:lang w:val="en-GB"/>
              </w:rPr>
            </w:pPr>
            <w:r w:rsidRPr="000855B2">
              <w:rPr>
                <w:sz w:val="14"/>
                <w:szCs w:val="14"/>
                <w:lang w:val="en-GB"/>
              </w:rPr>
              <w:t>5.30E-01</w:t>
            </w:r>
          </w:p>
        </w:tc>
      </w:tr>
      <w:tr w:rsidR="005A3DC8" w:rsidRPr="000855B2" w14:paraId="6313C360" w14:textId="77777777" w:rsidTr="00887829">
        <w:tc>
          <w:tcPr>
            <w:tcW w:w="1110" w:type="dxa"/>
            <w:vMerge/>
            <w:tcBorders>
              <w:left w:val="double" w:sz="4" w:space="0" w:color="auto"/>
              <w:right w:val="single" w:sz="6" w:space="0" w:color="auto"/>
            </w:tcBorders>
            <w:vAlign w:val="center"/>
          </w:tcPr>
          <w:p w14:paraId="3C4595B8"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48D7CAC" w14:textId="77777777" w:rsidR="005A3DC8" w:rsidRDefault="005A3DC8" w:rsidP="00410789">
            <w:pPr>
              <w:spacing w:line="240" w:lineRule="auto"/>
              <w:rPr>
                <w:sz w:val="14"/>
                <w:szCs w:val="14"/>
                <w:lang w:val="en-GB"/>
              </w:rPr>
            </w:pPr>
            <w:r w:rsidRPr="000855B2">
              <w:rPr>
                <w:sz w:val="14"/>
                <w:szCs w:val="14"/>
                <w:lang w:val="en-GB"/>
              </w:rPr>
              <w:t>Euro 3 - 98/69/EC I</w:t>
            </w:r>
          </w:p>
        </w:tc>
        <w:tc>
          <w:tcPr>
            <w:tcW w:w="630" w:type="dxa"/>
            <w:tcBorders>
              <w:top w:val="single" w:sz="6" w:space="0" w:color="auto"/>
              <w:left w:val="single" w:sz="6" w:space="0" w:color="auto"/>
              <w:bottom w:val="single" w:sz="6" w:space="0" w:color="auto"/>
              <w:right w:val="single" w:sz="6" w:space="0" w:color="auto"/>
            </w:tcBorders>
            <w:vAlign w:val="center"/>
          </w:tcPr>
          <w:p w14:paraId="52F4C19A" w14:textId="77777777" w:rsidR="005A3DC8" w:rsidRPr="000855B2" w:rsidRDefault="005A3DC8" w:rsidP="008231B8">
            <w:pPr>
              <w:spacing w:line="240" w:lineRule="auto"/>
              <w:jc w:val="center"/>
              <w:rPr>
                <w:sz w:val="14"/>
                <w:szCs w:val="14"/>
                <w:lang w:val="en-GB"/>
              </w:rPr>
            </w:pPr>
            <w:r w:rsidRPr="000855B2">
              <w:rPr>
                <w:sz w:val="14"/>
                <w:szCs w:val="14"/>
                <w:lang w:val="en-GB"/>
              </w:rPr>
              <w:t>5.05</w:t>
            </w:r>
          </w:p>
        </w:tc>
        <w:tc>
          <w:tcPr>
            <w:tcW w:w="810" w:type="dxa"/>
            <w:tcBorders>
              <w:top w:val="single" w:sz="6" w:space="0" w:color="auto"/>
              <w:left w:val="single" w:sz="6" w:space="0" w:color="auto"/>
              <w:bottom w:val="single" w:sz="6" w:space="0" w:color="auto"/>
              <w:right w:val="single" w:sz="6" w:space="0" w:color="auto"/>
            </w:tcBorders>
            <w:vAlign w:val="center"/>
          </w:tcPr>
          <w:p w14:paraId="12B41919" w14:textId="77777777" w:rsidR="005A3DC8" w:rsidRDefault="005A3DC8" w:rsidP="008231B8">
            <w:pPr>
              <w:spacing w:line="240" w:lineRule="auto"/>
              <w:jc w:val="center"/>
              <w:rPr>
                <w:sz w:val="14"/>
                <w:szCs w:val="14"/>
                <w:lang w:val="en-GB"/>
              </w:rPr>
            </w:pPr>
            <w:r w:rsidRPr="000855B2">
              <w:rPr>
                <w:sz w:val="14"/>
                <w:szCs w:val="14"/>
                <w:lang w:val="en-GB"/>
              </w:rPr>
              <w:t>0.189</w:t>
            </w:r>
          </w:p>
        </w:tc>
        <w:tc>
          <w:tcPr>
            <w:tcW w:w="806" w:type="dxa"/>
            <w:tcBorders>
              <w:top w:val="single" w:sz="6" w:space="0" w:color="auto"/>
              <w:left w:val="single" w:sz="6" w:space="0" w:color="auto"/>
              <w:bottom w:val="single" w:sz="6" w:space="0" w:color="auto"/>
              <w:right w:val="single" w:sz="6" w:space="0" w:color="auto"/>
            </w:tcBorders>
            <w:vAlign w:val="center"/>
          </w:tcPr>
          <w:p w14:paraId="223399FE" w14:textId="77777777" w:rsidR="005A3DC8" w:rsidRDefault="005A3DC8" w:rsidP="008231B8">
            <w:pPr>
              <w:spacing w:line="240" w:lineRule="auto"/>
              <w:jc w:val="center"/>
              <w:rPr>
                <w:sz w:val="14"/>
                <w:szCs w:val="14"/>
                <w:lang w:val="en-GB"/>
              </w:rPr>
            </w:pPr>
            <w:r w:rsidRPr="000855B2">
              <w:rPr>
                <w:sz w:val="14"/>
                <w:szCs w:val="14"/>
                <w:lang w:val="en-GB"/>
              </w:rPr>
              <w:t>0.129</w:t>
            </w:r>
          </w:p>
        </w:tc>
        <w:tc>
          <w:tcPr>
            <w:tcW w:w="724" w:type="dxa"/>
            <w:tcBorders>
              <w:top w:val="single" w:sz="6" w:space="0" w:color="auto"/>
              <w:left w:val="single" w:sz="6" w:space="0" w:color="auto"/>
              <w:bottom w:val="single" w:sz="6" w:space="0" w:color="auto"/>
              <w:right w:val="single" w:sz="6" w:space="0" w:color="auto"/>
            </w:tcBorders>
            <w:vAlign w:val="center"/>
          </w:tcPr>
          <w:p w14:paraId="30A76ACF" w14:textId="77777777" w:rsidR="005A3DC8" w:rsidRDefault="005A3DC8" w:rsidP="008231B8">
            <w:pPr>
              <w:spacing w:line="240" w:lineRule="auto"/>
              <w:jc w:val="center"/>
              <w:rPr>
                <w:sz w:val="14"/>
                <w:szCs w:val="14"/>
                <w:lang w:val="en-GB"/>
              </w:rPr>
            </w:pPr>
            <w:r w:rsidRPr="000855B2">
              <w:rPr>
                <w:sz w:val="14"/>
                <w:szCs w:val="14"/>
                <w:lang w:val="en-GB"/>
              </w:rPr>
              <w:t>0.028</w:t>
            </w:r>
          </w:p>
        </w:tc>
        <w:tc>
          <w:tcPr>
            <w:tcW w:w="671" w:type="dxa"/>
            <w:tcBorders>
              <w:top w:val="single" w:sz="6" w:space="0" w:color="auto"/>
              <w:left w:val="single" w:sz="6" w:space="0" w:color="auto"/>
              <w:bottom w:val="single" w:sz="6" w:space="0" w:color="auto"/>
              <w:right w:val="single" w:sz="6" w:space="0" w:color="auto"/>
            </w:tcBorders>
            <w:vAlign w:val="center"/>
          </w:tcPr>
          <w:p w14:paraId="21B95042" w14:textId="77777777" w:rsidR="005A3DC8" w:rsidRDefault="005A3DC8" w:rsidP="008231B8">
            <w:pPr>
              <w:spacing w:line="240" w:lineRule="auto"/>
              <w:jc w:val="center"/>
              <w:rPr>
                <w:sz w:val="14"/>
                <w:szCs w:val="14"/>
                <w:lang w:val="en-GB"/>
              </w:rPr>
            </w:pPr>
            <w:r w:rsidRPr="000855B2">
              <w:rPr>
                <w:sz w:val="14"/>
                <w:szCs w:val="14"/>
                <w:lang w:val="en-GB"/>
              </w:rPr>
              <w:t>0.0302</w:t>
            </w:r>
          </w:p>
        </w:tc>
        <w:tc>
          <w:tcPr>
            <w:tcW w:w="850" w:type="dxa"/>
            <w:tcBorders>
              <w:top w:val="single" w:sz="6" w:space="0" w:color="auto"/>
              <w:left w:val="single" w:sz="6" w:space="0" w:color="auto"/>
              <w:bottom w:val="single" w:sz="6" w:space="0" w:color="auto"/>
              <w:right w:val="single" w:sz="6" w:space="0" w:color="auto"/>
            </w:tcBorders>
            <w:vAlign w:val="center"/>
          </w:tcPr>
          <w:p w14:paraId="5D48AB46"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47DF7837" w14:textId="77777777" w:rsidR="005A3DC8" w:rsidRDefault="005A3DC8" w:rsidP="008231B8">
            <w:pPr>
              <w:spacing w:line="240" w:lineRule="auto"/>
              <w:jc w:val="center"/>
              <w:rPr>
                <w:sz w:val="14"/>
                <w:szCs w:val="14"/>
                <w:lang w:val="en-GB"/>
              </w:rPr>
            </w:pPr>
            <w:r w:rsidRPr="000855B2">
              <w:rPr>
                <w:sz w:val="14"/>
                <w:szCs w:val="14"/>
                <w:lang w:val="en-GB"/>
              </w:rPr>
              <w:t>4.64E-01</w:t>
            </w:r>
          </w:p>
        </w:tc>
      </w:tr>
      <w:tr w:rsidR="005A3DC8" w:rsidRPr="000855B2" w14:paraId="29A47C93" w14:textId="77777777" w:rsidTr="00887829">
        <w:tc>
          <w:tcPr>
            <w:tcW w:w="1110" w:type="dxa"/>
            <w:vMerge/>
            <w:tcBorders>
              <w:left w:val="double" w:sz="4" w:space="0" w:color="auto"/>
              <w:right w:val="single" w:sz="6" w:space="0" w:color="auto"/>
            </w:tcBorders>
            <w:vAlign w:val="center"/>
          </w:tcPr>
          <w:p w14:paraId="083B1B36"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E8F9838" w14:textId="77777777" w:rsidR="005A3DC8" w:rsidRDefault="005A3DC8" w:rsidP="00410789">
            <w:pPr>
              <w:spacing w:line="240" w:lineRule="auto"/>
              <w:rPr>
                <w:sz w:val="14"/>
                <w:szCs w:val="14"/>
                <w:lang w:val="en-GB"/>
              </w:rPr>
            </w:pPr>
            <w:r w:rsidRPr="000855B2">
              <w:rPr>
                <w:sz w:val="14"/>
                <w:szCs w:val="14"/>
                <w:lang w:val="en-GB"/>
              </w:rPr>
              <w:t>Euro 4 - 98/69/EC II</w:t>
            </w:r>
          </w:p>
        </w:tc>
        <w:tc>
          <w:tcPr>
            <w:tcW w:w="630" w:type="dxa"/>
            <w:tcBorders>
              <w:top w:val="single" w:sz="6" w:space="0" w:color="auto"/>
              <w:left w:val="single" w:sz="6" w:space="0" w:color="auto"/>
              <w:bottom w:val="single" w:sz="6" w:space="0" w:color="auto"/>
              <w:right w:val="single" w:sz="6" w:space="0" w:color="auto"/>
            </w:tcBorders>
            <w:vAlign w:val="center"/>
          </w:tcPr>
          <w:p w14:paraId="45CF7FA0" w14:textId="77777777" w:rsidR="005A3DC8" w:rsidRPr="000855B2" w:rsidRDefault="005A3DC8" w:rsidP="008231B8">
            <w:pPr>
              <w:spacing w:line="240" w:lineRule="auto"/>
              <w:jc w:val="center"/>
              <w:rPr>
                <w:sz w:val="14"/>
                <w:szCs w:val="14"/>
                <w:lang w:val="en-GB"/>
              </w:rPr>
            </w:pPr>
            <w:r w:rsidRPr="000855B2">
              <w:rPr>
                <w:sz w:val="14"/>
                <w:szCs w:val="14"/>
                <w:lang w:val="en-GB"/>
              </w:rPr>
              <w:t>2.01</w:t>
            </w:r>
          </w:p>
        </w:tc>
        <w:tc>
          <w:tcPr>
            <w:tcW w:w="810" w:type="dxa"/>
            <w:tcBorders>
              <w:top w:val="single" w:sz="6" w:space="0" w:color="auto"/>
              <w:left w:val="single" w:sz="6" w:space="0" w:color="auto"/>
              <w:bottom w:val="single" w:sz="6" w:space="0" w:color="auto"/>
              <w:right w:val="single" w:sz="6" w:space="0" w:color="auto"/>
            </w:tcBorders>
            <w:vAlign w:val="center"/>
          </w:tcPr>
          <w:p w14:paraId="445FEA73" w14:textId="77777777" w:rsidR="005A3DC8" w:rsidRDefault="005A3DC8" w:rsidP="008231B8">
            <w:pPr>
              <w:spacing w:line="240" w:lineRule="auto"/>
              <w:jc w:val="center"/>
              <w:rPr>
                <w:sz w:val="14"/>
                <w:szCs w:val="14"/>
                <w:lang w:val="en-GB"/>
              </w:rPr>
            </w:pPr>
            <w:r w:rsidRPr="000855B2">
              <w:rPr>
                <w:sz w:val="14"/>
                <w:szCs w:val="14"/>
                <w:lang w:val="en-GB"/>
              </w:rPr>
              <w:t>0.128</w:t>
            </w:r>
          </w:p>
        </w:tc>
        <w:tc>
          <w:tcPr>
            <w:tcW w:w="806" w:type="dxa"/>
            <w:tcBorders>
              <w:top w:val="single" w:sz="6" w:space="0" w:color="auto"/>
              <w:left w:val="single" w:sz="6" w:space="0" w:color="auto"/>
              <w:bottom w:val="single" w:sz="6" w:space="0" w:color="auto"/>
              <w:right w:val="single" w:sz="6" w:space="0" w:color="auto"/>
            </w:tcBorders>
            <w:vAlign w:val="center"/>
          </w:tcPr>
          <w:p w14:paraId="2EB22900" w14:textId="77777777" w:rsidR="005A3DC8" w:rsidRDefault="005A3DC8" w:rsidP="008231B8">
            <w:pPr>
              <w:spacing w:line="240" w:lineRule="auto"/>
              <w:jc w:val="center"/>
              <w:rPr>
                <w:sz w:val="14"/>
                <w:szCs w:val="14"/>
                <w:lang w:val="en-GB"/>
              </w:rPr>
            </w:pPr>
            <w:r w:rsidRPr="00777C4F">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03DBBC12" w14:textId="77777777" w:rsidR="005A3DC8" w:rsidRDefault="005A3DC8" w:rsidP="008231B8">
            <w:pPr>
              <w:spacing w:line="240" w:lineRule="auto"/>
              <w:jc w:val="center"/>
              <w:rPr>
                <w:sz w:val="14"/>
                <w:szCs w:val="14"/>
                <w:lang w:val="en-GB"/>
              </w:rPr>
            </w:pPr>
            <w:r>
              <w:rPr>
                <w:sz w:val="14"/>
                <w:szCs w:val="14"/>
                <w:lang w:val="en-GB"/>
              </w:rPr>
              <w:t>0.013</w:t>
            </w:r>
          </w:p>
        </w:tc>
        <w:tc>
          <w:tcPr>
            <w:tcW w:w="671" w:type="dxa"/>
            <w:tcBorders>
              <w:top w:val="single" w:sz="6" w:space="0" w:color="auto"/>
              <w:left w:val="single" w:sz="6" w:space="0" w:color="auto"/>
              <w:bottom w:val="single" w:sz="6" w:space="0" w:color="auto"/>
              <w:right w:val="single" w:sz="6" w:space="0" w:color="auto"/>
            </w:tcBorders>
            <w:vAlign w:val="center"/>
          </w:tcPr>
          <w:p w14:paraId="1FCAB491" w14:textId="77777777" w:rsidR="005A3DC8" w:rsidRDefault="005A3DC8" w:rsidP="008231B8">
            <w:pPr>
              <w:spacing w:line="240" w:lineRule="auto"/>
              <w:jc w:val="center"/>
              <w:rPr>
                <w:sz w:val="14"/>
                <w:szCs w:val="14"/>
                <w:lang w:val="en-GB"/>
              </w:rPr>
            </w:pPr>
            <w:r w:rsidRPr="000855B2">
              <w:rPr>
                <w:sz w:val="14"/>
                <w:szCs w:val="14"/>
                <w:lang w:val="en-GB"/>
              </w:rPr>
              <w:t>0.0302</w:t>
            </w:r>
          </w:p>
        </w:tc>
        <w:tc>
          <w:tcPr>
            <w:tcW w:w="850" w:type="dxa"/>
            <w:tcBorders>
              <w:top w:val="single" w:sz="6" w:space="0" w:color="auto"/>
              <w:left w:val="single" w:sz="6" w:space="0" w:color="auto"/>
              <w:bottom w:val="single" w:sz="6" w:space="0" w:color="auto"/>
              <w:right w:val="single" w:sz="6" w:space="0" w:color="auto"/>
            </w:tcBorders>
            <w:vAlign w:val="center"/>
          </w:tcPr>
          <w:p w14:paraId="3E7DD0BA"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7BBD564B"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15904FF1" w14:textId="77777777" w:rsidTr="00887829">
        <w:tc>
          <w:tcPr>
            <w:tcW w:w="1110" w:type="dxa"/>
            <w:vMerge/>
            <w:tcBorders>
              <w:left w:val="double" w:sz="4" w:space="0" w:color="auto"/>
              <w:right w:val="single" w:sz="6" w:space="0" w:color="auto"/>
            </w:tcBorders>
            <w:vAlign w:val="center"/>
          </w:tcPr>
          <w:p w14:paraId="264BDAA9"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47105545" w14:textId="77777777" w:rsidR="005A3DC8" w:rsidRDefault="005A3DC8" w:rsidP="00410789">
            <w:pPr>
              <w:spacing w:line="240" w:lineRule="auto"/>
              <w:rPr>
                <w:sz w:val="14"/>
                <w:szCs w:val="14"/>
                <w:lang w:val="en-GB"/>
              </w:rPr>
            </w:pPr>
            <w:r w:rsidRPr="000855B2">
              <w:rPr>
                <w:color w:val="000000"/>
                <w:sz w:val="14"/>
                <w:szCs w:val="14"/>
                <w:lang w:val="en-GB"/>
              </w:rPr>
              <w:t>Euro 5 – EC 715/2007</w:t>
            </w:r>
          </w:p>
        </w:tc>
        <w:tc>
          <w:tcPr>
            <w:tcW w:w="630" w:type="dxa"/>
            <w:tcBorders>
              <w:top w:val="single" w:sz="6" w:space="0" w:color="auto"/>
              <w:left w:val="single" w:sz="6" w:space="0" w:color="auto"/>
              <w:bottom w:val="single" w:sz="6" w:space="0" w:color="auto"/>
              <w:right w:val="single" w:sz="6" w:space="0" w:color="auto"/>
            </w:tcBorders>
            <w:vAlign w:val="center"/>
          </w:tcPr>
          <w:p w14:paraId="58A403AB" w14:textId="77777777" w:rsidR="005A3DC8" w:rsidRPr="000855B2" w:rsidRDefault="005A3DC8" w:rsidP="008231B8">
            <w:pPr>
              <w:spacing w:line="240" w:lineRule="auto"/>
              <w:jc w:val="center"/>
              <w:rPr>
                <w:sz w:val="14"/>
                <w:szCs w:val="14"/>
                <w:lang w:val="en-GB"/>
              </w:rPr>
            </w:pPr>
            <w:r w:rsidRPr="000855B2">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272D9B87" w14:textId="77777777" w:rsidR="005A3DC8" w:rsidRDefault="005A3DC8" w:rsidP="008231B8">
            <w:pPr>
              <w:spacing w:line="240" w:lineRule="auto"/>
              <w:jc w:val="center"/>
              <w:rPr>
                <w:sz w:val="14"/>
                <w:szCs w:val="14"/>
                <w:lang w:val="en-GB"/>
              </w:rPr>
            </w:pPr>
            <w:r w:rsidRPr="000855B2">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1BB44CCE" w14:textId="77777777" w:rsidR="005A3DC8" w:rsidRDefault="005A3DC8" w:rsidP="008231B8">
            <w:pPr>
              <w:spacing w:line="240" w:lineRule="auto"/>
              <w:jc w:val="center"/>
              <w:rPr>
                <w:sz w:val="14"/>
                <w:szCs w:val="14"/>
                <w:lang w:val="en-GB"/>
              </w:rPr>
            </w:pPr>
            <w:r w:rsidRPr="00777C4F">
              <w:rPr>
                <w:sz w:val="14"/>
                <w:szCs w:val="14"/>
                <w:lang w:val="en-GB"/>
              </w:rPr>
              <w:t>0.0</w:t>
            </w:r>
            <w:r>
              <w:rPr>
                <w:sz w:val="14"/>
                <w:szCs w:val="14"/>
                <w:lang w:val="en-GB"/>
              </w:rPr>
              <w:t>64</w:t>
            </w:r>
          </w:p>
        </w:tc>
        <w:tc>
          <w:tcPr>
            <w:tcW w:w="724" w:type="dxa"/>
            <w:tcBorders>
              <w:top w:val="single" w:sz="6" w:space="0" w:color="auto"/>
              <w:left w:val="single" w:sz="6" w:space="0" w:color="auto"/>
              <w:bottom w:val="single" w:sz="6" w:space="0" w:color="auto"/>
              <w:right w:val="single" w:sz="6" w:space="0" w:color="auto"/>
            </w:tcBorders>
            <w:vAlign w:val="center"/>
          </w:tcPr>
          <w:p w14:paraId="6EF34E9A"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071B6D00"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423140A3"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76898A6C"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37193A46" w14:textId="77777777" w:rsidTr="00887829">
        <w:tc>
          <w:tcPr>
            <w:tcW w:w="1110" w:type="dxa"/>
            <w:vMerge/>
            <w:tcBorders>
              <w:left w:val="double" w:sz="4" w:space="0" w:color="auto"/>
              <w:right w:val="single" w:sz="6" w:space="0" w:color="auto"/>
            </w:tcBorders>
            <w:vAlign w:val="center"/>
          </w:tcPr>
          <w:p w14:paraId="5C578A05"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2556C7DF" w14:textId="77777777" w:rsidR="005A3DC8" w:rsidRPr="00FC6D86" w:rsidRDefault="005A3DC8" w:rsidP="00410789">
            <w:pPr>
              <w:spacing w:line="240" w:lineRule="auto"/>
              <w:rPr>
                <w:sz w:val="14"/>
                <w:szCs w:val="14"/>
                <w:lang w:val="en-GB"/>
              </w:rPr>
            </w:pPr>
            <w:r w:rsidRPr="00FC6D86">
              <w:rPr>
                <w:color w:val="000000"/>
                <w:sz w:val="14"/>
                <w:szCs w:val="14"/>
                <w:lang w:val="en-GB"/>
              </w:rPr>
              <w:t>Euro 6 up to 2017</w:t>
            </w:r>
          </w:p>
        </w:tc>
        <w:tc>
          <w:tcPr>
            <w:tcW w:w="630" w:type="dxa"/>
            <w:tcBorders>
              <w:top w:val="single" w:sz="6" w:space="0" w:color="auto"/>
              <w:left w:val="single" w:sz="6" w:space="0" w:color="auto"/>
              <w:bottom w:val="single" w:sz="6" w:space="0" w:color="auto"/>
              <w:right w:val="single" w:sz="6" w:space="0" w:color="auto"/>
            </w:tcBorders>
            <w:vAlign w:val="center"/>
          </w:tcPr>
          <w:p w14:paraId="0D3E78A0" w14:textId="77777777" w:rsidR="005A3DC8" w:rsidRPr="00FC6D86" w:rsidRDefault="005A3DC8" w:rsidP="008231B8">
            <w:pPr>
              <w:spacing w:line="240" w:lineRule="auto"/>
              <w:jc w:val="center"/>
              <w:rPr>
                <w:sz w:val="14"/>
                <w:szCs w:val="14"/>
                <w:lang w:val="en-GB"/>
              </w:rPr>
            </w:pPr>
            <w:r w:rsidRPr="00FC6D86">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30A657F6" w14:textId="77777777" w:rsidR="005A3DC8" w:rsidRPr="00FC6D86" w:rsidRDefault="005A3DC8" w:rsidP="008231B8">
            <w:pPr>
              <w:spacing w:line="240" w:lineRule="auto"/>
              <w:jc w:val="center"/>
              <w:rPr>
                <w:sz w:val="14"/>
                <w:szCs w:val="14"/>
                <w:lang w:val="en-GB"/>
              </w:rPr>
            </w:pPr>
            <w:r w:rsidRPr="00FC6D86">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788936EE" w14:textId="77777777" w:rsidR="005A3DC8" w:rsidRPr="00FC6D86" w:rsidRDefault="005A3DC8" w:rsidP="008231B8">
            <w:pPr>
              <w:spacing w:line="240" w:lineRule="auto"/>
              <w:jc w:val="center"/>
              <w:rPr>
                <w:sz w:val="14"/>
                <w:szCs w:val="14"/>
                <w:lang w:val="en-GB"/>
              </w:rPr>
            </w:pPr>
            <w:r w:rsidRPr="00FC6D86">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430D3C00"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6DC3A96F"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0647F493"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117E5896"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38660409" w14:textId="77777777" w:rsidTr="00887829">
        <w:tc>
          <w:tcPr>
            <w:tcW w:w="1110" w:type="dxa"/>
            <w:vMerge/>
            <w:tcBorders>
              <w:left w:val="double" w:sz="4" w:space="0" w:color="auto"/>
              <w:right w:val="single" w:sz="6" w:space="0" w:color="auto"/>
            </w:tcBorders>
            <w:vAlign w:val="center"/>
          </w:tcPr>
          <w:p w14:paraId="5DDD69B7"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122D8CF7" w14:textId="77777777" w:rsidR="005A3DC8" w:rsidRPr="00FC6D86" w:rsidRDefault="005A3DC8" w:rsidP="00410789">
            <w:pPr>
              <w:spacing w:line="240" w:lineRule="auto"/>
              <w:rPr>
                <w:sz w:val="14"/>
                <w:szCs w:val="14"/>
                <w:lang w:val="en-GB"/>
              </w:rPr>
            </w:pPr>
            <w:r w:rsidRPr="00FC6D86">
              <w:rPr>
                <w:color w:val="000000"/>
                <w:sz w:val="14"/>
                <w:szCs w:val="14"/>
                <w:lang w:val="en-GB"/>
              </w:rPr>
              <w:t>Euro 6 2018-2020</w:t>
            </w:r>
          </w:p>
        </w:tc>
        <w:tc>
          <w:tcPr>
            <w:tcW w:w="630" w:type="dxa"/>
            <w:tcBorders>
              <w:top w:val="single" w:sz="6" w:space="0" w:color="auto"/>
              <w:left w:val="single" w:sz="6" w:space="0" w:color="auto"/>
              <w:bottom w:val="single" w:sz="6" w:space="0" w:color="auto"/>
              <w:right w:val="single" w:sz="6" w:space="0" w:color="auto"/>
            </w:tcBorders>
            <w:vAlign w:val="center"/>
          </w:tcPr>
          <w:p w14:paraId="7885A064" w14:textId="77777777" w:rsidR="005A3DC8" w:rsidRPr="00FC6D86" w:rsidRDefault="005A3DC8" w:rsidP="008231B8">
            <w:pPr>
              <w:spacing w:line="240" w:lineRule="auto"/>
              <w:jc w:val="center"/>
              <w:rPr>
                <w:sz w:val="14"/>
                <w:szCs w:val="14"/>
                <w:lang w:val="en-GB"/>
              </w:rPr>
            </w:pPr>
            <w:r w:rsidRPr="00FC6D86">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3967132A" w14:textId="77777777" w:rsidR="005A3DC8" w:rsidRPr="00FC6D86" w:rsidRDefault="005A3DC8" w:rsidP="008231B8">
            <w:pPr>
              <w:spacing w:line="240" w:lineRule="auto"/>
              <w:jc w:val="center"/>
              <w:rPr>
                <w:sz w:val="14"/>
                <w:szCs w:val="14"/>
                <w:lang w:val="en-GB"/>
              </w:rPr>
            </w:pPr>
            <w:r w:rsidRPr="00FC6D86">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42570F65" w14:textId="77777777" w:rsidR="005A3DC8" w:rsidRPr="00FC6D86" w:rsidRDefault="005A3DC8" w:rsidP="008231B8">
            <w:pPr>
              <w:spacing w:line="240" w:lineRule="auto"/>
              <w:jc w:val="center"/>
              <w:rPr>
                <w:sz w:val="14"/>
                <w:szCs w:val="14"/>
                <w:lang w:val="en-GB"/>
              </w:rPr>
            </w:pPr>
            <w:r w:rsidRPr="00FC6D86">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20F66711"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27DCB4B2"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590CC902"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5A884258"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73E0CCA5" w14:textId="77777777" w:rsidTr="00887829">
        <w:tc>
          <w:tcPr>
            <w:tcW w:w="1110" w:type="dxa"/>
            <w:vMerge/>
            <w:tcBorders>
              <w:left w:val="double" w:sz="4" w:space="0" w:color="auto"/>
              <w:bottom w:val="single" w:sz="6" w:space="0" w:color="auto"/>
              <w:right w:val="single" w:sz="6" w:space="0" w:color="auto"/>
            </w:tcBorders>
            <w:vAlign w:val="center"/>
          </w:tcPr>
          <w:p w14:paraId="3CB58D7C" w14:textId="77777777" w:rsidR="005A3DC8" w:rsidRDefault="005A3DC8" w:rsidP="0000485C">
            <w:pPr>
              <w:spacing w:line="240" w:lineRule="auto"/>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1C019B13" w14:textId="77777777" w:rsidR="005A3DC8" w:rsidRPr="00FC6D86" w:rsidRDefault="005A3DC8" w:rsidP="00410789">
            <w:pPr>
              <w:spacing w:line="240" w:lineRule="auto"/>
              <w:rPr>
                <w:sz w:val="14"/>
                <w:szCs w:val="14"/>
                <w:lang w:val="en-GB"/>
              </w:rPr>
            </w:pPr>
            <w:r w:rsidRPr="00FC6D86">
              <w:rPr>
                <w:color w:val="000000"/>
                <w:sz w:val="14"/>
                <w:szCs w:val="14"/>
                <w:lang w:val="en-GB"/>
              </w:rPr>
              <w:t>Euro 6 2021+</w:t>
            </w:r>
          </w:p>
        </w:tc>
        <w:tc>
          <w:tcPr>
            <w:tcW w:w="630" w:type="dxa"/>
            <w:tcBorders>
              <w:top w:val="single" w:sz="6" w:space="0" w:color="auto"/>
              <w:left w:val="single" w:sz="6" w:space="0" w:color="auto"/>
              <w:bottom w:val="single" w:sz="6" w:space="0" w:color="auto"/>
              <w:right w:val="single" w:sz="6" w:space="0" w:color="auto"/>
            </w:tcBorders>
            <w:vAlign w:val="center"/>
          </w:tcPr>
          <w:p w14:paraId="04A6F741" w14:textId="77777777" w:rsidR="005A3DC8" w:rsidRPr="00FC6D86" w:rsidRDefault="005A3DC8" w:rsidP="008231B8">
            <w:pPr>
              <w:spacing w:line="240" w:lineRule="auto"/>
              <w:jc w:val="center"/>
              <w:rPr>
                <w:sz w:val="14"/>
                <w:szCs w:val="14"/>
                <w:lang w:val="en-GB"/>
              </w:rPr>
            </w:pPr>
            <w:r w:rsidRPr="00FC6D86">
              <w:rPr>
                <w:sz w:val="14"/>
                <w:szCs w:val="14"/>
                <w:lang w:val="en-GB"/>
              </w:rPr>
              <w:t>1.30</w:t>
            </w:r>
          </w:p>
        </w:tc>
        <w:tc>
          <w:tcPr>
            <w:tcW w:w="810" w:type="dxa"/>
            <w:tcBorders>
              <w:top w:val="single" w:sz="6" w:space="0" w:color="auto"/>
              <w:left w:val="single" w:sz="6" w:space="0" w:color="auto"/>
              <w:bottom w:val="single" w:sz="6" w:space="0" w:color="auto"/>
              <w:right w:val="single" w:sz="6" w:space="0" w:color="auto"/>
            </w:tcBorders>
            <w:vAlign w:val="center"/>
          </w:tcPr>
          <w:p w14:paraId="146839CE" w14:textId="77777777" w:rsidR="005A3DC8" w:rsidRPr="00FC6D86" w:rsidRDefault="005A3DC8" w:rsidP="008231B8">
            <w:pPr>
              <w:spacing w:line="240" w:lineRule="auto"/>
              <w:jc w:val="center"/>
              <w:rPr>
                <w:sz w:val="14"/>
                <w:szCs w:val="14"/>
                <w:lang w:val="en-GB"/>
              </w:rPr>
            </w:pPr>
            <w:r w:rsidRPr="00FC6D86">
              <w:rPr>
                <w:sz w:val="14"/>
                <w:szCs w:val="14"/>
                <w:lang w:val="en-GB"/>
              </w:rPr>
              <w:t>0.096</w:t>
            </w:r>
          </w:p>
        </w:tc>
        <w:tc>
          <w:tcPr>
            <w:tcW w:w="806" w:type="dxa"/>
            <w:tcBorders>
              <w:top w:val="single" w:sz="6" w:space="0" w:color="auto"/>
              <w:left w:val="single" w:sz="6" w:space="0" w:color="auto"/>
              <w:bottom w:val="single" w:sz="6" w:space="0" w:color="auto"/>
              <w:right w:val="single" w:sz="6" w:space="0" w:color="auto"/>
            </w:tcBorders>
            <w:vAlign w:val="center"/>
          </w:tcPr>
          <w:p w14:paraId="7D7E485B" w14:textId="77777777" w:rsidR="005A3DC8" w:rsidRPr="00FC6D86" w:rsidRDefault="005A3DC8" w:rsidP="008231B8">
            <w:pPr>
              <w:spacing w:line="240" w:lineRule="auto"/>
              <w:jc w:val="center"/>
              <w:rPr>
                <w:sz w:val="14"/>
                <w:szCs w:val="14"/>
                <w:lang w:val="en-GB"/>
              </w:rPr>
            </w:pPr>
            <w:r w:rsidRPr="00FC6D86">
              <w:rPr>
                <w:sz w:val="14"/>
                <w:szCs w:val="14"/>
                <w:lang w:val="en-GB"/>
              </w:rPr>
              <w:t>0.064</w:t>
            </w:r>
          </w:p>
        </w:tc>
        <w:tc>
          <w:tcPr>
            <w:tcW w:w="724" w:type="dxa"/>
            <w:tcBorders>
              <w:top w:val="single" w:sz="6" w:space="0" w:color="auto"/>
              <w:left w:val="single" w:sz="6" w:space="0" w:color="auto"/>
              <w:bottom w:val="single" w:sz="6" w:space="0" w:color="auto"/>
              <w:right w:val="single" w:sz="6" w:space="0" w:color="auto"/>
            </w:tcBorders>
            <w:vAlign w:val="center"/>
          </w:tcPr>
          <w:p w14:paraId="70AAD7EC" w14:textId="77777777" w:rsidR="005A3DC8" w:rsidRDefault="005A3DC8" w:rsidP="008231B8">
            <w:pPr>
              <w:spacing w:line="240" w:lineRule="auto"/>
              <w:jc w:val="center"/>
              <w:rPr>
                <w:sz w:val="14"/>
                <w:szCs w:val="14"/>
                <w:lang w:val="en-GB"/>
              </w:rPr>
            </w:pPr>
            <w:r>
              <w:rPr>
                <w:sz w:val="14"/>
                <w:szCs w:val="14"/>
                <w:lang w:val="en-GB"/>
              </w:rPr>
              <w:t>0.0013</w:t>
            </w:r>
          </w:p>
        </w:tc>
        <w:tc>
          <w:tcPr>
            <w:tcW w:w="671" w:type="dxa"/>
            <w:tcBorders>
              <w:top w:val="single" w:sz="6" w:space="0" w:color="auto"/>
              <w:left w:val="single" w:sz="6" w:space="0" w:color="auto"/>
              <w:bottom w:val="single" w:sz="6" w:space="0" w:color="auto"/>
              <w:right w:val="single" w:sz="6" w:space="0" w:color="auto"/>
            </w:tcBorders>
            <w:vAlign w:val="center"/>
          </w:tcPr>
          <w:p w14:paraId="652A6527" w14:textId="77777777" w:rsidR="005A3DC8" w:rsidRDefault="005A3DC8" w:rsidP="008231B8">
            <w:pPr>
              <w:spacing w:line="240" w:lineRule="auto"/>
              <w:jc w:val="center"/>
              <w:rPr>
                <w:sz w:val="14"/>
                <w:szCs w:val="14"/>
                <w:lang w:val="en-GB"/>
              </w:rPr>
            </w:pPr>
            <w:r w:rsidRPr="000855B2">
              <w:rPr>
                <w:sz w:val="14"/>
                <w:szCs w:val="14"/>
                <w:lang w:val="en-GB"/>
              </w:rPr>
              <w:t>0.0123</w:t>
            </w:r>
          </w:p>
        </w:tc>
        <w:tc>
          <w:tcPr>
            <w:tcW w:w="850" w:type="dxa"/>
            <w:tcBorders>
              <w:top w:val="single" w:sz="6" w:space="0" w:color="auto"/>
              <w:left w:val="single" w:sz="6" w:space="0" w:color="auto"/>
              <w:bottom w:val="single" w:sz="6" w:space="0" w:color="auto"/>
              <w:right w:val="single" w:sz="6" w:space="0" w:color="auto"/>
            </w:tcBorders>
            <w:vAlign w:val="center"/>
          </w:tcPr>
          <w:p w14:paraId="26778314" w14:textId="77777777" w:rsidR="005A3DC8" w:rsidRDefault="005A3DC8" w:rsidP="008231B8">
            <w:pPr>
              <w:spacing w:line="240" w:lineRule="auto"/>
              <w:jc w:val="center"/>
              <w:rPr>
                <w:sz w:val="14"/>
                <w:szCs w:val="14"/>
                <w:lang w:val="en-GB"/>
              </w:rPr>
            </w:pPr>
            <w:r w:rsidRPr="000855B2">
              <w:rPr>
                <w:sz w:val="14"/>
                <w:szCs w:val="14"/>
                <w:lang w:val="en-GB"/>
              </w:rPr>
              <w:t>3.31E-06</w:t>
            </w:r>
          </w:p>
        </w:tc>
        <w:tc>
          <w:tcPr>
            <w:tcW w:w="819" w:type="dxa"/>
            <w:tcBorders>
              <w:top w:val="single" w:sz="6" w:space="0" w:color="auto"/>
              <w:left w:val="single" w:sz="6" w:space="0" w:color="auto"/>
              <w:bottom w:val="single" w:sz="6" w:space="0" w:color="auto"/>
              <w:right w:val="double" w:sz="4" w:space="0" w:color="auto"/>
            </w:tcBorders>
            <w:vAlign w:val="center"/>
          </w:tcPr>
          <w:p w14:paraId="51EC5E0C"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2C8DCDB3" w14:textId="77777777" w:rsidTr="00887829">
        <w:tc>
          <w:tcPr>
            <w:tcW w:w="1110" w:type="dxa"/>
            <w:vMerge w:val="restart"/>
            <w:tcBorders>
              <w:top w:val="single" w:sz="6" w:space="0" w:color="auto"/>
              <w:left w:val="double" w:sz="4" w:space="0" w:color="auto"/>
              <w:right w:val="single" w:sz="6" w:space="0" w:color="auto"/>
            </w:tcBorders>
            <w:vAlign w:val="center"/>
          </w:tcPr>
          <w:p w14:paraId="1217D16D" w14:textId="77777777" w:rsidR="005A3DC8" w:rsidRDefault="005A3DC8" w:rsidP="0000485C">
            <w:pPr>
              <w:spacing w:line="240" w:lineRule="auto"/>
              <w:rPr>
                <w:sz w:val="14"/>
                <w:szCs w:val="14"/>
                <w:lang w:val="en-GB"/>
              </w:rPr>
            </w:pPr>
            <w:r>
              <w:rPr>
                <w:sz w:val="14"/>
                <w:szCs w:val="14"/>
                <w:lang w:val="en-GB"/>
              </w:rPr>
              <w:t>Diesel</w:t>
            </w:r>
          </w:p>
        </w:tc>
        <w:tc>
          <w:tcPr>
            <w:tcW w:w="1800" w:type="dxa"/>
            <w:tcBorders>
              <w:top w:val="single" w:sz="6" w:space="0" w:color="auto"/>
              <w:left w:val="single" w:sz="6" w:space="0" w:color="auto"/>
              <w:bottom w:val="single" w:sz="6" w:space="0" w:color="auto"/>
              <w:right w:val="single" w:sz="6" w:space="0" w:color="auto"/>
            </w:tcBorders>
            <w:vAlign w:val="center"/>
          </w:tcPr>
          <w:p w14:paraId="36CA0343" w14:textId="77777777" w:rsidR="005A3DC8" w:rsidRPr="00FC6D86" w:rsidRDefault="005A3DC8" w:rsidP="00410789">
            <w:pPr>
              <w:spacing w:line="240" w:lineRule="auto"/>
              <w:rPr>
                <w:sz w:val="14"/>
                <w:szCs w:val="14"/>
                <w:lang w:val="en-GB"/>
              </w:rPr>
            </w:pPr>
            <w:r w:rsidRPr="00FC6D86">
              <w:rPr>
                <w:sz w:val="14"/>
                <w:szCs w:val="14"/>
                <w:lang w:val="en-GB"/>
              </w:rPr>
              <w:t>Conventional</w:t>
            </w:r>
          </w:p>
        </w:tc>
        <w:tc>
          <w:tcPr>
            <w:tcW w:w="630" w:type="dxa"/>
            <w:tcBorders>
              <w:top w:val="single" w:sz="6" w:space="0" w:color="auto"/>
              <w:left w:val="single" w:sz="6" w:space="0" w:color="auto"/>
              <w:bottom w:val="single" w:sz="6" w:space="0" w:color="auto"/>
              <w:right w:val="single" w:sz="6" w:space="0" w:color="auto"/>
            </w:tcBorders>
            <w:vAlign w:val="center"/>
          </w:tcPr>
          <w:p w14:paraId="7EEBF1CF" w14:textId="77777777" w:rsidR="005A3DC8" w:rsidRPr="00FC6D86" w:rsidRDefault="005A3DC8" w:rsidP="008231B8">
            <w:pPr>
              <w:spacing w:line="240" w:lineRule="auto"/>
              <w:jc w:val="center"/>
              <w:rPr>
                <w:sz w:val="14"/>
                <w:szCs w:val="14"/>
                <w:lang w:val="en-GB"/>
              </w:rPr>
            </w:pPr>
            <w:r w:rsidRPr="00FC6D86">
              <w:rPr>
                <w:sz w:val="14"/>
                <w:szCs w:val="14"/>
                <w:lang w:val="en-GB"/>
              </w:rPr>
              <w:t>1.34</w:t>
            </w:r>
          </w:p>
        </w:tc>
        <w:tc>
          <w:tcPr>
            <w:tcW w:w="810" w:type="dxa"/>
            <w:tcBorders>
              <w:top w:val="single" w:sz="6" w:space="0" w:color="auto"/>
              <w:left w:val="single" w:sz="6" w:space="0" w:color="auto"/>
              <w:bottom w:val="single" w:sz="6" w:space="0" w:color="auto"/>
              <w:right w:val="single" w:sz="6" w:space="0" w:color="auto"/>
            </w:tcBorders>
            <w:vAlign w:val="center"/>
          </w:tcPr>
          <w:p w14:paraId="3CA8958D" w14:textId="77777777" w:rsidR="005A3DC8" w:rsidRPr="00FC6D86" w:rsidRDefault="005A3DC8" w:rsidP="008231B8">
            <w:pPr>
              <w:spacing w:line="240" w:lineRule="auto"/>
              <w:jc w:val="center"/>
              <w:rPr>
                <w:sz w:val="14"/>
                <w:szCs w:val="14"/>
                <w:lang w:val="en-GB"/>
              </w:rPr>
            </w:pPr>
            <w:r w:rsidRPr="00FC6D86">
              <w:rPr>
                <w:sz w:val="14"/>
                <w:szCs w:val="14"/>
                <w:lang w:val="en-GB"/>
              </w:rPr>
              <w:t>0.133</w:t>
            </w:r>
          </w:p>
        </w:tc>
        <w:tc>
          <w:tcPr>
            <w:tcW w:w="806" w:type="dxa"/>
            <w:tcBorders>
              <w:top w:val="single" w:sz="6" w:space="0" w:color="auto"/>
              <w:left w:val="single" w:sz="6" w:space="0" w:color="auto"/>
              <w:bottom w:val="single" w:sz="6" w:space="0" w:color="auto"/>
              <w:right w:val="single" w:sz="6" w:space="0" w:color="auto"/>
            </w:tcBorders>
            <w:vAlign w:val="center"/>
          </w:tcPr>
          <w:p w14:paraId="2A7E05BC" w14:textId="77777777" w:rsidR="005A3DC8" w:rsidRPr="00FC6D86" w:rsidRDefault="005A3DC8" w:rsidP="008231B8">
            <w:pPr>
              <w:spacing w:line="240" w:lineRule="auto"/>
              <w:jc w:val="center"/>
              <w:rPr>
                <w:sz w:val="14"/>
                <w:szCs w:val="14"/>
                <w:lang w:val="en-GB"/>
              </w:rPr>
            </w:pPr>
            <w:r w:rsidRPr="00FC6D86">
              <w:rPr>
                <w:sz w:val="14"/>
                <w:szCs w:val="14"/>
                <w:lang w:val="en-GB"/>
              </w:rPr>
              <w:t>1.66</w:t>
            </w:r>
          </w:p>
        </w:tc>
        <w:tc>
          <w:tcPr>
            <w:tcW w:w="724" w:type="dxa"/>
            <w:tcBorders>
              <w:top w:val="single" w:sz="6" w:space="0" w:color="auto"/>
              <w:left w:val="single" w:sz="6" w:space="0" w:color="auto"/>
              <w:bottom w:val="single" w:sz="6" w:space="0" w:color="auto"/>
              <w:right w:val="single" w:sz="6" w:space="0" w:color="auto"/>
            </w:tcBorders>
            <w:vAlign w:val="center"/>
          </w:tcPr>
          <w:p w14:paraId="3FAECA06" w14:textId="77777777" w:rsidR="005A3DC8" w:rsidRDefault="005A3DC8" w:rsidP="008231B8">
            <w:pPr>
              <w:spacing w:line="240" w:lineRule="auto"/>
              <w:jc w:val="center"/>
              <w:rPr>
                <w:sz w:val="14"/>
                <w:szCs w:val="14"/>
                <w:lang w:val="en-GB"/>
              </w:rPr>
            </w:pPr>
            <w:r w:rsidRPr="000855B2">
              <w:rPr>
                <w:sz w:val="14"/>
                <w:szCs w:val="14"/>
                <w:lang w:val="en-GB"/>
              </w:rPr>
              <w:t>0.000</w:t>
            </w:r>
          </w:p>
        </w:tc>
        <w:tc>
          <w:tcPr>
            <w:tcW w:w="671" w:type="dxa"/>
            <w:tcBorders>
              <w:top w:val="single" w:sz="6" w:space="0" w:color="auto"/>
              <w:left w:val="single" w:sz="6" w:space="0" w:color="auto"/>
              <w:bottom w:val="single" w:sz="6" w:space="0" w:color="auto"/>
              <w:right w:val="single" w:sz="6" w:space="0" w:color="auto"/>
            </w:tcBorders>
            <w:vAlign w:val="center"/>
          </w:tcPr>
          <w:p w14:paraId="2F892205"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3AEAEB7D" w14:textId="77777777" w:rsidR="005A3DC8" w:rsidRDefault="005A3DC8" w:rsidP="008231B8">
            <w:pPr>
              <w:spacing w:line="240" w:lineRule="auto"/>
              <w:jc w:val="center"/>
              <w:rPr>
                <w:sz w:val="14"/>
                <w:szCs w:val="14"/>
                <w:lang w:val="en-GB"/>
              </w:rPr>
            </w:pPr>
            <w:r w:rsidRPr="000855B2">
              <w:rPr>
                <w:sz w:val="14"/>
                <w:szCs w:val="14"/>
                <w:lang w:val="en-GB"/>
              </w:rPr>
              <w:t>4.65E-06</w:t>
            </w:r>
          </w:p>
        </w:tc>
        <w:tc>
          <w:tcPr>
            <w:tcW w:w="819" w:type="dxa"/>
            <w:tcBorders>
              <w:top w:val="single" w:sz="6" w:space="0" w:color="auto"/>
              <w:left w:val="single" w:sz="6" w:space="0" w:color="auto"/>
              <w:bottom w:val="single" w:sz="6" w:space="0" w:color="auto"/>
              <w:right w:val="double" w:sz="4" w:space="0" w:color="auto"/>
            </w:tcBorders>
            <w:vAlign w:val="center"/>
          </w:tcPr>
          <w:p w14:paraId="6158F3CC" w14:textId="77777777" w:rsidR="005A3DC8" w:rsidRDefault="005A3DC8" w:rsidP="008231B8">
            <w:pPr>
              <w:spacing w:line="240" w:lineRule="auto"/>
              <w:jc w:val="center"/>
              <w:rPr>
                <w:sz w:val="14"/>
                <w:szCs w:val="14"/>
                <w:lang w:val="en-GB"/>
              </w:rPr>
            </w:pPr>
            <w:r w:rsidRPr="000855B2">
              <w:rPr>
                <w:sz w:val="14"/>
                <w:szCs w:val="14"/>
                <w:lang w:val="en-GB"/>
              </w:rPr>
              <w:t>6.63E-01</w:t>
            </w:r>
          </w:p>
        </w:tc>
      </w:tr>
      <w:tr w:rsidR="005A3DC8" w:rsidRPr="000855B2" w14:paraId="41E2890E" w14:textId="77777777" w:rsidTr="00887829">
        <w:tc>
          <w:tcPr>
            <w:tcW w:w="1110" w:type="dxa"/>
            <w:vMerge/>
            <w:tcBorders>
              <w:left w:val="double" w:sz="4" w:space="0" w:color="auto"/>
              <w:right w:val="single" w:sz="6" w:space="0" w:color="auto"/>
            </w:tcBorders>
            <w:vAlign w:val="center"/>
          </w:tcPr>
          <w:p w14:paraId="571917C7"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78B21FA1" w14:textId="77777777" w:rsidR="005A3DC8" w:rsidRPr="00FC6D86" w:rsidRDefault="005A3DC8" w:rsidP="00410789">
            <w:pPr>
              <w:spacing w:line="240" w:lineRule="auto"/>
              <w:rPr>
                <w:sz w:val="14"/>
                <w:szCs w:val="14"/>
                <w:lang w:val="en-GB"/>
              </w:rPr>
            </w:pPr>
            <w:r w:rsidRPr="00FC6D86">
              <w:rPr>
                <w:sz w:val="14"/>
                <w:szCs w:val="14"/>
                <w:lang w:val="en-GB"/>
              </w:rPr>
              <w:t>Euro 1 - 93/59/EEC</w:t>
            </w:r>
          </w:p>
        </w:tc>
        <w:tc>
          <w:tcPr>
            <w:tcW w:w="630" w:type="dxa"/>
            <w:tcBorders>
              <w:top w:val="single" w:sz="6" w:space="0" w:color="auto"/>
              <w:left w:val="single" w:sz="6" w:space="0" w:color="auto"/>
              <w:bottom w:val="single" w:sz="6" w:space="0" w:color="auto"/>
              <w:right w:val="single" w:sz="6" w:space="0" w:color="auto"/>
            </w:tcBorders>
            <w:vAlign w:val="center"/>
          </w:tcPr>
          <w:p w14:paraId="64746ABB" w14:textId="77777777" w:rsidR="005A3DC8" w:rsidRPr="00FC6D86" w:rsidRDefault="005A3DC8" w:rsidP="008231B8">
            <w:pPr>
              <w:spacing w:line="240" w:lineRule="auto"/>
              <w:jc w:val="center"/>
              <w:rPr>
                <w:sz w:val="14"/>
                <w:szCs w:val="14"/>
                <w:lang w:val="en-GB"/>
              </w:rPr>
            </w:pPr>
            <w:r w:rsidRPr="00FC6D86">
              <w:rPr>
                <w:sz w:val="14"/>
                <w:szCs w:val="14"/>
                <w:lang w:val="en-GB"/>
              </w:rPr>
              <w:t>0.577</w:t>
            </w:r>
          </w:p>
        </w:tc>
        <w:tc>
          <w:tcPr>
            <w:tcW w:w="810" w:type="dxa"/>
            <w:tcBorders>
              <w:top w:val="single" w:sz="6" w:space="0" w:color="auto"/>
              <w:left w:val="single" w:sz="6" w:space="0" w:color="auto"/>
              <w:bottom w:val="single" w:sz="6" w:space="0" w:color="auto"/>
              <w:right w:val="single" w:sz="6" w:space="0" w:color="auto"/>
            </w:tcBorders>
            <w:vAlign w:val="center"/>
          </w:tcPr>
          <w:p w14:paraId="612F82E4" w14:textId="77777777" w:rsidR="005A3DC8" w:rsidRPr="00FC6D86" w:rsidRDefault="005A3DC8" w:rsidP="008231B8">
            <w:pPr>
              <w:spacing w:line="240" w:lineRule="auto"/>
              <w:jc w:val="center"/>
              <w:rPr>
                <w:sz w:val="14"/>
                <w:szCs w:val="14"/>
                <w:lang w:val="en-GB"/>
              </w:rPr>
            </w:pPr>
            <w:r w:rsidRPr="00FC6D86">
              <w:rPr>
                <w:sz w:val="14"/>
                <w:szCs w:val="14"/>
                <w:lang w:val="en-GB"/>
              </w:rPr>
              <w:t>0.141</w:t>
            </w:r>
          </w:p>
        </w:tc>
        <w:tc>
          <w:tcPr>
            <w:tcW w:w="806" w:type="dxa"/>
            <w:tcBorders>
              <w:top w:val="single" w:sz="6" w:space="0" w:color="auto"/>
              <w:left w:val="single" w:sz="6" w:space="0" w:color="auto"/>
              <w:bottom w:val="single" w:sz="6" w:space="0" w:color="auto"/>
              <w:right w:val="single" w:sz="6" w:space="0" w:color="auto"/>
            </w:tcBorders>
            <w:vAlign w:val="center"/>
          </w:tcPr>
          <w:p w14:paraId="76BD4170" w14:textId="77777777" w:rsidR="005A3DC8" w:rsidRPr="00FC6D86" w:rsidRDefault="005A3DC8" w:rsidP="008231B8">
            <w:pPr>
              <w:spacing w:line="240" w:lineRule="auto"/>
              <w:jc w:val="center"/>
              <w:rPr>
                <w:sz w:val="14"/>
                <w:szCs w:val="14"/>
                <w:lang w:val="en-GB"/>
              </w:rPr>
            </w:pPr>
            <w:r w:rsidRPr="00FC6D86">
              <w:rPr>
                <w:sz w:val="14"/>
                <w:szCs w:val="14"/>
                <w:lang w:val="en-GB"/>
              </w:rPr>
              <w:t>1.22</w:t>
            </w:r>
          </w:p>
        </w:tc>
        <w:tc>
          <w:tcPr>
            <w:tcW w:w="724" w:type="dxa"/>
            <w:tcBorders>
              <w:top w:val="single" w:sz="6" w:space="0" w:color="auto"/>
              <w:left w:val="single" w:sz="6" w:space="0" w:color="auto"/>
              <w:bottom w:val="single" w:sz="6" w:space="0" w:color="auto"/>
              <w:right w:val="single" w:sz="6" w:space="0" w:color="auto"/>
            </w:tcBorders>
            <w:vAlign w:val="center"/>
          </w:tcPr>
          <w:p w14:paraId="55845302" w14:textId="77777777" w:rsidR="005A3DC8" w:rsidRDefault="005A3DC8" w:rsidP="008231B8">
            <w:pPr>
              <w:spacing w:line="240" w:lineRule="auto"/>
              <w:jc w:val="center"/>
              <w:rPr>
                <w:sz w:val="14"/>
                <w:szCs w:val="14"/>
                <w:lang w:val="en-GB"/>
              </w:rPr>
            </w:pPr>
            <w:r w:rsidRPr="000855B2">
              <w:rPr>
                <w:sz w:val="14"/>
                <w:szCs w:val="14"/>
                <w:lang w:val="en-GB"/>
              </w:rPr>
              <w:t>0.003</w:t>
            </w:r>
          </w:p>
        </w:tc>
        <w:tc>
          <w:tcPr>
            <w:tcW w:w="671" w:type="dxa"/>
            <w:tcBorders>
              <w:top w:val="single" w:sz="6" w:space="0" w:color="auto"/>
              <w:left w:val="single" w:sz="6" w:space="0" w:color="auto"/>
              <w:bottom w:val="single" w:sz="6" w:space="0" w:color="auto"/>
              <w:right w:val="single" w:sz="6" w:space="0" w:color="auto"/>
            </w:tcBorders>
            <w:vAlign w:val="center"/>
          </w:tcPr>
          <w:p w14:paraId="50714E2A"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25D08451"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4B70CFD9" w14:textId="77777777" w:rsidR="005A3DC8" w:rsidRDefault="005A3DC8" w:rsidP="008231B8">
            <w:pPr>
              <w:spacing w:line="240" w:lineRule="auto"/>
              <w:jc w:val="center"/>
              <w:rPr>
                <w:sz w:val="14"/>
                <w:szCs w:val="14"/>
                <w:lang w:val="en-GB"/>
              </w:rPr>
            </w:pPr>
            <w:r w:rsidRPr="000855B2">
              <w:rPr>
                <w:sz w:val="14"/>
                <w:szCs w:val="14"/>
                <w:lang w:val="en-GB"/>
              </w:rPr>
              <w:t>5.96E-01</w:t>
            </w:r>
          </w:p>
        </w:tc>
      </w:tr>
      <w:tr w:rsidR="005A3DC8" w:rsidRPr="000855B2" w14:paraId="48E652AD" w14:textId="77777777" w:rsidTr="00887829">
        <w:tc>
          <w:tcPr>
            <w:tcW w:w="1110" w:type="dxa"/>
            <w:vMerge/>
            <w:tcBorders>
              <w:left w:val="double" w:sz="4" w:space="0" w:color="auto"/>
              <w:right w:val="single" w:sz="6" w:space="0" w:color="auto"/>
            </w:tcBorders>
            <w:vAlign w:val="center"/>
          </w:tcPr>
          <w:p w14:paraId="2AB0B408"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7F7577E" w14:textId="77777777" w:rsidR="005A3DC8" w:rsidRPr="00FC6D86" w:rsidRDefault="005A3DC8" w:rsidP="00410789">
            <w:pPr>
              <w:spacing w:line="240" w:lineRule="auto"/>
              <w:rPr>
                <w:sz w:val="14"/>
                <w:szCs w:val="14"/>
                <w:lang w:val="en-GB"/>
              </w:rPr>
            </w:pPr>
            <w:r w:rsidRPr="00FC6D86">
              <w:rPr>
                <w:sz w:val="14"/>
                <w:szCs w:val="14"/>
                <w:lang w:val="en-GB"/>
              </w:rPr>
              <w:t>Euro 2 - 96/69/EEC</w:t>
            </w:r>
          </w:p>
        </w:tc>
        <w:tc>
          <w:tcPr>
            <w:tcW w:w="630" w:type="dxa"/>
            <w:tcBorders>
              <w:top w:val="single" w:sz="6" w:space="0" w:color="auto"/>
              <w:left w:val="single" w:sz="6" w:space="0" w:color="auto"/>
              <w:bottom w:val="single" w:sz="6" w:space="0" w:color="auto"/>
              <w:right w:val="single" w:sz="6" w:space="0" w:color="auto"/>
            </w:tcBorders>
            <w:vAlign w:val="center"/>
          </w:tcPr>
          <w:p w14:paraId="46E46CA4" w14:textId="77777777" w:rsidR="005A3DC8" w:rsidRPr="00FC6D86" w:rsidRDefault="005A3DC8" w:rsidP="008231B8">
            <w:pPr>
              <w:spacing w:line="240" w:lineRule="auto"/>
              <w:jc w:val="center"/>
              <w:rPr>
                <w:sz w:val="14"/>
                <w:szCs w:val="14"/>
                <w:lang w:val="en-GB"/>
              </w:rPr>
            </w:pPr>
            <w:r w:rsidRPr="00FC6D86">
              <w:rPr>
                <w:sz w:val="14"/>
                <w:szCs w:val="14"/>
                <w:lang w:val="en-GB"/>
              </w:rPr>
              <w:t>0.577</w:t>
            </w:r>
          </w:p>
        </w:tc>
        <w:tc>
          <w:tcPr>
            <w:tcW w:w="810" w:type="dxa"/>
            <w:tcBorders>
              <w:top w:val="single" w:sz="6" w:space="0" w:color="auto"/>
              <w:left w:val="single" w:sz="6" w:space="0" w:color="auto"/>
              <w:bottom w:val="single" w:sz="6" w:space="0" w:color="auto"/>
              <w:right w:val="single" w:sz="6" w:space="0" w:color="auto"/>
            </w:tcBorders>
            <w:vAlign w:val="center"/>
          </w:tcPr>
          <w:p w14:paraId="4428B0AF" w14:textId="77777777" w:rsidR="005A3DC8" w:rsidRPr="00FC6D86" w:rsidRDefault="005A3DC8" w:rsidP="008231B8">
            <w:pPr>
              <w:spacing w:line="240" w:lineRule="auto"/>
              <w:jc w:val="center"/>
              <w:rPr>
                <w:sz w:val="14"/>
                <w:szCs w:val="14"/>
                <w:lang w:val="en-GB"/>
              </w:rPr>
            </w:pPr>
            <w:r w:rsidRPr="00FC6D86">
              <w:rPr>
                <w:sz w:val="14"/>
                <w:szCs w:val="14"/>
                <w:lang w:val="en-GB"/>
              </w:rPr>
              <w:t>0.149</w:t>
            </w:r>
          </w:p>
        </w:tc>
        <w:tc>
          <w:tcPr>
            <w:tcW w:w="806" w:type="dxa"/>
            <w:tcBorders>
              <w:top w:val="single" w:sz="6" w:space="0" w:color="auto"/>
              <w:left w:val="single" w:sz="6" w:space="0" w:color="auto"/>
              <w:bottom w:val="single" w:sz="6" w:space="0" w:color="auto"/>
              <w:right w:val="single" w:sz="6" w:space="0" w:color="auto"/>
            </w:tcBorders>
            <w:vAlign w:val="center"/>
          </w:tcPr>
          <w:p w14:paraId="680F12FF" w14:textId="77777777" w:rsidR="005A3DC8" w:rsidRPr="00FC6D86" w:rsidRDefault="005A3DC8" w:rsidP="008231B8">
            <w:pPr>
              <w:spacing w:line="240" w:lineRule="auto"/>
              <w:jc w:val="center"/>
              <w:rPr>
                <w:sz w:val="14"/>
                <w:szCs w:val="14"/>
                <w:lang w:val="en-GB"/>
              </w:rPr>
            </w:pPr>
            <w:r w:rsidRPr="00FC6D86">
              <w:rPr>
                <w:sz w:val="14"/>
                <w:szCs w:val="14"/>
                <w:lang w:val="en-GB"/>
              </w:rPr>
              <w:t>1.22</w:t>
            </w:r>
          </w:p>
        </w:tc>
        <w:tc>
          <w:tcPr>
            <w:tcW w:w="724" w:type="dxa"/>
            <w:tcBorders>
              <w:top w:val="single" w:sz="6" w:space="0" w:color="auto"/>
              <w:left w:val="single" w:sz="6" w:space="0" w:color="auto"/>
              <w:bottom w:val="single" w:sz="6" w:space="0" w:color="auto"/>
              <w:right w:val="single" w:sz="6" w:space="0" w:color="auto"/>
            </w:tcBorders>
            <w:vAlign w:val="center"/>
          </w:tcPr>
          <w:p w14:paraId="2558B048" w14:textId="77777777" w:rsidR="005A3DC8" w:rsidRDefault="005A3DC8" w:rsidP="008231B8">
            <w:pPr>
              <w:spacing w:line="240" w:lineRule="auto"/>
              <w:jc w:val="center"/>
              <w:rPr>
                <w:sz w:val="14"/>
                <w:szCs w:val="14"/>
                <w:lang w:val="en-GB"/>
              </w:rPr>
            </w:pPr>
            <w:r w:rsidRPr="000855B2">
              <w:rPr>
                <w:sz w:val="14"/>
                <w:szCs w:val="14"/>
                <w:lang w:val="en-GB"/>
              </w:rPr>
              <w:t>0.006</w:t>
            </w:r>
          </w:p>
        </w:tc>
        <w:tc>
          <w:tcPr>
            <w:tcW w:w="671" w:type="dxa"/>
            <w:tcBorders>
              <w:top w:val="single" w:sz="6" w:space="0" w:color="auto"/>
              <w:left w:val="single" w:sz="6" w:space="0" w:color="auto"/>
              <w:bottom w:val="single" w:sz="6" w:space="0" w:color="auto"/>
              <w:right w:val="single" w:sz="6" w:space="0" w:color="auto"/>
            </w:tcBorders>
            <w:vAlign w:val="center"/>
          </w:tcPr>
          <w:p w14:paraId="566F865B"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0F8246D9"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13E4BAFE" w14:textId="77777777" w:rsidR="005A3DC8" w:rsidRDefault="005A3DC8" w:rsidP="008231B8">
            <w:pPr>
              <w:spacing w:line="240" w:lineRule="auto"/>
              <w:jc w:val="center"/>
              <w:rPr>
                <w:sz w:val="14"/>
                <w:szCs w:val="14"/>
                <w:lang w:val="en-GB"/>
              </w:rPr>
            </w:pPr>
            <w:r w:rsidRPr="000855B2">
              <w:rPr>
                <w:sz w:val="14"/>
                <w:szCs w:val="14"/>
                <w:lang w:val="en-GB"/>
              </w:rPr>
              <w:t>5.30E-01</w:t>
            </w:r>
          </w:p>
        </w:tc>
      </w:tr>
      <w:tr w:rsidR="005A3DC8" w:rsidRPr="000855B2" w14:paraId="49487556" w14:textId="77777777" w:rsidTr="00887829">
        <w:tc>
          <w:tcPr>
            <w:tcW w:w="1110" w:type="dxa"/>
            <w:vMerge/>
            <w:tcBorders>
              <w:left w:val="double" w:sz="4" w:space="0" w:color="auto"/>
              <w:right w:val="single" w:sz="6" w:space="0" w:color="auto"/>
            </w:tcBorders>
            <w:vAlign w:val="center"/>
          </w:tcPr>
          <w:p w14:paraId="46FE9DB9"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30F5AB1C" w14:textId="77777777" w:rsidR="005A3DC8" w:rsidRPr="00FC6D86" w:rsidRDefault="005A3DC8" w:rsidP="00410789">
            <w:pPr>
              <w:spacing w:line="240" w:lineRule="auto"/>
              <w:rPr>
                <w:sz w:val="14"/>
                <w:szCs w:val="14"/>
                <w:lang w:val="en-GB"/>
              </w:rPr>
            </w:pPr>
            <w:r w:rsidRPr="00FC6D86">
              <w:rPr>
                <w:sz w:val="14"/>
                <w:szCs w:val="14"/>
                <w:lang w:val="en-GB"/>
              </w:rPr>
              <w:t>Euro 3 - 98/69/EC I</w:t>
            </w:r>
          </w:p>
        </w:tc>
        <w:tc>
          <w:tcPr>
            <w:tcW w:w="630" w:type="dxa"/>
            <w:tcBorders>
              <w:top w:val="single" w:sz="6" w:space="0" w:color="auto"/>
              <w:left w:val="single" w:sz="6" w:space="0" w:color="auto"/>
              <w:bottom w:val="single" w:sz="6" w:space="0" w:color="auto"/>
              <w:right w:val="single" w:sz="6" w:space="0" w:color="auto"/>
            </w:tcBorders>
            <w:vAlign w:val="center"/>
          </w:tcPr>
          <w:p w14:paraId="5BB21009" w14:textId="77777777" w:rsidR="005A3DC8" w:rsidRPr="00FC6D86" w:rsidRDefault="005A3DC8" w:rsidP="008231B8">
            <w:pPr>
              <w:spacing w:line="240" w:lineRule="auto"/>
              <w:jc w:val="center"/>
              <w:rPr>
                <w:sz w:val="14"/>
                <w:szCs w:val="14"/>
                <w:lang w:val="en-GB"/>
              </w:rPr>
            </w:pPr>
            <w:r w:rsidRPr="00FC6D86">
              <w:rPr>
                <w:sz w:val="14"/>
                <w:szCs w:val="14"/>
                <w:lang w:val="en-GB"/>
              </w:rPr>
              <w:t>0.473</w:t>
            </w:r>
          </w:p>
        </w:tc>
        <w:tc>
          <w:tcPr>
            <w:tcW w:w="810" w:type="dxa"/>
            <w:tcBorders>
              <w:top w:val="single" w:sz="6" w:space="0" w:color="auto"/>
              <w:left w:val="single" w:sz="6" w:space="0" w:color="auto"/>
              <w:bottom w:val="single" w:sz="6" w:space="0" w:color="auto"/>
              <w:right w:val="single" w:sz="6" w:space="0" w:color="auto"/>
            </w:tcBorders>
            <w:vAlign w:val="center"/>
          </w:tcPr>
          <w:p w14:paraId="591E1251" w14:textId="77777777" w:rsidR="005A3DC8" w:rsidRPr="00FC6D86" w:rsidRDefault="005A3DC8" w:rsidP="008231B8">
            <w:pPr>
              <w:spacing w:line="240" w:lineRule="auto"/>
              <w:jc w:val="center"/>
              <w:rPr>
                <w:sz w:val="14"/>
                <w:szCs w:val="14"/>
                <w:lang w:val="en-GB"/>
              </w:rPr>
            </w:pPr>
            <w:r w:rsidRPr="00FC6D86">
              <w:rPr>
                <w:sz w:val="14"/>
                <w:szCs w:val="14"/>
                <w:lang w:val="en-GB"/>
              </w:rPr>
              <w:t>0.094</w:t>
            </w:r>
          </w:p>
        </w:tc>
        <w:tc>
          <w:tcPr>
            <w:tcW w:w="806" w:type="dxa"/>
            <w:tcBorders>
              <w:top w:val="single" w:sz="6" w:space="0" w:color="auto"/>
              <w:left w:val="single" w:sz="6" w:space="0" w:color="auto"/>
              <w:bottom w:val="single" w:sz="6" w:space="0" w:color="auto"/>
              <w:right w:val="single" w:sz="6" w:space="0" w:color="auto"/>
            </w:tcBorders>
            <w:vAlign w:val="center"/>
          </w:tcPr>
          <w:p w14:paraId="71B1A096" w14:textId="77777777" w:rsidR="005A3DC8" w:rsidRPr="00FC6D86" w:rsidRDefault="005A3DC8" w:rsidP="008231B8">
            <w:pPr>
              <w:spacing w:line="240" w:lineRule="auto"/>
              <w:jc w:val="center"/>
              <w:rPr>
                <w:sz w:val="14"/>
                <w:szCs w:val="14"/>
                <w:lang w:val="en-GB"/>
              </w:rPr>
            </w:pPr>
            <w:r w:rsidRPr="00FC6D86">
              <w:rPr>
                <w:sz w:val="14"/>
                <w:szCs w:val="14"/>
                <w:lang w:val="en-GB"/>
              </w:rPr>
              <w:t>1.03</w:t>
            </w:r>
          </w:p>
        </w:tc>
        <w:tc>
          <w:tcPr>
            <w:tcW w:w="724" w:type="dxa"/>
            <w:tcBorders>
              <w:top w:val="single" w:sz="6" w:space="0" w:color="auto"/>
              <w:left w:val="single" w:sz="6" w:space="0" w:color="auto"/>
              <w:bottom w:val="single" w:sz="6" w:space="0" w:color="auto"/>
              <w:right w:val="single" w:sz="6" w:space="0" w:color="auto"/>
            </w:tcBorders>
            <w:vAlign w:val="center"/>
          </w:tcPr>
          <w:p w14:paraId="466AA1AA" w14:textId="77777777" w:rsidR="005A3DC8" w:rsidRDefault="005A3DC8" w:rsidP="008231B8">
            <w:pPr>
              <w:spacing w:line="240" w:lineRule="auto"/>
              <w:jc w:val="center"/>
              <w:rPr>
                <w:sz w:val="14"/>
                <w:szCs w:val="14"/>
                <w:lang w:val="en-GB"/>
              </w:rPr>
            </w:pPr>
            <w:r w:rsidRPr="000855B2">
              <w:rPr>
                <w:sz w:val="14"/>
                <w:szCs w:val="14"/>
                <w:lang w:val="en-GB"/>
              </w:rPr>
              <w:t>0.009</w:t>
            </w:r>
          </w:p>
        </w:tc>
        <w:tc>
          <w:tcPr>
            <w:tcW w:w="671" w:type="dxa"/>
            <w:tcBorders>
              <w:top w:val="single" w:sz="6" w:space="0" w:color="auto"/>
              <w:left w:val="single" w:sz="6" w:space="0" w:color="auto"/>
              <w:bottom w:val="single" w:sz="6" w:space="0" w:color="auto"/>
              <w:right w:val="single" w:sz="6" w:space="0" w:color="auto"/>
            </w:tcBorders>
            <w:vAlign w:val="center"/>
          </w:tcPr>
          <w:p w14:paraId="03C8C450"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481FE477"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0A8C73F0" w14:textId="77777777" w:rsidR="005A3DC8" w:rsidRDefault="005A3DC8" w:rsidP="008231B8">
            <w:pPr>
              <w:spacing w:line="240" w:lineRule="auto"/>
              <w:jc w:val="center"/>
              <w:rPr>
                <w:sz w:val="14"/>
                <w:szCs w:val="14"/>
                <w:lang w:val="en-GB"/>
              </w:rPr>
            </w:pPr>
            <w:r w:rsidRPr="000855B2">
              <w:rPr>
                <w:sz w:val="14"/>
                <w:szCs w:val="14"/>
                <w:lang w:val="en-GB"/>
              </w:rPr>
              <w:t>4.64E-01</w:t>
            </w:r>
          </w:p>
        </w:tc>
      </w:tr>
      <w:tr w:rsidR="005A3DC8" w:rsidRPr="000855B2" w14:paraId="4921AAC9" w14:textId="77777777" w:rsidTr="00887829">
        <w:tc>
          <w:tcPr>
            <w:tcW w:w="1110" w:type="dxa"/>
            <w:vMerge/>
            <w:tcBorders>
              <w:left w:val="double" w:sz="4" w:space="0" w:color="auto"/>
              <w:right w:val="single" w:sz="6" w:space="0" w:color="auto"/>
            </w:tcBorders>
            <w:vAlign w:val="center"/>
          </w:tcPr>
          <w:p w14:paraId="7BCA3217"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16F091FF" w14:textId="77777777" w:rsidR="005A3DC8" w:rsidRPr="00FC6D86" w:rsidRDefault="005A3DC8" w:rsidP="00410789">
            <w:pPr>
              <w:spacing w:line="240" w:lineRule="auto"/>
              <w:rPr>
                <w:sz w:val="14"/>
                <w:szCs w:val="14"/>
                <w:lang w:val="en-GB"/>
              </w:rPr>
            </w:pPr>
            <w:r w:rsidRPr="00FC6D86">
              <w:rPr>
                <w:sz w:val="14"/>
                <w:szCs w:val="14"/>
                <w:lang w:val="en-GB"/>
              </w:rPr>
              <w:t>Euro 4 - 98/69/EC II</w:t>
            </w:r>
          </w:p>
        </w:tc>
        <w:tc>
          <w:tcPr>
            <w:tcW w:w="630" w:type="dxa"/>
            <w:tcBorders>
              <w:top w:val="single" w:sz="6" w:space="0" w:color="auto"/>
              <w:left w:val="single" w:sz="6" w:space="0" w:color="auto"/>
              <w:bottom w:val="single" w:sz="6" w:space="0" w:color="auto"/>
              <w:right w:val="single" w:sz="6" w:space="0" w:color="auto"/>
            </w:tcBorders>
            <w:vAlign w:val="center"/>
          </w:tcPr>
          <w:p w14:paraId="261D9E02" w14:textId="77777777" w:rsidR="005A3DC8" w:rsidRPr="00FC6D86" w:rsidRDefault="005A3DC8" w:rsidP="008231B8">
            <w:pPr>
              <w:spacing w:line="240" w:lineRule="auto"/>
              <w:jc w:val="center"/>
              <w:rPr>
                <w:sz w:val="14"/>
                <w:szCs w:val="14"/>
                <w:lang w:val="en-GB"/>
              </w:rPr>
            </w:pPr>
            <w:r w:rsidRPr="00FC6D86">
              <w:rPr>
                <w:sz w:val="14"/>
                <w:szCs w:val="14"/>
                <w:lang w:val="en-GB"/>
              </w:rPr>
              <w:t>0.375</w:t>
            </w:r>
          </w:p>
        </w:tc>
        <w:tc>
          <w:tcPr>
            <w:tcW w:w="810" w:type="dxa"/>
            <w:tcBorders>
              <w:top w:val="single" w:sz="6" w:space="0" w:color="auto"/>
              <w:left w:val="single" w:sz="6" w:space="0" w:color="auto"/>
              <w:bottom w:val="single" w:sz="6" w:space="0" w:color="auto"/>
              <w:right w:val="single" w:sz="6" w:space="0" w:color="auto"/>
            </w:tcBorders>
            <w:vAlign w:val="center"/>
          </w:tcPr>
          <w:p w14:paraId="5943794F"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0C91A996" w14:textId="77777777" w:rsidR="005A3DC8" w:rsidRPr="00FC6D86" w:rsidRDefault="005A3DC8" w:rsidP="008231B8">
            <w:pPr>
              <w:spacing w:line="240" w:lineRule="auto"/>
              <w:jc w:val="center"/>
              <w:rPr>
                <w:sz w:val="14"/>
                <w:szCs w:val="14"/>
                <w:lang w:val="en-GB"/>
              </w:rPr>
            </w:pPr>
            <w:r w:rsidRPr="00FC6D86">
              <w:rPr>
                <w:sz w:val="14"/>
                <w:szCs w:val="14"/>
                <w:lang w:val="en-GB"/>
              </w:rPr>
              <w:t>0.831</w:t>
            </w:r>
          </w:p>
        </w:tc>
        <w:tc>
          <w:tcPr>
            <w:tcW w:w="724" w:type="dxa"/>
            <w:tcBorders>
              <w:top w:val="single" w:sz="6" w:space="0" w:color="auto"/>
              <w:left w:val="single" w:sz="6" w:space="0" w:color="auto"/>
              <w:bottom w:val="single" w:sz="6" w:space="0" w:color="auto"/>
              <w:right w:val="single" w:sz="6" w:space="0" w:color="auto"/>
            </w:tcBorders>
            <w:vAlign w:val="center"/>
          </w:tcPr>
          <w:p w14:paraId="4B23A9D2" w14:textId="77777777" w:rsidR="005A3DC8" w:rsidRDefault="005A3DC8" w:rsidP="008231B8">
            <w:pPr>
              <w:spacing w:line="240" w:lineRule="auto"/>
              <w:jc w:val="center"/>
              <w:rPr>
                <w:sz w:val="14"/>
                <w:szCs w:val="14"/>
                <w:lang w:val="en-GB"/>
              </w:rPr>
            </w:pPr>
            <w:r w:rsidRPr="000855B2">
              <w:rPr>
                <w:sz w:val="14"/>
                <w:szCs w:val="14"/>
                <w:lang w:val="en-GB"/>
              </w:rPr>
              <w:t>0.009</w:t>
            </w:r>
          </w:p>
        </w:tc>
        <w:tc>
          <w:tcPr>
            <w:tcW w:w="671" w:type="dxa"/>
            <w:tcBorders>
              <w:top w:val="single" w:sz="6" w:space="0" w:color="auto"/>
              <w:left w:val="single" w:sz="6" w:space="0" w:color="auto"/>
              <w:bottom w:val="single" w:sz="6" w:space="0" w:color="auto"/>
              <w:right w:val="single" w:sz="6" w:space="0" w:color="auto"/>
            </w:tcBorders>
            <w:vAlign w:val="center"/>
          </w:tcPr>
          <w:p w14:paraId="3236BE53"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850" w:type="dxa"/>
            <w:tcBorders>
              <w:top w:val="single" w:sz="6" w:space="0" w:color="auto"/>
              <w:left w:val="single" w:sz="6" w:space="0" w:color="auto"/>
              <w:bottom w:val="single" w:sz="6" w:space="0" w:color="auto"/>
              <w:right w:val="single" w:sz="6" w:space="0" w:color="auto"/>
            </w:tcBorders>
            <w:vAlign w:val="center"/>
          </w:tcPr>
          <w:p w14:paraId="7930323E"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4904684A"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45827EE2" w14:textId="77777777" w:rsidTr="00887829">
        <w:tc>
          <w:tcPr>
            <w:tcW w:w="1110" w:type="dxa"/>
            <w:vMerge/>
            <w:tcBorders>
              <w:left w:val="double" w:sz="4" w:space="0" w:color="auto"/>
              <w:right w:val="single" w:sz="6" w:space="0" w:color="auto"/>
            </w:tcBorders>
            <w:vAlign w:val="center"/>
          </w:tcPr>
          <w:p w14:paraId="2BA1BAEF"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768D3B76" w14:textId="77777777" w:rsidR="005A3DC8" w:rsidRPr="00FC6D86" w:rsidRDefault="005A3DC8" w:rsidP="00410789">
            <w:pPr>
              <w:spacing w:line="240" w:lineRule="auto"/>
              <w:rPr>
                <w:sz w:val="14"/>
                <w:szCs w:val="14"/>
                <w:lang w:val="en-GB"/>
              </w:rPr>
            </w:pPr>
            <w:r w:rsidRPr="00FC6D86">
              <w:rPr>
                <w:color w:val="000000"/>
                <w:sz w:val="14"/>
                <w:szCs w:val="14"/>
                <w:lang w:val="en-GB"/>
              </w:rPr>
              <w:t>Euro 5 – EC 715/2007</w:t>
            </w:r>
          </w:p>
        </w:tc>
        <w:tc>
          <w:tcPr>
            <w:tcW w:w="630" w:type="dxa"/>
            <w:tcBorders>
              <w:top w:val="single" w:sz="6" w:space="0" w:color="auto"/>
              <w:left w:val="single" w:sz="6" w:space="0" w:color="auto"/>
              <w:bottom w:val="single" w:sz="6" w:space="0" w:color="auto"/>
              <w:right w:val="single" w:sz="6" w:space="0" w:color="auto"/>
            </w:tcBorders>
            <w:vAlign w:val="center"/>
          </w:tcPr>
          <w:p w14:paraId="232F1980"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single" w:sz="6" w:space="0" w:color="auto"/>
              <w:right w:val="single" w:sz="6" w:space="0" w:color="auto"/>
            </w:tcBorders>
            <w:vAlign w:val="center"/>
          </w:tcPr>
          <w:p w14:paraId="60F2123F"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41B2F76B" w14:textId="7C0B77CD" w:rsidR="005A3DC8" w:rsidRPr="00FC6D86" w:rsidRDefault="005A3DC8" w:rsidP="008231B8">
            <w:pPr>
              <w:spacing w:line="240" w:lineRule="auto"/>
              <w:jc w:val="center"/>
              <w:rPr>
                <w:sz w:val="14"/>
                <w:szCs w:val="14"/>
                <w:lang w:val="en-GB"/>
              </w:rPr>
            </w:pPr>
            <w:r w:rsidRPr="00FC6D86">
              <w:rPr>
                <w:sz w:val="14"/>
                <w:szCs w:val="14"/>
                <w:lang w:val="en-GB"/>
              </w:rPr>
              <w:t>1.1</w:t>
            </w:r>
            <w:r w:rsidR="00946CCD">
              <w:rPr>
                <w:sz w:val="14"/>
                <w:szCs w:val="14"/>
                <w:lang w:val="en-GB"/>
              </w:rPr>
              <w:t>5</w:t>
            </w:r>
          </w:p>
        </w:tc>
        <w:tc>
          <w:tcPr>
            <w:tcW w:w="724" w:type="dxa"/>
            <w:tcBorders>
              <w:top w:val="single" w:sz="6" w:space="0" w:color="auto"/>
              <w:left w:val="single" w:sz="6" w:space="0" w:color="auto"/>
              <w:bottom w:val="single" w:sz="6" w:space="0" w:color="auto"/>
              <w:right w:val="single" w:sz="6" w:space="0" w:color="auto"/>
            </w:tcBorders>
            <w:vAlign w:val="center"/>
          </w:tcPr>
          <w:p w14:paraId="09CA995E"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single" w:sz="6" w:space="0" w:color="auto"/>
              <w:right w:val="single" w:sz="6" w:space="0" w:color="auto"/>
            </w:tcBorders>
            <w:vAlign w:val="center"/>
          </w:tcPr>
          <w:p w14:paraId="3C6A684A"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single" w:sz="6" w:space="0" w:color="auto"/>
              <w:right w:val="single" w:sz="6" w:space="0" w:color="auto"/>
            </w:tcBorders>
            <w:vAlign w:val="center"/>
          </w:tcPr>
          <w:p w14:paraId="592FC11D"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18105466"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6984545A" w14:textId="77777777" w:rsidTr="00887829">
        <w:tc>
          <w:tcPr>
            <w:tcW w:w="1110" w:type="dxa"/>
            <w:vMerge/>
            <w:tcBorders>
              <w:left w:val="double" w:sz="4" w:space="0" w:color="auto"/>
              <w:right w:val="single" w:sz="6" w:space="0" w:color="auto"/>
            </w:tcBorders>
            <w:vAlign w:val="center"/>
          </w:tcPr>
          <w:p w14:paraId="3A4A75ED"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559AC60F" w14:textId="77777777" w:rsidR="005A3DC8" w:rsidRPr="00FC6D86" w:rsidRDefault="005A3DC8" w:rsidP="00410789">
            <w:pPr>
              <w:spacing w:line="240" w:lineRule="auto"/>
              <w:rPr>
                <w:sz w:val="14"/>
                <w:szCs w:val="14"/>
                <w:lang w:val="en-GB"/>
              </w:rPr>
            </w:pPr>
            <w:r w:rsidRPr="00FC6D86">
              <w:rPr>
                <w:color w:val="000000"/>
                <w:sz w:val="14"/>
                <w:szCs w:val="14"/>
                <w:lang w:val="en-GB"/>
              </w:rPr>
              <w:t>Euro 6 up to 2017</w:t>
            </w:r>
          </w:p>
        </w:tc>
        <w:tc>
          <w:tcPr>
            <w:tcW w:w="630" w:type="dxa"/>
            <w:tcBorders>
              <w:top w:val="single" w:sz="6" w:space="0" w:color="auto"/>
              <w:left w:val="single" w:sz="6" w:space="0" w:color="auto"/>
              <w:bottom w:val="single" w:sz="6" w:space="0" w:color="auto"/>
              <w:right w:val="single" w:sz="6" w:space="0" w:color="auto"/>
            </w:tcBorders>
            <w:vAlign w:val="center"/>
          </w:tcPr>
          <w:p w14:paraId="2DAD19CC"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single" w:sz="6" w:space="0" w:color="auto"/>
              <w:right w:val="single" w:sz="6" w:space="0" w:color="auto"/>
            </w:tcBorders>
            <w:vAlign w:val="center"/>
          </w:tcPr>
          <w:p w14:paraId="64C3739C"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393712F8" w14:textId="3DD485B6" w:rsidR="005A3DC8" w:rsidRPr="00FC6D86" w:rsidRDefault="005A3DC8" w:rsidP="008231B8">
            <w:pPr>
              <w:spacing w:line="240" w:lineRule="auto"/>
              <w:jc w:val="center"/>
              <w:rPr>
                <w:sz w:val="14"/>
                <w:szCs w:val="14"/>
                <w:lang w:val="en-GB"/>
              </w:rPr>
            </w:pPr>
            <w:r w:rsidRPr="00FC6D86">
              <w:rPr>
                <w:sz w:val="14"/>
                <w:szCs w:val="14"/>
                <w:lang w:val="en-GB"/>
              </w:rPr>
              <w:t>0.9</w:t>
            </w:r>
            <w:r w:rsidR="00946CCD">
              <w:rPr>
                <w:sz w:val="14"/>
                <w:szCs w:val="14"/>
                <w:lang w:val="en-GB"/>
              </w:rPr>
              <w:t>6</w:t>
            </w:r>
          </w:p>
        </w:tc>
        <w:tc>
          <w:tcPr>
            <w:tcW w:w="724" w:type="dxa"/>
            <w:tcBorders>
              <w:top w:val="single" w:sz="6" w:space="0" w:color="auto"/>
              <w:left w:val="single" w:sz="6" w:space="0" w:color="auto"/>
              <w:bottom w:val="single" w:sz="6" w:space="0" w:color="auto"/>
              <w:right w:val="single" w:sz="6" w:space="0" w:color="auto"/>
            </w:tcBorders>
            <w:vAlign w:val="center"/>
          </w:tcPr>
          <w:p w14:paraId="10DF9222"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single" w:sz="6" w:space="0" w:color="auto"/>
              <w:right w:val="single" w:sz="6" w:space="0" w:color="auto"/>
            </w:tcBorders>
            <w:vAlign w:val="center"/>
          </w:tcPr>
          <w:p w14:paraId="6BF5D440"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single" w:sz="6" w:space="0" w:color="auto"/>
              <w:right w:val="single" w:sz="6" w:space="0" w:color="auto"/>
            </w:tcBorders>
            <w:vAlign w:val="center"/>
          </w:tcPr>
          <w:p w14:paraId="50DC9A67"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3A1C44B3"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5D7919C1" w14:textId="77777777" w:rsidTr="00887829">
        <w:tc>
          <w:tcPr>
            <w:tcW w:w="1110" w:type="dxa"/>
            <w:vMerge/>
            <w:tcBorders>
              <w:left w:val="double" w:sz="4" w:space="0" w:color="auto"/>
              <w:right w:val="single" w:sz="6" w:space="0" w:color="auto"/>
            </w:tcBorders>
            <w:vAlign w:val="center"/>
          </w:tcPr>
          <w:p w14:paraId="14A4EBEC"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14:paraId="15FB6D71" w14:textId="77777777" w:rsidR="005A3DC8" w:rsidRPr="00FC6D86" w:rsidRDefault="005A3DC8" w:rsidP="00410789">
            <w:pPr>
              <w:spacing w:line="240" w:lineRule="auto"/>
              <w:rPr>
                <w:color w:val="000000"/>
                <w:sz w:val="14"/>
                <w:szCs w:val="14"/>
                <w:lang w:val="en-GB"/>
              </w:rPr>
            </w:pPr>
            <w:r w:rsidRPr="00FC6D86">
              <w:rPr>
                <w:color w:val="000000"/>
                <w:sz w:val="14"/>
                <w:szCs w:val="14"/>
                <w:lang w:val="en-GB"/>
              </w:rPr>
              <w:t>Euro 6 2018-2020</w:t>
            </w:r>
          </w:p>
        </w:tc>
        <w:tc>
          <w:tcPr>
            <w:tcW w:w="630" w:type="dxa"/>
            <w:tcBorders>
              <w:top w:val="single" w:sz="6" w:space="0" w:color="auto"/>
              <w:left w:val="single" w:sz="6" w:space="0" w:color="auto"/>
              <w:bottom w:val="single" w:sz="6" w:space="0" w:color="auto"/>
              <w:right w:val="single" w:sz="6" w:space="0" w:color="auto"/>
            </w:tcBorders>
            <w:vAlign w:val="center"/>
          </w:tcPr>
          <w:p w14:paraId="69A23E12"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single" w:sz="6" w:space="0" w:color="auto"/>
              <w:right w:val="single" w:sz="6" w:space="0" w:color="auto"/>
            </w:tcBorders>
            <w:vAlign w:val="center"/>
          </w:tcPr>
          <w:p w14:paraId="10343752"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single" w:sz="6" w:space="0" w:color="auto"/>
              <w:right w:val="single" w:sz="6" w:space="0" w:color="auto"/>
            </w:tcBorders>
            <w:vAlign w:val="center"/>
          </w:tcPr>
          <w:p w14:paraId="3E3B0527" w14:textId="77777777" w:rsidR="005A3DC8" w:rsidRPr="00FC6D86" w:rsidRDefault="005A3DC8" w:rsidP="008231B8">
            <w:pPr>
              <w:spacing w:line="240" w:lineRule="auto"/>
              <w:jc w:val="center"/>
              <w:rPr>
                <w:sz w:val="14"/>
                <w:szCs w:val="14"/>
                <w:lang w:val="en-GB"/>
              </w:rPr>
            </w:pPr>
            <w:r w:rsidRPr="00FC6D86">
              <w:rPr>
                <w:sz w:val="14"/>
                <w:szCs w:val="14"/>
                <w:lang w:val="en-GB"/>
              </w:rPr>
              <w:t>0.496</w:t>
            </w:r>
          </w:p>
        </w:tc>
        <w:tc>
          <w:tcPr>
            <w:tcW w:w="724" w:type="dxa"/>
            <w:tcBorders>
              <w:top w:val="single" w:sz="6" w:space="0" w:color="auto"/>
              <w:left w:val="single" w:sz="6" w:space="0" w:color="auto"/>
              <w:bottom w:val="single" w:sz="6" w:space="0" w:color="auto"/>
              <w:right w:val="single" w:sz="6" w:space="0" w:color="auto"/>
            </w:tcBorders>
            <w:vAlign w:val="center"/>
          </w:tcPr>
          <w:p w14:paraId="79418421"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single" w:sz="6" w:space="0" w:color="auto"/>
              <w:right w:val="single" w:sz="6" w:space="0" w:color="auto"/>
            </w:tcBorders>
            <w:vAlign w:val="center"/>
          </w:tcPr>
          <w:p w14:paraId="6176D375"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single" w:sz="6" w:space="0" w:color="auto"/>
              <w:right w:val="single" w:sz="6" w:space="0" w:color="auto"/>
            </w:tcBorders>
            <w:vAlign w:val="center"/>
          </w:tcPr>
          <w:p w14:paraId="269B17E2"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single" w:sz="6" w:space="0" w:color="auto"/>
              <w:right w:val="double" w:sz="4" w:space="0" w:color="auto"/>
            </w:tcBorders>
            <w:vAlign w:val="center"/>
          </w:tcPr>
          <w:p w14:paraId="26EFED8E" w14:textId="77777777" w:rsidR="005A3DC8" w:rsidRDefault="005A3DC8" w:rsidP="008231B8">
            <w:pPr>
              <w:spacing w:line="240" w:lineRule="auto"/>
              <w:jc w:val="center"/>
              <w:rPr>
                <w:sz w:val="14"/>
                <w:szCs w:val="14"/>
                <w:lang w:val="en-GB"/>
              </w:rPr>
            </w:pPr>
            <w:r w:rsidRPr="000855B2">
              <w:rPr>
                <w:sz w:val="14"/>
                <w:szCs w:val="14"/>
                <w:lang w:val="en-GB"/>
              </w:rPr>
              <w:t>3.98E-01</w:t>
            </w:r>
          </w:p>
        </w:tc>
      </w:tr>
      <w:tr w:rsidR="005A3DC8" w:rsidRPr="000855B2" w14:paraId="5C871E4C" w14:textId="77777777" w:rsidTr="00887829">
        <w:tc>
          <w:tcPr>
            <w:tcW w:w="1110" w:type="dxa"/>
            <w:vMerge/>
            <w:tcBorders>
              <w:left w:val="double" w:sz="4" w:space="0" w:color="auto"/>
              <w:bottom w:val="double" w:sz="4" w:space="0" w:color="auto"/>
              <w:right w:val="single" w:sz="6" w:space="0" w:color="auto"/>
            </w:tcBorders>
            <w:vAlign w:val="center"/>
          </w:tcPr>
          <w:p w14:paraId="09DDF1A9" w14:textId="77777777" w:rsidR="005A3DC8" w:rsidRDefault="005A3DC8" w:rsidP="008231B8">
            <w:pPr>
              <w:spacing w:line="240" w:lineRule="auto"/>
              <w:jc w:val="center"/>
              <w:rPr>
                <w:sz w:val="14"/>
                <w:szCs w:val="14"/>
                <w:lang w:val="en-GB"/>
              </w:rPr>
            </w:pPr>
          </w:p>
        </w:tc>
        <w:tc>
          <w:tcPr>
            <w:tcW w:w="1800" w:type="dxa"/>
            <w:tcBorders>
              <w:top w:val="single" w:sz="6" w:space="0" w:color="auto"/>
              <w:left w:val="single" w:sz="6" w:space="0" w:color="auto"/>
              <w:bottom w:val="double" w:sz="4" w:space="0" w:color="auto"/>
              <w:right w:val="single" w:sz="6" w:space="0" w:color="auto"/>
            </w:tcBorders>
            <w:vAlign w:val="center"/>
          </w:tcPr>
          <w:p w14:paraId="228C8D21" w14:textId="77777777" w:rsidR="005A3DC8" w:rsidRPr="00FC6D86" w:rsidRDefault="005A3DC8" w:rsidP="00410789">
            <w:pPr>
              <w:spacing w:line="240" w:lineRule="auto"/>
              <w:rPr>
                <w:sz w:val="14"/>
                <w:szCs w:val="14"/>
                <w:lang w:val="en-GB"/>
              </w:rPr>
            </w:pPr>
            <w:r w:rsidRPr="00FC6D86">
              <w:rPr>
                <w:color w:val="000000"/>
                <w:sz w:val="14"/>
                <w:szCs w:val="14"/>
                <w:lang w:val="en-GB"/>
              </w:rPr>
              <w:t>Euro 6 2021+</w:t>
            </w:r>
          </w:p>
        </w:tc>
        <w:tc>
          <w:tcPr>
            <w:tcW w:w="630" w:type="dxa"/>
            <w:tcBorders>
              <w:top w:val="single" w:sz="6" w:space="0" w:color="auto"/>
              <w:left w:val="single" w:sz="6" w:space="0" w:color="auto"/>
              <w:bottom w:val="double" w:sz="4" w:space="0" w:color="auto"/>
              <w:right w:val="single" w:sz="6" w:space="0" w:color="auto"/>
            </w:tcBorders>
            <w:vAlign w:val="center"/>
          </w:tcPr>
          <w:p w14:paraId="050EEF54" w14:textId="77777777" w:rsidR="005A3DC8" w:rsidRPr="00FC6D86" w:rsidRDefault="005A3DC8" w:rsidP="008231B8">
            <w:pPr>
              <w:spacing w:line="240" w:lineRule="auto"/>
              <w:jc w:val="center"/>
              <w:rPr>
                <w:sz w:val="14"/>
                <w:szCs w:val="14"/>
                <w:lang w:val="en-GB"/>
              </w:rPr>
            </w:pPr>
            <w:r w:rsidRPr="00FC6D86">
              <w:rPr>
                <w:sz w:val="14"/>
                <w:szCs w:val="14"/>
                <w:lang w:val="en-GB"/>
              </w:rPr>
              <w:t>0.075</w:t>
            </w:r>
          </w:p>
        </w:tc>
        <w:tc>
          <w:tcPr>
            <w:tcW w:w="810" w:type="dxa"/>
            <w:tcBorders>
              <w:top w:val="single" w:sz="6" w:space="0" w:color="auto"/>
              <w:left w:val="single" w:sz="6" w:space="0" w:color="auto"/>
              <w:bottom w:val="double" w:sz="4" w:space="0" w:color="auto"/>
              <w:right w:val="single" w:sz="6" w:space="0" w:color="auto"/>
            </w:tcBorders>
            <w:vAlign w:val="center"/>
          </w:tcPr>
          <w:p w14:paraId="29000FCE" w14:textId="77777777" w:rsidR="005A3DC8" w:rsidRPr="00FC6D86" w:rsidRDefault="005A3DC8" w:rsidP="008231B8">
            <w:pPr>
              <w:spacing w:line="240" w:lineRule="auto"/>
              <w:jc w:val="center"/>
              <w:rPr>
                <w:sz w:val="14"/>
                <w:szCs w:val="14"/>
                <w:lang w:val="en-GB"/>
              </w:rPr>
            </w:pPr>
            <w:r w:rsidRPr="00FC6D86">
              <w:rPr>
                <w:sz w:val="14"/>
                <w:szCs w:val="14"/>
                <w:lang w:val="en-GB"/>
              </w:rPr>
              <w:t>0.035</w:t>
            </w:r>
          </w:p>
        </w:tc>
        <w:tc>
          <w:tcPr>
            <w:tcW w:w="806" w:type="dxa"/>
            <w:tcBorders>
              <w:top w:val="single" w:sz="6" w:space="0" w:color="auto"/>
              <w:left w:val="single" w:sz="6" w:space="0" w:color="auto"/>
              <w:bottom w:val="double" w:sz="4" w:space="0" w:color="auto"/>
              <w:right w:val="single" w:sz="6" w:space="0" w:color="auto"/>
            </w:tcBorders>
            <w:vAlign w:val="center"/>
          </w:tcPr>
          <w:p w14:paraId="026B24B6" w14:textId="77777777" w:rsidR="005A3DC8" w:rsidRPr="00FC6D86" w:rsidRDefault="005A3DC8" w:rsidP="008231B8">
            <w:pPr>
              <w:spacing w:line="240" w:lineRule="auto"/>
              <w:jc w:val="center"/>
              <w:rPr>
                <w:sz w:val="14"/>
                <w:szCs w:val="14"/>
                <w:lang w:val="en-GB"/>
              </w:rPr>
            </w:pPr>
            <w:r w:rsidRPr="00FC6D86">
              <w:rPr>
                <w:sz w:val="14"/>
                <w:szCs w:val="14"/>
                <w:lang w:val="en-GB"/>
              </w:rPr>
              <w:t>0.248</w:t>
            </w:r>
          </w:p>
        </w:tc>
        <w:tc>
          <w:tcPr>
            <w:tcW w:w="724" w:type="dxa"/>
            <w:tcBorders>
              <w:top w:val="single" w:sz="6" w:space="0" w:color="auto"/>
              <w:left w:val="single" w:sz="6" w:space="0" w:color="auto"/>
              <w:bottom w:val="double" w:sz="4" w:space="0" w:color="auto"/>
              <w:right w:val="single" w:sz="6" w:space="0" w:color="auto"/>
            </w:tcBorders>
            <w:vAlign w:val="center"/>
          </w:tcPr>
          <w:p w14:paraId="636C098C"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671" w:type="dxa"/>
            <w:tcBorders>
              <w:top w:val="single" w:sz="6" w:space="0" w:color="auto"/>
              <w:left w:val="single" w:sz="6" w:space="0" w:color="auto"/>
              <w:bottom w:val="double" w:sz="4" w:space="0" w:color="auto"/>
              <w:right w:val="single" w:sz="6" w:space="0" w:color="auto"/>
            </w:tcBorders>
            <w:vAlign w:val="center"/>
          </w:tcPr>
          <w:p w14:paraId="42B718E0"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0" w:type="dxa"/>
            <w:tcBorders>
              <w:top w:val="single" w:sz="6" w:space="0" w:color="auto"/>
              <w:left w:val="single" w:sz="6" w:space="0" w:color="auto"/>
              <w:bottom w:val="double" w:sz="4" w:space="0" w:color="auto"/>
              <w:right w:val="single" w:sz="6" w:space="0" w:color="auto"/>
            </w:tcBorders>
            <w:vAlign w:val="center"/>
          </w:tcPr>
          <w:p w14:paraId="05423221" w14:textId="77777777" w:rsidR="005A3DC8" w:rsidRDefault="005A3DC8" w:rsidP="008231B8">
            <w:pPr>
              <w:spacing w:line="240" w:lineRule="auto"/>
              <w:jc w:val="center"/>
              <w:rPr>
                <w:sz w:val="14"/>
                <w:szCs w:val="14"/>
                <w:lang w:val="en-GB"/>
              </w:rPr>
            </w:pPr>
            <w:r w:rsidRPr="000855B2">
              <w:rPr>
                <w:sz w:val="14"/>
                <w:szCs w:val="14"/>
                <w:lang w:val="en-GB"/>
              </w:rPr>
              <w:t>4.17E-06</w:t>
            </w:r>
          </w:p>
        </w:tc>
        <w:tc>
          <w:tcPr>
            <w:tcW w:w="819" w:type="dxa"/>
            <w:tcBorders>
              <w:top w:val="single" w:sz="6" w:space="0" w:color="auto"/>
              <w:left w:val="single" w:sz="6" w:space="0" w:color="auto"/>
              <w:bottom w:val="double" w:sz="4" w:space="0" w:color="auto"/>
              <w:right w:val="double" w:sz="4" w:space="0" w:color="auto"/>
            </w:tcBorders>
            <w:vAlign w:val="center"/>
          </w:tcPr>
          <w:p w14:paraId="5789CCEA" w14:textId="77777777" w:rsidR="005A3DC8" w:rsidRDefault="005A3DC8" w:rsidP="008231B8">
            <w:pPr>
              <w:spacing w:line="240" w:lineRule="auto"/>
              <w:jc w:val="center"/>
              <w:rPr>
                <w:sz w:val="14"/>
                <w:szCs w:val="14"/>
                <w:lang w:val="en-GB"/>
              </w:rPr>
            </w:pPr>
            <w:r w:rsidRPr="000855B2">
              <w:rPr>
                <w:sz w:val="14"/>
                <w:szCs w:val="14"/>
                <w:lang w:val="en-GB"/>
              </w:rPr>
              <w:t>3.98E-01</w:t>
            </w:r>
          </w:p>
        </w:tc>
      </w:tr>
    </w:tbl>
    <w:bookmarkEnd w:id="91"/>
    <w:p w14:paraId="46A23C06" w14:textId="694E7D5E"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20</w:t>
      </w:r>
      <w:r w:rsidR="00FB454C">
        <w:rPr>
          <w:noProof/>
        </w:rPr>
        <w:fldChar w:fldCharType="end"/>
      </w:r>
      <w:r w:rsidR="00944F54">
        <w:t xml:space="preserve">: </w:t>
      </w:r>
      <w:r w:rsidR="001D2587" w:rsidRPr="000855B2">
        <w:t xml:space="preserve">Tier 2 </w:t>
      </w:r>
      <w:r w:rsidR="006C1502" w:rsidRPr="000855B2">
        <w:t xml:space="preserve">exhaust </w:t>
      </w:r>
      <w:r w:rsidR="001D2587" w:rsidRPr="000855B2">
        <w:t xml:space="preserve">emission factors for </w:t>
      </w:r>
      <w:r w:rsidR="00CF67A4" w:rsidRPr="000855B2">
        <w:t>light commercial</w:t>
      </w:r>
      <w:r w:rsidR="001D2587" w:rsidRPr="000855B2">
        <w:t xml:space="preserve"> vehicles,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w:t>
      </w:r>
    </w:p>
    <w:tbl>
      <w:tblPr>
        <w:tblW w:w="8116" w:type="dxa"/>
        <w:tblLayout w:type="fixed"/>
        <w:tblLook w:val="0000" w:firstRow="0" w:lastRow="0" w:firstColumn="0" w:lastColumn="0" w:noHBand="0" w:noVBand="0"/>
      </w:tblPr>
      <w:tblGrid>
        <w:gridCol w:w="1371"/>
        <w:gridCol w:w="1828"/>
        <w:gridCol w:w="1158"/>
        <w:gridCol w:w="1158"/>
        <w:gridCol w:w="853"/>
        <w:gridCol w:w="853"/>
        <w:gridCol w:w="895"/>
      </w:tblGrid>
      <w:tr w:rsidR="00C11E19" w:rsidRPr="000855B2" w14:paraId="7B7A5937" w14:textId="77777777" w:rsidTr="00887829">
        <w:tc>
          <w:tcPr>
            <w:tcW w:w="1371" w:type="dxa"/>
            <w:tcBorders>
              <w:top w:val="double" w:sz="4" w:space="0" w:color="auto"/>
              <w:left w:val="double" w:sz="4" w:space="0" w:color="auto"/>
              <w:bottom w:val="single" w:sz="6" w:space="0" w:color="auto"/>
              <w:right w:val="single" w:sz="6" w:space="0" w:color="auto"/>
            </w:tcBorders>
            <w:vAlign w:val="center"/>
          </w:tcPr>
          <w:p w14:paraId="58E59A07" w14:textId="77777777" w:rsidR="00957E20" w:rsidRDefault="00C11E19" w:rsidP="008231B8">
            <w:pPr>
              <w:autoSpaceDE w:val="0"/>
              <w:autoSpaceDN w:val="0"/>
              <w:adjustRightInd w:val="0"/>
              <w:spacing w:line="240" w:lineRule="auto"/>
              <w:jc w:val="center"/>
              <w:rPr>
                <w:b/>
                <w:bCs/>
                <w:color w:val="000000"/>
                <w:sz w:val="14"/>
                <w:szCs w:val="14"/>
                <w:lang w:val="en-GB"/>
              </w:rPr>
            </w:pPr>
            <w:bookmarkStart w:id="92" w:name="OLE_LINK9"/>
            <w:r w:rsidRPr="000855B2">
              <w:rPr>
                <w:b/>
                <w:bCs/>
                <w:color w:val="000000"/>
                <w:sz w:val="14"/>
                <w:szCs w:val="14"/>
                <w:lang w:val="en-GB"/>
              </w:rPr>
              <w:t>Type</w:t>
            </w:r>
          </w:p>
        </w:tc>
        <w:tc>
          <w:tcPr>
            <w:tcW w:w="1828" w:type="dxa"/>
            <w:vMerge w:val="restart"/>
            <w:tcBorders>
              <w:top w:val="double" w:sz="4" w:space="0" w:color="auto"/>
              <w:left w:val="single" w:sz="6" w:space="0" w:color="auto"/>
              <w:right w:val="single" w:sz="6" w:space="0" w:color="auto"/>
            </w:tcBorders>
            <w:vAlign w:val="center"/>
          </w:tcPr>
          <w:p w14:paraId="7B52F54D" w14:textId="77777777" w:rsidR="00C11E19" w:rsidRPr="000855B2"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1158" w:type="dxa"/>
            <w:tcBorders>
              <w:top w:val="double" w:sz="4" w:space="0" w:color="auto"/>
              <w:left w:val="single" w:sz="6" w:space="0" w:color="auto"/>
              <w:bottom w:val="single" w:sz="6" w:space="0" w:color="auto"/>
              <w:right w:val="single" w:sz="6" w:space="0" w:color="auto"/>
            </w:tcBorders>
            <w:vAlign w:val="center"/>
          </w:tcPr>
          <w:p w14:paraId="3899875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w:t>
            </w:r>
          </w:p>
        </w:tc>
        <w:tc>
          <w:tcPr>
            <w:tcW w:w="1158" w:type="dxa"/>
            <w:tcBorders>
              <w:top w:val="double" w:sz="4" w:space="0" w:color="auto"/>
              <w:left w:val="single" w:sz="6" w:space="0" w:color="auto"/>
              <w:bottom w:val="single" w:sz="6" w:space="0" w:color="auto"/>
              <w:right w:val="single" w:sz="6" w:space="0" w:color="auto"/>
            </w:tcBorders>
            <w:vAlign w:val="center"/>
          </w:tcPr>
          <w:p w14:paraId="74EA759D"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ID(1,2,3,cd)P</w:t>
            </w:r>
          </w:p>
        </w:tc>
        <w:tc>
          <w:tcPr>
            <w:tcW w:w="853" w:type="dxa"/>
            <w:tcBorders>
              <w:top w:val="double" w:sz="4" w:space="0" w:color="auto"/>
              <w:left w:val="single" w:sz="6" w:space="0" w:color="auto"/>
              <w:bottom w:val="single" w:sz="6" w:space="0" w:color="auto"/>
              <w:right w:val="single" w:sz="6" w:space="0" w:color="auto"/>
            </w:tcBorders>
            <w:vAlign w:val="center"/>
          </w:tcPr>
          <w:p w14:paraId="61AEF3C8"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B(k)F</w:t>
            </w:r>
          </w:p>
        </w:tc>
        <w:tc>
          <w:tcPr>
            <w:tcW w:w="853" w:type="dxa"/>
            <w:tcBorders>
              <w:top w:val="double" w:sz="4" w:space="0" w:color="auto"/>
              <w:left w:val="single" w:sz="6" w:space="0" w:color="auto"/>
              <w:bottom w:val="single" w:sz="6" w:space="0" w:color="auto"/>
              <w:right w:val="single" w:sz="6" w:space="0" w:color="auto"/>
            </w:tcBorders>
            <w:vAlign w:val="center"/>
          </w:tcPr>
          <w:p w14:paraId="0FCB214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B(b)F</w:t>
            </w:r>
          </w:p>
        </w:tc>
        <w:tc>
          <w:tcPr>
            <w:tcW w:w="895" w:type="dxa"/>
            <w:tcBorders>
              <w:top w:val="double" w:sz="4" w:space="0" w:color="auto"/>
              <w:left w:val="single" w:sz="6" w:space="0" w:color="auto"/>
              <w:bottom w:val="single" w:sz="6" w:space="0" w:color="auto"/>
              <w:right w:val="double" w:sz="4" w:space="0" w:color="auto"/>
            </w:tcBorders>
            <w:vAlign w:val="center"/>
          </w:tcPr>
          <w:p w14:paraId="7EC8E15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B(a)P</w:t>
            </w:r>
          </w:p>
        </w:tc>
      </w:tr>
      <w:tr w:rsidR="00C11E19" w:rsidRPr="000855B2" w14:paraId="3F8FC284" w14:textId="77777777" w:rsidTr="00887829">
        <w:tc>
          <w:tcPr>
            <w:tcW w:w="1371" w:type="dxa"/>
            <w:tcBorders>
              <w:top w:val="single" w:sz="6" w:space="0" w:color="auto"/>
              <w:left w:val="double" w:sz="4" w:space="0" w:color="auto"/>
              <w:bottom w:val="single" w:sz="6" w:space="0" w:color="auto"/>
              <w:right w:val="single" w:sz="6" w:space="0" w:color="auto"/>
            </w:tcBorders>
            <w:vAlign w:val="center"/>
          </w:tcPr>
          <w:p w14:paraId="1FBD883F"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828" w:type="dxa"/>
            <w:vMerge/>
            <w:tcBorders>
              <w:left w:val="single" w:sz="6" w:space="0" w:color="auto"/>
              <w:right w:val="single" w:sz="6" w:space="0" w:color="auto"/>
            </w:tcBorders>
            <w:vAlign w:val="center"/>
          </w:tcPr>
          <w:p w14:paraId="452096B4"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1158" w:type="dxa"/>
            <w:tcBorders>
              <w:top w:val="single" w:sz="6" w:space="0" w:color="auto"/>
              <w:left w:val="single" w:sz="6" w:space="0" w:color="auto"/>
              <w:bottom w:val="single" w:sz="6" w:space="0" w:color="auto"/>
              <w:right w:val="single" w:sz="6" w:space="0" w:color="auto"/>
            </w:tcBorders>
            <w:vAlign w:val="center"/>
          </w:tcPr>
          <w:p w14:paraId="0E424B9D"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1158" w:type="dxa"/>
            <w:tcBorders>
              <w:top w:val="single" w:sz="6" w:space="0" w:color="auto"/>
              <w:left w:val="single" w:sz="6" w:space="0" w:color="auto"/>
              <w:bottom w:val="single" w:sz="6" w:space="0" w:color="auto"/>
              <w:right w:val="single" w:sz="6" w:space="0" w:color="auto"/>
            </w:tcBorders>
            <w:vAlign w:val="center"/>
          </w:tcPr>
          <w:p w14:paraId="205B7FCF"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3" w:type="dxa"/>
            <w:tcBorders>
              <w:top w:val="single" w:sz="6" w:space="0" w:color="auto"/>
              <w:left w:val="single" w:sz="6" w:space="0" w:color="auto"/>
              <w:bottom w:val="single" w:sz="6" w:space="0" w:color="auto"/>
              <w:right w:val="single" w:sz="6" w:space="0" w:color="auto"/>
            </w:tcBorders>
            <w:vAlign w:val="center"/>
          </w:tcPr>
          <w:p w14:paraId="7142DD65"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3" w:type="dxa"/>
            <w:tcBorders>
              <w:top w:val="single" w:sz="6" w:space="0" w:color="auto"/>
              <w:left w:val="single" w:sz="6" w:space="0" w:color="auto"/>
              <w:bottom w:val="single" w:sz="6" w:space="0" w:color="auto"/>
              <w:right w:val="single" w:sz="6" w:space="0" w:color="auto"/>
            </w:tcBorders>
            <w:vAlign w:val="center"/>
          </w:tcPr>
          <w:p w14:paraId="2D346A8C"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95" w:type="dxa"/>
            <w:tcBorders>
              <w:top w:val="single" w:sz="6" w:space="0" w:color="auto"/>
              <w:left w:val="single" w:sz="6" w:space="0" w:color="auto"/>
              <w:bottom w:val="single" w:sz="6" w:space="0" w:color="auto"/>
              <w:right w:val="double" w:sz="4" w:space="0" w:color="auto"/>
            </w:tcBorders>
            <w:vAlign w:val="center"/>
          </w:tcPr>
          <w:p w14:paraId="4EE84444"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C11E19" w:rsidRPr="000855B2" w14:paraId="4EC57520" w14:textId="77777777" w:rsidTr="00246BA6">
        <w:tc>
          <w:tcPr>
            <w:tcW w:w="1371" w:type="dxa"/>
            <w:tcBorders>
              <w:top w:val="single" w:sz="6" w:space="0" w:color="auto"/>
              <w:left w:val="double" w:sz="4" w:space="0" w:color="auto"/>
              <w:bottom w:val="single" w:sz="12" w:space="0" w:color="auto"/>
              <w:right w:val="single" w:sz="6" w:space="0" w:color="auto"/>
            </w:tcBorders>
            <w:vAlign w:val="center"/>
          </w:tcPr>
          <w:p w14:paraId="09260551"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828" w:type="dxa"/>
            <w:vMerge/>
            <w:tcBorders>
              <w:left w:val="single" w:sz="6" w:space="0" w:color="auto"/>
              <w:bottom w:val="single" w:sz="12" w:space="0" w:color="auto"/>
              <w:right w:val="single" w:sz="6" w:space="0" w:color="auto"/>
            </w:tcBorders>
            <w:vAlign w:val="center"/>
          </w:tcPr>
          <w:p w14:paraId="12A6B338"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1158" w:type="dxa"/>
            <w:tcBorders>
              <w:top w:val="single" w:sz="6" w:space="0" w:color="auto"/>
              <w:left w:val="single" w:sz="6" w:space="0" w:color="auto"/>
              <w:bottom w:val="single" w:sz="12" w:space="0" w:color="auto"/>
              <w:right w:val="single" w:sz="6" w:space="0" w:color="auto"/>
            </w:tcBorders>
            <w:vAlign w:val="center"/>
          </w:tcPr>
          <w:p w14:paraId="20362710" w14:textId="77777777" w:rsidR="00957E20"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PM2.5=PM10=TSP</w:t>
            </w:r>
          </w:p>
        </w:tc>
        <w:tc>
          <w:tcPr>
            <w:tcW w:w="1158" w:type="dxa"/>
            <w:tcBorders>
              <w:top w:val="single" w:sz="6" w:space="0" w:color="auto"/>
              <w:left w:val="single" w:sz="6" w:space="0" w:color="auto"/>
              <w:bottom w:val="single" w:sz="12" w:space="0" w:color="auto"/>
              <w:right w:val="single" w:sz="6" w:space="0" w:color="auto"/>
            </w:tcBorders>
            <w:vAlign w:val="center"/>
          </w:tcPr>
          <w:p w14:paraId="588561BC" w14:textId="77777777" w:rsidR="00957E20" w:rsidRDefault="00957E20" w:rsidP="008231B8">
            <w:pPr>
              <w:autoSpaceDE w:val="0"/>
              <w:autoSpaceDN w:val="0"/>
              <w:adjustRightInd w:val="0"/>
              <w:spacing w:line="240" w:lineRule="auto"/>
              <w:jc w:val="center"/>
              <w:rPr>
                <w:b/>
                <w:bCs/>
                <w:color w:val="000000"/>
                <w:sz w:val="14"/>
                <w:szCs w:val="14"/>
                <w:lang w:val="en-GB"/>
              </w:rPr>
            </w:pPr>
          </w:p>
        </w:tc>
        <w:tc>
          <w:tcPr>
            <w:tcW w:w="853" w:type="dxa"/>
            <w:tcBorders>
              <w:top w:val="single" w:sz="6" w:space="0" w:color="auto"/>
              <w:left w:val="single" w:sz="6" w:space="0" w:color="auto"/>
              <w:bottom w:val="single" w:sz="12" w:space="0" w:color="auto"/>
              <w:right w:val="single" w:sz="6" w:space="0" w:color="auto"/>
            </w:tcBorders>
            <w:vAlign w:val="center"/>
          </w:tcPr>
          <w:p w14:paraId="100349BC" w14:textId="77777777" w:rsidR="00957E20" w:rsidRDefault="00957E20" w:rsidP="008231B8">
            <w:pPr>
              <w:autoSpaceDE w:val="0"/>
              <w:autoSpaceDN w:val="0"/>
              <w:adjustRightInd w:val="0"/>
              <w:spacing w:line="240" w:lineRule="auto"/>
              <w:jc w:val="center"/>
              <w:rPr>
                <w:b/>
                <w:bCs/>
                <w:color w:val="000000"/>
                <w:sz w:val="14"/>
                <w:szCs w:val="14"/>
                <w:lang w:val="en-GB"/>
              </w:rPr>
            </w:pPr>
          </w:p>
        </w:tc>
        <w:tc>
          <w:tcPr>
            <w:tcW w:w="853" w:type="dxa"/>
            <w:tcBorders>
              <w:top w:val="single" w:sz="6" w:space="0" w:color="auto"/>
              <w:left w:val="single" w:sz="6" w:space="0" w:color="auto"/>
              <w:bottom w:val="single" w:sz="12" w:space="0" w:color="auto"/>
              <w:right w:val="single" w:sz="6" w:space="0" w:color="auto"/>
            </w:tcBorders>
            <w:vAlign w:val="center"/>
          </w:tcPr>
          <w:p w14:paraId="69305C01" w14:textId="77777777" w:rsidR="00957E20" w:rsidRDefault="00957E20" w:rsidP="008231B8">
            <w:pPr>
              <w:autoSpaceDE w:val="0"/>
              <w:autoSpaceDN w:val="0"/>
              <w:adjustRightInd w:val="0"/>
              <w:spacing w:line="240" w:lineRule="auto"/>
              <w:jc w:val="center"/>
              <w:rPr>
                <w:b/>
                <w:bCs/>
                <w:color w:val="000000"/>
                <w:sz w:val="14"/>
                <w:szCs w:val="14"/>
                <w:lang w:val="en-GB"/>
              </w:rPr>
            </w:pPr>
          </w:p>
        </w:tc>
        <w:tc>
          <w:tcPr>
            <w:tcW w:w="895" w:type="dxa"/>
            <w:tcBorders>
              <w:top w:val="single" w:sz="6" w:space="0" w:color="auto"/>
              <w:left w:val="single" w:sz="6" w:space="0" w:color="auto"/>
              <w:bottom w:val="single" w:sz="12" w:space="0" w:color="auto"/>
              <w:right w:val="double" w:sz="4" w:space="0" w:color="auto"/>
            </w:tcBorders>
            <w:vAlign w:val="center"/>
          </w:tcPr>
          <w:p w14:paraId="7F4680BB" w14:textId="77777777" w:rsidR="00957E20" w:rsidRDefault="00957E20" w:rsidP="008231B8">
            <w:pPr>
              <w:autoSpaceDE w:val="0"/>
              <w:autoSpaceDN w:val="0"/>
              <w:adjustRightInd w:val="0"/>
              <w:spacing w:line="240" w:lineRule="auto"/>
              <w:jc w:val="center"/>
              <w:rPr>
                <w:b/>
                <w:bCs/>
                <w:color w:val="000000"/>
                <w:sz w:val="14"/>
                <w:szCs w:val="14"/>
                <w:lang w:val="en-GB"/>
              </w:rPr>
            </w:pPr>
          </w:p>
        </w:tc>
      </w:tr>
      <w:tr w:rsidR="005A3DC8" w:rsidRPr="000855B2" w14:paraId="702A0BE6" w14:textId="77777777" w:rsidTr="00246BA6">
        <w:tc>
          <w:tcPr>
            <w:tcW w:w="1371" w:type="dxa"/>
            <w:vMerge w:val="restart"/>
            <w:tcBorders>
              <w:top w:val="single" w:sz="12" w:space="0" w:color="auto"/>
              <w:left w:val="double" w:sz="4" w:space="0" w:color="auto"/>
              <w:right w:val="single" w:sz="6" w:space="0" w:color="auto"/>
            </w:tcBorders>
            <w:vAlign w:val="center"/>
          </w:tcPr>
          <w:p w14:paraId="082B3BBF" w14:textId="77777777" w:rsidR="005A3DC8" w:rsidRDefault="008231B8" w:rsidP="0000485C">
            <w:pPr>
              <w:spacing w:line="240" w:lineRule="auto"/>
              <w:rPr>
                <w:sz w:val="14"/>
                <w:szCs w:val="14"/>
                <w:lang w:val="en-GB"/>
              </w:rPr>
            </w:pPr>
            <w:r>
              <w:rPr>
                <w:sz w:val="14"/>
                <w:szCs w:val="14"/>
                <w:lang w:val="en-GB"/>
              </w:rPr>
              <w:t>Petrol</w:t>
            </w:r>
          </w:p>
        </w:tc>
        <w:tc>
          <w:tcPr>
            <w:tcW w:w="1828" w:type="dxa"/>
            <w:tcBorders>
              <w:top w:val="single" w:sz="12" w:space="0" w:color="auto"/>
              <w:left w:val="single" w:sz="6" w:space="0" w:color="auto"/>
              <w:bottom w:val="single" w:sz="6" w:space="0" w:color="auto"/>
              <w:right w:val="single" w:sz="6" w:space="0" w:color="auto"/>
            </w:tcBorders>
            <w:vAlign w:val="center"/>
          </w:tcPr>
          <w:p w14:paraId="7D9FD02C" w14:textId="77777777" w:rsidR="005A3DC8" w:rsidRDefault="005A3DC8" w:rsidP="00410789">
            <w:pPr>
              <w:spacing w:line="240" w:lineRule="auto"/>
              <w:rPr>
                <w:sz w:val="14"/>
                <w:szCs w:val="14"/>
                <w:lang w:val="en-GB"/>
              </w:rPr>
            </w:pPr>
            <w:r w:rsidRPr="000855B2">
              <w:rPr>
                <w:sz w:val="14"/>
                <w:szCs w:val="14"/>
                <w:lang w:val="en-GB"/>
              </w:rPr>
              <w:t>Conventional</w:t>
            </w:r>
          </w:p>
        </w:tc>
        <w:tc>
          <w:tcPr>
            <w:tcW w:w="1158" w:type="dxa"/>
            <w:tcBorders>
              <w:top w:val="single" w:sz="12" w:space="0" w:color="auto"/>
              <w:left w:val="single" w:sz="6" w:space="0" w:color="auto"/>
              <w:bottom w:val="single" w:sz="6" w:space="0" w:color="auto"/>
              <w:right w:val="single" w:sz="6" w:space="0" w:color="auto"/>
            </w:tcBorders>
            <w:vAlign w:val="center"/>
          </w:tcPr>
          <w:p w14:paraId="77021441" w14:textId="77777777" w:rsidR="005A3DC8" w:rsidRDefault="005A3DC8" w:rsidP="008231B8">
            <w:pPr>
              <w:spacing w:line="240" w:lineRule="auto"/>
              <w:jc w:val="center"/>
              <w:rPr>
                <w:sz w:val="14"/>
                <w:szCs w:val="14"/>
                <w:lang w:val="en-GB"/>
              </w:rPr>
            </w:pPr>
            <w:r w:rsidRPr="000855B2">
              <w:rPr>
                <w:sz w:val="14"/>
                <w:szCs w:val="14"/>
                <w:lang w:val="en-GB"/>
              </w:rPr>
              <w:t>0.0023</w:t>
            </w:r>
          </w:p>
        </w:tc>
        <w:tc>
          <w:tcPr>
            <w:tcW w:w="1158" w:type="dxa"/>
            <w:tcBorders>
              <w:top w:val="single" w:sz="12" w:space="0" w:color="auto"/>
              <w:left w:val="single" w:sz="6" w:space="0" w:color="auto"/>
              <w:bottom w:val="single" w:sz="6" w:space="0" w:color="auto"/>
              <w:right w:val="single" w:sz="6" w:space="0" w:color="auto"/>
            </w:tcBorders>
            <w:vAlign w:val="center"/>
          </w:tcPr>
          <w:p w14:paraId="25CFED96" w14:textId="77777777" w:rsidR="005A3DC8" w:rsidRDefault="005A3DC8" w:rsidP="008231B8">
            <w:pPr>
              <w:spacing w:line="240" w:lineRule="auto"/>
              <w:jc w:val="center"/>
              <w:rPr>
                <w:sz w:val="14"/>
                <w:szCs w:val="14"/>
                <w:lang w:val="en-GB"/>
              </w:rPr>
            </w:pPr>
            <w:r w:rsidRPr="000855B2">
              <w:rPr>
                <w:sz w:val="14"/>
                <w:szCs w:val="14"/>
                <w:lang w:val="en-GB"/>
              </w:rPr>
              <w:t>1.03E-06</w:t>
            </w:r>
          </w:p>
        </w:tc>
        <w:tc>
          <w:tcPr>
            <w:tcW w:w="853" w:type="dxa"/>
            <w:tcBorders>
              <w:top w:val="single" w:sz="12" w:space="0" w:color="auto"/>
              <w:left w:val="single" w:sz="6" w:space="0" w:color="auto"/>
              <w:bottom w:val="single" w:sz="6" w:space="0" w:color="auto"/>
              <w:right w:val="single" w:sz="6" w:space="0" w:color="auto"/>
            </w:tcBorders>
            <w:vAlign w:val="center"/>
          </w:tcPr>
          <w:p w14:paraId="34DA6397" w14:textId="77777777" w:rsidR="005A3DC8" w:rsidRDefault="005A3DC8" w:rsidP="008231B8">
            <w:pPr>
              <w:spacing w:line="240" w:lineRule="auto"/>
              <w:jc w:val="center"/>
              <w:rPr>
                <w:sz w:val="14"/>
                <w:szCs w:val="14"/>
                <w:lang w:val="en-GB"/>
              </w:rPr>
            </w:pPr>
            <w:r w:rsidRPr="000855B2">
              <w:rPr>
                <w:sz w:val="14"/>
                <w:szCs w:val="14"/>
                <w:lang w:val="en-GB"/>
              </w:rPr>
              <w:t>3.00E-07</w:t>
            </w:r>
          </w:p>
        </w:tc>
        <w:tc>
          <w:tcPr>
            <w:tcW w:w="853" w:type="dxa"/>
            <w:tcBorders>
              <w:top w:val="single" w:sz="12" w:space="0" w:color="auto"/>
              <w:left w:val="single" w:sz="6" w:space="0" w:color="auto"/>
              <w:bottom w:val="single" w:sz="6" w:space="0" w:color="auto"/>
              <w:right w:val="single" w:sz="6" w:space="0" w:color="auto"/>
            </w:tcBorders>
            <w:vAlign w:val="center"/>
          </w:tcPr>
          <w:p w14:paraId="392B785D" w14:textId="77777777" w:rsidR="005A3DC8" w:rsidRDefault="005A3DC8" w:rsidP="008231B8">
            <w:pPr>
              <w:spacing w:line="240" w:lineRule="auto"/>
              <w:jc w:val="center"/>
              <w:rPr>
                <w:sz w:val="14"/>
                <w:szCs w:val="14"/>
                <w:lang w:val="en-GB"/>
              </w:rPr>
            </w:pPr>
            <w:r w:rsidRPr="000855B2">
              <w:rPr>
                <w:sz w:val="14"/>
                <w:szCs w:val="14"/>
                <w:lang w:val="en-GB"/>
              </w:rPr>
              <w:t>8.80E-07</w:t>
            </w:r>
          </w:p>
        </w:tc>
        <w:tc>
          <w:tcPr>
            <w:tcW w:w="895" w:type="dxa"/>
            <w:tcBorders>
              <w:top w:val="single" w:sz="12" w:space="0" w:color="auto"/>
              <w:left w:val="single" w:sz="6" w:space="0" w:color="auto"/>
              <w:bottom w:val="single" w:sz="6" w:space="0" w:color="auto"/>
              <w:right w:val="double" w:sz="4" w:space="0" w:color="auto"/>
            </w:tcBorders>
            <w:vAlign w:val="center"/>
          </w:tcPr>
          <w:p w14:paraId="53B55FD3" w14:textId="77777777" w:rsidR="005A3DC8" w:rsidRDefault="005A3DC8" w:rsidP="008231B8">
            <w:pPr>
              <w:spacing w:line="240" w:lineRule="auto"/>
              <w:jc w:val="center"/>
              <w:rPr>
                <w:sz w:val="14"/>
                <w:szCs w:val="14"/>
                <w:lang w:val="en-GB"/>
              </w:rPr>
            </w:pPr>
            <w:r w:rsidRPr="000855B2">
              <w:rPr>
                <w:sz w:val="14"/>
                <w:szCs w:val="14"/>
                <w:lang w:val="en-GB"/>
              </w:rPr>
              <w:t>4.80E-07</w:t>
            </w:r>
          </w:p>
        </w:tc>
      </w:tr>
      <w:tr w:rsidR="005A3DC8" w:rsidRPr="000855B2" w14:paraId="67FF948B" w14:textId="77777777" w:rsidTr="00887829">
        <w:tc>
          <w:tcPr>
            <w:tcW w:w="1371" w:type="dxa"/>
            <w:vMerge/>
            <w:tcBorders>
              <w:left w:val="double" w:sz="4" w:space="0" w:color="auto"/>
              <w:right w:val="single" w:sz="6" w:space="0" w:color="auto"/>
            </w:tcBorders>
            <w:vAlign w:val="center"/>
          </w:tcPr>
          <w:p w14:paraId="18176620"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54B59EEF" w14:textId="77777777" w:rsidR="005A3DC8" w:rsidRDefault="005A3DC8" w:rsidP="00410789">
            <w:pPr>
              <w:spacing w:line="240" w:lineRule="auto"/>
              <w:rPr>
                <w:sz w:val="14"/>
                <w:szCs w:val="14"/>
                <w:lang w:val="en-GB"/>
              </w:rPr>
            </w:pPr>
            <w:r w:rsidRPr="000855B2">
              <w:rPr>
                <w:sz w:val="14"/>
                <w:szCs w:val="14"/>
                <w:lang w:val="en-GB"/>
              </w:rPr>
              <w:t>Euro 1 - 93/59/EEC</w:t>
            </w:r>
          </w:p>
        </w:tc>
        <w:tc>
          <w:tcPr>
            <w:tcW w:w="1158" w:type="dxa"/>
            <w:tcBorders>
              <w:top w:val="single" w:sz="6" w:space="0" w:color="auto"/>
              <w:left w:val="single" w:sz="6" w:space="0" w:color="auto"/>
              <w:bottom w:val="single" w:sz="6" w:space="0" w:color="auto"/>
              <w:right w:val="single" w:sz="6" w:space="0" w:color="auto"/>
            </w:tcBorders>
            <w:vAlign w:val="center"/>
          </w:tcPr>
          <w:p w14:paraId="569F1156" w14:textId="77777777" w:rsidR="005A3DC8" w:rsidRDefault="005A3DC8" w:rsidP="008231B8">
            <w:pPr>
              <w:spacing w:line="240" w:lineRule="auto"/>
              <w:jc w:val="center"/>
              <w:rPr>
                <w:sz w:val="14"/>
                <w:szCs w:val="14"/>
                <w:lang w:val="en-GB"/>
              </w:rPr>
            </w:pPr>
            <w:r w:rsidRPr="000855B2">
              <w:rPr>
                <w:sz w:val="14"/>
                <w:szCs w:val="14"/>
                <w:lang w:val="en-GB"/>
              </w:rPr>
              <w:t>0.0023</w:t>
            </w:r>
          </w:p>
        </w:tc>
        <w:tc>
          <w:tcPr>
            <w:tcW w:w="1158" w:type="dxa"/>
            <w:tcBorders>
              <w:top w:val="single" w:sz="6" w:space="0" w:color="auto"/>
              <w:left w:val="single" w:sz="6" w:space="0" w:color="auto"/>
              <w:bottom w:val="single" w:sz="6" w:space="0" w:color="auto"/>
              <w:right w:val="single" w:sz="6" w:space="0" w:color="auto"/>
            </w:tcBorders>
            <w:vAlign w:val="center"/>
          </w:tcPr>
          <w:p w14:paraId="2F68FA44"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6955DD5D"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1E1A30BF"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6DCCE1CE"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3DB43FDB" w14:textId="77777777" w:rsidTr="00887829">
        <w:tc>
          <w:tcPr>
            <w:tcW w:w="1371" w:type="dxa"/>
            <w:vMerge/>
            <w:tcBorders>
              <w:left w:val="double" w:sz="4" w:space="0" w:color="auto"/>
              <w:right w:val="single" w:sz="6" w:space="0" w:color="auto"/>
            </w:tcBorders>
            <w:vAlign w:val="center"/>
          </w:tcPr>
          <w:p w14:paraId="52F28A50"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3DB0F588" w14:textId="77777777" w:rsidR="005A3DC8" w:rsidRDefault="005A3DC8" w:rsidP="00410789">
            <w:pPr>
              <w:spacing w:line="240" w:lineRule="auto"/>
              <w:rPr>
                <w:sz w:val="14"/>
                <w:szCs w:val="14"/>
                <w:lang w:val="en-GB"/>
              </w:rPr>
            </w:pPr>
            <w:r w:rsidRPr="000855B2">
              <w:rPr>
                <w:sz w:val="14"/>
                <w:szCs w:val="14"/>
                <w:lang w:val="en-GB"/>
              </w:rPr>
              <w:t>Euro 2 - 96/69/EEC</w:t>
            </w:r>
          </w:p>
        </w:tc>
        <w:tc>
          <w:tcPr>
            <w:tcW w:w="1158" w:type="dxa"/>
            <w:tcBorders>
              <w:top w:val="single" w:sz="6" w:space="0" w:color="auto"/>
              <w:left w:val="single" w:sz="6" w:space="0" w:color="auto"/>
              <w:bottom w:val="single" w:sz="6" w:space="0" w:color="auto"/>
              <w:right w:val="single" w:sz="6" w:space="0" w:color="auto"/>
            </w:tcBorders>
            <w:vAlign w:val="center"/>
          </w:tcPr>
          <w:p w14:paraId="48C82D69" w14:textId="77777777" w:rsidR="005A3DC8" w:rsidRDefault="005A3DC8" w:rsidP="008231B8">
            <w:pPr>
              <w:spacing w:line="240" w:lineRule="auto"/>
              <w:jc w:val="center"/>
              <w:rPr>
                <w:sz w:val="14"/>
                <w:szCs w:val="14"/>
                <w:lang w:val="en-GB"/>
              </w:rPr>
            </w:pPr>
            <w:r w:rsidRPr="000855B2">
              <w:rPr>
                <w:sz w:val="14"/>
                <w:szCs w:val="14"/>
                <w:lang w:val="en-GB"/>
              </w:rPr>
              <w:t>0.0023</w:t>
            </w:r>
          </w:p>
        </w:tc>
        <w:tc>
          <w:tcPr>
            <w:tcW w:w="1158" w:type="dxa"/>
            <w:tcBorders>
              <w:top w:val="single" w:sz="6" w:space="0" w:color="auto"/>
              <w:left w:val="single" w:sz="6" w:space="0" w:color="auto"/>
              <w:bottom w:val="single" w:sz="6" w:space="0" w:color="auto"/>
              <w:right w:val="single" w:sz="6" w:space="0" w:color="auto"/>
            </w:tcBorders>
            <w:vAlign w:val="center"/>
          </w:tcPr>
          <w:p w14:paraId="4282E82A"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331176FD"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400E98AF"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0B044413"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48E7D0D8" w14:textId="77777777" w:rsidTr="00887829">
        <w:tc>
          <w:tcPr>
            <w:tcW w:w="1371" w:type="dxa"/>
            <w:vMerge/>
            <w:tcBorders>
              <w:left w:val="double" w:sz="4" w:space="0" w:color="auto"/>
              <w:right w:val="single" w:sz="6" w:space="0" w:color="auto"/>
            </w:tcBorders>
            <w:vAlign w:val="center"/>
          </w:tcPr>
          <w:p w14:paraId="47027BD1"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4554D0CD" w14:textId="77777777" w:rsidR="005A3DC8" w:rsidRDefault="005A3DC8" w:rsidP="00410789">
            <w:pPr>
              <w:spacing w:line="240" w:lineRule="auto"/>
              <w:rPr>
                <w:sz w:val="14"/>
                <w:szCs w:val="14"/>
                <w:lang w:val="en-GB"/>
              </w:rPr>
            </w:pPr>
            <w:r w:rsidRPr="000855B2">
              <w:rPr>
                <w:sz w:val="14"/>
                <w:szCs w:val="14"/>
                <w:lang w:val="en-GB"/>
              </w:rPr>
              <w:t>Euro 3 - 98/69/EC I</w:t>
            </w:r>
          </w:p>
        </w:tc>
        <w:tc>
          <w:tcPr>
            <w:tcW w:w="1158" w:type="dxa"/>
            <w:tcBorders>
              <w:top w:val="single" w:sz="6" w:space="0" w:color="auto"/>
              <w:left w:val="single" w:sz="6" w:space="0" w:color="auto"/>
              <w:bottom w:val="single" w:sz="6" w:space="0" w:color="auto"/>
              <w:right w:val="single" w:sz="6" w:space="0" w:color="auto"/>
            </w:tcBorders>
            <w:vAlign w:val="center"/>
          </w:tcPr>
          <w:p w14:paraId="61DB1413" w14:textId="77777777" w:rsidR="005A3DC8" w:rsidRDefault="005A3DC8" w:rsidP="008231B8">
            <w:pPr>
              <w:spacing w:line="240" w:lineRule="auto"/>
              <w:jc w:val="center"/>
              <w:rPr>
                <w:sz w:val="14"/>
                <w:szCs w:val="14"/>
                <w:lang w:val="en-GB"/>
              </w:rPr>
            </w:pPr>
            <w:r w:rsidRPr="000855B2">
              <w:rPr>
                <w:sz w:val="14"/>
                <w:szCs w:val="14"/>
                <w:lang w:val="en-GB"/>
              </w:rPr>
              <w:t>0.0011</w:t>
            </w:r>
          </w:p>
        </w:tc>
        <w:tc>
          <w:tcPr>
            <w:tcW w:w="1158" w:type="dxa"/>
            <w:tcBorders>
              <w:top w:val="single" w:sz="6" w:space="0" w:color="auto"/>
              <w:left w:val="single" w:sz="6" w:space="0" w:color="auto"/>
              <w:bottom w:val="single" w:sz="6" w:space="0" w:color="auto"/>
              <w:right w:val="single" w:sz="6" w:space="0" w:color="auto"/>
            </w:tcBorders>
            <w:vAlign w:val="center"/>
          </w:tcPr>
          <w:p w14:paraId="2C9E014F"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44A4F676"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078FE0A4"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35A9A9E7"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6CCA612F" w14:textId="77777777" w:rsidTr="00887829">
        <w:tc>
          <w:tcPr>
            <w:tcW w:w="1371" w:type="dxa"/>
            <w:vMerge/>
            <w:tcBorders>
              <w:left w:val="double" w:sz="4" w:space="0" w:color="auto"/>
              <w:right w:val="single" w:sz="6" w:space="0" w:color="auto"/>
            </w:tcBorders>
            <w:vAlign w:val="center"/>
          </w:tcPr>
          <w:p w14:paraId="0043C4B7"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42DE5694" w14:textId="77777777" w:rsidR="005A3DC8" w:rsidRDefault="005A3DC8" w:rsidP="00410789">
            <w:pPr>
              <w:spacing w:line="240" w:lineRule="auto"/>
              <w:rPr>
                <w:sz w:val="14"/>
                <w:szCs w:val="14"/>
                <w:lang w:val="en-GB"/>
              </w:rPr>
            </w:pPr>
            <w:r w:rsidRPr="000855B2">
              <w:rPr>
                <w:sz w:val="14"/>
                <w:szCs w:val="14"/>
                <w:lang w:val="en-GB"/>
              </w:rPr>
              <w:t>Euro 4 - 98/69/EC II</w:t>
            </w:r>
          </w:p>
        </w:tc>
        <w:tc>
          <w:tcPr>
            <w:tcW w:w="1158" w:type="dxa"/>
            <w:tcBorders>
              <w:top w:val="single" w:sz="6" w:space="0" w:color="auto"/>
              <w:left w:val="single" w:sz="6" w:space="0" w:color="auto"/>
              <w:bottom w:val="single" w:sz="6" w:space="0" w:color="auto"/>
              <w:right w:val="single" w:sz="6" w:space="0" w:color="auto"/>
            </w:tcBorders>
            <w:vAlign w:val="center"/>
          </w:tcPr>
          <w:p w14:paraId="66AC4B26" w14:textId="77777777" w:rsidR="005A3DC8" w:rsidRDefault="005A3DC8" w:rsidP="008231B8">
            <w:pPr>
              <w:spacing w:line="240" w:lineRule="auto"/>
              <w:jc w:val="center"/>
              <w:rPr>
                <w:sz w:val="14"/>
                <w:szCs w:val="14"/>
                <w:lang w:val="en-GB"/>
              </w:rPr>
            </w:pPr>
            <w:r w:rsidRPr="000855B2">
              <w:rPr>
                <w:sz w:val="14"/>
                <w:szCs w:val="14"/>
                <w:lang w:val="en-GB"/>
              </w:rPr>
              <w:t>0.0011</w:t>
            </w:r>
          </w:p>
        </w:tc>
        <w:tc>
          <w:tcPr>
            <w:tcW w:w="1158" w:type="dxa"/>
            <w:tcBorders>
              <w:top w:val="single" w:sz="6" w:space="0" w:color="auto"/>
              <w:left w:val="single" w:sz="6" w:space="0" w:color="auto"/>
              <w:bottom w:val="single" w:sz="6" w:space="0" w:color="auto"/>
              <w:right w:val="single" w:sz="6" w:space="0" w:color="auto"/>
            </w:tcBorders>
            <w:vAlign w:val="center"/>
          </w:tcPr>
          <w:p w14:paraId="7ACBE1CB"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7AA225A6"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398B49B7"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2F97C76D"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3DB6D35A" w14:textId="77777777" w:rsidTr="00887829">
        <w:tc>
          <w:tcPr>
            <w:tcW w:w="1371" w:type="dxa"/>
            <w:vMerge/>
            <w:tcBorders>
              <w:left w:val="double" w:sz="4" w:space="0" w:color="auto"/>
              <w:right w:val="single" w:sz="6" w:space="0" w:color="auto"/>
            </w:tcBorders>
            <w:vAlign w:val="center"/>
          </w:tcPr>
          <w:p w14:paraId="2AFF37F2"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1C11F9BC" w14:textId="77777777" w:rsidR="005A3DC8" w:rsidRDefault="005A3DC8" w:rsidP="00410789">
            <w:pPr>
              <w:spacing w:line="240" w:lineRule="auto"/>
              <w:rPr>
                <w:sz w:val="14"/>
                <w:szCs w:val="14"/>
                <w:lang w:val="en-GB"/>
              </w:rPr>
            </w:pPr>
            <w:r w:rsidRPr="000855B2">
              <w:rPr>
                <w:color w:val="000000"/>
                <w:sz w:val="14"/>
                <w:szCs w:val="14"/>
                <w:lang w:val="en-GB"/>
              </w:rPr>
              <w:t>Euro 5 – EC 715/2007</w:t>
            </w:r>
          </w:p>
        </w:tc>
        <w:tc>
          <w:tcPr>
            <w:tcW w:w="1158" w:type="dxa"/>
            <w:tcBorders>
              <w:top w:val="single" w:sz="6" w:space="0" w:color="auto"/>
              <w:left w:val="single" w:sz="6" w:space="0" w:color="auto"/>
              <w:bottom w:val="single" w:sz="6" w:space="0" w:color="auto"/>
              <w:right w:val="single" w:sz="6" w:space="0" w:color="auto"/>
            </w:tcBorders>
            <w:vAlign w:val="center"/>
          </w:tcPr>
          <w:p w14:paraId="78A66B53" w14:textId="77777777" w:rsidR="005A3DC8" w:rsidRDefault="005A3DC8" w:rsidP="008231B8">
            <w:pPr>
              <w:spacing w:line="240" w:lineRule="auto"/>
              <w:jc w:val="center"/>
              <w:rPr>
                <w:sz w:val="14"/>
                <w:szCs w:val="14"/>
                <w:lang w:val="en-GB"/>
              </w:rPr>
            </w:pPr>
            <w:r w:rsidRPr="000855B2">
              <w:rPr>
                <w:sz w:val="14"/>
                <w:szCs w:val="14"/>
                <w:lang w:val="en-GB"/>
              </w:rPr>
              <w:t>0.0014</w:t>
            </w:r>
          </w:p>
        </w:tc>
        <w:tc>
          <w:tcPr>
            <w:tcW w:w="1158" w:type="dxa"/>
            <w:tcBorders>
              <w:top w:val="single" w:sz="6" w:space="0" w:color="auto"/>
              <w:left w:val="single" w:sz="6" w:space="0" w:color="auto"/>
              <w:bottom w:val="single" w:sz="6" w:space="0" w:color="auto"/>
              <w:right w:val="single" w:sz="6" w:space="0" w:color="auto"/>
            </w:tcBorders>
            <w:vAlign w:val="center"/>
          </w:tcPr>
          <w:p w14:paraId="23703AAD"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2387CB80"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2B96C05F"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515ED24E"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2BB34CF3" w14:textId="77777777" w:rsidTr="00887829">
        <w:tc>
          <w:tcPr>
            <w:tcW w:w="1371" w:type="dxa"/>
            <w:vMerge/>
            <w:tcBorders>
              <w:left w:val="double" w:sz="4" w:space="0" w:color="auto"/>
              <w:right w:val="single" w:sz="6" w:space="0" w:color="auto"/>
            </w:tcBorders>
            <w:vAlign w:val="center"/>
          </w:tcPr>
          <w:p w14:paraId="29D6F572"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3692D069" w14:textId="77777777" w:rsidR="005A3DC8" w:rsidRDefault="005A3DC8" w:rsidP="00410789">
            <w:pPr>
              <w:spacing w:line="240" w:lineRule="auto"/>
              <w:rPr>
                <w:sz w:val="14"/>
                <w:szCs w:val="14"/>
                <w:lang w:val="en-GB"/>
              </w:rPr>
            </w:pPr>
            <w:r w:rsidRPr="000855B2">
              <w:rPr>
                <w:color w:val="000000"/>
                <w:sz w:val="14"/>
                <w:szCs w:val="14"/>
                <w:lang w:val="en-GB"/>
              </w:rPr>
              <w:t xml:space="preserve">Euro 6 </w:t>
            </w:r>
            <w:r>
              <w:rPr>
                <w:color w:val="000000"/>
                <w:sz w:val="14"/>
                <w:szCs w:val="14"/>
                <w:lang w:val="en-GB"/>
              </w:rPr>
              <w:t>up to 2017</w:t>
            </w:r>
          </w:p>
        </w:tc>
        <w:tc>
          <w:tcPr>
            <w:tcW w:w="1158" w:type="dxa"/>
            <w:tcBorders>
              <w:top w:val="single" w:sz="6" w:space="0" w:color="auto"/>
              <w:left w:val="single" w:sz="6" w:space="0" w:color="auto"/>
              <w:bottom w:val="single" w:sz="6" w:space="0" w:color="auto"/>
              <w:right w:val="single" w:sz="6" w:space="0" w:color="auto"/>
            </w:tcBorders>
            <w:vAlign w:val="center"/>
          </w:tcPr>
          <w:p w14:paraId="39521640"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1158" w:type="dxa"/>
            <w:tcBorders>
              <w:top w:val="single" w:sz="6" w:space="0" w:color="auto"/>
              <w:left w:val="single" w:sz="6" w:space="0" w:color="auto"/>
              <w:bottom w:val="single" w:sz="6" w:space="0" w:color="auto"/>
              <w:right w:val="single" w:sz="6" w:space="0" w:color="auto"/>
            </w:tcBorders>
            <w:vAlign w:val="center"/>
          </w:tcPr>
          <w:p w14:paraId="1D2C6161"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4AA08EB2"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0C8F0EF2"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673D09F1"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47AE80A3" w14:textId="77777777" w:rsidTr="00887829">
        <w:tc>
          <w:tcPr>
            <w:tcW w:w="1371" w:type="dxa"/>
            <w:vMerge/>
            <w:tcBorders>
              <w:left w:val="double" w:sz="4" w:space="0" w:color="auto"/>
              <w:right w:val="single" w:sz="6" w:space="0" w:color="auto"/>
            </w:tcBorders>
            <w:vAlign w:val="center"/>
          </w:tcPr>
          <w:p w14:paraId="189BDD6C"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2E8A353A" w14:textId="77777777" w:rsidR="005A3DC8" w:rsidRDefault="005A3DC8" w:rsidP="00410789">
            <w:pPr>
              <w:spacing w:line="240" w:lineRule="auto"/>
              <w:rPr>
                <w:sz w:val="14"/>
                <w:szCs w:val="14"/>
                <w:lang w:val="en-GB"/>
              </w:rPr>
            </w:pPr>
            <w:r w:rsidRPr="000855B2">
              <w:rPr>
                <w:color w:val="000000"/>
                <w:sz w:val="14"/>
                <w:szCs w:val="14"/>
                <w:lang w:val="en-GB"/>
              </w:rPr>
              <w:t>Euro 6</w:t>
            </w:r>
            <w:r>
              <w:rPr>
                <w:color w:val="000000"/>
                <w:sz w:val="14"/>
                <w:szCs w:val="14"/>
                <w:lang w:val="en-GB"/>
              </w:rPr>
              <w:t xml:space="preserve"> 2018-2020</w:t>
            </w:r>
          </w:p>
        </w:tc>
        <w:tc>
          <w:tcPr>
            <w:tcW w:w="1158" w:type="dxa"/>
            <w:tcBorders>
              <w:top w:val="single" w:sz="6" w:space="0" w:color="auto"/>
              <w:left w:val="single" w:sz="6" w:space="0" w:color="auto"/>
              <w:bottom w:val="single" w:sz="6" w:space="0" w:color="auto"/>
              <w:right w:val="single" w:sz="6" w:space="0" w:color="auto"/>
            </w:tcBorders>
            <w:vAlign w:val="center"/>
          </w:tcPr>
          <w:p w14:paraId="0728C65E"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1158" w:type="dxa"/>
            <w:tcBorders>
              <w:top w:val="single" w:sz="6" w:space="0" w:color="auto"/>
              <w:left w:val="single" w:sz="6" w:space="0" w:color="auto"/>
              <w:bottom w:val="single" w:sz="6" w:space="0" w:color="auto"/>
              <w:right w:val="single" w:sz="6" w:space="0" w:color="auto"/>
            </w:tcBorders>
            <w:vAlign w:val="center"/>
          </w:tcPr>
          <w:p w14:paraId="424EC4E3"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62E40FE8"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62431025"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41CF459D"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29323879" w14:textId="77777777" w:rsidTr="00887829">
        <w:tc>
          <w:tcPr>
            <w:tcW w:w="1371" w:type="dxa"/>
            <w:vMerge/>
            <w:tcBorders>
              <w:left w:val="double" w:sz="4" w:space="0" w:color="auto"/>
              <w:bottom w:val="single" w:sz="6" w:space="0" w:color="auto"/>
              <w:right w:val="single" w:sz="6" w:space="0" w:color="auto"/>
            </w:tcBorders>
            <w:vAlign w:val="center"/>
          </w:tcPr>
          <w:p w14:paraId="0C89B693" w14:textId="77777777" w:rsidR="005A3DC8" w:rsidRDefault="005A3DC8" w:rsidP="0000485C">
            <w:pPr>
              <w:spacing w:line="240" w:lineRule="auto"/>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1A2DD236" w14:textId="77777777" w:rsidR="005A3DC8" w:rsidRDefault="005A3DC8" w:rsidP="00410789">
            <w:pPr>
              <w:spacing w:line="240" w:lineRule="auto"/>
              <w:rPr>
                <w:sz w:val="14"/>
                <w:szCs w:val="14"/>
                <w:lang w:val="en-GB"/>
              </w:rPr>
            </w:pPr>
            <w:r w:rsidRPr="000855B2">
              <w:rPr>
                <w:color w:val="000000"/>
                <w:sz w:val="14"/>
                <w:szCs w:val="14"/>
                <w:lang w:val="en-GB"/>
              </w:rPr>
              <w:t>Euro 6</w:t>
            </w:r>
            <w:r>
              <w:rPr>
                <w:color w:val="000000"/>
                <w:sz w:val="14"/>
                <w:szCs w:val="14"/>
                <w:lang w:val="en-GB"/>
              </w:rPr>
              <w:t xml:space="preserve"> 2021+</w:t>
            </w:r>
          </w:p>
        </w:tc>
        <w:tc>
          <w:tcPr>
            <w:tcW w:w="1158" w:type="dxa"/>
            <w:tcBorders>
              <w:top w:val="single" w:sz="6" w:space="0" w:color="auto"/>
              <w:left w:val="single" w:sz="6" w:space="0" w:color="auto"/>
              <w:bottom w:val="single" w:sz="6" w:space="0" w:color="auto"/>
              <w:right w:val="single" w:sz="6" w:space="0" w:color="auto"/>
            </w:tcBorders>
            <w:vAlign w:val="center"/>
          </w:tcPr>
          <w:p w14:paraId="6AE62CEB" w14:textId="77777777" w:rsidR="005A3DC8" w:rsidRDefault="005A3DC8" w:rsidP="008231B8">
            <w:pPr>
              <w:spacing w:line="240" w:lineRule="auto"/>
              <w:jc w:val="center"/>
              <w:rPr>
                <w:sz w:val="14"/>
                <w:szCs w:val="14"/>
                <w:lang w:val="en-GB"/>
              </w:rPr>
            </w:pPr>
            <w:r w:rsidRPr="000855B2">
              <w:rPr>
                <w:sz w:val="14"/>
                <w:szCs w:val="14"/>
                <w:lang w:val="en-GB"/>
              </w:rPr>
              <w:t>0.0012</w:t>
            </w:r>
          </w:p>
        </w:tc>
        <w:tc>
          <w:tcPr>
            <w:tcW w:w="1158" w:type="dxa"/>
            <w:tcBorders>
              <w:top w:val="single" w:sz="6" w:space="0" w:color="auto"/>
              <w:left w:val="single" w:sz="6" w:space="0" w:color="auto"/>
              <w:bottom w:val="single" w:sz="6" w:space="0" w:color="auto"/>
              <w:right w:val="single" w:sz="6" w:space="0" w:color="auto"/>
            </w:tcBorders>
            <w:vAlign w:val="center"/>
          </w:tcPr>
          <w:p w14:paraId="1B562244"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853" w:type="dxa"/>
            <w:tcBorders>
              <w:top w:val="single" w:sz="6" w:space="0" w:color="auto"/>
              <w:left w:val="single" w:sz="6" w:space="0" w:color="auto"/>
              <w:bottom w:val="single" w:sz="6" w:space="0" w:color="auto"/>
              <w:right w:val="single" w:sz="6" w:space="0" w:color="auto"/>
            </w:tcBorders>
            <w:vAlign w:val="center"/>
          </w:tcPr>
          <w:p w14:paraId="526D5DF3"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853" w:type="dxa"/>
            <w:tcBorders>
              <w:top w:val="single" w:sz="6" w:space="0" w:color="auto"/>
              <w:left w:val="single" w:sz="6" w:space="0" w:color="auto"/>
              <w:bottom w:val="single" w:sz="6" w:space="0" w:color="auto"/>
              <w:right w:val="single" w:sz="6" w:space="0" w:color="auto"/>
            </w:tcBorders>
            <w:vAlign w:val="center"/>
          </w:tcPr>
          <w:p w14:paraId="48BA058C"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95" w:type="dxa"/>
            <w:tcBorders>
              <w:top w:val="single" w:sz="6" w:space="0" w:color="auto"/>
              <w:left w:val="single" w:sz="6" w:space="0" w:color="auto"/>
              <w:bottom w:val="single" w:sz="6" w:space="0" w:color="auto"/>
              <w:right w:val="double" w:sz="4" w:space="0" w:color="auto"/>
            </w:tcBorders>
            <w:vAlign w:val="center"/>
          </w:tcPr>
          <w:p w14:paraId="2373B6A2"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0FF9C844" w14:textId="77777777" w:rsidTr="00887829">
        <w:tc>
          <w:tcPr>
            <w:tcW w:w="1371" w:type="dxa"/>
            <w:vMerge w:val="restart"/>
            <w:tcBorders>
              <w:top w:val="single" w:sz="6" w:space="0" w:color="auto"/>
              <w:left w:val="double" w:sz="4" w:space="0" w:color="auto"/>
              <w:right w:val="single" w:sz="6" w:space="0" w:color="auto"/>
            </w:tcBorders>
            <w:vAlign w:val="center"/>
          </w:tcPr>
          <w:p w14:paraId="06AD48B6" w14:textId="77777777" w:rsidR="005A3DC8" w:rsidRDefault="005A3DC8" w:rsidP="0000485C">
            <w:pPr>
              <w:spacing w:line="240" w:lineRule="auto"/>
              <w:rPr>
                <w:sz w:val="14"/>
                <w:szCs w:val="14"/>
                <w:lang w:val="en-GB"/>
              </w:rPr>
            </w:pPr>
            <w:r>
              <w:rPr>
                <w:sz w:val="14"/>
                <w:szCs w:val="14"/>
                <w:lang w:val="en-GB"/>
              </w:rPr>
              <w:t>Diesel</w:t>
            </w:r>
          </w:p>
        </w:tc>
        <w:tc>
          <w:tcPr>
            <w:tcW w:w="1828" w:type="dxa"/>
            <w:tcBorders>
              <w:top w:val="single" w:sz="6" w:space="0" w:color="auto"/>
              <w:left w:val="single" w:sz="6" w:space="0" w:color="auto"/>
              <w:bottom w:val="single" w:sz="6" w:space="0" w:color="auto"/>
              <w:right w:val="single" w:sz="6" w:space="0" w:color="auto"/>
            </w:tcBorders>
            <w:vAlign w:val="center"/>
          </w:tcPr>
          <w:p w14:paraId="40CB1DEC" w14:textId="77777777" w:rsidR="005A3DC8" w:rsidRDefault="005A3DC8" w:rsidP="00410789">
            <w:pPr>
              <w:spacing w:line="240" w:lineRule="auto"/>
              <w:rPr>
                <w:sz w:val="14"/>
                <w:szCs w:val="14"/>
                <w:lang w:val="en-GB"/>
              </w:rPr>
            </w:pPr>
            <w:r w:rsidRPr="000855B2">
              <w:rPr>
                <w:sz w:val="14"/>
                <w:szCs w:val="14"/>
                <w:lang w:val="en-GB"/>
              </w:rPr>
              <w:t>Conventional</w:t>
            </w:r>
          </w:p>
        </w:tc>
        <w:tc>
          <w:tcPr>
            <w:tcW w:w="1158" w:type="dxa"/>
            <w:tcBorders>
              <w:top w:val="single" w:sz="6" w:space="0" w:color="auto"/>
              <w:left w:val="single" w:sz="6" w:space="0" w:color="auto"/>
              <w:bottom w:val="single" w:sz="6" w:space="0" w:color="auto"/>
              <w:right w:val="single" w:sz="6" w:space="0" w:color="auto"/>
            </w:tcBorders>
            <w:vAlign w:val="center"/>
          </w:tcPr>
          <w:p w14:paraId="4B47BC3A" w14:textId="77777777" w:rsidR="005A3DC8" w:rsidRDefault="005A3DC8" w:rsidP="008231B8">
            <w:pPr>
              <w:spacing w:line="240" w:lineRule="auto"/>
              <w:jc w:val="center"/>
              <w:rPr>
                <w:sz w:val="14"/>
                <w:szCs w:val="14"/>
                <w:lang w:val="en-GB"/>
              </w:rPr>
            </w:pPr>
            <w:r w:rsidRPr="000855B2">
              <w:rPr>
                <w:sz w:val="14"/>
                <w:szCs w:val="14"/>
                <w:lang w:val="en-GB"/>
              </w:rPr>
              <w:t>0.356</w:t>
            </w:r>
          </w:p>
        </w:tc>
        <w:tc>
          <w:tcPr>
            <w:tcW w:w="1158" w:type="dxa"/>
            <w:tcBorders>
              <w:top w:val="single" w:sz="6" w:space="0" w:color="auto"/>
              <w:left w:val="single" w:sz="6" w:space="0" w:color="auto"/>
              <w:bottom w:val="single" w:sz="6" w:space="0" w:color="auto"/>
              <w:right w:val="single" w:sz="6" w:space="0" w:color="auto"/>
            </w:tcBorders>
            <w:vAlign w:val="center"/>
          </w:tcPr>
          <w:p w14:paraId="1A0CE094" w14:textId="77777777" w:rsidR="005A3DC8" w:rsidRDefault="005A3DC8" w:rsidP="008231B8">
            <w:pPr>
              <w:spacing w:line="240" w:lineRule="auto"/>
              <w:jc w:val="center"/>
              <w:rPr>
                <w:sz w:val="14"/>
                <w:szCs w:val="14"/>
                <w:lang w:val="en-GB"/>
              </w:rPr>
            </w:pPr>
            <w:r w:rsidRPr="000855B2">
              <w:rPr>
                <w:sz w:val="14"/>
                <w:szCs w:val="14"/>
                <w:lang w:val="en-GB"/>
              </w:rPr>
              <w:t>2.54E-06</w:t>
            </w:r>
          </w:p>
        </w:tc>
        <w:tc>
          <w:tcPr>
            <w:tcW w:w="853" w:type="dxa"/>
            <w:tcBorders>
              <w:top w:val="single" w:sz="6" w:space="0" w:color="auto"/>
              <w:left w:val="single" w:sz="6" w:space="0" w:color="auto"/>
              <w:bottom w:val="single" w:sz="6" w:space="0" w:color="auto"/>
              <w:right w:val="single" w:sz="6" w:space="0" w:color="auto"/>
            </w:tcBorders>
            <w:vAlign w:val="center"/>
          </w:tcPr>
          <w:p w14:paraId="7B1049A1" w14:textId="77777777" w:rsidR="005A3DC8" w:rsidRDefault="005A3DC8" w:rsidP="008231B8">
            <w:pPr>
              <w:spacing w:line="240" w:lineRule="auto"/>
              <w:jc w:val="center"/>
              <w:rPr>
                <w:sz w:val="14"/>
                <w:szCs w:val="14"/>
                <w:lang w:val="en-GB"/>
              </w:rPr>
            </w:pPr>
            <w:r w:rsidRPr="000855B2">
              <w:rPr>
                <w:sz w:val="14"/>
                <w:szCs w:val="14"/>
                <w:lang w:val="en-GB"/>
              </w:rPr>
              <w:t>2.87E-06</w:t>
            </w:r>
          </w:p>
        </w:tc>
        <w:tc>
          <w:tcPr>
            <w:tcW w:w="853" w:type="dxa"/>
            <w:tcBorders>
              <w:top w:val="single" w:sz="6" w:space="0" w:color="auto"/>
              <w:left w:val="single" w:sz="6" w:space="0" w:color="auto"/>
              <w:bottom w:val="single" w:sz="6" w:space="0" w:color="auto"/>
              <w:right w:val="single" w:sz="6" w:space="0" w:color="auto"/>
            </w:tcBorders>
            <w:vAlign w:val="center"/>
          </w:tcPr>
          <w:p w14:paraId="3AE5AAB6" w14:textId="77777777" w:rsidR="005A3DC8" w:rsidRDefault="005A3DC8" w:rsidP="008231B8">
            <w:pPr>
              <w:spacing w:line="240" w:lineRule="auto"/>
              <w:jc w:val="center"/>
              <w:rPr>
                <w:sz w:val="14"/>
                <w:szCs w:val="14"/>
                <w:lang w:val="en-GB"/>
              </w:rPr>
            </w:pPr>
            <w:r w:rsidRPr="000855B2">
              <w:rPr>
                <w:sz w:val="14"/>
                <w:szCs w:val="14"/>
                <w:lang w:val="en-GB"/>
              </w:rPr>
              <w:t>3.30E-06</w:t>
            </w:r>
          </w:p>
        </w:tc>
        <w:tc>
          <w:tcPr>
            <w:tcW w:w="895" w:type="dxa"/>
            <w:tcBorders>
              <w:top w:val="single" w:sz="6" w:space="0" w:color="auto"/>
              <w:left w:val="single" w:sz="6" w:space="0" w:color="auto"/>
              <w:bottom w:val="single" w:sz="6" w:space="0" w:color="auto"/>
              <w:right w:val="double" w:sz="4" w:space="0" w:color="auto"/>
            </w:tcBorders>
            <w:vAlign w:val="center"/>
          </w:tcPr>
          <w:p w14:paraId="17D2E076" w14:textId="77777777" w:rsidR="005A3DC8" w:rsidRDefault="005A3DC8" w:rsidP="008231B8">
            <w:pPr>
              <w:spacing w:line="240" w:lineRule="auto"/>
              <w:jc w:val="center"/>
              <w:rPr>
                <w:sz w:val="14"/>
                <w:szCs w:val="14"/>
                <w:lang w:val="en-GB"/>
              </w:rPr>
            </w:pPr>
            <w:r w:rsidRPr="000855B2">
              <w:rPr>
                <w:sz w:val="14"/>
                <w:szCs w:val="14"/>
                <w:lang w:val="en-GB"/>
              </w:rPr>
              <w:t>2.85E-06</w:t>
            </w:r>
          </w:p>
        </w:tc>
      </w:tr>
      <w:tr w:rsidR="005A3DC8" w:rsidRPr="000855B2" w14:paraId="61A191AF" w14:textId="77777777" w:rsidTr="00887829">
        <w:tc>
          <w:tcPr>
            <w:tcW w:w="1371" w:type="dxa"/>
            <w:vMerge/>
            <w:tcBorders>
              <w:left w:val="double" w:sz="4" w:space="0" w:color="auto"/>
              <w:right w:val="single" w:sz="6" w:space="0" w:color="auto"/>
            </w:tcBorders>
            <w:vAlign w:val="center"/>
          </w:tcPr>
          <w:p w14:paraId="7C84916C"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04CBC955" w14:textId="77777777" w:rsidR="005A3DC8" w:rsidRDefault="005A3DC8" w:rsidP="00410789">
            <w:pPr>
              <w:spacing w:line="240" w:lineRule="auto"/>
              <w:rPr>
                <w:sz w:val="14"/>
                <w:szCs w:val="14"/>
                <w:lang w:val="en-GB"/>
              </w:rPr>
            </w:pPr>
            <w:r w:rsidRPr="000855B2">
              <w:rPr>
                <w:sz w:val="14"/>
                <w:szCs w:val="14"/>
                <w:lang w:val="en-GB"/>
              </w:rPr>
              <w:t>Euro 1 - 93/59/EEC</w:t>
            </w:r>
          </w:p>
        </w:tc>
        <w:tc>
          <w:tcPr>
            <w:tcW w:w="1158" w:type="dxa"/>
            <w:tcBorders>
              <w:top w:val="single" w:sz="6" w:space="0" w:color="auto"/>
              <w:left w:val="single" w:sz="6" w:space="0" w:color="auto"/>
              <w:bottom w:val="single" w:sz="6" w:space="0" w:color="auto"/>
              <w:right w:val="single" w:sz="6" w:space="0" w:color="auto"/>
            </w:tcBorders>
            <w:vAlign w:val="center"/>
          </w:tcPr>
          <w:p w14:paraId="18F78757" w14:textId="77777777" w:rsidR="005A3DC8" w:rsidRDefault="005A3DC8" w:rsidP="008231B8">
            <w:pPr>
              <w:spacing w:line="240" w:lineRule="auto"/>
              <w:jc w:val="center"/>
              <w:rPr>
                <w:sz w:val="14"/>
                <w:szCs w:val="14"/>
                <w:lang w:val="en-GB"/>
              </w:rPr>
            </w:pPr>
            <w:r w:rsidRPr="000855B2">
              <w:rPr>
                <w:sz w:val="14"/>
                <w:szCs w:val="14"/>
                <w:lang w:val="en-GB"/>
              </w:rPr>
              <w:t>0.117</w:t>
            </w:r>
          </w:p>
        </w:tc>
        <w:tc>
          <w:tcPr>
            <w:tcW w:w="1158" w:type="dxa"/>
            <w:tcBorders>
              <w:top w:val="single" w:sz="6" w:space="0" w:color="auto"/>
              <w:left w:val="single" w:sz="6" w:space="0" w:color="auto"/>
              <w:bottom w:val="single" w:sz="6" w:space="0" w:color="auto"/>
              <w:right w:val="single" w:sz="6" w:space="0" w:color="auto"/>
            </w:tcBorders>
            <w:vAlign w:val="center"/>
          </w:tcPr>
          <w:p w14:paraId="6B0FD6B1"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59AC2615"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3C3DCF1E"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2A3F836C"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61AF1F30" w14:textId="77777777" w:rsidTr="00887829">
        <w:tc>
          <w:tcPr>
            <w:tcW w:w="1371" w:type="dxa"/>
            <w:vMerge/>
            <w:tcBorders>
              <w:left w:val="double" w:sz="4" w:space="0" w:color="auto"/>
              <w:right w:val="single" w:sz="6" w:space="0" w:color="auto"/>
            </w:tcBorders>
            <w:vAlign w:val="center"/>
          </w:tcPr>
          <w:p w14:paraId="0E5EE368"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6946D7C8" w14:textId="77777777" w:rsidR="005A3DC8" w:rsidRDefault="005A3DC8" w:rsidP="00410789">
            <w:pPr>
              <w:spacing w:line="240" w:lineRule="auto"/>
              <w:rPr>
                <w:sz w:val="14"/>
                <w:szCs w:val="14"/>
                <w:lang w:val="en-GB"/>
              </w:rPr>
            </w:pPr>
            <w:r w:rsidRPr="000855B2">
              <w:rPr>
                <w:sz w:val="14"/>
                <w:szCs w:val="14"/>
                <w:lang w:val="en-GB"/>
              </w:rPr>
              <w:t>Euro 2 - 96/69/EEC</w:t>
            </w:r>
          </w:p>
        </w:tc>
        <w:tc>
          <w:tcPr>
            <w:tcW w:w="1158" w:type="dxa"/>
            <w:tcBorders>
              <w:top w:val="single" w:sz="6" w:space="0" w:color="auto"/>
              <w:left w:val="single" w:sz="6" w:space="0" w:color="auto"/>
              <w:bottom w:val="single" w:sz="6" w:space="0" w:color="auto"/>
              <w:right w:val="single" w:sz="6" w:space="0" w:color="auto"/>
            </w:tcBorders>
            <w:vAlign w:val="center"/>
          </w:tcPr>
          <w:p w14:paraId="5DD10D0A" w14:textId="77777777" w:rsidR="005A3DC8" w:rsidRDefault="005A3DC8" w:rsidP="008231B8">
            <w:pPr>
              <w:spacing w:line="240" w:lineRule="auto"/>
              <w:jc w:val="center"/>
              <w:rPr>
                <w:sz w:val="14"/>
                <w:szCs w:val="14"/>
                <w:lang w:val="en-GB"/>
              </w:rPr>
            </w:pPr>
            <w:r w:rsidRPr="000855B2">
              <w:rPr>
                <w:sz w:val="14"/>
                <w:szCs w:val="14"/>
                <w:lang w:val="en-GB"/>
              </w:rPr>
              <w:t>0.117</w:t>
            </w:r>
          </w:p>
        </w:tc>
        <w:tc>
          <w:tcPr>
            <w:tcW w:w="1158" w:type="dxa"/>
            <w:tcBorders>
              <w:top w:val="single" w:sz="6" w:space="0" w:color="auto"/>
              <w:left w:val="single" w:sz="6" w:space="0" w:color="auto"/>
              <w:bottom w:val="single" w:sz="6" w:space="0" w:color="auto"/>
              <w:right w:val="single" w:sz="6" w:space="0" w:color="auto"/>
            </w:tcBorders>
            <w:vAlign w:val="center"/>
          </w:tcPr>
          <w:p w14:paraId="37EE1C5D"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44C2EC8F"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04F9FC73"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05567ABC"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5D126408" w14:textId="77777777" w:rsidTr="00887829">
        <w:tc>
          <w:tcPr>
            <w:tcW w:w="1371" w:type="dxa"/>
            <w:vMerge/>
            <w:tcBorders>
              <w:left w:val="double" w:sz="4" w:space="0" w:color="auto"/>
              <w:right w:val="single" w:sz="6" w:space="0" w:color="auto"/>
            </w:tcBorders>
            <w:vAlign w:val="center"/>
          </w:tcPr>
          <w:p w14:paraId="164C6AAD"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0CA53A74" w14:textId="77777777" w:rsidR="005A3DC8" w:rsidRDefault="005A3DC8" w:rsidP="00410789">
            <w:pPr>
              <w:spacing w:line="240" w:lineRule="auto"/>
              <w:rPr>
                <w:sz w:val="14"/>
                <w:szCs w:val="14"/>
                <w:lang w:val="en-GB"/>
              </w:rPr>
            </w:pPr>
            <w:r w:rsidRPr="000855B2">
              <w:rPr>
                <w:sz w:val="14"/>
                <w:szCs w:val="14"/>
                <w:lang w:val="en-GB"/>
              </w:rPr>
              <w:t>Euro 3 - 98/69/EC I</w:t>
            </w:r>
          </w:p>
        </w:tc>
        <w:tc>
          <w:tcPr>
            <w:tcW w:w="1158" w:type="dxa"/>
            <w:tcBorders>
              <w:top w:val="single" w:sz="6" w:space="0" w:color="auto"/>
              <w:left w:val="single" w:sz="6" w:space="0" w:color="auto"/>
              <w:bottom w:val="single" w:sz="6" w:space="0" w:color="auto"/>
              <w:right w:val="single" w:sz="6" w:space="0" w:color="auto"/>
            </w:tcBorders>
            <w:vAlign w:val="center"/>
          </w:tcPr>
          <w:p w14:paraId="39C0322F" w14:textId="77777777" w:rsidR="005A3DC8" w:rsidRDefault="005A3DC8" w:rsidP="008231B8">
            <w:pPr>
              <w:spacing w:line="240" w:lineRule="auto"/>
              <w:jc w:val="center"/>
              <w:rPr>
                <w:sz w:val="14"/>
                <w:szCs w:val="14"/>
                <w:lang w:val="en-GB"/>
              </w:rPr>
            </w:pPr>
            <w:r w:rsidRPr="000855B2">
              <w:rPr>
                <w:sz w:val="14"/>
                <w:szCs w:val="14"/>
                <w:lang w:val="en-GB"/>
              </w:rPr>
              <w:t>0.0783</w:t>
            </w:r>
          </w:p>
        </w:tc>
        <w:tc>
          <w:tcPr>
            <w:tcW w:w="1158" w:type="dxa"/>
            <w:tcBorders>
              <w:top w:val="single" w:sz="6" w:space="0" w:color="auto"/>
              <w:left w:val="single" w:sz="6" w:space="0" w:color="auto"/>
              <w:bottom w:val="single" w:sz="6" w:space="0" w:color="auto"/>
              <w:right w:val="single" w:sz="6" w:space="0" w:color="auto"/>
            </w:tcBorders>
            <w:vAlign w:val="center"/>
          </w:tcPr>
          <w:p w14:paraId="1D51F7D6"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6C9DA082"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76239E46"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4F7BD7CB"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16EF5D77" w14:textId="77777777" w:rsidTr="00887829">
        <w:tc>
          <w:tcPr>
            <w:tcW w:w="1371" w:type="dxa"/>
            <w:vMerge/>
            <w:tcBorders>
              <w:left w:val="double" w:sz="4" w:space="0" w:color="auto"/>
              <w:right w:val="single" w:sz="6" w:space="0" w:color="auto"/>
            </w:tcBorders>
            <w:vAlign w:val="center"/>
          </w:tcPr>
          <w:p w14:paraId="25946638"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4922279E" w14:textId="77777777" w:rsidR="005A3DC8" w:rsidRDefault="005A3DC8" w:rsidP="00410789">
            <w:pPr>
              <w:spacing w:line="240" w:lineRule="auto"/>
              <w:rPr>
                <w:sz w:val="14"/>
                <w:szCs w:val="14"/>
                <w:lang w:val="en-GB"/>
              </w:rPr>
            </w:pPr>
            <w:r w:rsidRPr="000855B2">
              <w:rPr>
                <w:sz w:val="14"/>
                <w:szCs w:val="14"/>
                <w:lang w:val="en-GB"/>
              </w:rPr>
              <w:t>Euro 4 - 98/69/EC II</w:t>
            </w:r>
          </w:p>
        </w:tc>
        <w:tc>
          <w:tcPr>
            <w:tcW w:w="1158" w:type="dxa"/>
            <w:tcBorders>
              <w:top w:val="single" w:sz="6" w:space="0" w:color="auto"/>
              <w:left w:val="single" w:sz="6" w:space="0" w:color="auto"/>
              <w:bottom w:val="single" w:sz="6" w:space="0" w:color="auto"/>
              <w:right w:val="single" w:sz="6" w:space="0" w:color="auto"/>
            </w:tcBorders>
            <w:vAlign w:val="center"/>
          </w:tcPr>
          <w:p w14:paraId="3E56B7DC" w14:textId="77777777" w:rsidR="005A3DC8" w:rsidRDefault="005A3DC8" w:rsidP="008231B8">
            <w:pPr>
              <w:spacing w:line="240" w:lineRule="auto"/>
              <w:jc w:val="center"/>
              <w:rPr>
                <w:sz w:val="14"/>
                <w:szCs w:val="14"/>
                <w:lang w:val="en-GB"/>
              </w:rPr>
            </w:pPr>
            <w:r w:rsidRPr="000855B2">
              <w:rPr>
                <w:sz w:val="14"/>
                <w:szCs w:val="14"/>
                <w:lang w:val="en-GB"/>
              </w:rPr>
              <w:t>0.0409</w:t>
            </w:r>
          </w:p>
        </w:tc>
        <w:tc>
          <w:tcPr>
            <w:tcW w:w="1158" w:type="dxa"/>
            <w:tcBorders>
              <w:top w:val="single" w:sz="6" w:space="0" w:color="auto"/>
              <w:left w:val="single" w:sz="6" w:space="0" w:color="auto"/>
              <w:bottom w:val="single" w:sz="6" w:space="0" w:color="auto"/>
              <w:right w:val="single" w:sz="6" w:space="0" w:color="auto"/>
            </w:tcBorders>
            <w:vAlign w:val="center"/>
          </w:tcPr>
          <w:p w14:paraId="1FD83623"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44A18D91"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04C0DE01"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7611762C"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305C0C41" w14:textId="77777777" w:rsidTr="00887829">
        <w:tc>
          <w:tcPr>
            <w:tcW w:w="1371" w:type="dxa"/>
            <w:vMerge/>
            <w:tcBorders>
              <w:left w:val="double" w:sz="4" w:space="0" w:color="auto"/>
              <w:right w:val="single" w:sz="6" w:space="0" w:color="auto"/>
            </w:tcBorders>
            <w:vAlign w:val="center"/>
          </w:tcPr>
          <w:p w14:paraId="77E14BDC"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19282884" w14:textId="77777777" w:rsidR="005A3DC8" w:rsidRDefault="005A3DC8" w:rsidP="00410789">
            <w:pPr>
              <w:spacing w:line="240" w:lineRule="auto"/>
              <w:rPr>
                <w:sz w:val="14"/>
                <w:szCs w:val="14"/>
                <w:lang w:val="en-GB"/>
              </w:rPr>
            </w:pPr>
            <w:r w:rsidRPr="000855B2">
              <w:rPr>
                <w:color w:val="000000"/>
                <w:sz w:val="14"/>
                <w:szCs w:val="14"/>
                <w:lang w:val="en-GB"/>
              </w:rPr>
              <w:t>Euro 5 – EC 715/2007</w:t>
            </w:r>
          </w:p>
        </w:tc>
        <w:tc>
          <w:tcPr>
            <w:tcW w:w="1158" w:type="dxa"/>
            <w:tcBorders>
              <w:top w:val="single" w:sz="6" w:space="0" w:color="auto"/>
              <w:left w:val="single" w:sz="6" w:space="0" w:color="auto"/>
              <w:bottom w:val="single" w:sz="6" w:space="0" w:color="auto"/>
              <w:right w:val="single" w:sz="6" w:space="0" w:color="auto"/>
            </w:tcBorders>
            <w:vAlign w:val="center"/>
          </w:tcPr>
          <w:p w14:paraId="34A71184" w14:textId="77777777" w:rsidR="005A3DC8" w:rsidRDefault="005A3DC8" w:rsidP="008231B8">
            <w:pPr>
              <w:spacing w:line="240" w:lineRule="auto"/>
              <w:jc w:val="center"/>
              <w:rPr>
                <w:sz w:val="14"/>
                <w:szCs w:val="14"/>
                <w:lang w:val="en-GB"/>
              </w:rPr>
            </w:pPr>
            <w:r w:rsidRPr="000855B2">
              <w:rPr>
                <w:sz w:val="14"/>
                <w:szCs w:val="14"/>
                <w:lang w:val="en-GB"/>
              </w:rPr>
              <w:t>0.0010</w:t>
            </w:r>
          </w:p>
        </w:tc>
        <w:tc>
          <w:tcPr>
            <w:tcW w:w="1158" w:type="dxa"/>
            <w:tcBorders>
              <w:top w:val="single" w:sz="6" w:space="0" w:color="auto"/>
              <w:left w:val="single" w:sz="6" w:space="0" w:color="auto"/>
              <w:bottom w:val="single" w:sz="6" w:space="0" w:color="auto"/>
              <w:right w:val="single" w:sz="6" w:space="0" w:color="auto"/>
            </w:tcBorders>
            <w:vAlign w:val="center"/>
          </w:tcPr>
          <w:p w14:paraId="0857CC53"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2B4637B0"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3FD322DE"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21ED86E0"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0394BD12" w14:textId="77777777" w:rsidTr="00887829">
        <w:tc>
          <w:tcPr>
            <w:tcW w:w="1371" w:type="dxa"/>
            <w:vMerge/>
            <w:tcBorders>
              <w:left w:val="double" w:sz="4" w:space="0" w:color="auto"/>
              <w:right w:val="single" w:sz="6" w:space="0" w:color="auto"/>
            </w:tcBorders>
            <w:vAlign w:val="center"/>
          </w:tcPr>
          <w:p w14:paraId="564EDB06"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2A3564F9" w14:textId="77777777" w:rsidR="005A3DC8" w:rsidRDefault="005A3DC8" w:rsidP="00410789">
            <w:pPr>
              <w:spacing w:line="240" w:lineRule="auto"/>
              <w:rPr>
                <w:sz w:val="14"/>
                <w:szCs w:val="14"/>
                <w:lang w:val="en-GB"/>
              </w:rPr>
            </w:pPr>
            <w:r w:rsidRPr="000855B2">
              <w:rPr>
                <w:color w:val="000000"/>
                <w:sz w:val="14"/>
                <w:szCs w:val="14"/>
                <w:lang w:val="en-GB"/>
              </w:rPr>
              <w:t xml:space="preserve">Euro 6 </w:t>
            </w:r>
            <w:r>
              <w:rPr>
                <w:color w:val="000000"/>
                <w:sz w:val="14"/>
                <w:szCs w:val="14"/>
                <w:lang w:val="en-GB"/>
              </w:rPr>
              <w:t>up to 2017</w:t>
            </w:r>
          </w:p>
        </w:tc>
        <w:tc>
          <w:tcPr>
            <w:tcW w:w="1158" w:type="dxa"/>
            <w:tcBorders>
              <w:top w:val="single" w:sz="6" w:space="0" w:color="auto"/>
              <w:left w:val="single" w:sz="6" w:space="0" w:color="auto"/>
              <w:bottom w:val="single" w:sz="6" w:space="0" w:color="auto"/>
              <w:right w:val="single" w:sz="6" w:space="0" w:color="auto"/>
            </w:tcBorders>
            <w:vAlign w:val="center"/>
          </w:tcPr>
          <w:p w14:paraId="5D6F7E98" w14:textId="77777777" w:rsidR="005A3DC8" w:rsidRDefault="005A3DC8" w:rsidP="008231B8">
            <w:pPr>
              <w:spacing w:line="240" w:lineRule="auto"/>
              <w:jc w:val="center"/>
              <w:rPr>
                <w:sz w:val="14"/>
                <w:szCs w:val="14"/>
                <w:lang w:val="en-GB"/>
              </w:rPr>
            </w:pPr>
            <w:r w:rsidRPr="000855B2">
              <w:rPr>
                <w:sz w:val="14"/>
                <w:szCs w:val="14"/>
                <w:lang w:val="en-GB"/>
              </w:rPr>
              <w:t>0.0009</w:t>
            </w:r>
          </w:p>
        </w:tc>
        <w:tc>
          <w:tcPr>
            <w:tcW w:w="1158" w:type="dxa"/>
            <w:tcBorders>
              <w:top w:val="single" w:sz="6" w:space="0" w:color="auto"/>
              <w:left w:val="single" w:sz="6" w:space="0" w:color="auto"/>
              <w:bottom w:val="single" w:sz="6" w:space="0" w:color="auto"/>
              <w:right w:val="single" w:sz="6" w:space="0" w:color="auto"/>
            </w:tcBorders>
            <w:vAlign w:val="center"/>
          </w:tcPr>
          <w:p w14:paraId="19587AC4"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726A7A1B"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79DB53E4"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6E2E5C38"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50C6DBC5" w14:textId="77777777" w:rsidTr="00887829">
        <w:tc>
          <w:tcPr>
            <w:tcW w:w="1371" w:type="dxa"/>
            <w:vMerge/>
            <w:tcBorders>
              <w:left w:val="double" w:sz="4" w:space="0" w:color="auto"/>
              <w:right w:val="single" w:sz="6" w:space="0" w:color="auto"/>
            </w:tcBorders>
            <w:vAlign w:val="center"/>
          </w:tcPr>
          <w:p w14:paraId="7C25FE3A"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single" w:sz="6" w:space="0" w:color="auto"/>
              <w:right w:val="single" w:sz="6" w:space="0" w:color="auto"/>
            </w:tcBorders>
            <w:vAlign w:val="center"/>
          </w:tcPr>
          <w:p w14:paraId="5896FB18" w14:textId="77777777" w:rsidR="005A3DC8" w:rsidRDefault="005A3DC8" w:rsidP="00410789">
            <w:pPr>
              <w:spacing w:line="240" w:lineRule="auto"/>
              <w:rPr>
                <w:color w:val="000000"/>
                <w:sz w:val="14"/>
                <w:szCs w:val="14"/>
                <w:lang w:val="en-GB"/>
              </w:rPr>
            </w:pPr>
            <w:r w:rsidRPr="000855B2">
              <w:rPr>
                <w:color w:val="000000"/>
                <w:sz w:val="14"/>
                <w:szCs w:val="14"/>
                <w:lang w:val="en-GB"/>
              </w:rPr>
              <w:t>Euro 6</w:t>
            </w:r>
            <w:r>
              <w:rPr>
                <w:color w:val="000000"/>
                <w:sz w:val="14"/>
                <w:szCs w:val="14"/>
                <w:lang w:val="en-GB"/>
              </w:rPr>
              <w:t xml:space="preserve"> 2018-2020</w:t>
            </w:r>
          </w:p>
        </w:tc>
        <w:tc>
          <w:tcPr>
            <w:tcW w:w="1158" w:type="dxa"/>
            <w:tcBorders>
              <w:top w:val="single" w:sz="6" w:space="0" w:color="auto"/>
              <w:left w:val="single" w:sz="6" w:space="0" w:color="auto"/>
              <w:bottom w:val="single" w:sz="6" w:space="0" w:color="auto"/>
              <w:right w:val="single" w:sz="6" w:space="0" w:color="auto"/>
            </w:tcBorders>
            <w:vAlign w:val="center"/>
          </w:tcPr>
          <w:p w14:paraId="332BA3A8" w14:textId="77777777" w:rsidR="005A3DC8" w:rsidRDefault="005A3DC8" w:rsidP="008231B8">
            <w:pPr>
              <w:spacing w:line="240" w:lineRule="auto"/>
              <w:jc w:val="center"/>
              <w:rPr>
                <w:sz w:val="14"/>
                <w:szCs w:val="14"/>
                <w:lang w:val="en-GB"/>
              </w:rPr>
            </w:pPr>
            <w:r w:rsidRPr="000855B2">
              <w:rPr>
                <w:sz w:val="14"/>
                <w:szCs w:val="14"/>
                <w:lang w:val="en-GB"/>
              </w:rPr>
              <w:t>0.0009</w:t>
            </w:r>
          </w:p>
        </w:tc>
        <w:tc>
          <w:tcPr>
            <w:tcW w:w="1158" w:type="dxa"/>
            <w:tcBorders>
              <w:top w:val="single" w:sz="6" w:space="0" w:color="auto"/>
              <w:left w:val="single" w:sz="6" w:space="0" w:color="auto"/>
              <w:bottom w:val="single" w:sz="6" w:space="0" w:color="auto"/>
              <w:right w:val="single" w:sz="6" w:space="0" w:color="auto"/>
            </w:tcBorders>
            <w:vAlign w:val="center"/>
          </w:tcPr>
          <w:p w14:paraId="2C323900"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single" w:sz="6" w:space="0" w:color="auto"/>
              <w:right w:val="single" w:sz="6" w:space="0" w:color="auto"/>
            </w:tcBorders>
            <w:vAlign w:val="center"/>
          </w:tcPr>
          <w:p w14:paraId="1DC18E18"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single" w:sz="6" w:space="0" w:color="auto"/>
              <w:right w:val="single" w:sz="6" w:space="0" w:color="auto"/>
            </w:tcBorders>
            <w:vAlign w:val="center"/>
          </w:tcPr>
          <w:p w14:paraId="2574E113"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single" w:sz="6" w:space="0" w:color="auto"/>
              <w:right w:val="double" w:sz="4" w:space="0" w:color="auto"/>
            </w:tcBorders>
            <w:vAlign w:val="center"/>
          </w:tcPr>
          <w:p w14:paraId="0FEB4BC7" w14:textId="77777777" w:rsidR="005A3DC8" w:rsidRDefault="005A3DC8" w:rsidP="008231B8">
            <w:pPr>
              <w:spacing w:line="240" w:lineRule="auto"/>
              <w:jc w:val="center"/>
              <w:rPr>
                <w:sz w:val="14"/>
                <w:szCs w:val="14"/>
                <w:lang w:val="en-GB"/>
              </w:rPr>
            </w:pPr>
            <w:r w:rsidRPr="000855B2">
              <w:rPr>
                <w:sz w:val="14"/>
                <w:szCs w:val="14"/>
                <w:lang w:val="en-GB"/>
              </w:rPr>
              <w:t>6.30E-07</w:t>
            </w:r>
          </w:p>
        </w:tc>
      </w:tr>
      <w:tr w:rsidR="005A3DC8" w:rsidRPr="000855B2" w14:paraId="5A3DBA24" w14:textId="77777777" w:rsidTr="00887829">
        <w:tc>
          <w:tcPr>
            <w:tcW w:w="1371" w:type="dxa"/>
            <w:vMerge/>
            <w:tcBorders>
              <w:left w:val="double" w:sz="4" w:space="0" w:color="auto"/>
              <w:bottom w:val="double" w:sz="4" w:space="0" w:color="auto"/>
              <w:right w:val="single" w:sz="6" w:space="0" w:color="auto"/>
            </w:tcBorders>
            <w:vAlign w:val="center"/>
          </w:tcPr>
          <w:p w14:paraId="77EA0388" w14:textId="77777777" w:rsidR="005A3DC8" w:rsidRDefault="005A3DC8" w:rsidP="008231B8">
            <w:pPr>
              <w:spacing w:line="240" w:lineRule="auto"/>
              <w:jc w:val="center"/>
              <w:rPr>
                <w:sz w:val="14"/>
                <w:szCs w:val="14"/>
                <w:lang w:val="en-GB"/>
              </w:rPr>
            </w:pPr>
          </w:p>
        </w:tc>
        <w:tc>
          <w:tcPr>
            <w:tcW w:w="1828" w:type="dxa"/>
            <w:tcBorders>
              <w:top w:val="single" w:sz="6" w:space="0" w:color="auto"/>
              <w:left w:val="single" w:sz="6" w:space="0" w:color="auto"/>
              <w:bottom w:val="double" w:sz="4" w:space="0" w:color="auto"/>
              <w:right w:val="single" w:sz="6" w:space="0" w:color="auto"/>
            </w:tcBorders>
            <w:vAlign w:val="center"/>
          </w:tcPr>
          <w:p w14:paraId="679678FB" w14:textId="77777777" w:rsidR="005A3DC8" w:rsidRDefault="005A3DC8" w:rsidP="00410789">
            <w:pPr>
              <w:spacing w:line="240" w:lineRule="auto"/>
              <w:rPr>
                <w:sz w:val="14"/>
                <w:szCs w:val="14"/>
                <w:lang w:val="en-GB"/>
              </w:rPr>
            </w:pPr>
            <w:r w:rsidRPr="000855B2">
              <w:rPr>
                <w:color w:val="000000"/>
                <w:sz w:val="14"/>
                <w:szCs w:val="14"/>
                <w:lang w:val="en-GB"/>
              </w:rPr>
              <w:t>Euro 6</w:t>
            </w:r>
            <w:r>
              <w:rPr>
                <w:color w:val="000000"/>
                <w:sz w:val="14"/>
                <w:szCs w:val="14"/>
                <w:lang w:val="en-GB"/>
              </w:rPr>
              <w:t xml:space="preserve"> 2021+</w:t>
            </w:r>
          </w:p>
        </w:tc>
        <w:tc>
          <w:tcPr>
            <w:tcW w:w="1158" w:type="dxa"/>
            <w:tcBorders>
              <w:top w:val="single" w:sz="6" w:space="0" w:color="auto"/>
              <w:left w:val="single" w:sz="6" w:space="0" w:color="auto"/>
              <w:bottom w:val="double" w:sz="4" w:space="0" w:color="auto"/>
              <w:right w:val="single" w:sz="6" w:space="0" w:color="auto"/>
            </w:tcBorders>
            <w:vAlign w:val="center"/>
          </w:tcPr>
          <w:p w14:paraId="12AC29B3" w14:textId="77777777" w:rsidR="005A3DC8" w:rsidRDefault="005A3DC8" w:rsidP="008231B8">
            <w:pPr>
              <w:spacing w:line="240" w:lineRule="auto"/>
              <w:jc w:val="center"/>
              <w:rPr>
                <w:sz w:val="14"/>
                <w:szCs w:val="14"/>
                <w:lang w:val="en-GB"/>
              </w:rPr>
            </w:pPr>
            <w:r w:rsidRPr="000855B2">
              <w:rPr>
                <w:sz w:val="14"/>
                <w:szCs w:val="14"/>
                <w:lang w:val="en-GB"/>
              </w:rPr>
              <w:t>0.0009</w:t>
            </w:r>
          </w:p>
        </w:tc>
        <w:tc>
          <w:tcPr>
            <w:tcW w:w="1158" w:type="dxa"/>
            <w:tcBorders>
              <w:top w:val="single" w:sz="6" w:space="0" w:color="auto"/>
              <w:left w:val="single" w:sz="6" w:space="0" w:color="auto"/>
              <w:bottom w:val="double" w:sz="4" w:space="0" w:color="auto"/>
              <w:right w:val="single" w:sz="6" w:space="0" w:color="auto"/>
            </w:tcBorders>
            <w:vAlign w:val="center"/>
          </w:tcPr>
          <w:p w14:paraId="71C87CCF" w14:textId="77777777" w:rsidR="005A3DC8" w:rsidRDefault="005A3DC8" w:rsidP="008231B8">
            <w:pPr>
              <w:spacing w:line="240" w:lineRule="auto"/>
              <w:jc w:val="center"/>
              <w:rPr>
                <w:sz w:val="14"/>
                <w:szCs w:val="14"/>
                <w:lang w:val="en-GB"/>
              </w:rPr>
            </w:pPr>
            <w:r w:rsidRPr="000855B2">
              <w:rPr>
                <w:sz w:val="14"/>
                <w:szCs w:val="14"/>
                <w:lang w:val="en-GB"/>
              </w:rPr>
              <w:t>7.00E-07</w:t>
            </w:r>
          </w:p>
        </w:tc>
        <w:tc>
          <w:tcPr>
            <w:tcW w:w="853" w:type="dxa"/>
            <w:tcBorders>
              <w:top w:val="single" w:sz="6" w:space="0" w:color="auto"/>
              <w:left w:val="single" w:sz="6" w:space="0" w:color="auto"/>
              <w:bottom w:val="double" w:sz="4" w:space="0" w:color="auto"/>
              <w:right w:val="single" w:sz="6" w:space="0" w:color="auto"/>
            </w:tcBorders>
            <w:vAlign w:val="center"/>
          </w:tcPr>
          <w:p w14:paraId="336907A9" w14:textId="77777777" w:rsidR="005A3DC8" w:rsidRDefault="005A3DC8" w:rsidP="008231B8">
            <w:pPr>
              <w:spacing w:line="240" w:lineRule="auto"/>
              <w:jc w:val="center"/>
              <w:rPr>
                <w:sz w:val="14"/>
                <w:szCs w:val="14"/>
                <w:lang w:val="en-GB"/>
              </w:rPr>
            </w:pPr>
            <w:r w:rsidRPr="000855B2">
              <w:rPr>
                <w:sz w:val="14"/>
                <w:szCs w:val="14"/>
                <w:lang w:val="en-GB"/>
              </w:rPr>
              <w:t>1.90E-07</w:t>
            </w:r>
          </w:p>
        </w:tc>
        <w:tc>
          <w:tcPr>
            <w:tcW w:w="853" w:type="dxa"/>
            <w:tcBorders>
              <w:top w:val="single" w:sz="6" w:space="0" w:color="auto"/>
              <w:left w:val="single" w:sz="6" w:space="0" w:color="auto"/>
              <w:bottom w:val="double" w:sz="4" w:space="0" w:color="auto"/>
              <w:right w:val="single" w:sz="6" w:space="0" w:color="auto"/>
            </w:tcBorders>
            <w:vAlign w:val="center"/>
          </w:tcPr>
          <w:p w14:paraId="5F57BEFA" w14:textId="77777777" w:rsidR="005A3DC8" w:rsidRDefault="005A3DC8" w:rsidP="008231B8">
            <w:pPr>
              <w:spacing w:line="240" w:lineRule="auto"/>
              <w:jc w:val="center"/>
              <w:rPr>
                <w:sz w:val="14"/>
                <w:szCs w:val="14"/>
                <w:lang w:val="en-GB"/>
              </w:rPr>
            </w:pPr>
            <w:r w:rsidRPr="000855B2">
              <w:rPr>
                <w:sz w:val="14"/>
                <w:szCs w:val="14"/>
                <w:lang w:val="en-GB"/>
              </w:rPr>
              <w:t>6.00E-07</w:t>
            </w:r>
          </w:p>
        </w:tc>
        <w:tc>
          <w:tcPr>
            <w:tcW w:w="895" w:type="dxa"/>
            <w:tcBorders>
              <w:top w:val="single" w:sz="6" w:space="0" w:color="auto"/>
              <w:left w:val="single" w:sz="6" w:space="0" w:color="auto"/>
              <w:bottom w:val="double" w:sz="4" w:space="0" w:color="auto"/>
              <w:right w:val="double" w:sz="4" w:space="0" w:color="auto"/>
            </w:tcBorders>
            <w:vAlign w:val="center"/>
          </w:tcPr>
          <w:p w14:paraId="44465BD4" w14:textId="77777777" w:rsidR="005A3DC8" w:rsidRDefault="005A3DC8" w:rsidP="008231B8">
            <w:pPr>
              <w:spacing w:line="240" w:lineRule="auto"/>
              <w:jc w:val="center"/>
              <w:rPr>
                <w:sz w:val="14"/>
                <w:szCs w:val="14"/>
                <w:lang w:val="en-GB"/>
              </w:rPr>
            </w:pPr>
            <w:r w:rsidRPr="000855B2">
              <w:rPr>
                <w:sz w:val="14"/>
                <w:szCs w:val="14"/>
                <w:lang w:val="en-GB"/>
              </w:rPr>
              <w:t>6.30E-07</w:t>
            </w:r>
          </w:p>
        </w:tc>
      </w:tr>
    </w:tbl>
    <w:bookmarkEnd w:id="92"/>
    <w:p w14:paraId="0D1AE706" w14:textId="55168132"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21</w:t>
      </w:r>
      <w:r w:rsidR="00FB454C">
        <w:rPr>
          <w:noProof/>
        </w:rPr>
        <w:fldChar w:fldCharType="end"/>
      </w:r>
      <w:r w:rsidR="00944F54">
        <w:t xml:space="preserve">: </w:t>
      </w:r>
      <w:r w:rsidR="001D2587" w:rsidRPr="000855B2">
        <w:t xml:space="preserve">Tier 2 </w:t>
      </w:r>
      <w:r w:rsidR="00EF3C06" w:rsidRPr="000855B2">
        <w:t xml:space="preserve">exhaust </w:t>
      </w:r>
      <w:r w:rsidR="001D2587" w:rsidRPr="000855B2">
        <w:t>emission factors for heavy</w:t>
      </w:r>
      <w:r w:rsidR="00CA4F04" w:rsidRPr="000855B2">
        <w:t>-</w:t>
      </w:r>
      <w:r w:rsidR="001D2587" w:rsidRPr="000855B2">
        <w:t>duty vehicles,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4881"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205"/>
        <w:gridCol w:w="1930"/>
        <w:gridCol w:w="603"/>
        <w:gridCol w:w="774"/>
        <w:gridCol w:w="691"/>
        <w:gridCol w:w="688"/>
        <w:gridCol w:w="690"/>
        <w:gridCol w:w="826"/>
        <w:gridCol w:w="825"/>
      </w:tblGrid>
      <w:tr w:rsidR="005A3DC8" w:rsidRPr="000855B2" w14:paraId="60BA5D56" w14:textId="77777777" w:rsidTr="008C650D">
        <w:tc>
          <w:tcPr>
            <w:tcW w:w="732" w:type="pct"/>
            <w:vAlign w:val="center"/>
          </w:tcPr>
          <w:p w14:paraId="5C1D92E4" w14:textId="77777777" w:rsidR="005A3DC8" w:rsidRDefault="005A3DC8" w:rsidP="00E81C5C">
            <w:pPr>
              <w:autoSpaceDE w:val="0"/>
              <w:autoSpaceDN w:val="0"/>
              <w:adjustRightInd w:val="0"/>
              <w:spacing w:line="240" w:lineRule="auto"/>
              <w:jc w:val="center"/>
              <w:rPr>
                <w:b/>
                <w:bCs/>
                <w:color w:val="000000"/>
                <w:sz w:val="14"/>
                <w:szCs w:val="14"/>
                <w:lang w:val="en-GB" w:eastAsia="en-US"/>
              </w:rPr>
            </w:pPr>
            <w:bookmarkStart w:id="93" w:name="OLE_LINK10"/>
            <w:r w:rsidRPr="000855B2">
              <w:rPr>
                <w:b/>
                <w:bCs/>
                <w:color w:val="000000"/>
                <w:sz w:val="14"/>
                <w:szCs w:val="14"/>
                <w:lang w:val="en-GB" w:eastAsia="en-US"/>
              </w:rPr>
              <w:t>Type</w:t>
            </w:r>
          </w:p>
        </w:tc>
        <w:tc>
          <w:tcPr>
            <w:tcW w:w="1172" w:type="pct"/>
            <w:vMerge w:val="restart"/>
            <w:vAlign w:val="center"/>
          </w:tcPr>
          <w:p w14:paraId="75991A21"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Technology</w:t>
            </w:r>
          </w:p>
        </w:tc>
        <w:tc>
          <w:tcPr>
            <w:tcW w:w="366" w:type="pct"/>
            <w:vAlign w:val="center"/>
          </w:tcPr>
          <w:p w14:paraId="0D8C5402"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CO</w:t>
            </w:r>
          </w:p>
        </w:tc>
        <w:tc>
          <w:tcPr>
            <w:tcW w:w="470" w:type="pct"/>
            <w:vAlign w:val="center"/>
          </w:tcPr>
          <w:p w14:paraId="5B7F997B"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NMVOC</w:t>
            </w:r>
          </w:p>
        </w:tc>
        <w:tc>
          <w:tcPr>
            <w:tcW w:w="420" w:type="pct"/>
            <w:vAlign w:val="center"/>
          </w:tcPr>
          <w:p w14:paraId="492FEBD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NOx</w:t>
            </w:r>
          </w:p>
        </w:tc>
        <w:tc>
          <w:tcPr>
            <w:tcW w:w="418" w:type="pct"/>
            <w:vAlign w:val="center"/>
          </w:tcPr>
          <w:p w14:paraId="4E7736A6"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N2O</w:t>
            </w:r>
          </w:p>
        </w:tc>
        <w:tc>
          <w:tcPr>
            <w:tcW w:w="419" w:type="pct"/>
            <w:vAlign w:val="center"/>
          </w:tcPr>
          <w:p w14:paraId="4E786A33"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NH3</w:t>
            </w:r>
          </w:p>
        </w:tc>
        <w:tc>
          <w:tcPr>
            <w:tcW w:w="502" w:type="pct"/>
            <w:vAlign w:val="center"/>
          </w:tcPr>
          <w:p w14:paraId="7C8F15F1"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Pb</w:t>
            </w:r>
          </w:p>
        </w:tc>
        <w:tc>
          <w:tcPr>
            <w:tcW w:w="501" w:type="pct"/>
            <w:vAlign w:val="center"/>
          </w:tcPr>
          <w:p w14:paraId="1849C294"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CO2 lube</w:t>
            </w:r>
          </w:p>
        </w:tc>
      </w:tr>
      <w:tr w:rsidR="005A3DC8" w:rsidRPr="000855B2" w14:paraId="39689DA4" w14:textId="77777777" w:rsidTr="008C650D">
        <w:tc>
          <w:tcPr>
            <w:tcW w:w="732" w:type="pct"/>
            <w:vAlign w:val="center"/>
          </w:tcPr>
          <w:p w14:paraId="689BA792"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Units</w:t>
            </w:r>
          </w:p>
        </w:tc>
        <w:tc>
          <w:tcPr>
            <w:tcW w:w="1172" w:type="pct"/>
            <w:vMerge/>
            <w:vAlign w:val="center"/>
          </w:tcPr>
          <w:p w14:paraId="36788B7E"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366" w:type="pct"/>
            <w:vAlign w:val="center"/>
          </w:tcPr>
          <w:p w14:paraId="498C397D"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70" w:type="pct"/>
            <w:vAlign w:val="center"/>
          </w:tcPr>
          <w:p w14:paraId="23864CA6"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20" w:type="pct"/>
            <w:vAlign w:val="center"/>
          </w:tcPr>
          <w:p w14:paraId="723746C8"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18" w:type="pct"/>
            <w:vAlign w:val="center"/>
          </w:tcPr>
          <w:p w14:paraId="4DA355A0"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419" w:type="pct"/>
            <w:vAlign w:val="center"/>
          </w:tcPr>
          <w:p w14:paraId="0E18B56B"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02" w:type="pct"/>
            <w:vAlign w:val="center"/>
          </w:tcPr>
          <w:p w14:paraId="64F478A0"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01" w:type="pct"/>
            <w:vAlign w:val="center"/>
          </w:tcPr>
          <w:p w14:paraId="11C47928"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r>
      <w:tr w:rsidR="005A3DC8" w:rsidRPr="000855B2" w14:paraId="2148F342" w14:textId="77777777" w:rsidTr="008C650D">
        <w:tc>
          <w:tcPr>
            <w:tcW w:w="732" w:type="pct"/>
            <w:tcBorders>
              <w:bottom w:val="single" w:sz="12" w:space="0" w:color="auto"/>
            </w:tcBorders>
            <w:vAlign w:val="center"/>
          </w:tcPr>
          <w:p w14:paraId="7D747990"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Notes</w:t>
            </w:r>
          </w:p>
        </w:tc>
        <w:tc>
          <w:tcPr>
            <w:tcW w:w="1172" w:type="pct"/>
            <w:vMerge/>
            <w:tcBorders>
              <w:bottom w:val="single" w:sz="12" w:space="0" w:color="auto"/>
            </w:tcBorders>
            <w:vAlign w:val="center"/>
          </w:tcPr>
          <w:p w14:paraId="7868731C"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366" w:type="pct"/>
            <w:tcBorders>
              <w:bottom w:val="single" w:sz="12" w:space="0" w:color="auto"/>
            </w:tcBorders>
            <w:vAlign w:val="center"/>
          </w:tcPr>
          <w:p w14:paraId="5A14E54B"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470" w:type="pct"/>
            <w:tcBorders>
              <w:bottom w:val="single" w:sz="12" w:space="0" w:color="auto"/>
            </w:tcBorders>
            <w:vAlign w:val="center"/>
          </w:tcPr>
          <w:p w14:paraId="6EAD4C47"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Given as THC-CH4</w:t>
            </w:r>
          </w:p>
        </w:tc>
        <w:tc>
          <w:tcPr>
            <w:tcW w:w="1257" w:type="pct"/>
            <w:gridSpan w:val="3"/>
            <w:tcBorders>
              <w:bottom w:val="single" w:sz="12" w:space="0" w:color="auto"/>
            </w:tcBorders>
            <w:vAlign w:val="center"/>
          </w:tcPr>
          <w:p w14:paraId="09543E6D"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Given as NO2 equivalent</w:t>
            </w:r>
          </w:p>
        </w:tc>
        <w:tc>
          <w:tcPr>
            <w:tcW w:w="502" w:type="pct"/>
            <w:tcBorders>
              <w:bottom w:val="single" w:sz="12" w:space="0" w:color="auto"/>
            </w:tcBorders>
            <w:vAlign w:val="center"/>
          </w:tcPr>
          <w:p w14:paraId="7FEB8E2C"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01" w:type="pct"/>
            <w:tcBorders>
              <w:bottom w:val="single" w:sz="12" w:space="0" w:color="auto"/>
            </w:tcBorders>
            <w:vAlign w:val="center"/>
          </w:tcPr>
          <w:p w14:paraId="0ABA1F21"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due to lube oil</w:t>
            </w:r>
          </w:p>
        </w:tc>
      </w:tr>
      <w:tr w:rsidR="007011A7" w:rsidRPr="000855B2" w14:paraId="136A5654" w14:textId="77777777" w:rsidTr="008C650D">
        <w:tc>
          <w:tcPr>
            <w:tcW w:w="732" w:type="pct"/>
            <w:tcBorders>
              <w:top w:val="single" w:sz="12" w:space="0" w:color="auto"/>
            </w:tcBorders>
            <w:vAlign w:val="center"/>
          </w:tcPr>
          <w:p w14:paraId="06A8DC49" w14:textId="77777777" w:rsidR="00957E20" w:rsidRDefault="008231B8" w:rsidP="0000485C">
            <w:pPr>
              <w:autoSpaceDE w:val="0"/>
              <w:autoSpaceDN w:val="0"/>
              <w:adjustRightInd w:val="0"/>
              <w:spacing w:line="240" w:lineRule="auto"/>
              <w:rPr>
                <w:color w:val="000000"/>
                <w:sz w:val="14"/>
                <w:szCs w:val="14"/>
                <w:lang w:val="en-GB" w:eastAsia="en-US"/>
              </w:rPr>
            </w:pPr>
            <w:r>
              <w:rPr>
                <w:color w:val="000000"/>
                <w:sz w:val="14"/>
                <w:szCs w:val="14"/>
                <w:lang w:val="en-GB" w:eastAsia="en-US"/>
              </w:rPr>
              <w:t>Petrol</w:t>
            </w:r>
            <w:r w:rsidR="00297DD6" w:rsidRPr="000855B2">
              <w:rPr>
                <w:color w:val="000000"/>
                <w:sz w:val="14"/>
                <w:szCs w:val="14"/>
                <w:lang w:val="en-GB" w:eastAsia="en-US"/>
              </w:rPr>
              <w:t xml:space="preserve"> &gt;3.5 t</w:t>
            </w:r>
          </w:p>
        </w:tc>
        <w:tc>
          <w:tcPr>
            <w:tcW w:w="1172" w:type="pct"/>
            <w:tcBorders>
              <w:top w:val="single" w:sz="12" w:space="0" w:color="auto"/>
            </w:tcBorders>
            <w:vAlign w:val="center"/>
          </w:tcPr>
          <w:p w14:paraId="17177D91" w14:textId="77777777" w:rsidR="00957E20" w:rsidRDefault="00297DD6"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tcBorders>
              <w:top w:val="single" w:sz="12" w:space="0" w:color="auto"/>
            </w:tcBorders>
            <w:vAlign w:val="center"/>
          </w:tcPr>
          <w:p w14:paraId="7B38DB1F"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59.5</w:t>
            </w:r>
          </w:p>
        </w:tc>
        <w:tc>
          <w:tcPr>
            <w:tcW w:w="470" w:type="pct"/>
            <w:tcBorders>
              <w:top w:val="single" w:sz="12" w:space="0" w:color="auto"/>
            </w:tcBorders>
            <w:vAlign w:val="center"/>
          </w:tcPr>
          <w:p w14:paraId="4F3B1DFC"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5.25</w:t>
            </w:r>
          </w:p>
        </w:tc>
        <w:tc>
          <w:tcPr>
            <w:tcW w:w="420" w:type="pct"/>
            <w:tcBorders>
              <w:top w:val="single" w:sz="12" w:space="0" w:color="auto"/>
            </w:tcBorders>
            <w:vAlign w:val="center"/>
          </w:tcPr>
          <w:p w14:paraId="29FA31C7"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6.60</w:t>
            </w:r>
          </w:p>
        </w:tc>
        <w:tc>
          <w:tcPr>
            <w:tcW w:w="418" w:type="pct"/>
            <w:tcBorders>
              <w:top w:val="single" w:sz="12" w:space="0" w:color="auto"/>
            </w:tcBorders>
            <w:vAlign w:val="center"/>
          </w:tcPr>
          <w:p w14:paraId="7E5461FA"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0.006</w:t>
            </w:r>
          </w:p>
        </w:tc>
        <w:tc>
          <w:tcPr>
            <w:tcW w:w="419" w:type="pct"/>
            <w:tcBorders>
              <w:top w:val="single" w:sz="12" w:space="0" w:color="auto"/>
            </w:tcBorders>
            <w:vAlign w:val="center"/>
          </w:tcPr>
          <w:p w14:paraId="063FA6FD"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0.0019</w:t>
            </w:r>
          </w:p>
        </w:tc>
        <w:tc>
          <w:tcPr>
            <w:tcW w:w="502" w:type="pct"/>
            <w:tcBorders>
              <w:top w:val="single" w:sz="12" w:space="0" w:color="auto"/>
            </w:tcBorders>
            <w:vAlign w:val="center"/>
          </w:tcPr>
          <w:p w14:paraId="52F5F26E"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5.84E-06</w:t>
            </w:r>
          </w:p>
        </w:tc>
        <w:tc>
          <w:tcPr>
            <w:tcW w:w="501" w:type="pct"/>
            <w:tcBorders>
              <w:top w:val="single" w:sz="12" w:space="0" w:color="auto"/>
            </w:tcBorders>
            <w:vAlign w:val="center"/>
          </w:tcPr>
          <w:p w14:paraId="40623A7B" w14:textId="77777777" w:rsidR="00957E20" w:rsidRDefault="00297DD6"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1.99</w:t>
            </w:r>
          </w:p>
        </w:tc>
      </w:tr>
      <w:tr w:rsidR="005A3DC8" w:rsidRPr="000855B2" w14:paraId="0F34A9C0" w14:textId="77777777" w:rsidTr="008C650D">
        <w:tc>
          <w:tcPr>
            <w:tcW w:w="732" w:type="pct"/>
            <w:vMerge w:val="restart"/>
            <w:vAlign w:val="center"/>
          </w:tcPr>
          <w:p w14:paraId="717E9F97"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&lt;=7.5 t</w:t>
            </w:r>
          </w:p>
        </w:tc>
        <w:tc>
          <w:tcPr>
            <w:tcW w:w="1172" w:type="pct"/>
            <w:vAlign w:val="center"/>
          </w:tcPr>
          <w:p w14:paraId="21BD6436"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79BA24E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1.85</w:t>
            </w:r>
          </w:p>
        </w:tc>
        <w:tc>
          <w:tcPr>
            <w:tcW w:w="470" w:type="pct"/>
            <w:vAlign w:val="center"/>
          </w:tcPr>
          <w:p w14:paraId="7527E34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1.07</w:t>
            </w:r>
          </w:p>
        </w:tc>
        <w:tc>
          <w:tcPr>
            <w:tcW w:w="420" w:type="pct"/>
            <w:vAlign w:val="center"/>
          </w:tcPr>
          <w:p w14:paraId="1647F23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4.70</w:t>
            </w:r>
          </w:p>
        </w:tc>
        <w:tc>
          <w:tcPr>
            <w:tcW w:w="418" w:type="pct"/>
            <w:vAlign w:val="center"/>
          </w:tcPr>
          <w:p w14:paraId="612306F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17CED7F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53F2AD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6.47E-06</w:t>
            </w:r>
          </w:p>
        </w:tc>
        <w:tc>
          <w:tcPr>
            <w:tcW w:w="501" w:type="pct"/>
            <w:vAlign w:val="center"/>
          </w:tcPr>
          <w:p w14:paraId="135A6DD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5B51A4CF" w14:textId="77777777" w:rsidTr="008C650D">
        <w:tc>
          <w:tcPr>
            <w:tcW w:w="732" w:type="pct"/>
            <w:vMerge/>
            <w:vAlign w:val="center"/>
          </w:tcPr>
          <w:p w14:paraId="7260D9A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088AD0A2"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50729F2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0.657</w:t>
            </w:r>
          </w:p>
        </w:tc>
        <w:tc>
          <w:tcPr>
            <w:tcW w:w="470" w:type="pct"/>
            <w:vAlign w:val="center"/>
          </w:tcPr>
          <w:p w14:paraId="5850A63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0.193</w:t>
            </w:r>
          </w:p>
        </w:tc>
        <w:tc>
          <w:tcPr>
            <w:tcW w:w="420" w:type="pct"/>
            <w:vAlign w:val="center"/>
          </w:tcPr>
          <w:p w14:paraId="29062A6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3.37</w:t>
            </w:r>
          </w:p>
        </w:tc>
        <w:tc>
          <w:tcPr>
            <w:tcW w:w="418" w:type="pct"/>
            <w:vAlign w:val="center"/>
          </w:tcPr>
          <w:p w14:paraId="6C96A79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19" w:type="pct"/>
            <w:vAlign w:val="center"/>
          </w:tcPr>
          <w:p w14:paraId="6AA8E9D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6D205CD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5.43E-06</w:t>
            </w:r>
          </w:p>
        </w:tc>
        <w:tc>
          <w:tcPr>
            <w:tcW w:w="501" w:type="pct"/>
            <w:vAlign w:val="center"/>
          </w:tcPr>
          <w:p w14:paraId="0D96554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CD60AE2" w14:textId="77777777" w:rsidTr="008C650D">
        <w:tc>
          <w:tcPr>
            <w:tcW w:w="732" w:type="pct"/>
            <w:vMerge/>
            <w:vAlign w:val="center"/>
          </w:tcPr>
          <w:p w14:paraId="662C7F40"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541AA339"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1CF4ADE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0.537</w:t>
            </w:r>
          </w:p>
        </w:tc>
        <w:tc>
          <w:tcPr>
            <w:tcW w:w="470" w:type="pct"/>
            <w:vAlign w:val="center"/>
          </w:tcPr>
          <w:p w14:paraId="71C05BD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0.123</w:t>
            </w:r>
          </w:p>
        </w:tc>
        <w:tc>
          <w:tcPr>
            <w:tcW w:w="420" w:type="pct"/>
            <w:vAlign w:val="center"/>
          </w:tcPr>
          <w:p w14:paraId="7B90610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3.49</w:t>
            </w:r>
          </w:p>
        </w:tc>
        <w:tc>
          <w:tcPr>
            <w:tcW w:w="418" w:type="pct"/>
            <w:vAlign w:val="center"/>
          </w:tcPr>
          <w:p w14:paraId="6CE6672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0.004</w:t>
            </w:r>
          </w:p>
        </w:tc>
        <w:tc>
          <w:tcPr>
            <w:tcW w:w="419" w:type="pct"/>
            <w:vAlign w:val="center"/>
          </w:tcPr>
          <w:p w14:paraId="5E107D3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39A0816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5.22E-06</w:t>
            </w:r>
          </w:p>
        </w:tc>
        <w:tc>
          <w:tcPr>
            <w:tcW w:w="501" w:type="pct"/>
            <w:vAlign w:val="center"/>
          </w:tcPr>
          <w:p w14:paraId="5D91C8E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4DB29AD" w14:textId="77777777" w:rsidTr="008C650D">
        <w:tc>
          <w:tcPr>
            <w:tcW w:w="732" w:type="pct"/>
            <w:vMerge/>
            <w:vAlign w:val="center"/>
          </w:tcPr>
          <w:p w14:paraId="7A6C5152"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2878B319"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397B86B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0.584</w:t>
            </w:r>
          </w:p>
        </w:tc>
        <w:tc>
          <w:tcPr>
            <w:tcW w:w="470" w:type="pct"/>
            <w:vAlign w:val="center"/>
          </w:tcPr>
          <w:p w14:paraId="52ED1DD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0.115</w:t>
            </w:r>
          </w:p>
        </w:tc>
        <w:tc>
          <w:tcPr>
            <w:tcW w:w="420" w:type="pct"/>
            <w:vAlign w:val="center"/>
          </w:tcPr>
          <w:p w14:paraId="6D9F5DE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2.63</w:t>
            </w:r>
          </w:p>
        </w:tc>
        <w:tc>
          <w:tcPr>
            <w:tcW w:w="418" w:type="pct"/>
            <w:vAlign w:val="center"/>
          </w:tcPr>
          <w:p w14:paraId="15E2771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0.003</w:t>
            </w:r>
          </w:p>
        </w:tc>
        <w:tc>
          <w:tcPr>
            <w:tcW w:w="419" w:type="pct"/>
            <w:vAlign w:val="center"/>
          </w:tcPr>
          <w:p w14:paraId="2BFF266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67081E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5.47E-06</w:t>
            </w:r>
          </w:p>
        </w:tc>
        <w:tc>
          <w:tcPr>
            <w:tcW w:w="501" w:type="pct"/>
            <w:vAlign w:val="center"/>
          </w:tcPr>
          <w:p w14:paraId="5535326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99978D1" w14:textId="77777777" w:rsidTr="008C650D">
        <w:tc>
          <w:tcPr>
            <w:tcW w:w="732" w:type="pct"/>
            <w:vMerge/>
            <w:vAlign w:val="center"/>
          </w:tcPr>
          <w:p w14:paraId="16DABBA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05D9510"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012C64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0.047</w:t>
            </w:r>
          </w:p>
        </w:tc>
        <w:tc>
          <w:tcPr>
            <w:tcW w:w="470" w:type="pct"/>
            <w:vAlign w:val="center"/>
          </w:tcPr>
          <w:p w14:paraId="1F22D13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20" w:type="pct"/>
            <w:vAlign w:val="center"/>
          </w:tcPr>
          <w:p w14:paraId="15C17AF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1.64</w:t>
            </w:r>
          </w:p>
        </w:tc>
        <w:tc>
          <w:tcPr>
            <w:tcW w:w="418" w:type="pct"/>
            <w:vAlign w:val="center"/>
          </w:tcPr>
          <w:p w14:paraId="3A97DD8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0.006</w:t>
            </w:r>
          </w:p>
        </w:tc>
        <w:tc>
          <w:tcPr>
            <w:tcW w:w="419" w:type="pct"/>
            <w:vAlign w:val="center"/>
          </w:tcPr>
          <w:p w14:paraId="6F19E97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501EF1A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5.17E-06</w:t>
            </w:r>
          </w:p>
        </w:tc>
        <w:tc>
          <w:tcPr>
            <w:tcW w:w="501" w:type="pct"/>
            <w:vAlign w:val="center"/>
          </w:tcPr>
          <w:p w14:paraId="4E29186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C0414E1" w14:textId="77777777" w:rsidTr="008C650D">
        <w:tc>
          <w:tcPr>
            <w:tcW w:w="732" w:type="pct"/>
            <w:vMerge/>
            <w:vAlign w:val="center"/>
          </w:tcPr>
          <w:p w14:paraId="2FBC9E2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720C08CB"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52BA50A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0.047</w:t>
            </w:r>
          </w:p>
        </w:tc>
        <w:tc>
          <w:tcPr>
            <w:tcW w:w="470" w:type="pct"/>
            <w:vAlign w:val="center"/>
          </w:tcPr>
          <w:p w14:paraId="50B4E8B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20" w:type="pct"/>
            <w:vAlign w:val="center"/>
          </w:tcPr>
          <w:p w14:paraId="47508A5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0.933</w:t>
            </w:r>
          </w:p>
        </w:tc>
        <w:tc>
          <w:tcPr>
            <w:tcW w:w="418" w:type="pct"/>
            <w:vAlign w:val="center"/>
          </w:tcPr>
          <w:p w14:paraId="77D8585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0.017</w:t>
            </w:r>
          </w:p>
        </w:tc>
        <w:tc>
          <w:tcPr>
            <w:tcW w:w="419" w:type="pct"/>
            <w:vAlign w:val="center"/>
          </w:tcPr>
          <w:p w14:paraId="41C0E90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20B9787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5.17E-06</w:t>
            </w:r>
          </w:p>
        </w:tc>
        <w:tc>
          <w:tcPr>
            <w:tcW w:w="501" w:type="pct"/>
            <w:vAlign w:val="center"/>
          </w:tcPr>
          <w:p w14:paraId="064EE71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C952788" w14:textId="77777777" w:rsidTr="008C650D">
        <w:tc>
          <w:tcPr>
            <w:tcW w:w="732" w:type="pct"/>
            <w:vMerge/>
            <w:vAlign w:val="center"/>
          </w:tcPr>
          <w:p w14:paraId="63A1C611"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50385B35"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1D0FE2B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0.047</w:t>
            </w:r>
          </w:p>
        </w:tc>
        <w:tc>
          <w:tcPr>
            <w:tcW w:w="470" w:type="pct"/>
            <w:vAlign w:val="center"/>
          </w:tcPr>
          <w:p w14:paraId="05792D8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0.005</w:t>
            </w:r>
          </w:p>
        </w:tc>
        <w:tc>
          <w:tcPr>
            <w:tcW w:w="420" w:type="pct"/>
            <w:vAlign w:val="center"/>
          </w:tcPr>
          <w:p w14:paraId="14D4132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0.180</w:t>
            </w:r>
          </w:p>
        </w:tc>
        <w:tc>
          <w:tcPr>
            <w:tcW w:w="418" w:type="pct"/>
            <w:vAlign w:val="center"/>
          </w:tcPr>
          <w:p w14:paraId="26EF456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0.017</w:t>
            </w:r>
          </w:p>
        </w:tc>
        <w:tc>
          <w:tcPr>
            <w:tcW w:w="419" w:type="pct"/>
            <w:vAlign w:val="center"/>
          </w:tcPr>
          <w:p w14:paraId="4445C3B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43728B7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5.17E-06</w:t>
            </w:r>
          </w:p>
        </w:tc>
        <w:tc>
          <w:tcPr>
            <w:tcW w:w="501" w:type="pct"/>
            <w:vAlign w:val="center"/>
          </w:tcPr>
          <w:p w14:paraId="1C5D265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07DB3A6D" w14:textId="77777777" w:rsidTr="008C650D">
        <w:tc>
          <w:tcPr>
            <w:tcW w:w="732" w:type="pct"/>
            <w:vMerge w:val="restart"/>
            <w:vAlign w:val="center"/>
          </w:tcPr>
          <w:p w14:paraId="411A6845"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7.5 - 16 t</w:t>
            </w:r>
          </w:p>
        </w:tc>
        <w:tc>
          <w:tcPr>
            <w:tcW w:w="1172" w:type="pct"/>
            <w:vAlign w:val="center"/>
          </w:tcPr>
          <w:p w14:paraId="2D1EED1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1679826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2.13</w:t>
            </w:r>
          </w:p>
        </w:tc>
        <w:tc>
          <w:tcPr>
            <w:tcW w:w="470" w:type="pct"/>
            <w:vAlign w:val="center"/>
          </w:tcPr>
          <w:p w14:paraId="4E8BE84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0.776</w:t>
            </w:r>
          </w:p>
        </w:tc>
        <w:tc>
          <w:tcPr>
            <w:tcW w:w="420" w:type="pct"/>
            <w:vAlign w:val="center"/>
          </w:tcPr>
          <w:p w14:paraId="685BD81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8.92</w:t>
            </w:r>
          </w:p>
        </w:tc>
        <w:tc>
          <w:tcPr>
            <w:tcW w:w="418" w:type="pct"/>
            <w:vAlign w:val="center"/>
          </w:tcPr>
          <w:p w14:paraId="267DEFC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4865789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7CF3E7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9.48E-06</w:t>
            </w:r>
          </w:p>
        </w:tc>
        <w:tc>
          <w:tcPr>
            <w:tcW w:w="501" w:type="pct"/>
            <w:vAlign w:val="center"/>
          </w:tcPr>
          <w:p w14:paraId="649D769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97BE8CA" w14:textId="77777777" w:rsidTr="008C650D">
        <w:tc>
          <w:tcPr>
            <w:tcW w:w="732" w:type="pct"/>
            <w:vMerge/>
            <w:vAlign w:val="center"/>
          </w:tcPr>
          <w:p w14:paraId="005D2A9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11377ECF"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1908752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1.02</w:t>
            </w:r>
          </w:p>
        </w:tc>
        <w:tc>
          <w:tcPr>
            <w:tcW w:w="470" w:type="pct"/>
            <w:vAlign w:val="center"/>
          </w:tcPr>
          <w:p w14:paraId="7483834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0.326</w:t>
            </w:r>
          </w:p>
        </w:tc>
        <w:tc>
          <w:tcPr>
            <w:tcW w:w="420" w:type="pct"/>
            <w:vAlign w:val="center"/>
          </w:tcPr>
          <w:p w14:paraId="745162C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5.31</w:t>
            </w:r>
          </w:p>
        </w:tc>
        <w:tc>
          <w:tcPr>
            <w:tcW w:w="418" w:type="pct"/>
            <w:vAlign w:val="center"/>
          </w:tcPr>
          <w:p w14:paraId="7147E3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19" w:type="pct"/>
            <w:vAlign w:val="center"/>
          </w:tcPr>
          <w:p w14:paraId="6DFA47F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35A8E17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8.36E-06</w:t>
            </w:r>
          </w:p>
        </w:tc>
        <w:tc>
          <w:tcPr>
            <w:tcW w:w="501" w:type="pct"/>
            <w:vAlign w:val="center"/>
          </w:tcPr>
          <w:p w14:paraId="2ADE9E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567C626D" w14:textId="77777777" w:rsidTr="008C650D">
        <w:tc>
          <w:tcPr>
            <w:tcW w:w="732" w:type="pct"/>
            <w:vMerge/>
            <w:vAlign w:val="center"/>
          </w:tcPr>
          <w:p w14:paraId="619E4F18"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114D3106"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595E7CD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0.902</w:t>
            </w:r>
          </w:p>
        </w:tc>
        <w:tc>
          <w:tcPr>
            <w:tcW w:w="470" w:type="pct"/>
            <w:vAlign w:val="center"/>
          </w:tcPr>
          <w:p w14:paraId="18E7E66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0.207</w:t>
            </w:r>
          </w:p>
        </w:tc>
        <w:tc>
          <w:tcPr>
            <w:tcW w:w="420" w:type="pct"/>
            <w:vAlign w:val="center"/>
          </w:tcPr>
          <w:p w14:paraId="137F9E6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5.50</w:t>
            </w:r>
          </w:p>
        </w:tc>
        <w:tc>
          <w:tcPr>
            <w:tcW w:w="418" w:type="pct"/>
            <w:vAlign w:val="center"/>
          </w:tcPr>
          <w:p w14:paraId="21ED38E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19" w:type="pct"/>
            <w:vAlign w:val="center"/>
          </w:tcPr>
          <w:p w14:paraId="24ACBB1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1191BAD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8.05E-06</w:t>
            </w:r>
          </w:p>
        </w:tc>
        <w:tc>
          <w:tcPr>
            <w:tcW w:w="501" w:type="pct"/>
            <w:vAlign w:val="center"/>
          </w:tcPr>
          <w:p w14:paraId="1EB9BC6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2BA2F95" w14:textId="77777777" w:rsidTr="008C650D">
        <w:tc>
          <w:tcPr>
            <w:tcW w:w="732" w:type="pct"/>
            <w:vMerge/>
            <w:vAlign w:val="center"/>
          </w:tcPr>
          <w:p w14:paraId="7CD8C83C"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2386A16E"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7EEBC7B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0.972</w:t>
            </w:r>
          </w:p>
        </w:tc>
        <w:tc>
          <w:tcPr>
            <w:tcW w:w="470" w:type="pct"/>
            <w:vAlign w:val="center"/>
          </w:tcPr>
          <w:p w14:paraId="3659674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0.189</w:t>
            </w:r>
          </w:p>
        </w:tc>
        <w:tc>
          <w:tcPr>
            <w:tcW w:w="420" w:type="pct"/>
            <w:vAlign w:val="center"/>
          </w:tcPr>
          <w:p w14:paraId="1EDC312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4.30</w:t>
            </w:r>
          </w:p>
        </w:tc>
        <w:tc>
          <w:tcPr>
            <w:tcW w:w="418" w:type="pct"/>
            <w:vAlign w:val="center"/>
          </w:tcPr>
          <w:p w14:paraId="0056E35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0.004</w:t>
            </w:r>
          </w:p>
        </w:tc>
        <w:tc>
          <w:tcPr>
            <w:tcW w:w="419" w:type="pct"/>
            <w:vAlign w:val="center"/>
          </w:tcPr>
          <w:p w14:paraId="205C343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0C4C9B0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8.39E-06</w:t>
            </w:r>
          </w:p>
        </w:tc>
        <w:tc>
          <w:tcPr>
            <w:tcW w:w="501" w:type="pct"/>
            <w:vAlign w:val="center"/>
          </w:tcPr>
          <w:p w14:paraId="71E4D48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5B649CE" w14:textId="77777777" w:rsidTr="008C650D">
        <w:tc>
          <w:tcPr>
            <w:tcW w:w="732" w:type="pct"/>
            <w:vMerge/>
            <w:vAlign w:val="center"/>
          </w:tcPr>
          <w:p w14:paraId="6BC060BC"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4E4C050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5568E92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0.071</w:t>
            </w:r>
          </w:p>
        </w:tc>
        <w:tc>
          <w:tcPr>
            <w:tcW w:w="470" w:type="pct"/>
            <w:vAlign w:val="center"/>
          </w:tcPr>
          <w:p w14:paraId="34C6602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20" w:type="pct"/>
            <w:vAlign w:val="center"/>
          </w:tcPr>
          <w:p w14:paraId="39648FB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2.65</w:t>
            </w:r>
          </w:p>
        </w:tc>
        <w:tc>
          <w:tcPr>
            <w:tcW w:w="418" w:type="pct"/>
            <w:vAlign w:val="center"/>
          </w:tcPr>
          <w:p w14:paraId="61EA328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70A03C3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4E33743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7.85E-06</w:t>
            </w:r>
          </w:p>
        </w:tc>
        <w:tc>
          <w:tcPr>
            <w:tcW w:w="501" w:type="pct"/>
            <w:vAlign w:val="center"/>
          </w:tcPr>
          <w:p w14:paraId="26FDE7E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9688E2E" w14:textId="77777777" w:rsidTr="008C650D">
        <w:tc>
          <w:tcPr>
            <w:tcW w:w="732" w:type="pct"/>
            <w:vMerge/>
            <w:vAlign w:val="center"/>
          </w:tcPr>
          <w:p w14:paraId="6D3A493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701793AD"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538945D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0.071</w:t>
            </w:r>
          </w:p>
        </w:tc>
        <w:tc>
          <w:tcPr>
            <w:tcW w:w="470" w:type="pct"/>
            <w:vAlign w:val="center"/>
          </w:tcPr>
          <w:p w14:paraId="5448210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20" w:type="pct"/>
            <w:vAlign w:val="center"/>
          </w:tcPr>
          <w:p w14:paraId="6E286C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1.51</w:t>
            </w:r>
          </w:p>
        </w:tc>
        <w:tc>
          <w:tcPr>
            <w:tcW w:w="418" w:type="pct"/>
            <w:vAlign w:val="center"/>
          </w:tcPr>
          <w:p w14:paraId="1FDFEB3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0.034</w:t>
            </w:r>
          </w:p>
        </w:tc>
        <w:tc>
          <w:tcPr>
            <w:tcW w:w="419" w:type="pct"/>
            <w:vAlign w:val="center"/>
          </w:tcPr>
          <w:p w14:paraId="6C4FA07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45CC600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7.85E-06</w:t>
            </w:r>
          </w:p>
        </w:tc>
        <w:tc>
          <w:tcPr>
            <w:tcW w:w="501" w:type="pct"/>
            <w:vAlign w:val="center"/>
          </w:tcPr>
          <w:p w14:paraId="4C8DDD1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E520F6C" w14:textId="77777777" w:rsidTr="008C650D">
        <w:tc>
          <w:tcPr>
            <w:tcW w:w="732" w:type="pct"/>
            <w:vMerge/>
            <w:vAlign w:val="center"/>
          </w:tcPr>
          <w:p w14:paraId="3B23631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579D1DE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4190273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0.071</w:t>
            </w:r>
          </w:p>
        </w:tc>
        <w:tc>
          <w:tcPr>
            <w:tcW w:w="470" w:type="pct"/>
            <w:vAlign w:val="center"/>
          </w:tcPr>
          <w:p w14:paraId="523E3B9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20" w:type="pct"/>
            <w:vAlign w:val="center"/>
          </w:tcPr>
          <w:p w14:paraId="3880969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0.291</w:t>
            </w:r>
          </w:p>
        </w:tc>
        <w:tc>
          <w:tcPr>
            <w:tcW w:w="418" w:type="pct"/>
            <w:vAlign w:val="center"/>
          </w:tcPr>
          <w:p w14:paraId="381E52C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0.033</w:t>
            </w:r>
          </w:p>
        </w:tc>
        <w:tc>
          <w:tcPr>
            <w:tcW w:w="419" w:type="pct"/>
            <w:vAlign w:val="center"/>
          </w:tcPr>
          <w:p w14:paraId="7E59BAE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53636B3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7.85E-06</w:t>
            </w:r>
          </w:p>
        </w:tc>
        <w:tc>
          <w:tcPr>
            <w:tcW w:w="501" w:type="pct"/>
            <w:vAlign w:val="center"/>
          </w:tcPr>
          <w:p w14:paraId="2814BAE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A1C77EA" w14:textId="77777777" w:rsidTr="008C650D">
        <w:tc>
          <w:tcPr>
            <w:tcW w:w="732" w:type="pct"/>
            <w:vMerge w:val="restart"/>
            <w:vAlign w:val="center"/>
          </w:tcPr>
          <w:p w14:paraId="6D267939"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16 - 32 t</w:t>
            </w:r>
          </w:p>
        </w:tc>
        <w:tc>
          <w:tcPr>
            <w:tcW w:w="1172" w:type="pct"/>
            <w:vAlign w:val="center"/>
          </w:tcPr>
          <w:p w14:paraId="78057B7C"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055F46F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1.93</w:t>
            </w:r>
          </w:p>
        </w:tc>
        <w:tc>
          <w:tcPr>
            <w:tcW w:w="470" w:type="pct"/>
            <w:vAlign w:val="center"/>
          </w:tcPr>
          <w:p w14:paraId="3331985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0.486</w:t>
            </w:r>
          </w:p>
        </w:tc>
        <w:tc>
          <w:tcPr>
            <w:tcW w:w="420" w:type="pct"/>
            <w:vAlign w:val="center"/>
          </w:tcPr>
          <w:p w14:paraId="10AE271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10.7</w:t>
            </w:r>
          </w:p>
        </w:tc>
        <w:tc>
          <w:tcPr>
            <w:tcW w:w="418" w:type="pct"/>
            <w:vAlign w:val="center"/>
          </w:tcPr>
          <w:p w14:paraId="041D420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717B606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252F644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1.31E-05</w:t>
            </w:r>
          </w:p>
        </w:tc>
        <w:tc>
          <w:tcPr>
            <w:tcW w:w="501" w:type="pct"/>
            <w:vAlign w:val="center"/>
          </w:tcPr>
          <w:p w14:paraId="2625FB0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5D14B916" w14:textId="77777777" w:rsidTr="008C650D">
        <w:tc>
          <w:tcPr>
            <w:tcW w:w="732" w:type="pct"/>
            <w:vMerge/>
            <w:vAlign w:val="center"/>
          </w:tcPr>
          <w:p w14:paraId="5131183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637A9F0A"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7234312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1.55</w:t>
            </w:r>
          </w:p>
        </w:tc>
        <w:tc>
          <w:tcPr>
            <w:tcW w:w="470" w:type="pct"/>
            <w:vAlign w:val="center"/>
          </w:tcPr>
          <w:p w14:paraId="574E7BE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0.449</w:t>
            </w:r>
          </w:p>
        </w:tc>
        <w:tc>
          <w:tcPr>
            <w:tcW w:w="420" w:type="pct"/>
            <w:vAlign w:val="center"/>
          </w:tcPr>
          <w:p w14:paraId="78F566D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7.52</w:t>
            </w:r>
          </w:p>
        </w:tc>
        <w:tc>
          <w:tcPr>
            <w:tcW w:w="418" w:type="pct"/>
            <w:vAlign w:val="center"/>
          </w:tcPr>
          <w:p w14:paraId="797789A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0.008</w:t>
            </w:r>
          </w:p>
        </w:tc>
        <w:tc>
          <w:tcPr>
            <w:tcW w:w="419" w:type="pct"/>
            <w:vAlign w:val="center"/>
          </w:tcPr>
          <w:p w14:paraId="79E9424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049FAF6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1.14E-05</w:t>
            </w:r>
          </w:p>
        </w:tc>
        <w:tc>
          <w:tcPr>
            <w:tcW w:w="501" w:type="pct"/>
            <w:vAlign w:val="center"/>
          </w:tcPr>
          <w:p w14:paraId="7D19AD2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0B6AB9FA" w14:textId="77777777" w:rsidTr="008C650D">
        <w:tc>
          <w:tcPr>
            <w:tcW w:w="732" w:type="pct"/>
            <w:vMerge/>
            <w:vAlign w:val="center"/>
          </w:tcPr>
          <w:p w14:paraId="7F0D6E02"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41424DF2"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27B5034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1.38</w:t>
            </w:r>
          </w:p>
        </w:tc>
        <w:tc>
          <w:tcPr>
            <w:tcW w:w="470" w:type="pct"/>
            <w:vAlign w:val="center"/>
          </w:tcPr>
          <w:p w14:paraId="664B5D6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0.29</w:t>
            </w:r>
          </w:p>
        </w:tc>
        <w:tc>
          <w:tcPr>
            <w:tcW w:w="420" w:type="pct"/>
            <w:vAlign w:val="center"/>
          </w:tcPr>
          <w:p w14:paraId="744B5BD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7.91</w:t>
            </w:r>
          </w:p>
        </w:tc>
        <w:tc>
          <w:tcPr>
            <w:tcW w:w="418" w:type="pct"/>
            <w:vAlign w:val="center"/>
          </w:tcPr>
          <w:p w14:paraId="0A0F00A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0.007</w:t>
            </w:r>
          </w:p>
        </w:tc>
        <w:tc>
          <w:tcPr>
            <w:tcW w:w="419" w:type="pct"/>
            <w:vAlign w:val="center"/>
          </w:tcPr>
          <w:p w14:paraId="7C98CD5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0D09CE0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1.11E-05</w:t>
            </w:r>
          </w:p>
        </w:tc>
        <w:tc>
          <w:tcPr>
            <w:tcW w:w="501" w:type="pct"/>
            <w:vAlign w:val="center"/>
          </w:tcPr>
          <w:p w14:paraId="4C30E91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595DAB6" w14:textId="77777777" w:rsidTr="008C650D">
        <w:tc>
          <w:tcPr>
            <w:tcW w:w="732" w:type="pct"/>
            <w:vMerge/>
            <w:vAlign w:val="center"/>
          </w:tcPr>
          <w:p w14:paraId="186D5C2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3674FDB7"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41361C2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1.49</w:t>
            </w:r>
          </w:p>
        </w:tc>
        <w:tc>
          <w:tcPr>
            <w:tcW w:w="470" w:type="pct"/>
            <w:vAlign w:val="center"/>
          </w:tcPr>
          <w:p w14:paraId="53E24F9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0.278</w:t>
            </w:r>
          </w:p>
        </w:tc>
        <w:tc>
          <w:tcPr>
            <w:tcW w:w="420" w:type="pct"/>
            <w:vAlign w:val="center"/>
          </w:tcPr>
          <w:p w14:paraId="2C135A4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6.27</w:t>
            </w:r>
          </w:p>
        </w:tc>
        <w:tc>
          <w:tcPr>
            <w:tcW w:w="418" w:type="pct"/>
            <w:vAlign w:val="center"/>
          </w:tcPr>
          <w:p w14:paraId="7D7A044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0.004</w:t>
            </w:r>
          </w:p>
        </w:tc>
        <w:tc>
          <w:tcPr>
            <w:tcW w:w="419" w:type="pct"/>
            <w:vAlign w:val="center"/>
          </w:tcPr>
          <w:p w14:paraId="4D03902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1CBF13F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1.13E-05</w:t>
            </w:r>
          </w:p>
        </w:tc>
        <w:tc>
          <w:tcPr>
            <w:tcW w:w="501" w:type="pct"/>
            <w:vAlign w:val="center"/>
          </w:tcPr>
          <w:p w14:paraId="696CFF9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2FC49B5B" w14:textId="77777777" w:rsidTr="008C650D">
        <w:tc>
          <w:tcPr>
            <w:tcW w:w="732" w:type="pct"/>
            <w:vMerge/>
            <w:vAlign w:val="center"/>
          </w:tcPr>
          <w:p w14:paraId="30F43AF4"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24867D6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5684CAC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0.105</w:t>
            </w:r>
          </w:p>
        </w:tc>
        <w:tc>
          <w:tcPr>
            <w:tcW w:w="470" w:type="pct"/>
            <w:vAlign w:val="center"/>
          </w:tcPr>
          <w:p w14:paraId="3F650F2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w:t>
            </w:r>
          </w:p>
        </w:tc>
        <w:tc>
          <w:tcPr>
            <w:tcW w:w="420" w:type="pct"/>
            <w:vAlign w:val="center"/>
          </w:tcPr>
          <w:p w14:paraId="2302847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3.83</w:t>
            </w:r>
          </w:p>
        </w:tc>
        <w:tc>
          <w:tcPr>
            <w:tcW w:w="418" w:type="pct"/>
            <w:vAlign w:val="center"/>
          </w:tcPr>
          <w:p w14:paraId="329F848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2CACA9C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6F9221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1.06E-05</w:t>
            </w:r>
          </w:p>
        </w:tc>
        <w:tc>
          <w:tcPr>
            <w:tcW w:w="501" w:type="pct"/>
            <w:vAlign w:val="center"/>
          </w:tcPr>
          <w:p w14:paraId="4E9E739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039BA96B" w14:textId="77777777" w:rsidTr="008C650D">
        <w:tc>
          <w:tcPr>
            <w:tcW w:w="732" w:type="pct"/>
            <w:vMerge/>
            <w:vAlign w:val="center"/>
          </w:tcPr>
          <w:p w14:paraId="2488BA71"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2C65465C"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444911E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0.105</w:t>
            </w:r>
          </w:p>
        </w:tc>
        <w:tc>
          <w:tcPr>
            <w:tcW w:w="470" w:type="pct"/>
            <w:vAlign w:val="center"/>
          </w:tcPr>
          <w:p w14:paraId="4241E7D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w:t>
            </w:r>
          </w:p>
        </w:tc>
        <w:tc>
          <w:tcPr>
            <w:tcW w:w="420" w:type="pct"/>
            <w:vAlign w:val="center"/>
          </w:tcPr>
          <w:p w14:paraId="75684A7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2.18</w:t>
            </w:r>
          </w:p>
        </w:tc>
        <w:tc>
          <w:tcPr>
            <w:tcW w:w="418" w:type="pct"/>
            <w:vAlign w:val="center"/>
          </w:tcPr>
          <w:p w14:paraId="3CFEBBB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0.034</w:t>
            </w:r>
          </w:p>
        </w:tc>
        <w:tc>
          <w:tcPr>
            <w:tcW w:w="419" w:type="pct"/>
            <w:vAlign w:val="center"/>
          </w:tcPr>
          <w:p w14:paraId="1374EDC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07D35E1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1.06E-05</w:t>
            </w:r>
          </w:p>
        </w:tc>
        <w:tc>
          <w:tcPr>
            <w:tcW w:w="501" w:type="pct"/>
            <w:vAlign w:val="center"/>
          </w:tcPr>
          <w:p w14:paraId="52CC531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279CDA74" w14:textId="77777777" w:rsidTr="008C650D">
        <w:tc>
          <w:tcPr>
            <w:tcW w:w="732" w:type="pct"/>
            <w:vMerge/>
            <w:vAlign w:val="center"/>
          </w:tcPr>
          <w:p w14:paraId="05BF131D" w14:textId="77777777" w:rsidR="005A3DC8" w:rsidRDefault="005A3DC8" w:rsidP="0000485C">
            <w:pPr>
              <w:autoSpaceDE w:val="0"/>
              <w:autoSpaceDN w:val="0"/>
              <w:adjustRightInd w:val="0"/>
              <w:spacing w:line="240" w:lineRule="auto"/>
              <w:rPr>
                <w:color w:val="000000"/>
                <w:sz w:val="14"/>
                <w:szCs w:val="14"/>
                <w:lang w:val="en-GB" w:eastAsia="en-US"/>
              </w:rPr>
            </w:pPr>
          </w:p>
        </w:tc>
        <w:tc>
          <w:tcPr>
            <w:tcW w:w="1172" w:type="pct"/>
            <w:vAlign w:val="center"/>
          </w:tcPr>
          <w:p w14:paraId="0E4CFD94"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3AA8D98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0.105</w:t>
            </w:r>
          </w:p>
        </w:tc>
        <w:tc>
          <w:tcPr>
            <w:tcW w:w="470" w:type="pct"/>
            <w:vAlign w:val="center"/>
          </w:tcPr>
          <w:p w14:paraId="7AADE3C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w:t>
            </w:r>
          </w:p>
        </w:tc>
        <w:tc>
          <w:tcPr>
            <w:tcW w:w="420" w:type="pct"/>
            <w:vAlign w:val="center"/>
          </w:tcPr>
          <w:p w14:paraId="7C097F3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0.422</w:t>
            </w:r>
          </w:p>
        </w:tc>
        <w:tc>
          <w:tcPr>
            <w:tcW w:w="418" w:type="pct"/>
            <w:vAlign w:val="center"/>
          </w:tcPr>
          <w:p w14:paraId="1363884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0.032</w:t>
            </w:r>
          </w:p>
        </w:tc>
        <w:tc>
          <w:tcPr>
            <w:tcW w:w="419" w:type="pct"/>
            <w:vAlign w:val="center"/>
          </w:tcPr>
          <w:p w14:paraId="6C6EDC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740F531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1.06E-05</w:t>
            </w:r>
          </w:p>
        </w:tc>
        <w:tc>
          <w:tcPr>
            <w:tcW w:w="501" w:type="pct"/>
            <w:vAlign w:val="center"/>
          </w:tcPr>
          <w:p w14:paraId="0AF301E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1E5920E0" w14:textId="77777777" w:rsidTr="008C650D">
        <w:tc>
          <w:tcPr>
            <w:tcW w:w="732" w:type="pct"/>
            <w:vMerge w:val="restart"/>
            <w:vAlign w:val="center"/>
          </w:tcPr>
          <w:p w14:paraId="47755E52"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&gt;32 t</w:t>
            </w:r>
          </w:p>
        </w:tc>
        <w:tc>
          <w:tcPr>
            <w:tcW w:w="1172" w:type="pct"/>
            <w:vAlign w:val="center"/>
          </w:tcPr>
          <w:p w14:paraId="7CB042E2"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366" w:type="pct"/>
            <w:vAlign w:val="center"/>
          </w:tcPr>
          <w:p w14:paraId="1102C2C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2.25</w:t>
            </w:r>
          </w:p>
        </w:tc>
        <w:tc>
          <w:tcPr>
            <w:tcW w:w="470" w:type="pct"/>
            <w:vAlign w:val="center"/>
          </w:tcPr>
          <w:p w14:paraId="31F7FF2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0.534</w:t>
            </w:r>
          </w:p>
        </w:tc>
        <w:tc>
          <w:tcPr>
            <w:tcW w:w="420" w:type="pct"/>
            <w:vAlign w:val="center"/>
          </w:tcPr>
          <w:p w14:paraId="1203418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12.8</w:t>
            </w:r>
          </w:p>
        </w:tc>
        <w:tc>
          <w:tcPr>
            <w:tcW w:w="418" w:type="pct"/>
            <w:vAlign w:val="center"/>
          </w:tcPr>
          <w:p w14:paraId="21F47AE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0.029</w:t>
            </w:r>
          </w:p>
        </w:tc>
        <w:tc>
          <w:tcPr>
            <w:tcW w:w="419" w:type="pct"/>
            <w:vAlign w:val="center"/>
          </w:tcPr>
          <w:p w14:paraId="3B1CD57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5C367B1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1.54E-05</w:t>
            </w:r>
          </w:p>
        </w:tc>
        <w:tc>
          <w:tcPr>
            <w:tcW w:w="501" w:type="pct"/>
            <w:vAlign w:val="center"/>
          </w:tcPr>
          <w:p w14:paraId="311C1B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30DD4B88" w14:textId="77777777" w:rsidTr="008C650D">
        <w:tc>
          <w:tcPr>
            <w:tcW w:w="732" w:type="pct"/>
            <w:vMerge/>
            <w:vAlign w:val="center"/>
          </w:tcPr>
          <w:p w14:paraId="5C4EFD80"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5D600651"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366" w:type="pct"/>
            <w:vAlign w:val="center"/>
          </w:tcPr>
          <w:p w14:paraId="47DF441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1.90</w:t>
            </w:r>
          </w:p>
        </w:tc>
        <w:tc>
          <w:tcPr>
            <w:tcW w:w="470" w:type="pct"/>
            <w:vAlign w:val="center"/>
          </w:tcPr>
          <w:p w14:paraId="5B43169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0.510</w:t>
            </w:r>
          </w:p>
        </w:tc>
        <w:tc>
          <w:tcPr>
            <w:tcW w:w="420" w:type="pct"/>
            <w:vAlign w:val="center"/>
          </w:tcPr>
          <w:p w14:paraId="37C5A31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9.04</w:t>
            </w:r>
          </w:p>
        </w:tc>
        <w:tc>
          <w:tcPr>
            <w:tcW w:w="418" w:type="pct"/>
            <w:vAlign w:val="center"/>
          </w:tcPr>
          <w:p w14:paraId="340DE70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1465745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132D74F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1.36E-05</w:t>
            </w:r>
          </w:p>
        </w:tc>
        <w:tc>
          <w:tcPr>
            <w:tcW w:w="501" w:type="pct"/>
            <w:vAlign w:val="center"/>
          </w:tcPr>
          <w:p w14:paraId="51EDF50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0004D3C3" w14:textId="77777777" w:rsidTr="008C650D">
        <w:tc>
          <w:tcPr>
            <w:tcW w:w="732" w:type="pct"/>
            <w:vMerge/>
            <w:vAlign w:val="center"/>
          </w:tcPr>
          <w:p w14:paraId="34A77946"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17E4363E"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366" w:type="pct"/>
            <w:vAlign w:val="center"/>
          </w:tcPr>
          <w:p w14:paraId="2901AAC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1.69</w:t>
            </w:r>
          </w:p>
        </w:tc>
        <w:tc>
          <w:tcPr>
            <w:tcW w:w="470" w:type="pct"/>
            <w:vAlign w:val="center"/>
          </w:tcPr>
          <w:p w14:paraId="4000C43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0.326</w:t>
            </w:r>
          </w:p>
        </w:tc>
        <w:tc>
          <w:tcPr>
            <w:tcW w:w="420" w:type="pct"/>
            <w:vAlign w:val="center"/>
          </w:tcPr>
          <w:p w14:paraId="7873855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9.36</w:t>
            </w:r>
          </w:p>
        </w:tc>
        <w:tc>
          <w:tcPr>
            <w:tcW w:w="418" w:type="pct"/>
            <w:vAlign w:val="center"/>
          </w:tcPr>
          <w:p w14:paraId="02CEFF8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19" w:type="pct"/>
            <w:vAlign w:val="center"/>
          </w:tcPr>
          <w:p w14:paraId="5A2E667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411DBD7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1.33E-05</w:t>
            </w:r>
          </w:p>
        </w:tc>
        <w:tc>
          <w:tcPr>
            <w:tcW w:w="501" w:type="pct"/>
            <w:vAlign w:val="center"/>
          </w:tcPr>
          <w:p w14:paraId="2CF9A39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4BFAA29C" w14:textId="77777777" w:rsidTr="008C650D">
        <w:tc>
          <w:tcPr>
            <w:tcW w:w="732" w:type="pct"/>
            <w:vMerge/>
            <w:vAlign w:val="center"/>
          </w:tcPr>
          <w:p w14:paraId="543C8A66"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31964B7D"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366" w:type="pct"/>
            <w:vAlign w:val="center"/>
          </w:tcPr>
          <w:p w14:paraId="6DDAD95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1.79</w:t>
            </w:r>
          </w:p>
        </w:tc>
        <w:tc>
          <w:tcPr>
            <w:tcW w:w="470" w:type="pct"/>
            <w:vAlign w:val="center"/>
          </w:tcPr>
          <w:p w14:paraId="7FD0E42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0.308</w:t>
            </w:r>
          </w:p>
        </w:tc>
        <w:tc>
          <w:tcPr>
            <w:tcW w:w="420" w:type="pct"/>
            <w:vAlign w:val="center"/>
          </w:tcPr>
          <w:p w14:paraId="0BCC93D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7.43</w:t>
            </w:r>
          </w:p>
        </w:tc>
        <w:tc>
          <w:tcPr>
            <w:tcW w:w="418" w:type="pct"/>
            <w:vAlign w:val="center"/>
          </w:tcPr>
          <w:p w14:paraId="42506E7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0.007</w:t>
            </w:r>
          </w:p>
        </w:tc>
        <w:tc>
          <w:tcPr>
            <w:tcW w:w="419" w:type="pct"/>
            <w:vAlign w:val="center"/>
          </w:tcPr>
          <w:p w14:paraId="22AA3FB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785A443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1.36E-05</w:t>
            </w:r>
          </w:p>
        </w:tc>
        <w:tc>
          <w:tcPr>
            <w:tcW w:w="501" w:type="pct"/>
            <w:vAlign w:val="center"/>
          </w:tcPr>
          <w:p w14:paraId="39F6CBF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5C053C3B" w14:textId="77777777" w:rsidTr="008C650D">
        <w:tc>
          <w:tcPr>
            <w:tcW w:w="732" w:type="pct"/>
            <w:vMerge/>
            <w:vAlign w:val="center"/>
          </w:tcPr>
          <w:p w14:paraId="693D0E24"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6654624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366" w:type="pct"/>
            <w:vAlign w:val="center"/>
          </w:tcPr>
          <w:p w14:paraId="4E4A360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0.121</w:t>
            </w:r>
          </w:p>
        </w:tc>
        <w:tc>
          <w:tcPr>
            <w:tcW w:w="470" w:type="pct"/>
            <w:vAlign w:val="center"/>
          </w:tcPr>
          <w:p w14:paraId="100758E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20" w:type="pct"/>
            <w:vAlign w:val="center"/>
          </w:tcPr>
          <w:p w14:paraId="04EB404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4.61</w:t>
            </w:r>
          </w:p>
        </w:tc>
        <w:tc>
          <w:tcPr>
            <w:tcW w:w="418" w:type="pct"/>
            <w:vAlign w:val="center"/>
          </w:tcPr>
          <w:p w14:paraId="500DEF3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0.018</w:t>
            </w:r>
          </w:p>
        </w:tc>
        <w:tc>
          <w:tcPr>
            <w:tcW w:w="419" w:type="pct"/>
            <w:vAlign w:val="center"/>
          </w:tcPr>
          <w:p w14:paraId="419FABE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0.0029</w:t>
            </w:r>
          </w:p>
        </w:tc>
        <w:tc>
          <w:tcPr>
            <w:tcW w:w="502" w:type="pct"/>
            <w:vAlign w:val="center"/>
          </w:tcPr>
          <w:p w14:paraId="2592DEB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1.26E-05</w:t>
            </w:r>
          </w:p>
        </w:tc>
        <w:tc>
          <w:tcPr>
            <w:tcW w:w="501" w:type="pct"/>
            <w:vAlign w:val="center"/>
          </w:tcPr>
          <w:p w14:paraId="0E75E60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9CA15BD" w14:textId="77777777" w:rsidTr="008C650D">
        <w:tc>
          <w:tcPr>
            <w:tcW w:w="732" w:type="pct"/>
            <w:vMerge/>
            <w:vAlign w:val="center"/>
          </w:tcPr>
          <w:p w14:paraId="4FE4800B"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0C111352"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366" w:type="pct"/>
            <w:vAlign w:val="center"/>
          </w:tcPr>
          <w:p w14:paraId="061EE4C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0.121</w:t>
            </w:r>
          </w:p>
        </w:tc>
        <w:tc>
          <w:tcPr>
            <w:tcW w:w="470" w:type="pct"/>
            <w:vAlign w:val="center"/>
          </w:tcPr>
          <w:p w14:paraId="6A3BF57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20" w:type="pct"/>
            <w:vAlign w:val="center"/>
          </w:tcPr>
          <w:p w14:paraId="1944DF8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2.63</w:t>
            </w:r>
          </w:p>
        </w:tc>
        <w:tc>
          <w:tcPr>
            <w:tcW w:w="418" w:type="pct"/>
            <w:vAlign w:val="center"/>
          </w:tcPr>
          <w:p w14:paraId="023F025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0.053</w:t>
            </w:r>
          </w:p>
        </w:tc>
        <w:tc>
          <w:tcPr>
            <w:tcW w:w="419" w:type="pct"/>
            <w:vAlign w:val="center"/>
          </w:tcPr>
          <w:p w14:paraId="4649E9C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1C9B0C4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1.26E-05</w:t>
            </w:r>
          </w:p>
        </w:tc>
        <w:tc>
          <w:tcPr>
            <w:tcW w:w="501" w:type="pct"/>
            <w:vAlign w:val="center"/>
          </w:tcPr>
          <w:p w14:paraId="0333EAF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r w:rsidR="005A3DC8" w:rsidRPr="000855B2" w14:paraId="79C38717" w14:textId="77777777" w:rsidTr="008C650D">
        <w:tc>
          <w:tcPr>
            <w:tcW w:w="732" w:type="pct"/>
            <w:vMerge/>
            <w:vAlign w:val="center"/>
          </w:tcPr>
          <w:p w14:paraId="58B0F836"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172" w:type="pct"/>
            <w:vAlign w:val="center"/>
          </w:tcPr>
          <w:p w14:paraId="182F0676"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366" w:type="pct"/>
            <w:vAlign w:val="center"/>
          </w:tcPr>
          <w:p w14:paraId="5F17A45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0.121</w:t>
            </w:r>
          </w:p>
        </w:tc>
        <w:tc>
          <w:tcPr>
            <w:tcW w:w="470" w:type="pct"/>
            <w:vAlign w:val="center"/>
          </w:tcPr>
          <w:p w14:paraId="2908CF1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0.012</w:t>
            </w:r>
          </w:p>
        </w:tc>
        <w:tc>
          <w:tcPr>
            <w:tcW w:w="420" w:type="pct"/>
            <w:vAlign w:val="center"/>
          </w:tcPr>
          <w:p w14:paraId="51FE4AC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0.507</w:t>
            </w:r>
          </w:p>
        </w:tc>
        <w:tc>
          <w:tcPr>
            <w:tcW w:w="418" w:type="pct"/>
            <w:vAlign w:val="center"/>
          </w:tcPr>
          <w:p w14:paraId="2387737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0.049</w:t>
            </w:r>
          </w:p>
        </w:tc>
        <w:tc>
          <w:tcPr>
            <w:tcW w:w="419" w:type="pct"/>
            <w:vAlign w:val="center"/>
          </w:tcPr>
          <w:p w14:paraId="1E652E1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0.011</w:t>
            </w:r>
          </w:p>
        </w:tc>
        <w:tc>
          <w:tcPr>
            <w:tcW w:w="502" w:type="pct"/>
            <w:vAlign w:val="center"/>
          </w:tcPr>
          <w:p w14:paraId="2AA4FE7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1.26E-05</w:t>
            </w:r>
          </w:p>
        </w:tc>
        <w:tc>
          <w:tcPr>
            <w:tcW w:w="501" w:type="pct"/>
            <w:vAlign w:val="center"/>
          </w:tcPr>
          <w:p w14:paraId="16C40A1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4.86E-01</w:t>
            </w:r>
          </w:p>
        </w:tc>
      </w:tr>
    </w:tbl>
    <w:bookmarkEnd w:id="93"/>
    <w:p w14:paraId="5D2277C9" w14:textId="47944532"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22</w:t>
      </w:r>
      <w:r w:rsidR="00FB454C">
        <w:rPr>
          <w:noProof/>
        </w:rPr>
        <w:fldChar w:fldCharType="end"/>
      </w:r>
      <w:r w:rsidR="00944F54">
        <w:t xml:space="preserve">: </w:t>
      </w:r>
      <w:r w:rsidR="001D2587" w:rsidRPr="000855B2">
        <w:t xml:space="preserve">Tier 2 </w:t>
      </w:r>
      <w:r w:rsidR="00EF3C06" w:rsidRPr="000855B2">
        <w:t xml:space="preserve">exhaust </w:t>
      </w:r>
      <w:r w:rsidR="001D2587" w:rsidRPr="000855B2">
        <w:t>emission factors for heavy</w:t>
      </w:r>
      <w:r w:rsidR="006F1553" w:rsidRPr="000855B2">
        <w:t>-</w:t>
      </w:r>
      <w:r w:rsidR="001D2587" w:rsidRPr="000855B2">
        <w:t>duty vehicles,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4373"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204"/>
        <w:gridCol w:w="1931"/>
        <w:gridCol w:w="826"/>
        <w:gridCol w:w="890"/>
        <w:gridCol w:w="872"/>
        <w:gridCol w:w="828"/>
        <w:gridCol w:w="825"/>
      </w:tblGrid>
      <w:tr w:rsidR="005A3DC8" w:rsidRPr="000855B2" w14:paraId="42D808A9" w14:textId="77777777" w:rsidTr="0000485C">
        <w:tc>
          <w:tcPr>
            <w:tcW w:w="817" w:type="pct"/>
            <w:vAlign w:val="center"/>
          </w:tcPr>
          <w:p w14:paraId="0E5A52BB" w14:textId="77777777" w:rsidR="005A3DC8" w:rsidRDefault="005A3DC8" w:rsidP="00E81C5C">
            <w:pPr>
              <w:autoSpaceDE w:val="0"/>
              <w:autoSpaceDN w:val="0"/>
              <w:adjustRightInd w:val="0"/>
              <w:spacing w:line="240" w:lineRule="auto"/>
              <w:jc w:val="center"/>
              <w:rPr>
                <w:b/>
                <w:bCs/>
                <w:color w:val="000000"/>
                <w:sz w:val="14"/>
                <w:szCs w:val="14"/>
                <w:lang w:val="en-GB" w:eastAsia="en-US"/>
              </w:rPr>
            </w:pPr>
            <w:bookmarkStart w:id="94" w:name="OLE_LINK11"/>
            <w:r w:rsidRPr="000855B2">
              <w:rPr>
                <w:b/>
                <w:bCs/>
                <w:color w:val="000000"/>
                <w:sz w:val="14"/>
                <w:szCs w:val="14"/>
                <w:lang w:val="en-GB" w:eastAsia="en-US"/>
              </w:rPr>
              <w:t>Type</w:t>
            </w:r>
          </w:p>
        </w:tc>
        <w:tc>
          <w:tcPr>
            <w:tcW w:w="1309" w:type="pct"/>
            <w:vMerge w:val="restart"/>
            <w:vAlign w:val="center"/>
          </w:tcPr>
          <w:p w14:paraId="3A249B50"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Technology</w:t>
            </w:r>
          </w:p>
        </w:tc>
        <w:tc>
          <w:tcPr>
            <w:tcW w:w="560" w:type="pct"/>
            <w:vAlign w:val="center"/>
          </w:tcPr>
          <w:p w14:paraId="29671B90"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PM2.5</w:t>
            </w:r>
          </w:p>
        </w:tc>
        <w:tc>
          <w:tcPr>
            <w:tcW w:w="603" w:type="pct"/>
            <w:vAlign w:val="center"/>
          </w:tcPr>
          <w:p w14:paraId="7399326F"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ID(1,2,3,cd)P</w:t>
            </w:r>
          </w:p>
        </w:tc>
        <w:tc>
          <w:tcPr>
            <w:tcW w:w="591" w:type="pct"/>
            <w:vAlign w:val="center"/>
          </w:tcPr>
          <w:p w14:paraId="5730C55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B(k)F</w:t>
            </w:r>
          </w:p>
        </w:tc>
        <w:tc>
          <w:tcPr>
            <w:tcW w:w="561" w:type="pct"/>
            <w:vAlign w:val="center"/>
          </w:tcPr>
          <w:p w14:paraId="050F353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B(b)F</w:t>
            </w:r>
          </w:p>
        </w:tc>
        <w:tc>
          <w:tcPr>
            <w:tcW w:w="559" w:type="pct"/>
            <w:vAlign w:val="center"/>
          </w:tcPr>
          <w:p w14:paraId="3378F83D"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B(a)P</w:t>
            </w:r>
          </w:p>
        </w:tc>
      </w:tr>
      <w:tr w:rsidR="005A3DC8" w:rsidRPr="000855B2" w14:paraId="484F1551" w14:textId="77777777" w:rsidTr="0000485C">
        <w:tc>
          <w:tcPr>
            <w:tcW w:w="817" w:type="pct"/>
            <w:vAlign w:val="center"/>
          </w:tcPr>
          <w:p w14:paraId="74D126B0"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Units</w:t>
            </w:r>
          </w:p>
        </w:tc>
        <w:tc>
          <w:tcPr>
            <w:tcW w:w="1309" w:type="pct"/>
            <w:vMerge/>
            <w:vAlign w:val="center"/>
          </w:tcPr>
          <w:p w14:paraId="16C63257"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560" w:type="pct"/>
            <w:vAlign w:val="center"/>
          </w:tcPr>
          <w:p w14:paraId="4C85E59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603" w:type="pct"/>
            <w:vAlign w:val="center"/>
          </w:tcPr>
          <w:p w14:paraId="47C564E3"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91" w:type="pct"/>
            <w:vAlign w:val="center"/>
          </w:tcPr>
          <w:p w14:paraId="7ABC378C"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61" w:type="pct"/>
            <w:vAlign w:val="center"/>
          </w:tcPr>
          <w:p w14:paraId="21ABE2F5"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c>
          <w:tcPr>
            <w:tcW w:w="559" w:type="pct"/>
            <w:vAlign w:val="center"/>
          </w:tcPr>
          <w:p w14:paraId="5A2E9676"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g/km</w:t>
            </w:r>
          </w:p>
        </w:tc>
      </w:tr>
      <w:tr w:rsidR="005A3DC8" w:rsidRPr="000855B2" w14:paraId="29289E1A" w14:textId="77777777" w:rsidTr="00246BA6">
        <w:tc>
          <w:tcPr>
            <w:tcW w:w="817" w:type="pct"/>
            <w:tcBorders>
              <w:bottom w:val="single" w:sz="12" w:space="0" w:color="auto"/>
            </w:tcBorders>
            <w:vAlign w:val="center"/>
          </w:tcPr>
          <w:p w14:paraId="1CF1A636"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Notes</w:t>
            </w:r>
          </w:p>
        </w:tc>
        <w:tc>
          <w:tcPr>
            <w:tcW w:w="1309" w:type="pct"/>
            <w:vMerge/>
            <w:tcBorders>
              <w:bottom w:val="single" w:sz="12" w:space="0" w:color="auto"/>
            </w:tcBorders>
            <w:vAlign w:val="center"/>
          </w:tcPr>
          <w:p w14:paraId="7D821AAA" w14:textId="77777777" w:rsidR="005A3DC8" w:rsidRPr="000855B2" w:rsidRDefault="005A3DC8" w:rsidP="00E81C5C">
            <w:pPr>
              <w:autoSpaceDE w:val="0"/>
              <w:autoSpaceDN w:val="0"/>
              <w:adjustRightInd w:val="0"/>
              <w:spacing w:line="240" w:lineRule="auto"/>
              <w:jc w:val="center"/>
              <w:rPr>
                <w:b/>
                <w:bCs/>
                <w:color w:val="000000"/>
                <w:sz w:val="14"/>
                <w:szCs w:val="14"/>
                <w:lang w:val="en-GB" w:eastAsia="en-US"/>
              </w:rPr>
            </w:pPr>
          </w:p>
        </w:tc>
        <w:tc>
          <w:tcPr>
            <w:tcW w:w="560" w:type="pct"/>
            <w:tcBorders>
              <w:bottom w:val="single" w:sz="12" w:space="0" w:color="auto"/>
            </w:tcBorders>
            <w:vAlign w:val="center"/>
          </w:tcPr>
          <w:p w14:paraId="0345DCAE" w14:textId="77777777" w:rsidR="005A3DC8" w:rsidRDefault="005A3DC8" w:rsidP="00E81C5C">
            <w:pPr>
              <w:autoSpaceDE w:val="0"/>
              <w:autoSpaceDN w:val="0"/>
              <w:adjustRightInd w:val="0"/>
              <w:spacing w:line="240" w:lineRule="auto"/>
              <w:jc w:val="center"/>
              <w:rPr>
                <w:b/>
                <w:bCs/>
                <w:color w:val="000000"/>
                <w:sz w:val="14"/>
                <w:szCs w:val="14"/>
                <w:lang w:val="en-GB" w:eastAsia="en-US"/>
              </w:rPr>
            </w:pPr>
            <w:r w:rsidRPr="000855B2">
              <w:rPr>
                <w:b/>
                <w:bCs/>
                <w:color w:val="000000"/>
                <w:sz w:val="14"/>
                <w:szCs w:val="14"/>
                <w:lang w:val="en-GB" w:eastAsia="en-US"/>
              </w:rPr>
              <w:t>PM2.5=PM10=TSP</w:t>
            </w:r>
          </w:p>
        </w:tc>
        <w:tc>
          <w:tcPr>
            <w:tcW w:w="603" w:type="pct"/>
            <w:tcBorders>
              <w:bottom w:val="single" w:sz="12" w:space="0" w:color="auto"/>
            </w:tcBorders>
            <w:vAlign w:val="center"/>
          </w:tcPr>
          <w:p w14:paraId="2A2FA880"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91" w:type="pct"/>
            <w:tcBorders>
              <w:bottom w:val="single" w:sz="12" w:space="0" w:color="auto"/>
            </w:tcBorders>
            <w:vAlign w:val="center"/>
          </w:tcPr>
          <w:p w14:paraId="015FED34"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61" w:type="pct"/>
            <w:tcBorders>
              <w:bottom w:val="single" w:sz="12" w:space="0" w:color="auto"/>
            </w:tcBorders>
            <w:vAlign w:val="center"/>
          </w:tcPr>
          <w:p w14:paraId="581B9EEF"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c>
          <w:tcPr>
            <w:tcW w:w="559" w:type="pct"/>
            <w:tcBorders>
              <w:bottom w:val="single" w:sz="12" w:space="0" w:color="auto"/>
            </w:tcBorders>
            <w:vAlign w:val="center"/>
          </w:tcPr>
          <w:p w14:paraId="36AD15C3" w14:textId="77777777" w:rsidR="005A3DC8" w:rsidRDefault="005A3DC8" w:rsidP="00E81C5C">
            <w:pPr>
              <w:autoSpaceDE w:val="0"/>
              <w:autoSpaceDN w:val="0"/>
              <w:adjustRightInd w:val="0"/>
              <w:spacing w:line="240" w:lineRule="auto"/>
              <w:jc w:val="center"/>
              <w:rPr>
                <w:b/>
                <w:bCs/>
                <w:color w:val="000000"/>
                <w:sz w:val="14"/>
                <w:szCs w:val="14"/>
                <w:lang w:val="en-GB" w:eastAsia="en-US"/>
              </w:rPr>
            </w:pPr>
          </w:p>
        </w:tc>
      </w:tr>
      <w:tr w:rsidR="00ED2C2F" w:rsidRPr="000855B2" w14:paraId="4C865F48" w14:textId="77777777" w:rsidTr="0000485C">
        <w:tc>
          <w:tcPr>
            <w:tcW w:w="817" w:type="pct"/>
            <w:vAlign w:val="center"/>
          </w:tcPr>
          <w:p w14:paraId="16461122" w14:textId="77777777" w:rsidR="00957E20" w:rsidRDefault="008231B8" w:rsidP="0000485C">
            <w:pPr>
              <w:autoSpaceDE w:val="0"/>
              <w:autoSpaceDN w:val="0"/>
              <w:adjustRightInd w:val="0"/>
              <w:spacing w:line="240" w:lineRule="auto"/>
              <w:rPr>
                <w:color w:val="000000"/>
                <w:sz w:val="14"/>
                <w:szCs w:val="14"/>
                <w:lang w:val="en-GB" w:eastAsia="en-US"/>
              </w:rPr>
            </w:pPr>
            <w:r>
              <w:rPr>
                <w:color w:val="000000"/>
                <w:sz w:val="14"/>
                <w:szCs w:val="14"/>
                <w:lang w:val="en-GB" w:eastAsia="en-US"/>
              </w:rPr>
              <w:t>Petrol</w:t>
            </w:r>
            <w:r w:rsidR="00ED2C2F" w:rsidRPr="000855B2">
              <w:rPr>
                <w:color w:val="000000"/>
                <w:sz w:val="14"/>
                <w:szCs w:val="14"/>
                <w:lang w:val="en-GB" w:eastAsia="en-US"/>
              </w:rPr>
              <w:t xml:space="preserve"> &gt;3.5 t</w:t>
            </w:r>
          </w:p>
        </w:tc>
        <w:tc>
          <w:tcPr>
            <w:tcW w:w="1309" w:type="pct"/>
            <w:vAlign w:val="center"/>
          </w:tcPr>
          <w:p w14:paraId="190BF5FC" w14:textId="77777777" w:rsidR="00957E20" w:rsidRDefault="00ED2C2F"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7AE87399"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0.000</w:t>
            </w:r>
          </w:p>
        </w:tc>
        <w:tc>
          <w:tcPr>
            <w:tcW w:w="603" w:type="pct"/>
            <w:vAlign w:val="center"/>
          </w:tcPr>
          <w:p w14:paraId="42A7B77B"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1.03E-06</w:t>
            </w:r>
          </w:p>
        </w:tc>
        <w:tc>
          <w:tcPr>
            <w:tcW w:w="591" w:type="pct"/>
            <w:vAlign w:val="center"/>
          </w:tcPr>
          <w:p w14:paraId="3736D01D"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3.00E-07</w:t>
            </w:r>
          </w:p>
        </w:tc>
        <w:tc>
          <w:tcPr>
            <w:tcW w:w="561" w:type="pct"/>
            <w:vAlign w:val="center"/>
          </w:tcPr>
          <w:p w14:paraId="4CDAA7A0"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8.80E-07</w:t>
            </w:r>
          </w:p>
        </w:tc>
        <w:tc>
          <w:tcPr>
            <w:tcW w:w="559" w:type="pct"/>
            <w:vAlign w:val="center"/>
          </w:tcPr>
          <w:p w14:paraId="7B5D7CB6" w14:textId="77777777" w:rsidR="00957E20" w:rsidRDefault="00ED2C2F"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4.80E-07</w:t>
            </w:r>
          </w:p>
        </w:tc>
      </w:tr>
      <w:tr w:rsidR="005A3DC8" w:rsidRPr="000855B2" w14:paraId="67430504" w14:textId="77777777" w:rsidTr="0000485C">
        <w:tc>
          <w:tcPr>
            <w:tcW w:w="817" w:type="pct"/>
            <w:vMerge w:val="restart"/>
            <w:vAlign w:val="center"/>
          </w:tcPr>
          <w:p w14:paraId="5A022F16"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&lt;=7.5 t</w:t>
            </w:r>
          </w:p>
        </w:tc>
        <w:tc>
          <w:tcPr>
            <w:tcW w:w="1309" w:type="pct"/>
            <w:vAlign w:val="center"/>
          </w:tcPr>
          <w:p w14:paraId="20D54858"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31451A4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0.333</w:t>
            </w:r>
          </w:p>
        </w:tc>
        <w:tc>
          <w:tcPr>
            <w:tcW w:w="603" w:type="pct"/>
            <w:vAlign w:val="center"/>
          </w:tcPr>
          <w:p w14:paraId="430E0C7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D0199B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11738CF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8F417D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075D8EC" w14:textId="77777777" w:rsidTr="0000485C">
        <w:tc>
          <w:tcPr>
            <w:tcW w:w="817" w:type="pct"/>
            <w:vMerge/>
            <w:vAlign w:val="center"/>
          </w:tcPr>
          <w:p w14:paraId="112464F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3C420A88"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4C9AE31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0.129</w:t>
            </w:r>
          </w:p>
        </w:tc>
        <w:tc>
          <w:tcPr>
            <w:tcW w:w="603" w:type="pct"/>
            <w:vAlign w:val="center"/>
          </w:tcPr>
          <w:p w14:paraId="6D06C17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73909D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223A35B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E2BC6C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45FA7E42" w14:textId="77777777" w:rsidTr="0000485C">
        <w:tc>
          <w:tcPr>
            <w:tcW w:w="817" w:type="pct"/>
            <w:vMerge/>
            <w:vAlign w:val="center"/>
          </w:tcPr>
          <w:p w14:paraId="240FAFA6"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08D24BF3"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06B8583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0.061</w:t>
            </w:r>
          </w:p>
        </w:tc>
        <w:tc>
          <w:tcPr>
            <w:tcW w:w="603" w:type="pct"/>
            <w:vAlign w:val="center"/>
          </w:tcPr>
          <w:p w14:paraId="691BD1A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B47A21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621B70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46765DD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4CCA42B4" w14:textId="77777777" w:rsidTr="0000485C">
        <w:tc>
          <w:tcPr>
            <w:tcW w:w="817" w:type="pct"/>
            <w:vMerge/>
            <w:vAlign w:val="center"/>
          </w:tcPr>
          <w:p w14:paraId="35CA8790"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35BF7422"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0CD7078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0.0566</w:t>
            </w:r>
          </w:p>
        </w:tc>
        <w:tc>
          <w:tcPr>
            <w:tcW w:w="603" w:type="pct"/>
            <w:vAlign w:val="center"/>
          </w:tcPr>
          <w:p w14:paraId="3047C0D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BBD13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2FAC8AD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9563F6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6B9FB23F" w14:textId="77777777" w:rsidTr="0000485C">
        <w:tc>
          <w:tcPr>
            <w:tcW w:w="817" w:type="pct"/>
            <w:vMerge/>
            <w:vAlign w:val="center"/>
          </w:tcPr>
          <w:p w14:paraId="066DE4C3"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0EDB97F"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7AF220D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0.0106</w:t>
            </w:r>
          </w:p>
        </w:tc>
        <w:tc>
          <w:tcPr>
            <w:tcW w:w="603" w:type="pct"/>
            <w:vAlign w:val="center"/>
          </w:tcPr>
          <w:p w14:paraId="35E3B56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7BB3C2E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A4818F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AF3876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EAEF81B" w14:textId="77777777" w:rsidTr="0000485C">
        <w:tc>
          <w:tcPr>
            <w:tcW w:w="817" w:type="pct"/>
            <w:vMerge/>
            <w:vAlign w:val="center"/>
          </w:tcPr>
          <w:p w14:paraId="6885FDB7"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776345CB"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367987A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0.0106</w:t>
            </w:r>
          </w:p>
        </w:tc>
        <w:tc>
          <w:tcPr>
            <w:tcW w:w="603" w:type="pct"/>
            <w:vAlign w:val="center"/>
          </w:tcPr>
          <w:p w14:paraId="6F56559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5E1EF4C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64A1254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51FC40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0D528F46" w14:textId="77777777" w:rsidTr="0000485C">
        <w:tc>
          <w:tcPr>
            <w:tcW w:w="817" w:type="pct"/>
            <w:vMerge/>
            <w:vAlign w:val="center"/>
          </w:tcPr>
          <w:p w14:paraId="19712849"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25233164"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522A9DF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0.0005</w:t>
            </w:r>
          </w:p>
        </w:tc>
        <w:tc>
          <w:tcPr>
            <w:tcW w:w="603" w:type="pct"/>
            <w:vAlign w:val="center"/>
          </w:tcPr>
          <w:p w14:paraId="47FC233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2EDFDE2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D5B657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64FC55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4D3F8AAF" w14:textId="77777777" w:rsidTr="0000485C">
        <w:tc>
          <w:tcPr>
            <w:tcW w:w="817" w:type="pct"/>
            <w:vMerge w:val="restart"/>
            <w:vAlign w:val="center"/>
          </w:tcPr>
          <w:p w14:paraId="334F1CCA"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7.5 - 16 t</w:t>
            </w:r>
          </w:p>
        </w:tc>
        <w:tc>
          <w:tcPr>
            <w:tcW w:w="1309" w:type="pct"/>
            <w:vAlign w:val="center"/>
          </w:tcPr>
          <w:p w14:paraId="7D10393C"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7270BA6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0.3344</w:t>
            </w:r>
          </w:p>
        </w:tc>
        <w:tc>
          <w:tcPr>
            <w:tcW w:w="603" w:type="pct"/>
            <w:vAlign w:val="center"/>
          </w:tcPr>
          <w:p w14:paraId="69AC6C0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16B8CAD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4A4B725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4B6DC58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4E0EEF2" w14:textId="77777777" w:rsidTr="0000485C">
        <w:tc>
          <w:tcPr>
            <w:tcW w:w="817" w:type="pct"/>
            <w:vMerge/>
            <w:vAlign w:val="center"/>
          </w:tcPr>
          <w:p w14:paraId="19B82FB9"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A0B7F02"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36144F6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0.201</w:t>
            </w:r>
          </w:p>
        </w:tc>
        <w:tc>
          <w:tcPr>
            <w:tcW w:w="603" w:type="pct"/>
            <w:vAlign w:val="center"/>
          </w:tcPr>
          <w:p w14:paraId="4437474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17B5A03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2DCF634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81F53D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294DFEEB" w14:textId="77777777" w:rsidTr="0000485C">
        <w:tc>
          <w:tcPr>
            <w:tcW w:w="817" w:type="pct"/>
            <w:vMerge/>
            <w:vAlign w:val="center"/>
          </w:tcPr>
          <w:p w14:paraId="343B9374"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6C94A54D"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1D9664D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0.104</w:t>
            </w:r>
          </w:p>
        </w:tc>
        <w:tc>
          <w:tcPr>
            <w:tcW w:w="603" w:type="pct"/>
            <w:vAlign w:val="center"/>
          </w:tcPr>
          <w:p w14:paraId="2DA7A5A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138A18A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3E0D8F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53EF95A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00343F71" w14:textId="77777777" w:rsidTr="0000485C">
        <w:tc>
          <w:tcPr>
            <w:tcW w:w="817" w:type="pct"/>
            <w:vMerge/>
            <w:vAlign w:val="center"/>
          </w:tcPr>
          <w:p w14:paraId="30393485"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1DA0A02B"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362D60E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0.0881</w:t>
            </w:r>
          </w:p>
        </w:tc>
        <w:tc>
          <w:tcPr>
            <w:tcW w:w="603" w:type="pct"/>
            <w:vAlign w:val="center"/>
          </w:tcPr>
          <w:p w14:paraId="05EB11C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2615B7F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2A3E585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34CEE50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298094BC" w14:textId="77777777" w:rsidTr="0000485C">
        <w:tc>
          <w:tcPr>
            <w:tcW w:w="817" w:type="pct"/>
            <w:vMerge/>
            <w:vAlign w:val="center"/>
          </w:tcPr>
          <w:p w14:paraId="6F7290FD"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193129EF"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0E22669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0.0161</w:t>
            </w:r>
          </w:p>
        </w:tc>
        <w:tc>
          <w:tcPr>
            <w:tcW w:w="603" w:type="pct"/>
            <w:vAlign w:val="center"/>
          </w:tcPr>
          <w:p w14:paraId="58C7054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6232F4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6ED92AC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C4BF84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0520C9BD" w14:textId="77777777" w:rsidTr="0000485C">
        <w:tc>
          <w:tcPr>
            <w:tcW w:w="817" w:type="pct"/>
            <w:vMerge/>
            <w:vAlign w:val="center"/>
          </w:tcPr>
          <w:p w14:paraId="44D6BB13"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7CD3AC61"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5F88F55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0.0161</w:t>
            </w:r>
          </w:p>
        </w:tc>
        <w:tc>
          <w:tcPr>
            <w:tcW w:w="603" w:type="pct"/>
            <w:vAlign w:val="center"/>
          </w:tcPr>
          <w:p w14:paraId="24388D8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289A511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4326433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DED569E"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90D23A7" w14:textId="77777777" w:rsidTr="0000485C">
        <w:tc>
          <w:tcPr>
            <w:tcW w:w="817" w:type="pct"/>
            <w:vMerge/>
            <w:vAlign w:val="center"/>
          </w:tcPr>
          <w:p w14:paraId="55E7FF12"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0314435"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3D1289F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0.0008</w:t>
            </w:r>
          </w:p>
        </w:tc>
        <w:tc>
          <w:tcPr>
            <w:tcW w:w="603" w:type="pct"/>
            <w:vAlign w:val="center"/>
          </w:tcPr>
          <w:p w14:paraId="0B435AA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1F908D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9D5E47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5DAAB5C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127F15D" w14:textId="77777777" w:rsidTr="0000485C">
        <w:tc>
          <w:tcPr>
            <w:tcW w:w="817" w:type="pct"/>
            <w:vMerge w:val="restart"/>
            <w:vAlign w:val="center"/>
          </w:tcPr>
          <w:p w14:paraId="081DC7FD"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16 - 32 t</w:t>
            </w:r>
          </w:p>
        </w:tc>
        <w:tc>
          <w:tcPr>
            <w:tcW w:w="1309" w:type="pct"/>
            <w:vAlign w:val="center"/>
          </w:tcPr>
          <w:p w14:paraId="798DF45F"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55E4DAF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0.418</w:t>
            </w:r>
          </w:p>
        </w:tc>
        <w:tc>
          <w:tcPr>
            <w:tcW w:w="603" w:type="pct"/>
            <w:vAlign w:val="center"/>
          </w:tcPr>
          <w:p w14:paraId="47B0484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50D0FDB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CA24B5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9313E1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2FEBFEFF" w14:textId="77777777" w:rsidTr="0000485C">
        <w:tc>
          <w:tcPr>
            <w:tcW w:w="817" w:type="pct"/>
            <w:vMerge/>
            <w:vAlign w:val="center"/>
          </w:tcPr>
          <w:p w14:paraId="2463641D"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14047299"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09AD04B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0.297</w:t>
            </w:r>
          </w:p>
        </w:tc>
        <w:tc>
          <w:tcPr>
            <w:tcW w:w="603" w:type="pct"/>
            <w:vAlign w:val="center"/>
          </w:tcPr>
          <w:p w14:paraId="4D99BB1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1DAC25F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03889A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4405DC9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1408120C" w14:textId="77777777" w:rsidTr="0000485C">
        <w:tc>
          <w:tcPr>
            <w:tcW w:w="817" w:type="pct"/>
            <w:vMerge/>
            <w:vAlign w:val="center"/>
          </w:tcPr>
          <w:p w14:paraId="0BA23F54"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6A641FF4"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1E2AB47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0.155</w:t>
            </w:r>
          </w:p>
        </w:tc>
        <w:tc>
          <w:tcPr>
            <w:tcW w:w="603" w:type="pct"/>
            <w:vAlign w:val="center"/>
          </w:tcPr>
          <w:p w14:paraId="67596D5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CC4094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37A4D9D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4A46AA8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11A2F1F6" w14:textId="77777777" w:rsidTr="0000485C">
        <w:tc>
          <w:tcPr>
            <w:tcW w:w="817" w:type="pct"/>
            <w:vMerge/>
            <w:vAlign w:val="center"/>
          </w:tcPr>
          <w:p w14:paraId="14A92184"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37777F8C"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7E64F95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0.13</w:t>
            </w:r>
          </w:p>
        </w:tc>
        <w:tc>
          <w:tcPr>
            <w:tcW w:w="603" w:type="pct"/>
            <w:vAlign w:val="center"/>
          </w:tcPr>
          <w:p w14:paraId="02BE9CD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6594490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04C1CE90"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A1E25F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1933068" w14:textId="77777777" w:rsidTr="0000485C">
        <w:tc>
          <w:tcPr>
            <w:tcW w:w="817" w:type="pct"/>
            <w:vMerge/>
            <w:vAlign w:val="center"/>
          </w:tcPr>
          <w:p w14:paraId="3329288F"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D05C6A6"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71A299D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0.0239</w:t>
            </w:r>
          </w:p>
        </w:tc>
        <w:tc>
          <w:tcPr>
            <w:tcW w:w="603" w:type="pct"/>
            <w:vAlign w:val="center"/>
          </w:tcPr>
          <w:p w14:paraId="05F45DD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ABFE1E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E49757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632C325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0C079C6F" w14:textId="77777777" w:rsidTr="0000485C">
        <w:tc>
          <w:tcPr>
            <w:tcW w:w="817" w:type="pct"/>
            <w:vMerge/>
            <w:vAlign w:val="center"/>
          </w:tcPr>
          <w:p w14:paraId="76B4DD98"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13A60BEE"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642458B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0.0239</w:t>
            </w:r>
          </w:p>
        </w:tc>
        <w:tc>
          <w:tcPr>
            <w:tcW w:w="603" w:type="pct"/>
            <w:vAlign w:val="center"/>
          </w:tcPr>
          <w:p w14:paraId="616D3C1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6A78B6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49D00E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2639A1F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3175C6D" w14:textId="77777777" w:rsidTr="0000485C">
        <w:tc>
          <w:tcPr>
            <w:tcW w:w="817" w:type="pct"/>
            <w:vMerge/>
            <w:vAlign w:val="center"/>
          </w:tcPr>
          <w:p w14:paraId="1B091309" w14:textId="77777777" w:rsidR="005A3DC8" w:rsidRDefault="005A3DC8" w:rsidP="0000485C">
            <w:pPr>
              <w:autoSpaceDE w:val="0"/>
              <w:autoSpaceDN w:val="0"/>
              <w:adjustRightInd w:val="0"/>
              <w:spacing w:line="240" w:lineRule="auto"/>
              <w:rPr>
                <w:color w:val="000000"/>
                <w:sz w:val="14"/>
                <w:szCs w:val="14"/>
                <w:lang w:val="en-GB" w:eastAsia="en-US"/>
              </w:rPr>
            </w:pPr>
          </w:p>
        </w:tc>
        <w:tc>
          <w:tcPr>
            <w:tcW w:w="1309" w:type="pct"/>
            <w:vAlign w:val="center"/>
          </w:tcPr>
          <w:p w14:paraId="462C0966"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227172A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0.0012</w:t>
            </w:r>
          </w:p>
        </w:tc>
        <w:tc>
          <w:tcPr>
            <w:tcW w:w="603" w:type="pct"/>
            <w:vAlign w:val="center"/>
          </w:tcPr>
          <w:p w14:paraId="75497B3D"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1F09C0E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43B4858"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15348A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12CFC38A" w14:textId="77777777" w:rsidTr="0000485C">
        <w:tc>
          <w:tcPr>
            <w:tcW w:w="817" w:type="pct"/>
            <w:vMerge w:val="restart"/>
            <w:vAlign w:val="center"/>
          </w:tcPr>
          <w:p w14:paraId="6241A40E" w14:textId="77777777" w:rsidR="005A3DC8" w:rsidRDefault="005A3DC8" w:rsidP="0000485C">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Diesel &gt;32 t</w:t>
            </w:r>
          </w:p>
        </w:tc>
        <w:tc>
          <w:tcPr>
            <w:tcW w:w="1309" w:type="pct"/>
            <w:vAlign w:val="center"/>
          </w:tcPr>
          <w:p w14:paraId="0B3F8608"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Conventional</w:t>
            </w:r>
          </w:p>
        </w:tc>
        <w:tc>
          <w:tcPr>
            <w:tcW w:w="560" w:type="pct"/>
            <w:vAlign w:val="center"/>
          </w:tcPr>
          <w:p w14:paraId="1F05855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0.491</w:t>
            </w:r>
          </w:p>
        </w:tc>
        <w:tc>
          <w:tcPr>
            <w:tcW w:w="603" w:type="pct"/>
            <w:vAlign w:val="center"/>
          </w:tcPr>
          <w:p w14:paraId="31D87F4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599743C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1B10B8C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6B8CC7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3AE6B77C" w14:textId="77777777" w:rsidTr="0000485C">
        <w:tc>
          <w:tcPr>
            <w:tcW w:w="817" w:type="pct"/>
            <w:vMerge/>
            <w:vAlign w:val="center"/>
          </w:tcPr>
          <w:p w14:paraId="478D46D8"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11E3B1C6"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 - 91/542/EEC I</w:t>
            </w:r>
          </w:p>
        </w:tc>
        <w:tc>
          <w:tcPr>
            <w:tcW w:w="560" w:type="pct"/>
            <w:vAlign w:val="center"/>
          </w:tcPr>
          <w:p w14:paraId="6727C295"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0.358</w:t>
            </w:r>
          </w:p>
        </w:tc>
        <w:tc>
          <w:tcPr>
            <w:tcW w:w="603" w:type="pct"/>
            <w:vAlign w:val="center"/>
          </w:tcPr>
          <w:p w14:paraId="7B60BD2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4946222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229995B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911CCB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0EFE3DEA" w14:textId="77777777" w:rsidTr="0000485C">
        <w:tc>
          <w:tcPr>
            <w:tcW w:w="817" w:type="pct"/>
            <w:vMerge/>
            <w:vAlign w:val="center"/>
          </w:tcPr>
          <w:p w14:paraId="4019DC66"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3B29126A" w14:textId="77777777" w:rsidR="005A3DC8" w:rsidRPr="00FC6D86" w:rsidRDefault="005A3DC8" w:rsidP="00410789">
            <w:pPr>
              <w:autoSpaceDE w:val="0"/>
              <w:autoSpaceDN w:val="0"/>
              <w:adjustRightInd w:val="0"/>
              <w:spacing w:line="240" w:lineRule="auto"/>
              <w:rPr>
                <w:color w:val="000000"/>
                <w:sz w:val="14"/>
                <w:szCs w:val="14"/>
                <w:lang w:val="en-GB" w:eastAsia="en-US"/>
              </w:rPr>
            </w:pPr>
            <w:r w:rsidRPr="00FC6D86">
              <w:rPr>
                <w:color w:val="000000"/>
                <w:sz w:val="14"/>
                <w:szCs w:val="14"/>
                <w:lang w:val="en-GB" w:eastAsia="en-US"/>
              </w:rPr>
              <w:t>Euro II - 91/542/EEC II</w:t>
            </w:r>
          </w:p>
        </w:tc>
        <w:tc>
          <w:tcPr>
            <w:tcW w:w="560" w:type="pct"/>
            <w:vAlign w:val="center"/>
          </w:tcPr>
          <w:p w14:paraId="31B452C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0.194</w:t>
            </w:r>
          </w:p>
        </w:tc>
        <w:tc>
          <w:tcPr>
            <w:tcW w:w="603" w:type="pct"/>
            <w:vAlign w:val="center"/>
          </w:tcPr>
          <w:p w14:paraId="6DD8C0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2F5F279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07F251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58BE137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594210E1" w14:textId="77777777" w:rsidTr="0000485C">
        <w:tc>
          <w:tcPr>
            <w:tcW w:w="817" w:type="pct"/>
            <w:vMerge/>
            <w:vAlign w:val="center"/>
          </w:tcPr>
          <w:p w14:paraId="4A99E085"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0C473618"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III - 2000</w:t>
            </w:r>
          </w:p>
        </w:tc>
        <w:tc>
          <w:tcPr>
            <w:tcW w:w="560" w:type="pct"/>
            <w:vAlign w:val="center"/>
          </w:tcPr>
          <w:p w14:paraId="22F3002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0.151</w:t>
            </w:r>
          </w:p>
        </w:tc>
        <w:tc>
          <w:tcPr>
            <w:tcW w:w="603" w:type="pct"/>
            <w:vAlign w:val="center"/>
          </w:tcPr>
          <w:p w14:paraId="5F598BF1"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095A8A1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170A9FC"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A361EA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7A1C4630" w14:textId="77777777" w:rsidTr="0000485C">
        <w:tc>
          <w:tcPr>
            <w:tcW w:w="817" w:type="pct"/>
            <w:vMerge/>
            <w:vAlign w:val="center"/>
          </w:tcPr>
          <w:p w14:paraId="568E7462"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3213BBFA"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IV - 2005</w:t>
            </w:r>
          </w:p>
        </w:tc>
        <w:tc>
          <w:tcPr>
            <w:tcW w:w="560" w:type="pct"/>
            <w:vAlign w:val="center"/>
          </w:tcPr>
          <w:p w14:paraId="3A1F40A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0.0268</w:t>
            </w:r>
          </w:p>
        </w:tc>
        <w:tc>
          <w:tcPr>
            <w:tcW w:w="603" w:type="pct"/>
            <w:vAlign w:val="center"/>
          </w:tcPr>
          <w:p w14:paraId="5BFF666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7007AE24"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71B0948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1E3F368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4063BB17" w14:textId="77777777" w:rsidTr="0000485C">
        <w:tc>
          <w:tcPr>
            <w:tcW w:w="817" w:type="pct"/>
            <w:vMerge/>
            <w:vAlign w:val="center"/>
          </w:tcPr>
          <w:p w14:paraId="29BD9B85"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6A040F5C"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 - 2008</w:t>
            </w:r>
          </w:p>
        </w:tc>
        <w:tc>
          <w:tcPr>
            <w:tcW w:w="560" w:type="pct"/>
            <w:vAlign w:val="center"/>
          </w:tcPr>
          <w:p w14:paraId="38CE38A7"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0.0268</w:t>
            </w:r>
          </w:p>
        </w:tc>
        <w:tc>
          <w:tcPr>
            <w:tcW w:w="603" w:type="pct"/>
            <w:vAlign w:val="center"/>
          </w:tcPr>
          <w:p w14:paraId="5A603EA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9505A4B"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5AA4CFFA"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7FCB96C3"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r w:rsidR="005A3DC8" w:rsidRPr="000855B2" w14:paraId="14E5CE91" w14:textId="77777777" w:rsidTr="0000485C">
        <w:tc>
          <w:tcPr>
            <w:tcW w:w="817" w:type="pct"/>
            <w:vMerge/>
            <w:vAlign w:val="center"/>
          </w:tcPr>
          <w:p w14:paraId="4D0D2BC2" w14:textId="77777777" w:rsidR="005A3DC8" w:rsidRDefault="005A3DC8" w:rsidP="00E81C5C">
            <w:pPr>
              <w:autoSpaceDE w:val="0"/>
              <w:autoSpaceDN w:val="0"/>
              <w:adjustRightInd w:val="0"/>
              <w:spacing w:line="240" w:lineRule="auto"/>
              <w:jc w:val="center"/>
              <w:rPr>
                <w:color w:val="000000"/>
                <w:sz w:val="14"/>
                <w:szCs w:val="14"/>
                <w:lang w:val="en-GB" w:eastAsia="en-US"/>
              </w:rPr>
            </w:pPr>
          </w:p>
        </w:tc>
        <w:tc>
          <w:tcPr>
            <w:tcW w:w="1309" w:type="pct"/>
            <w:vAlign w:val="center"/>
          </w:tcPr>
          <w:p w14:paraId="0D54997B" w14:textId="77777777" w:rsidR="005A3DC8" w:rsidRDefault="005A3DC8" w:rsidP="00410789">
            <w:pPr>
              <w:autoSpaceDE w:val="0"/>
              <w:autoSpaceDN w:val="0"/>
              <w:adjustRightInd w:val="0"/>
              <w:spacing w:line="240" w:lineRule="auto"/>
              <w:rPr>
                <w:color w:val="000000"/>
                <w:sz w:val="14"/>
                <w:szCs w:val="14"/>
                <w:lang w:val="en-GB" w:eastAsia="en-US"/>
              </w:rPr>
            </w:pPr>
            <w:r w:rsidRPr="000855B2">
              <w:rPr>
                <w:color w:val="000000"/>
                <w:sz w:val="14"/>
                <w:szCs w:val="14"/>
                <w:lang w:val="en-GB" w:eastAsia="en-US"/>
              </w:rPr>
              <w:t>Euro VI</w:t>
            </w:r>
          </w:p>
        </w:tc>
        <w:tc>
          <w:tcPr>
            <w:tcW w:w="560" w:type="pct"/>
            <w:vAlign w:val="center"/>
          </w:tcPr>
          <w:p w14:paraId="0190BBA9"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0.0013</w:t>
            </w:r>
          </w:p>
        </w:tc>
        <w:tc>
          <w:tcPr>
            <w:tcW w:w="603" w:type="pct"/>
            <w:vAlign w:val="center"/>
          </w:tcPr>
          <w:p w14:paraId="287BE9CF"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1.40E-06</w:t>
            </w:r>
          </w:p>
        </w:tc>
        <w:tc>
          <w:tcPr>
            <w:tcW w:w="591" w:type="pct"/>
            <w:vAlign w:val="center"/>
          </w:tcPr>
          <w:p w14:paraId="34C5728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6.09E-06</w:t>
            </w:r>
          </w:p>
        </w:tc>
        <w:tc>
          <w:tcPr>
            <w:tcW w:w="561" w:type="pct"/>
            <w:vAlign w:val="center"/>
          </w:tcPr>
          <w:p w14:paraId="15C6AF12"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5.45E-06</w:t>
            </w:r>
          </w:p>
        </w:tc>
        <w:tc>
          <w:tcPr>
            <w:tcW w:w="559" w:type="pct"/>
            <w:vAlign w:val="center"/>
          </w:tcPr>
          <w:p w14:paraId="02370C76" w14:textId="77777777" w:rsidR="005A3DC8" w:rsidRDefault="005A3DC8" w:rsidP="00E81C5C">
            <w:pPr>
              <w:autoSpaceDE w:val="0"/>
              <w:autoSpaceDN w:val="0"/>
              <w:adjustRightInd w:val="0"/>
              <w:spacing w:line="240" w:lineRule="auto"/>
              <w:jc w:val="center"/>
              <w:rPr>
                <w:color w:val="000000"/>
                <w:sz w:val="14"/>
                <w:szCs w:val="14"/>
                <w:lang w:val="en-GB" w:eastAsia="en-US"/>
              </w:rPr>
            </w:pPr>
            <w:r w:rsidRPr="000855B2">
              <w:rPr>
                <w:color w:val="000000"/>
                <w:sz w:val="14"/>
                <w:szCs w:val="14"/>
                <w:lang w:val="en-GB" w:eastAsia="en-US"/>
              </w:rPr>
              <w:t>9.00E-07</w:t>
            </w:r>
          </w:p>
        </w:tc>
      </w:tr>
    </w:tbl>
    <w:bookmarkEnd w:id="94"/>
    <w:p w14:paraId="4F325BA5" w14:textId="52076F97"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23</w:t>
      </w:r>
      <w:r w:rsidR="00FB454C">
        <w:rPr>
          <w:noProof/>
        </w:rPr>
        <w:fldChar w:fldCharType="end"/>
      </w:r>
      <w:r w:rsidR="00944F54">
        <w:t xml:space="preserve">: </w:t>
      </w:r>
      <w:r w:rsidR="001D2587" w:rsidRPr="000855B2">
        <w:t xml:space="preserve">Tier 2 </w:t>
      </w:r>
      <w:r w:rsidR="00EF3C06" w:rsidRPr="000855B2">
        <w:t xml:space="preserve">exhaust </w:t>
      </w:r>
      <w:r w:rsidR="001D2587" w:rsidRPr="000855B2">
        <w:t>emission factors for buses,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33"/>
        <w:gridCol w:w="1717"/>
        <w:gridCol w:w="686"/>
        <w:gridCol w:w="738"/>
        <w:gridCol w:w="909"/>
        <w:gridCol w:w="567"/>
        <w:gridCol w:w="567"/>
        <w:gridCol w:w="785"/>
        <w:gridCol w:w="831"/>
      </w:tblGrid>
      <w:tr w:rsidR="005A3DC8" w:rsidRPr="005A3DC8" w14:paraId="75406C1B" w14:textId="77777777" w:rsidTr="00887829">
        <w:tc>
          <w:tcPr>
            <w:tcW w:w="668" w:type="pct"/>
            <w:shd w:val="clear" w:color="auto" w:fill="auto"/>
            <w:noWrap/>
            <w:vAlign w:val="center"/>
            <w:hideMark/>
          </w:tcPr>
          <w:p w14:paraId="59F29C4C"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Type</w:t>
            </w:r>
          </w:p>
        </w:tc>
        <w:tc>
          <w:tcPr>
            <w:tcW w:w="1156" w:type="pct"/>
            <w:vMerge w:val="restart"/>
            <w:shd w:val="clear" w:color="auto" w:fill="auto"/>
            <w:noWrap/>
            <w:vAlign w:val="center"/>
            <w:hideMark/>
          </w:tcPr>
          <w:p w14:paraId="4B62FF8D" w14:textId="77777777" w:rsidR="005A3DC8" w:rsidRPr="005A3DC8" w:rsidRDefault="005A3DC8" w:rsidP="00D1477A">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Technology</w:t>
            </w:r>
          </w:p>
        </w:tc>
        <w:tc>
          <w:tcPr>
            <w:tcW w:w="544" w:type="pct"/>
            <w:shd w:val="clear" w:color="auto" w:fill="auto"/>
            <w:noWrap/>
            <w:vAlign w:val="center"/>
            <w:hideMark/>
          </w:tcPr>
          <w:p w14:paraId="2FF2AC4D"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CO</w:t>
            </w:r>
          </w:p>
        </w:tc>
        <w:tc>
          <w:tcPr>
            <w:tcW w:w="438" w:type="pct"/>
            <w:shd w:val="clear" w:color="auto" w:fill="auto"/>
            <w:noWrap/>
            <w:vAlign w:val="center"/>
            <w:hideMark/>
          </w:tcPr>
          <w:p w14:paraId="0BC8C4EA"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NMVOC</w:t>
            </w:r>
          </w:p>
        </w:tc>
        <w:tc>
          <w:tcPr>
            <w:tcW w:w="515" w:type="pct"/>
            <w:shd w:val="clear" w:color="auto" w:fill="auto"/>
            <w:noWrap/>
            <w:vAlign w:val="center"/>
            <w:hideMark/>
          </w:tcPr>
          <w:p w14:paraId="30370EAA" w14:textId="527528E9" w:rsidR="005A3DC8" w:rsidRPr="005A3DC8" w:rsidRDefault="002D37C9"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w:t>
            </w:r>
            <w:r>
              <w:rPr>
                <w:rFonts w:cs="Open Sans"/>
                <w:b/>
                <w:color w:val="000000"/>
                <w:sz w:val="14"/>
                <w:szCs w:val="14"/>
                <w:lang w:val="en-US" w:eastAsia="en-US"/>
              </w:rPr>
              <w:t>O</w:t>
            </w:r>
            <w:r w:rsidRPr="005A3DC8">
              <w:rPr>
                <w:rFonts w:cs="Open Sans"/>
                <w:b/>
                <w:color w:val="000000"/>
                <w:sz w:val="14"/>
                <w:szCs w:val="14"/>
                <w:lang w:val="en-US" w:eastAsia="en-US"/>
              </w:rPr>
              <w:t>x</w:t>
            </w:r>
          </w:p>
        </w:tc>
        <w:tc>
          <w:tcPr>
            <w:tcW w:w="412" w:type="pct"/>
            <w:shd w:val="clear" w:color="auto" w:fill="auto"/>
            <w:noWrap/>
            <w:vAlign w:val="center"/>
            <w:hideMark/>
          </w:tcPr>
          <w:p w14:paraId="4B3A5870"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N2O</w:t>
            </w:r>
          </w:p>
        </w:tc>
        <w:tc>
          <w:tcPr>
            <w:tcW w:w="330" w:type="pct"/>
            <w:shd w:val="clear" w:color="auto" w:fill="auto"/>
            <w:noWrap/>
            <w:vAlign w:val="center"/>
            <w:hideMark/>
          </w:tcPr>
          <w:p w14:paraId="185FA1DF"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NH3</w:t>
            </w:r>
          </w:p>
        </w:tc>
        <w:tc>
          <w:tcPr>
            <w:tcW w:w="509" w:type="pct"/>
            <w:shd w:val="clear" w:color="auto" w:fill="auto"/>
            <w:noWrap/>
            <w:vAlign w:val="center"/>
            <w:hideMark/>
          </w:tcPr>
          <w:p w14:paraId="27D1B20B"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Pb</w:t>
            </w:r>
          </w:p>
        </w:tc>
        <w:tc>
          <w:tcPr>
            <w:tcW w:w="428" w:type="pct"/>
            <w:shd w:val="clear" w:color="auto" w:fill="auto"/>
            <w:noWrap/>
            <w:vAlign w:val="center"/>
            <w:hideMark/>
          </w:tcPr>
          <w:p w14:paraId="32A81528"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CO2 lube</w:t>
            </w:r>
          </w:p>
        </w:tc>
      </w:tr>
      <w:tr w:rsidR="005A3DC8" w:rsidRPr="005A3DC8" w14:paraId="1E8E9B84" w14:textId="77777777" w:rsidTr="00887829">
        <w:tc>
          <w:tcPr>
            <w:tcW w:w="668" w:type="pct"/>
            <w:shd w:val="clear" w:color="auto" w:fill="auto"/>
            <w:noWrap/>
            <w:vAlign w:val="center"/>
            <w:hideMark/>
          </w:tcPr>
          <w:p w14:paraId="43803A13"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Units</w:t>
            </w:r>
          </w:p>
        </w:tc>
        <w:tc>
          <w:tcPr>
            <w:tcW w:w="1156" w:type="pct"/>
            <w:vMerge/>
            <w:vAlign w:val="center"/>
            <w:hideMark/>
          </w:tcPr>
          <w:p w14:paraId="2940C4E5" w14:textId="77777777" w:rsidR="005A3DC8" w:rsidRPr="005A3DC8" w:rsidRDefault="005A3DC8" w:rsidP="00D1477A">
            <w:pPr>
              <w:spacing w:line="240" w:lineRule="auto"/>
              <w:jc w:val="center"/>
              <w:rPr>
                <w:rFonts w:cs="Open Sans"/>
                <w:b/>
                <w:color w:val="000000"/>
                <w:sz w:val="14"/>
                <w:szCs w:val="14"/>
                <w:lang w:val="en-US" w:eastAsia="en-US"/>
              </w:rPr>
            </w:pPr>
          </w:p>
        </w:tc>
        <w:tc>
          <w:tcPr>
            <w:tcW w:w="544" w:type="pct"/>
            <w:shd w:val="clear" w:color="auto" w:fill="auto"/>
            <w:noWrap/>
            <w:vAlign w:val="center"/>
            <w:hideMark/>
          </w:tcPr>
          <w:p w14:paraId="34CE3E70"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38" w:type="pct"/>
            <w:shd w:val="clear" w:color="auto" w:fill="auto"/>
            <w:noWrap/>
            <w:vAlign w:val="center"/>
            <w:hideMark/>
          </w:tcPr>
          <w:p w14:paraId="673E1FD5"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15" w:type="pct"/>
            <w:shd w:val="clear" w:color="auto" w:fill="auto"/>
            <w:noWrap/>
            <w:vAlign w:val="center"/>
            <w:hideMark/>
          </w:tcPr>
          <w:p w14:paraId="555823B7"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12" w:type="pct"/>
            <w:shd w:val="clear" w:color="auto" w:fill="auto"/>
            <w:noWrap/>
            <w:vAlign w:val="center"/>
            <w:hideMark/>
          </w:tcPr>
          <w:p w14:paraId="315F0E8E"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330" w:type="pct"/>
            <w:shd w:val="clear" w:color="auto" w:fill="auto"/>
            <w:noWrap/>
            <w:vAlign w:val="center"/>
            <w:hideMark/>
          </w:tcPr>
          <w:p w14:paraId="26BE26B8"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09" w:type="pct"/>
            <w:shd w:val="clear" w:color="auto" w:fill="auto"/>
            <w:noWrap/>
            <w:vAlign w:val="center"/>
            <w:hideMark/>
          </w:tcPr>
          <w:p w14:paraId="67E01F1B"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28" w:type="pct"/>
            <w:shd w:val="clear" w:color="auto" w:fill="auto"/>
            <w:noWrap/>
            <w:vAlign w:val="center"/>
            <w:hideMark/>
          </w:tcPr>
          <w:p w14:paraId="1C164CD7"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r>
      <w:tr w:rsidR="005A3DC8" w:rsidRPr="005A3DC8" w14:paraId="3709D43B" w14:textId="77777777" w:rsidTr="00246BA6">
        <w:tc>
          <w:tcPr>
            <w:tcW w:w="668" w:type="pct"/>
            <w:tcBorders>
              <w:bottom w:val="single" w:sz="12" w:space="0" w:color="auto"/>
            </w:tcBorders>
            <w:shd w:val="clear" w:color="auto" w:fill="auto"/>
            <w:noWrap/>
            <w:vAlign w:val="center"/>
            <w:hideMark/>
          </w:tcPr>
          <w:p w14:paraId="5FF0CE66"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Notes</w:t>
            </w:r>
          </w:p>
        </w:tc>
        <w:tc>
          <w:tcPr>
            <w:tcW w:w="1156" w:type="pct"/>
            <w:vMerge/>
            <w:tcBorders>
              <w:bottom w:val="single" w:sz="12" w:space="0" w:color="auto"/>
            </w:tcBorders>
            <w:vAlign w:val="center"/>
            <w:hideMark/>
          </w:tcPr>
          <w:p w14:paraId="342B08C8" w14:textId="77777777" w:rsidR="005A3DC8" w:rsidRPr="005A3DC8" w:rsidRDefault="005A3DC8" w:rsidP="00D1477A">
            <w:pPr>
              <w:spacing w:line="240" w:lineRule="auto"/>
              <w:jc w:val="center"/>
              <w:rPr>
                <w:rFonts w:cs="Open Sans"/>
                <w:b/>
                <w:color w:val="000000"/>
                <w:sz w:val="14"/>
                <w:szCs w:val="14"/>
                <w:lang w:val="en-US" w:eastAsia="en-US"/>
              </w:rPr>
            </w:pPr>
          </w:p>
        </w:tc>
        <w:tc>
          <w:tcPr>
            <w:tcW w:w="544" w:type="pct"/>
            <w:tcBorders>
              <w:bottom w:val="single" w:sz="12" w:space="0" w:color="auto"/>
            </w:tcBorders>
            <w:shd w:val="clear" w:color="auto" w:fill="auto"/>
            <w:noWrap/>
            <w:vAlign w:val="center"/>
            <w:hideMark/>
          </w:tcPr>
          <w:p w14:paraId="71FC9F72" w14:textId="77777777" w:rsidR="005A3DC8" w:rsidRPr="005A3DC8" w:rsidRDefault="005A3DC8" w:rsidP="005A3DC8">
            <w:pPr>
              <w:spacing w:line="240" w:lineRule="auto"/>
              <w:jc w:val="center"/>
              <w:rPr>
                <w:rFonts w:cs="Open Sans"/>
                <w:b/>
                <w:color w:val="000000"/>
                <w:sz w:val="14"/>
                <w:szCs w:val="14"/>
                <w:lang w:val="en-US" w:eastAsia="en-US"/>
              </w:rPr>
            </w:pPr>
          </w:p>
        </w:tc>
        <w:tc>
          <w:tcPr>
            <w:tcW w:w="438" w:type="pct"/>
            <w:tcBorders>
              <w:bottom w:val="single" w:sz="12" w:space="0" w:color="auto"/>
            </w:tcBorders>
            <w:shd w:val="clear" w:color="auto" w:fill="auto"/>
            <w:vAlign w:val="center"/>
            <w:hideMark/>
          </w:tcPr>
          <w:p w14:paraId="037DBA80"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Given as THC-CHA</w:t>
            </w:r>
          </w:p>
        </w:tc>
        <w:tc>
          <w:tcPr>
            <w:tcW w:w="515" w:type="pct"/>
            <w:tcBorders>
              <w:bottom w:val="single" w:sz="12" w:space="0" w:color="auto"/>
            </w:tcBorders>
            <w:shd w:val="clear" w:color="auto" w:fill="auto"/>
            <w:vAlign w:val="center"/>
            <w:hideMark/>
          </w:tcPr>
          <w:p w14:paraId="09686B23"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Given as NO2 equivalent</w:t>
            </w:r>
          </w:p>
        </w:tc>
        <w:tc>
          <w:tcPr>
            <w:tcW w:w="412" w:type="pct"/>
            <w:tcBorders>
              <w:bottom w:val="single" w:sz="12" w:space="0" w:color="auto"/>
            </w:tcBorders>
            <w:shd w:val="clear" w:color="auto" w:fill="auto"/>
            <w:vAlign w:val="center"/>
            <w:hideMark/>
          </w:tcPr>
          <w:p w14:paraId="05E2DEC2" w14:textId="77777777" w:rsidR="005A3DC8" w:rsidRPr="005A3DC8" w:rsidRDefault="005A3DC8" w:rsidP="005A3DC8">
            <w:pPr>
              <w:spacing w:line="240" w:lineRule="auto"/>
              <w:jc w:val="center"/>
              <w:rPr>
                <w:rFonts w:cs="Open Sans"/>
                <w:b/>
                <w:color w:val="000000"/>
                <w:sz w:val="14"/>
                <w:szCs w:val="14"/>
                <w:lang w:val="en-US" w:eastAsia="en-US"/>
              </w:rPr>
            </w:pPr>
          </w:p>
        </w:tc>
        <w:tc>
          <w:tcPr>
            <w:tcW w:w="330" w:type="pct"/>
            <w:tcBorders>
              <w:bottom w:val="single" w:sz="12" w:space="0" w:color="auto"/>
            </w:tcBorders>
            <w:shd w:val="clear" w:color="auto" w:fill="auto"/>
            <w:vAlign w:val="center"/>
            <w:hideMark/>
          </w:tcPr>
          <w:p w14:paraId="6B885F10" w14:textId="77777777" w:rsidR="005A3DC8" w:rsidRPr="005A3DC8" w:rsidRDefault="005A3DC8" w:rsidP="005A3DC8">
            <w:pPr>
              <w:spacing w:line="240" w:lineRule="auto"/>
              <w:jc w:val="center"/>
              <w:rPr>
                <w:rFonts w:cs="Open Sans"/>
                <w:b/>
                <w:color w:val="000000"/>
                <w:sz w:val="14"/>
                <w:szCs w:val="14"/>
                <w:lang w:val="en-US" w:eastAsia="en-US"/>
              </w:rPr>
            </w:pPr>
          </w:p>
        </w:tc>
        <w:tc>
          <w:tcPr>
            <w:tcW w:w="509" w:type="pct"/>
            <w:tcBorders>
              <w:bottom w:val="single" w:sz="12" w:space="0" w:color="auto"/>
            </w:tcBorders>
            <w:shd w:val="clear" w:color="auto" w:fill="auto"/>
            <w:vAlign w:val="center"/>
            <w:hideMark/>
          </w:tcPr>
          <w:p w14:paraId="69B3D78E" w14:textId="77777777" w:rsidR="005A3DC8" w:rsidRPr="005A3DC8" w:rsidRDefault="005A3DC8" w:rsidP="005A3DC8">
            <w:pPr>
              <w:spacing w:line="240" w:lineRule="auto"/>
              <w:jc w:val="center"/>
              <w:rPr>
                <w:rFonts w:cs="Open Sans"/>
                <w:b/>
                <w:color w:val="000000"/>
                <w:sz w:val="14"/>
                <w:szCs w:val="14"/>
                <w:lang w:val="en-US" w:eastAsia="en-US"/>
              </w:rPr>
            </w:pPr>
          </w:p>
        </w:tc>
        <w:tc>
          <w:tcPr>
            <w:tcW w:w="428" w:type="pct"/>
            <w:tcBorders>
              <w:bottom w:val="single" w:sz="12" w:space="0" w:color="auto"/>
            </w:tcBorders>
            <w:shd w:val="clear" w:color="auto" w:fill="auto"/>
            <w:vAlign w:val="center"/>
            <w:hideMark/>
          </w:tcPr>
          <w:p w14:paraId="33614E69" w14:textId="77777777" w:rsidR="005A3DC8" w:rsidRPr="005A3DC8" w:rsidRDefault="005A3DC8" w:rsidP="005A3DC8">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due to lube oil</w:t>
            </w:r>
          </w:p>
        </w:tc>
      </w:tr>
      <w:tr w:rsidR="005A3DC8" w:rsidRPr="005A3DC8" w14:paraId="1860E99F" w14:textId="77777777" w:rsidTr="00246BA6">
        <w:tc>
          <w:tcPr>
            <w:tcW w:w="668" w:type="pct"/>
            <w:vMerge w:val="restart"/>
            <w:tcBorders>
              <w:top w:val="single" w:sz="12" w:space="0" w:color="auto"/>
            </w:tcBorders>
            <w:shd w:val="clear" w:color="auto" w:fill="auto"/>
            <w:noWrap/>
            <w:vAlign w:val="center"/>
            <w:hideMark/>
          </w:tcPr>
          <w:p w14:paraId="0F1FBD38" w14:textId="77777777" w:rsidR="005A3DC8" w:rsidRPr="005A3DC8" w:rsidRDefault="005A3DC8" w:rsidP="005A3DC8">
            <w:pPr>
              <w:spacing w:line="240" w:lineRule="auto"/>
              <w:rPr>
                <w:rFonts w:cs="Open Sans"/>
                <w:color w:val="000000"/>
                <w:sz w:val="14"/>
                <w:szCs w:val="14"/>
                <w:lang w:val="en-US" w:eastAsia="en-US"/>
              </w:rPr>
            </w:pPr>
            <w:r w:rsidRPr="005A3DC8">
              <w:rPr>
                <w:rFonts w:cs="Open Sans"/>
                <w:color w:val="000000"/>
                <w:sz w:val="14"/>
                <w:szCs w:val="14"/>
                <w:lang w:val="en-US" w:eastAsia="en-US"/>
              </w:rPr>
              <w:t>Urban CNG Buses</w:t>
            </w:r>
          </w:p>
        </w:tc>
        <w:tc>
          <w:tcPr>
            <w:tcW w:w="1156" w:type="pct"/>
            <w:tcBorders>
              <w:top w:val="single" w:sz="12" w:space="0" w:color="auto"/>
            </w:tcBorders>
            <w:shd w:val="clear" w:color="auto" w:fill="auto"/>
            <w:noWrap/>
            <w:vAlign w:val="center"/>
            <w:hideMark/>
          </w:tcPr>
          <w:p w14:paraId="4FAAC264"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544" w:type="pct"/>
            <w:tcBorders>
              <w:top w:val="single" w:sz="12" w:space="0" w:color="auto"/>
            </w:tcBorders>
            <w:shd w:val="clear" w:color="auto" w:fill="auto"/>
            <w:noWrap/>
            <w:vAlign w:val="center"/>
            <w:hideMark/>
          </w:tcPr>
          <w:p w14:paraId="64F0673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8.400</w:t>
            </w:r>
          </w:p>
        </w:tc>
        <w:tc>
          <w:tcPr>
            <w:tcW w:w="438" w:type="pct"/>
            <w:tcBorders>
              <w:top w:val="single" w:sz="12" w:space="0" w:color="auto"/>
            </w:tcBorders>
            <w:shd w:val="clear" w:color="auto" w:fill="auto"/>
            <w:noWrap/>
            <w:vAlign w:val="center"/>
            <w:hideMark/>
          </w:tcPr>
          <w:p w14:paraId="75B5AB7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0.371</w:t>
            </w:r>
          </w:p>
        </w:tc>
        <w:tc>
          <w:tcPr>
            <w:tcW w:w="515" w:type="pct"/>
            <w:tcBorders>
              <w:top w:val="single" w:sz="12" w:space="0" w:color="auto"/>
            </w:tcBorders>
            <w:shd w:val="clear" w:color="auto" w:fill="auto"/>
            <w:noWrap/>
            <w:vAlign w:val="center"/>
            <w:hideMark/>
          </w:tcPr>
          <w:p w14:paraId="557FA3F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16.500</w:t>
            </w:r>
          </w:p>
        </w:tc>
        <w:tc>
          <w:tcPr>
            <w:tcW w:w="412" w:type="pct"/>
            <w:tcBorders>
              <w:top w:val="single" w:sz="12" w:space="0" w:color="auto"/>
            </w:tcBorders>
            <w:shd w:val="clear" w:color="auto" w:fill="auto"/>
            <w:noWrap/>
            <w:vAlign w:val="center"/>
            <w:hideMark/>
          </w:tcPr>
          <w:p w14:paraId="1CC1E2F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tcBorders>
              <w:top w:val="single" w:sz="12" w:space="0" w:color="auto"/>
            </w:tcBorders>
            <w:shd w:val="clear" w:color="auto" w:fill="auto"/>
            <w:noWrap/>
            <w:vAlign w:val="center"/>
            <w:hideMark/>
          </w:tcPr>
          <w:p w14:paraId="552D0C5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tcBorders>
              <w:top w:val="single" w:sz="12" w:space="0" w:color="auto"/>
            </w:tcBorders>
            <w:shd w:val="clear" w:color="auto" w:fill="auto"/>
            <w:noWrap/>
            <w:vAlign w:val="center"/>
            <w:hideMark/>
          </w:tcPr>
          <w:p w14:paraId="3C3EA9E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2.89E-05</w:t>
            </w:r>
          </w:p>
        </w:tc>
        <w:tc>
          <w:tcPr>
            <w:tcW w:w="428" w:type="pct"/>
            <w:tcBorders>
              <w:top w:val="single" w:sz="12" w:space="0" w:color="auto"/>
            </w:tcBorders>
            <w:shd w:val="clear" w:color="auto" w:fill="auto"/>
            <w:noWrap/>
            <w:vAlign w:val="center"/>
            <w:hideMark/>
          </w:tcPr>
          <w:p w14:paraId="4B084C3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1.860</w:t>
            </w:r>
          </w:p>
        </w:tc>
      </w:tr>
      <w:tr w:rsidR="005A3DC8" w:rsidRPr="005A3DC8" w14:paraId="71DA84AF" w14:textId="77777777" w:rsidTr="00887829">
        <w:tc>
          <w:tcPr>
            <w:tcW w:w="668" w:type="pct"/>
            <w:vMerge/>
            <w:shd w:val="clear" w:color="auto" w:fill="auto"/>
            <w:noWrap/>
            <w:vAlign w:val="center"/>
            <w:hideMark/>
          </w:tcPr>
          <w:p w14:paraId="58EF341B"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6BAEC440"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544" w:type="pct"/>
            <w:shd w:val="clear" w:color="auto" w:fill="auto"/>
            <w:noWrap/>
            <w:vAlign w:val="center"/>
            <w:hideMark/>
          </w:tcPr>
          <w:p w14:paraId="2AABC04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2.700</w:t>
            </w:r>
          </w:p>
        </w:tc>
        <w:tc>
          <w:tcPr>
            <w:tcW w:w="438" w:type="pct"/>
            <w:shd w:val="clear" w:color="auto" w:fill="auto"/>
            <w:noWrap/>
            <w:vAlign w:val="center"/>
            <w:hideMark/>
          </w:tcPr>
          <w:p w14:paraId="19FCA63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0.313</w:t>
            </w:r>
          </w:p>
        </w:tc>
        <w:tc>
          <w:tcPr>
            <w:tcW w:w="515" w:type="pct"/>
            <w:shd w:val="clear" w:color="auto" w:fill="auto"/>
            <w:noWrap/>
            <w:vAlign w:val="center"/>
            <w:hideMark/>
          </w:tcPr>
          <w:p w14:paraId="0C820CF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15.000</w:t>
            </w:r>
          </w:p>
        </w:tc>
        <w:tc>
          <w:tcPr>
            <w:tcW w:w="412" w:type="pct"/>
            <w:shd w:val="clear" w:color="auto" w:fill="auto"/>
            <w:noWrap/>
            <w:vAlign w:val="center"/>
            <w:hideMark/>
          </w:tcPr>
          <w:p w14:paraId="7438FA6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shd w:val="clear" w:color="auto" w:fill="auto"/>
            <w:noWrap/>
            <w:vAlign w:val="center"/>
            <w:hideMark/>
          </w:tcPr>
          <w:p w14:paraId="48EC5AD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shd w:val="clear" w:color="auto" w:fill="auto"/>
            <w:noWrap/>
            <w:vAlign w:val="center"/>
            <w:hideMark/>
          </w:tcPr>
          <w:p w14:paraId="2E653D1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2.68E-05</w:t>
            </w:r>
          </w:p>
        </w:tc>
        <w:tc>
          <w:tcPr>
            <w:tcW w:w="428" w:type="pct"/>
            <w:shd w:val="clear" w:color="auto" w:fill="auto"/>
            <w:noWrap/>
            <w:vAlign w:val="center"/>
            <w:hideMark/>
          </w:tcPr>
          <w:p w14:paraId="7CE4D55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1.590</w:t>
            </w:r>
          </w:p>
        </w:tc>
      </w:tr>
      <w:tr w:rsidR="005A3DC8" w:rsidRPr="005A3DC8" w14:paraId="1FE54245" w14:textId="77777777" w:rsidTr="00887829">
        <w:tc>
          <w:tcPr>
            <w:tcW w:w="668" w:type="pct"/>
            <w:vMerge/>
            <w:shd w:val="clear" w:color="auto" w:fill="auto"/>
            <w:noWrap/>
            <w:vAlign w:val="center"/>
            <w:hideMark/>
          </w:tcPr>
          <w:p w14:paraId="6721326C"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7F983505"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544" w:type="pct"/>
            <w:shd w:val="clear" w:color="auto" w:fill="auto"/>
            <w:noWrap/>
            <w:vAlign w:val="center"/>
            <w:hideMark/>
          </w:tcPr>
          <w:p w14:paraId="0D36EE3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1.000</w:t>
            </w:r>
          </w:p>
        </w:tc>
        <w:tc>
          <w:tcPr>
            <w:tcW w:w="438" w:type="pct"/>
            <w:shd w:val="clear" w:color="auto" w:fill="auto"/>
            <w:noWrap/>
            <w:vAlign w:val="center"/>
            <w:hideMark/>
          </w:tcPr>
          <w:p w14:paraId="0F5D6EF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0.052</w:t>
            </w:r>
          </w:p>
        </w:tc>
        <w:tc>
          <w:tcPr>
            <w:tcW w:w="515" w:type="pct"/>
            <w:shd w:val="clear" w:color="auto" w:fill="auto"/>
            <w:noWrap/>
            <w:vAlign w:val="center"/>
            <w:hideMark/>
          </w:tcPr>
          <w:p w14:paraId="0E76383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10.000</w:t>
            </w:r>
          </w:p>
        </w:tc>
        <w:tc>
          <w:tcPr>
            <w:tcW w:w="412" w:type="pct"/>
            <w:shd w:val="clear" w:color="auto" w:fill="auto"/>
            <w:noWrap/>
            <w:vAlign w:val="center"/>
            <w:hideMark/>
          </w:tcPr>
          <w:p w14:paraId="685885C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shd w:val="clear" w:color="auto" w:fill="auto"/>
            <w:noWrap/>
            <w:vAlign w:val="center"/>
            <w:hideMark/>
          </w:tcPr>
          <w:p w14:paraId="2711FD2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shd w:val="clear" w:color="auto" w:fill="auto"/>
            <w:noWrap/>
            <w:vAlign w:val="center"/>
            <w:hideMark/>
          </w:tcPr>
          <w:p w14:paraId="7829F91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2.37E-05</w:t>
            </w:r>
          </w:p>
        </w:tc>
        <w:tc>
          <w:tcPr>
            <w:tcW w:w="428" w:type="pct"/>
            <w:shd w:val="clear" w:color="auto" w:fill="auto"/>
            <w:noWrap/>
            <w:vAlign w:val="center"/>
            <w:hideMark/>
          </w:tcPr>
          <w:p w14:paraId="7D46CAF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1.590</w:t>
            </w:r>
          </w:p>
        </w:tc>
      </w:tr>
      <w:tr w:rsidR="005A3DC8" w:rsidRPr="005A3DC8" w14:paraId="5438BCB6" w14:textId="77777777" w:rsidTr="00887829">
        <w:tc>
          <w:tcPr>
            <w:tcW w:w="668" w:type="pct"/>
            <w:vMerge/>
            <w:shd w:val="clear" w:color="auto" w:fill="auto"/>
            <w:noWrap/>
            <w:vAlign w:val="center"/>
            <w:hideMark/>
          </w:tcPr>
          <w:p w14:paraId="392C1121" w14:textId="77777777" w:rsidR="005A3DC8" w:rsidRPr="005A3DC8" w:rsidRDefault="005A3DC8" w:rsidP="005A3DC8">
            <w:pPr>
              <w:spacing w:line="240" w:lineRule="auto"/>
              <w:rPr>
                <w:rFonts w:cs="Open Sans"/>
                <w:color w:val="000000"/>
                <w:sz w:val="14"/>
                <w:szCs w:val="14"/>
                <w:lang w:val="en-US" w:eastAsia="en-US"/>
              </w:rPr>
            </w:pPr>
          </w:p>
        </w:tc>
        <w:tc>
          <w:tcPr>
            <w:tcW w:w="1156" w:type="pct"/>
            <w:shd w:val="clear" w:color="auto" w:fill="auto"/>
            <w:noWrap/>
            <w:vAlign w:val="center"/>
            <w:hideMark/>
          </w:tcPr>
          <w:p w14:paraId="6A9A0470"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EEV</w:t>
            </w:r>
          </w:p>
        </w:tc>
        <w:tc>
          <w:tcPr>
            <w:tcW w:w="544" w:type="pct"/>
            <w:shd w:val="clear" w:color="auto" w:fill="auto"/>
            <w:noWrap/>
            <w:vAlign w:val="center"/>
            <w:hideMark/>
          </w:tcPr>
          <w:p w14:paraId="31A93AA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1.000</w:t>
            </w:r>
          </w:p>
        </w:tc>
        <w:tc>
          <w:tcPr>
            <w:tcW w:w="438" w:type="pct"/>
            <w:shd w:val="clear" w:color="auto" w:fill="auto"/>
            <w:noWrap/>
            <w:vAlign w:val="center"/>
            <w:hideMark/>
          </w:tcPr>
          <w:p w14:paraId="443B8C6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0.045</w:t>
            </w:r>
          </w:p>
        </w:tc>
        <w:tc>
          <w:tcPr>
            <w:tcW w:w="515" w:type="pct"/>
            <w:shd w:val="clear" w:color="auto" w:fill="auto"/>
            <w:noWrap/>
            <w:vAlign w:val="center"/>
            <w:hideMark/>
          </w:tcPr>
          <w:p w14:paraId="3B85472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2.500</w:t>
            </w:r>
          </w:p>
        </w:tc>
        <w:tc>
          <w:tcPr>
            <w:tcW w:w="412" w:type="pct"/>
            <w:shd w:val="clear" w:color="auto" w:fill="auto"/>
            <w:noWrap/>
            <w:vAlign w:val="center"/>
            <w:hideMark/>
          </w:tcPr>
          <w:p w14:paraId="030825F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330" w:type="pct"/>
            <w:shd w:val="clear" w:color="auto" w:fill="auto"/>
            <w:noWrap/>
            <w:vAlign w:val="center"/>
            <w:hideMark/>
          </w:tcPr>
          <w:p w14:paraId="6AA583C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09" w:type="pct"/>
            <w:shd w:val="clear" w:color="auto" w:fill="auto"/>
            <w:noWrap/>
            <w:vAlign w:val="center"/>
            <w:hideMark/>
          </w:tcPr>
          <w:p w14:paraId="6ABCECE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2.37E-05</w:t>
            </w:r>
          </w:p>
        </w:tc>
        <w:tc>
          <w:tcPr>
            <w:tcW w:w="428" w:type="pct"/>
            <w:shd w:val="clear" w:color="auto" w:fill="auto"/>
            <w:noWrap/>
            <w:vAlign w:val="center"/>
            <w:hideMark/>
          </w:tcPr>
          <w:p w14:paraId="6CD8CCE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r>
      <w:tr w:rsidR="005A3DC8" w:rsidRPr="005A3DC8" w14:paraId="112F4A05" w14:textId="77777777" w:rsidTr="00887829">
        <w:tc>
          <w:tcPr>
            <w:tcW w:w="668" w:type="pct"/>
            <w:vMerge w:val="restart"/>
            <w:shd w:val="clear" w:color="auto" w:fill="auto"/>
            <w:noWrap/>
            <w:vAlign w:val="center"/>
            <w:hideMark/>
          </w:tcPr>
          <w:p w14:paraId="1FAC7E64" w14:textId="77777777" w:rsidR="005A3DC8" w:rsidRPr="005A3DC8" w:rsidRDefault="005A3DC8" w:rsidP="005A3DC8">
            <w:pPr>
              <w:spacing w:line="240" w:lineRule="auto"/>
              <w:rPr>
                <w:rFonts w:cs="Open Sans"/>
                <w:color w:val="000000"/>
                <w:sz w:val="14"/>
                <w:szCs w:val="14"/>
                <w:lang w:val="en-US" w:eastAsia="en-US"/>
              </w:rPr>
            </w:pPr>
            <w:r w:rsidRPr="005A3DC8">
              <w:rPr>
                <w:rFonts w:cs="Open Sans"/>
                <w:color w:val="000000"/>
                <w:sz w:val="14"/>
                <w:szCs w:val="14"/>
                <w:lang w:val="en-US" w:eastAsia="en-US"/>
              </w:rPr>
              <w:t>Urban Buses Standard</w:t>
            </w:r>
          </w:p>
        </w:tc>
        <w:tc>
          <w:tcPr>
            <w:tcW w:w="1156" w:type="pct"/>
            <w:shd w:val="clear" w:color="auto" w:fill="auto"/>
            <w:noWrap/>
            <w:vAlign w:val="center"/>
            <w:hideMark/>
          </w:tcPr>
          <w:p w14:paraId="377987DD"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544" w:type="pct"/>
            <w:shd w:val="clear" w:color="auto" w:fill="auto"/>
            <w:noWrap/>
            <w:vAlign w:val="center"/>
            <w:hideMark/>
          </w:tcPr>
          <w:p w14:paraId="4C5DF25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5.710</w:t>
            </w:r>
          </w:p>
        </w:tc>
        <w:tc>
          <w:tcPr>
            <w:tcW w:w="438" w:type="pct"/>
            <w:shd w:val="clear" w:color="auto" w:fill="auto"/>
            <w:noWrap/>
            <w:vAlign w:val="center"/>
            <w:hideMark/>
          </w:tcPr>
          <w:p w14:paraId="4B26D14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1.990</w:t>
            </w:r>
          </w:p>
        </w:tc>
        <w:tc>
          <w:tcPr>
            <w:tcW w:w="515" w:type="pct"/>
            <w:shd w:val="clear" w:color="auto" w:fill="auto"/>
            <w:noWrap/>
            <w:vAlign w:val="center"/>
            <w:hideMark/>
          </w:tcPr>
          <w:p w14:paraId="2B36F97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16.500</w:t>
            </w:r>
          </w:p>
        </w:tc>
        <w:tc>
          <w:tcPr>
            <w:tcW w:w="412" w:type="pct"/>
            <w:shd w:val="clear" w:color="auto" w:fill="auto"/>
            <w:noWrap/>
            <w:vAlign w:val="center"/>
            <w:hideMark/>
          </w:tcPr>
          <w:p w14:paraId="770E1DC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330" w:type="pct"/>
            <w:shd w:val="clear" w:color="auto" w:fill="auto"/>
            <w:noWrap/>
            <w:vAlign w:val="center"/>
            <w:hideMark/>
          </w:tcPr>
          <w:p w14:paraId="739A492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00F5CEA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1.90E-05</w:t>
            </w:r>
          </w:p>
        </w:tc>
        <w:tc>
          <w:tcPr>
            <w:tcW w:w="428" w:type="pct"/>
            <w:shd w:val="clear" w:color="auto" w:fill="auto"/>
            <w:noWrap/>
            <w:vAlign w:val="center"/>
            <w:hideMark/>
          </w:tcPr>
          <w:p w14:paraId="710613B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2.650</w:t>
            </w:r>
          </w:p>
        </w:tc>
      </w:tr>
      <w:tr w:rsidR="005A3DC8" w:rsidRPr="005A3DC8" w14:paraId="6FBCE208" w14:textId="77777777" w:rsidTr="00887829">
        <w:tc>
          <w:tcPr>
            <w:tcW w:w="668" w:type="pct"/>
            <w:vMerge/>
            <w:shd w:val="clear" w:color="auto" w:fill="auto"/>
            <w:noWrap/>
            <w:vAlign w:val="center"/>
            <w:hideMark/>
          </w:tcPr>
          <w:p w14:paraId="5E376E77"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0F95C478"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544" w:type="pct"/>
            <w:shd w:val="clear" w:color="auto" w:fill="auto"/>
            <w:noWrap/>
            <w:vAlign w:val="center"/>
            <w:hideMark/>
          </w:tcPr>
          <w:p w14:paraId="7F9EDF0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2.710</w:t>
            </w:r>
          </w:p>
        </w:tc>
        <w:tc>
          <w:tcPr>
            <w:tcW w:w="438" w:type="pct"/>
            <w:shd w:val="clear" w:color="auto" w:fill="auto"/>
            <w:noWrap/>
            <w:vAlign w:val="center"/>
            <w:hideMark/>
          </w:tcPr>
          <w:p w14:paraId="0CDEC23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0.706</w:t>
            </w:r>
          </w:p>
        </w:tc>
        <w:tc>
          <w:tcPr>
            <w:tcW w:w="515" w:type="pct"/>
            <w:shd w:val="clear" w:color="auto" w:fill="auto"/>
            <w:noWrap/>
            <w:vAlign w:val="center"/>
            <w:hideMark/>
          </w:tcPr>
          <w:p w14:paraId="58CCC9E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10.100</w:t>
            </w:r>
          </w:p>
        </w:tc>
        <w:tc>
          <w:tcPr>
            <w:tcW w:w="412" w:type="pct"/>
            <w:shd w:val="clear" w:color="auto" w:fill="auto"/>
            <w:noWrap/>
            <w:vAlign w:val="center"/>
            <w:hideMark/>
          </w:tcPr>
          <w:p w14:paraId="436AD00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0.012</w:t>
            </w:r>
          </w:p>
        </w:tc>
        <w:tc>
          <w:tcPr>
            <w:tcW w:w="330" w:type="pct"/>
            <w:shd w:val="clear" w:color="auto" w:fill="auto"/>
            <w:noWrap/>
            <w:vAlign w:val="center"/>
            <w:hideMark/>
          </w:tcPr>
          <w:p w14:paraId="73BA807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54DF47B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1.61E-05</w:t>
            </w:r>
          </w:p>
        </w:tc>
        <w:tc>
          <w:tcPr>
            <w:tcW w:w="428" w:type="pct"/>
            <w:shd w:val="clear" w:color="auto" w:fill="auto"/>
            <w:noWrap/>
            <w:vAlign w:val="center"/>
            <w:hideMark/>
          </w:tcPr>
          <w:p w14:paraId="14CF4CA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2.050</w:t>
            </w:r>
          </w:p>
        </w:tc>
      </w:tr>
      <w:tr w:rsidR="005A3DC8" w:rsidRPr="005A3DC8" w14:paraId="42237013" w14:textId="77777777" w:rsidTr="00887829">
        <w:tc>
          <w:tcPr>
            <w:tcW w:w="668" w:type="pct"/>
            <w:vMerge/>
            <w:shd w:val="clear" w:color="auto" w:fill="auto"/>
            <w:noWrap/>
            <w:vAlign w:val="center"/>
            <w:hideMark/>
          </w:tcPr>
          <w:p w14:paraId="3C3849AA"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566EC2DE"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544" w:type="pct"/>
            <w:shd w:val="clear" w:color="auto" w:fill="auto"/>
            <w:noWrap/>
            <w:vAlign w:val="center"/>
            <w:hideMark/>
          </w:tcPr>
          <w:p w14:paraId="72369CC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2.440</w:t>
            </w:r>
          </w:p>
        </w:tc>
        <w:tc>
          <w:tcPr>
            <w:tcW w:w="438" w:type="pct"/>
            <w:shd w:val="clear" w:color="auto" w:fill="auto"/>
            <w:noWrap/>
            <w:vAlign w:val="center"/>
            <w:hideMark/>
          </w:tcPr>
          <w:p w14:paraId="34289DB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0.463</w:t>
            </w:r>
          </w:p>
        </w:tc>
        <w:tc>
          <w:tcPr>
            <w:tcW w:w="515" w:type="pct"/>
            <w:shd w:val="clear" w:color="auto" w:fill="auto"/>
            <w:noWrap/>
            <w:vAlign w:val="center"/>
            <w:hideMark/>
          </w:tcPr>
          <w:p w14:paraId="153723D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10.700</w:t>
            </w:r>
          </w:p>
        </w:tc>
        <w:tc>
          <w:tcPr>
            <w:tcW w:w="412" w:type="pct"/>
            <w:shd w:val="clear" w:color="auto" w:fill="auto"/>
            <w:noWrap/>
            <w:vAlign w:val="center"/>
            <w:hideMark/>
          </w:tcPr>
          <w:p w14:paraId="7F67997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0.120</w:t>
            </w:r>
          </w:p>
        </w:tc>
        <w:tc>
          <w:tcPr>
            <w:tcW w:w="330" w:type="pct"/>
            <w:shd w:val="clear" w:color="auto" w:fill="auto"/>
            <w:noWrap/>
            <w:vAlign w:val="center"/>
            <w:hideMark/>
          </w:tcPr>
          <w:p w14:paraId="447775A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35EA22A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1.55E-05</w:t>
            </w:r>
          </w:p>
        </w:tc>
        <w:tc>
          <w:tcPr>
            <w:tcW w:w="428" w:type="pct"/>
            <w:shd w:val="clear" w:color="auto" w:fill="auto"/>
            <w:noWrap/>
            <w:vAlign w:val="center"/>
            <w:hideMark/>
          </w:tcPr>
          <w:p w14:paraId="7240FC7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1.480</w:t>
            </w:r>
          </w:p>
        </w:tc>
      </w:tr>
      <w:tr w:rsidR="005A3DC8" w:rsidRPr="005A3DC8" w14:paraId="403AAA20" w14:textId="77777777" w:rsidTr="00887829">
        <w:tc>
          <w:tcPr>
            <w:tcW w:w="668" w:type="pct"/>
            <w:vMerge/>
            <w:shd w:val="clear" w:color="auto" w:fill="auto"/>
            <w:noWrap/>
            <w:vAlign w:val="center"/>
            <w:hideMark/>
          </w:tcPr>
          <w:p w14:paraId="648F5DF2"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6B13ECF8"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544" w:type="pct"/>
            <w:shd w:val="clear" w:color="auto" w:fill="auto"/>
            <w:noWrap/>
            <w:vAlign w:val="center"/>
            <w:hideMark/>
          </w:tcPr>
          <w:p w14:paraId="7676E10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2.670</w:t>
            </w:r>
          </w:p>
        </w:tc>
        <w:tc>
          <w:tcPr>
            <w:tcW w:w="438" w:type="pct"/>
            <w:shd w:val="clear" w:color="auto" w:fill="auto"/>
            <w:noWrap/>
            <w:vAlign w:val="center"/>
            <w:hideMark/>
          </w:tcPr>
          <w:p w14:paraId="49A48C6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0.409</w:t>
            </w:r>
          </w:p>
        </w:tc>
        <w:tc>
          <w:tcPr>
            <w:tcW w:w="515" w:type="pct"/>
            <w:shd w:val="clear" w:color="auto" w:fill="auto"/>
            <w:noWrap/>
            <w:vAlign w:val="center"/>
            <w:hideMark/>
          </w:tcPr>
          <w:p w14:paraId="48AB662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9.380</w:t>
            </w:r>
          </w:p>
        </w:tc>
        <w:tc>
          <w:tcPr>
            <w:tcW w:w="412" w:type="pct"/>
            <w:shd w:val="clear" w:color="auto" w:fill="auto"/>
            <w:noWrap/>
            <w:vAlign w:val="center"/>
            <w:hideMark/>
          </w:tcPr>
          <w:p w14:paraId="727A76A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0.001</w:t>
            </w:r>
          </w:p>
        </w:tc>
        <w:tc>
          <w:tcPr>
            <w:tcW w:w="330" w:type="pct"/>
            <w:shd w:val="clear" w:color="auto" w:fill="auto"/>
            <w:noWrap/>
            <w:vAlign w:val="center"/>
            <w:hideMark/>
          </w:tcPr>
          <w:p w14:paraId="5F26BD0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6C2DD58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1.62E-05</w:t>
            </w:r>
          </w:p>
        </w:tc>
        <w:tc>
          <w:tcPr>
            <w:tcW w:w="428" w:type="pct"/>
            <w:shd w:val="clear" w:color="auto" w:fill="auto"/>
            <w:noWrap/>
            <w:vAlign w:val="center"/>
            <w:hideMark/>
          </w:tcPr>
          <w:p w14:paraId="3566B50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0.861</w:t>
            </w:r>
          </w:p>
        </w:tc>
      </w:tr>
      <w:tr w:rsidR="005A3DC8" w:rsidRPr="005A3DC8" w14:paraId="3339CF46" w14:textId="77777777" w:rsidTr="00887829">
        <w:tc>
          <w:tcPr>
            <w:tcW w:w="668" w:type="pct"/>
            <w:vMerge/>
            <w:shd w:val="clear" w:color="auto" w:fill="auto"/>
            <w:noWrap/>
            <w:vAlign w:val="center"/>
            <w:hideMark/>
          </w:tcPr>
          <w:p w14:paraId="259D6166"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21AE3C61"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544" w:type="pct"/>
            <w:shd w:val="clear" w:color="auto" w:fill="auto"/>
            <w:noWrap/>
            <w:vAlign w:val="center"/>
            <w:hideMark/>
          </w:tcPr>
          <w:p w14:paraId="344F232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0.223</w:t>
            </w:r>
          </w:p>
        </w:tc>
        <w:tc>
          <w:tcPr>
            <w:tcW w:w="438" w:type="pct"/>
            <w:shd w:val="clear" w:color="auto" w:fill="auto"/>
            <w:noWrap/>
            <w:vAlign w:val="center"/>
            <w:hideMark/>
          </w:tcPr>
          <w:p w14:paraId="5B04D88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0.022</w:t>
            </w:r>
          </w:p>
        </w:tc>
        <w:tc>
          <w:tcPr>
            <w:tcW w:w="515" w:type="pct"/>
            <w:shd w:val="clear" w:color="auto" w:fill="auto"/>
            <w:noWrap/>
            <w:vAlign w:val="center"/>
            <w:hideMark/>
          </w:tcPr>
          <w:p w14:paraId="63F282F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5.420</w:t>
            </w:r>
          </w:p>
        </w:tc>
        <w:tc>
          <w:tcPr>
            <w:tcW w:w="412" w:type="pct"/>
            <w:shd w:val="clear" w:color="auto" w:fill="auto"/>
            <w:noWrap/>
            <w:vAlign w:val="center"/>
            <w:hideMark/>
          </w:tcPr>
          <w:p w14:paraId="6996F6C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0.012</w:t>
            </w:r>
          </w:p>
        </w:tc>
        <w:tc>
          <w:tcPr>
            <w:tcW w:w="330" w:type="pct"/>
            <w:shd w:val="clear" w:color="auto" w:fill="auto"/>
            <w:noWrap/>
            <w:vAlign w:val="center"/>
            <w:hideMark/>
          </w:tcPr>
          <w:p w14:paraId="5F85065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0D51AC6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1.54E-05</w:t>
            </w:r>
          </w:p>
        </w:tc>
        <w:tc>
          <w:tcPr>
            <w:tcW w:w="428" w:type="pct"/>
            <w:shd w:val="clear" w:color="auto" w:fill="auto"/>
            <w:noWrap/>
            <w:vAlign w:val="center"/>
            <w:hideMark/>
          </w:tcPr>
          <w:p w14:paraId="114F88A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0.265</w:t>
            </w:r>
          </w:p>
        </w:tc>
      </w:tr>
      <w:tr w:rsidR="005A3DC8" w:rsidRPr="005A3DC8" w14:paraId="5F8A1078" w14:textId="77777777" w:rsidTr="00887829">
        <w:tc>
          <w:tcPr>
            <w:tcW w:w="668" w:type="pct"/>
            <w:vMerge/>
            <w:shd w:val="clear" w:color="auto" w:fill="auto"/>
            <w:noWrap/>
            <w:vAlign w:val="center"/>
            <w:hideMark/>
          </w:tcPr>
          <w:p w14:paraId="4BD18626"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401431DA"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544" w:type="pct"/>
            <w:shd w:val="clear" w:color="auto" w:fill="auto"/>
            <w:noWrap/>
            <w:vAlign w:val="center"/>
            <w:hideMark/>
          </w:tcPr>
          <w:p w14:paraId="61C94E1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0.223</w:t>
            </w:r>
          </w:p>
        </w:tc>
        <w:tc>
          <w:tcPr>
            <w:tcW w:w="438" w:type="pct"/>
            <w:shd w:val="clear" w:color="auto" w:fill="auto"/>
            <w:noWrap/>
            <w:vAlign w:val="center"/>
            <w:hideMark/>
          </w:tcPr>
          <w:p w14:paraId="02C49BC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0.022</w:t>
            </w:r>
          </w:p>
        </w:tc>
        <w:tc>
          <w:tcPr>
            <w:tcW w:w="515" w:type="pct"/>
            <w:shd w:val="clear" w:color="auto" w:fill="auto"/>
            <w:noWrap/>
            <w:vAlign w:val="center"/>
            <w:hideMark/>
          </w:tcPr>
          <w:p w14:paraId="4B99AEB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3.090</w:t>
            </w:r>
          </w:p>
        </w:tc>
        <w:tc>
          <w:tcPr>
            <w:tcW w:w="412" w:type="pct"/>
            <w:shd w:val="clear" w:color="auto" w:fill="auto"/>
            <w:noWrap/>
            <w:vAlign w:val="center"/>
            <w:hideMark/>
          </w:tcPr>
          <w:p w14:paraId="61D1430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0.032</w:t>
            </w:r>
          </w:p>
        </w:tc>
        <w:tc>
          <w:tcPr>
            <w:tcW w:w="330" w:type="pct"/>
            <w:shd w:val="clear" w:color="auto" w:fill="auto"/>
            <w:noWrap/>
            <w:vAlign w:val="center"/>
            <w:hideMark/>
          </w:tcPr>
          <w:p w14:paraId="3405677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4E60219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1.54E-05</w:t>
            </w:r>
          </w:p>
        </w:tc>
        <w:tc>
          <w:tcPr>
            <w:tcW w:w="428" w:type="pct"/>
            <w:shd w:val="clear" w:color="auto" w:fill="auto"/>
            <w:noWrap/>
            <w:vAlign w:val="center"/>
            <w:hideMark/>
          </w:tcPr>
          <w:p w14:paraId="58F58F5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0.265</w:t>
            </w:r>
          </w:p>
        </w:tc>
      </w:tr>
      <w:tr w:rsidR="005A3DC8" w:rsidRPr="005A3DC8" w14:paraId="029F9657" w14:textId="77777777" w:rsidTr="00887829">
        <w:tc>
          <w:tcPr>
            <w:tcW w:w="668" w:type="pct"/>
            <w:vMerge/>
            <w:shd w:val="clear" w:color="auto" w:fill="auto"/>
            <w:noWrap/>
            <w:vAlign w:val="center"/>
            <w:hideMark/>
          </w:tcPr>
          <w:p w14:paraId="4EA6A715" w14:textId="77777777" w:rsidR="005A3DC8" w:rsidRPr="005A3DC8" w:rsidRDefault="005A3DC8" w:rsidP="005A3DC8">
            <w:pPr>
              <w:spacing w:line="240" w:lineRule="auto"/>
              <w:rPr>
                <w:rFonts w:cs="Open Sans"/>
                <w:color w:val="000000"/>
                <w:sz w:val="14"/>
                <w:szCs w:val="14"/>
                <w:lang w:val="en-US" w:eastAsia="en-US"/>
              </w:rPr>
            </w:pPr>
          </w:p>
        </w:tc>
        <w:tc>
          <w:tcPr>
            <w:tcW w:w="1156" w:type="pct"/>
            <w:shd w:val="clear" w:color="auto" w:fill="auto"/>
            <w:noWrap/>
            <w:vAlign w:val="center"/>
            <w:hideMark/>
          </w:tcPr>
          <w:p w14:paraId="6A64A226"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544" w:type="pct"/>
            <w:shd w:val="clear" w:color="auto" w:fill="auto"/>
            <w:noWrap/>
            <w:vAlign w:val="center"/>
            <w:hideMark/>
          </w:tcPr>
          <w:p w14:paraId="31AD7D9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0.223</w:t>
            </w:r>
          </w:p>
        </w:tc>
        <w:tc>
          <w:tcPr>
            <w:tcW w:w="438" w:type="pct"/>
            <w:shd w:val="clear" w:color="auto" w:fill="auto"/>
            <w:noWrap/>
            <w:vAlign w:val="center"/>
            <w:hideMark/>
          </w:tcPr>
          <w:p w14:paraId="67B9133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0.220</w:t>
            </w:r>
          </w:p>
        </w:tc>
        <w:tc>
          <w:tcPr>
            <w:tcW w:w="515" w:type="pct"/>
            <w:shd w:val="clear" w:color="auto" w:fill="auto"/>
            <w:noWrap/>
            <w:vAlign w:val="center"/>
            <w:hideMark/>
          </w:tcPr>
          <w:p w14:paraId="4223897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0.597</w:t>
            </w:r>
          </w:p>
        </w:tc>
        <w:tc>
          <w:tcPr>
            <w:tcW w:w="412" w:type="pct"/>
            <w:shd w:val="clear" w:color="auto" w:fill="auto"/>
            <w:noWrap/>
            <w:vAlign w:val="center"/>
            <w:hideMark/>
          </w:tcPr>
          <w:p w14:paraId="685C60B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0.040</w:t>
            </w:r>
          </w:p>
        </w:tc>
        <w:tc>
          <w:tcPr>
            <w:tcW w:w="330" w:type="pct"/>
            <w:shd w:val="clear" w:color="auto" w:fill="auto"/>
            <w:noWrap/>
            <w:vAlign w:val="center"/>
            <w:hideMark/>
          </w:tcPr>
          <w:p w14:paraId="3AF6E37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2C81DCD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1.54E-05</w:t>
            </w:r>
          </w:p>
        </w:tc>
        <w:tc>
          <w:tcPr>
            <w:tcW w:w="428" w:type="pct"/>
            <w:shd w:val="clear" w:color="auto" w:fill="auto"/>
            <w:noWrap/>
            <w:vAlign w:val="center"/>
            <w:hideMark/>
          </w:tcPr>
          <w:p w14:paraId="0D0136C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0.265</w:t>
            </w:r>
          </w:p>
        </w:tc>
      </w:tr>
      <w:tr w:rsidR="005A3DC8" w:rsidRPr="005A3DC8" w14:paraId="344FEF92" w14:textId="77777777" w:rsidTr="00887829">
        <w:tc>
          <w:tcPr>
            <w:tcW w:w="668" w:type="pct"/>
            <w:vMerge w:val="restart"/>
            <w:shd w:val="clear" w:color="auto" w:fill="auto"/>
            <w:noWrap/>
            <w:vAlign w:val="center"/>
            <w:hideMark/>
          </w:tcPr>
          <w:p w14:paraId="3F572880" w14:textId="77777777" w:rsidR="005A3DC8" w:rsidRPr="005A3DC8" w:rsidRDefault="005A3DC8" w:rsidP="005A3DC8">
            <w:pPr>
              <w:spacing w:line="240" w:lineRule="auto"/>
              <w:rPr>
                <w:rFonts w:cs="Open Sans"/>
                <w:color w:val="000000"/>
                <w:sz w:val="14"/>
                <w:szCs w:val="14"/>
                <w:lang w:val="en-US" w:eastAsia="en-US"/>
              </w:rPr>
            </w:pPr>
            <w:r w:rsidRPr="005A3DC8">
              <w:rPr>
                <w:rFonts w:cs="Open Sans"/>
                <w:color w:val="000000"/>
                <w:sz w:val="14"/>
                <w:szCs w:val="14"/>
                <w:lang w:val="en-US" w:eastAsia="en-US"/>
              </w:rPr>
              <w:t>Coaches Standard</w:t>
            </w:r>
          </w:p>
        </w:tc>
        <w:tc>
          <w:tcPr>
            <w:tcW w:w="1156" w:type="pct"/>
            <w:shd w:val="clear" w:color="auto" w:fill="auto"/>
            <w:noWrap/>
            <w:vAlign w:val="center"/>
            <w:hideMark/>
          </w:tcPr>
          <w:p w14:paraId="0DB98661"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544" w:type="pct"/>
            <w:shd w:val="clear" w:color="auto" w:fill="auto"/>
            <w:noWrap/>
            <w:vAlign w:val="center"/>
            <w:hideMark/>
          </w:tcPr>
          <w:p w14:paraId="2164F37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2.270</w:t>
            </w:r>
          </w:p>
        </w:tc>
        <w:tc>
          <w:tcPr>
            <w:tcW w:w="438" w:type="pct"/>
            <w:shd w:val="clear" w:color="auto" w:fill="auto"/>
            <w:noWrap/>
            <w:vAlign w:val="center"/>
            <w:hideMark/>
          </w:tcPr>
          <w:p w14:paraId="38DD910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0.661</w:t>
            </w:r>
          </w:p>
        </w:tc>
        <w:tc>
          <w:tcPr>
            <w:tcW w:w="515" w:type="pct"/>
            <w:shd w:val="clear" w:color="auto" w:fill="auto"/>
            <w:noWrap/>
            <w:vAlign w:val="center"/>
            <w:hideMark/>
          </w:tcPr>
          <w:p w14:paraId="271156C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10.600</w:t>
            </w:r>
          </w:p>
        </w:tc>
        <w:tc>
          <w:tcPr>
            <w:tcW w:w="412" w:type="pct"/>
            <w:shd w:val="clear" w:color="auto" w:fill="auto"/>
            <w:noWrap/>
            <w:vAlign w:val="center"/>
            <w:hideMark/>
          </w:tcPr>
          <w:p w14:paraId="5F3A70E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330" w:type="pct"/>
            <w:shd w:val="clear" w:color="auto" w:fill="auto"/>
            <w:noWrap/>
            <w:vAlign w:val="center"/>
            <w:hideMark/>
          </w:tcPr>
          <w:p w14:paraId="6009FD4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7A46387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1.37E-05</w:t>
            </w:r>
          </w:p>
        </w:tc>
        <w:tc>
          <w:tcPr>
            <w:tcW w:w="428" w:type="pct"/>
            <w:shd w:val="clear" w:color="auto" w:fill="auto"/>
            <w:noWrap/>
            <w:vAlign w:val="center"/>
            <w:hideMark/>
          </w:tcPr>
          <w:p w14:paraId="72F1762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0.663</w:t>
            </w:r>
          </w:p>
        </w:tc>
      </w:tr>
      <w:tr w:rsidR="005A3DC8" w:rsidRPr="005A3DC8" w14:paraId="05DA788A" w14:textId="77777777" w:rsidTr="00887829">
        <w:tc>
          <w:tcPr>
            <w:tcW w:w="668" w:type="pct"/>
            <w:vMerge/>
            <w:shd w:val="clear" w:color="auto" w:fill="auto"/>
            <w:noWrap/>
            <w:vAlign w:val="center"/>
            <w:hideMark/>
          </w:tcPr>
          <w:p w14:paraId="79A68FAC"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05E2BF4F"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544" w:type="pct"/>
            <w:shd w:val="clear" w:color="auto" w:fill="auto"/>
            <w:noWrap/>
            <w:vAlign w:val="center"/>
            <w:hideMark/>
          </w:tcPr>
          <w:p w14:paraId="66D1FD0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1.850</w:t>
            </w:r>
          </w:p>
        </w:tc>
        <w:tc>
          <w:tcPr>
            <w:tcW w:w="438" w:type="pct"/>
            <w:shd w:val="clear" w:color="auto" w:fill="auto"/>
            <w:noWrap/>
            <w:vAlign w:val="center"/>
            <w:hideMark/>
          </w:tcPr>
          <w:p w14:paraId="20E60D9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0.624</w:t>
            </w:r>
          </w:p>
        </w:tc>
        <w:tc>
          <w:tcPr>
            <w:tcW w:w="515" w:type="pct"/>
            <w:shd w:val="clear" w:color="auto" w:fill="auto"/>
            <w:noWrap/>
            <w:vAlign w:val="center"/>
            <w:hideMark/>
          </w:tcPr>
          <w:p w14:paraId="34A4AF0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8.100</w:t>
            </w:r>
          </w:p>
        </w:tc>
        <w:tc>
          <w:tcPr>
            <w:tcW w:w="412" w:type="pct"/>
            <w:shd w:val="clear" w:color="auto" w:fill="auto"/>
            <w:noWrap/>
            <w:vAlign w:val="center"/>
            <w:hideMark/>
          </w:tcPr>
          <w:p w14:paraId="2CDB707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0.009</w:t>
            </w:r>
          </w:p>
        </w:tc>
        <w:tc>
          <w:tcPr>
            <w:tcW w:w="330" w:type="pct"/>
            <w:shd w:val="clear" w:color="auto" w:fill="auto"/>
            <w:noWrap/>
            <w:vAlign w:val="center"/>
            <w:hideMark/>
          </w:tcPr>
          <w:p w14:paraId="797665A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4E26FBD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1.26E-05</w:t>
            </w:r>
          </w:p>
        </w:tc>
        <w:tc>
          <w:tcPr>
            <w:tcW w:w="428" w:type="pct"/>
            <w:shd w:val="clear" w:color="auto" w:fill="auto"/>
            <w:noWrap/>
            <w:vAlign w:val="center"/>
            <w:hideMark/>
          </w:tcPr>
          <w:p w14:paraId="4897E28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0.630</w:t>
            </w:r>
          </w:p>
        </w:tc>
      </w:tr>
      <w:tr w:rsidR="005A3DC8" w:rsidRPr="005A3DC8" w14:paraId="47FBD0A5" w14:textId="77777777" w:rsidTr="00887829">
        <w:tc>
          <w:tcPr>
            <w:tcW w:w="668" w:type="pct"/>
            <w:vMerge/>
            <w:shd w:val="clear" w:color="auto" w:fill="auto"/>
            <w:noWrap/>
            <w:vAlign w:val="center"/>
            <w:hideMark/>
          </w:tcPr>
          <w:p w14:paraId="294F06A6"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57BED0D7"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544" w:type="pct"/>
            <w:shd w:val="clear" w:color="auto" w:fill="auto"/>
            <w:noWrap/>
            <w:vAlign w:val="center"/>
            <w:hideMark/>
          </w:tcPr>
          <w:p w14:paraId="4E5EAD5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1.600</w:t>
            </w:r>
          </w:p>
        </w:tc>
        <w:tc>
          <w:tcPr>
            <w:tcW w:w="438" w:type="pct"/>
            <w:shd w:val="clear" w:color="auto" w:fill="auto"/>
            <w:noWrap/>
            <w:vAlign w:val="center"/>
            <w:hideMark/>
          </w:tcPr>
          <w:p w14:paraId="212C7EE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0.416</w:t>
            </w:r>
          </w:p>
        </w:tc>
        <w:tc>
          <w:tcPr>
            <w:tcW w:w="515" w:type="pct"/>
            <w:shd w:val="clear" w:color="auto" w:fill="auto"/>
            <w:noWrap/>
            <w:vAlign w:val="center"/>
            <w:hideMark/>
          </w:tcPr>
          <w:p w14:paraId="430E3D4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8.950</w:t>
            </w:r>
          </w:p>
        </w:tc>
        <w:tc>
          <w:tcPr>
            <w:tcW w:w="412" w:type="pct"/>
            <w:shd w:val="clear" w:color="auto" w:fill="auto"/>
            <w:noWrap/>
            <w:vAlign w:val="center"/>
            <w:hideMark/>
          </w:tcPr>
          <w:p w14:paraId="1451142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0.008</w:t>
            </w:r>
          </w:p>
        </w:tc>
        <w:tc>
          <w:tcPr>
            <w:tcW w:w="330" w:type="pct"/>
            <w:shd w:val="clear" w:color="auto" w:fill="auto"/>
            <w:noWrap/>
            <w:vAlign w:val="center"/>
            <w:hideMark/>
          </w:tcPr>
          <w:p w14:paraId="057EC35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6B1953D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1.25E-05</w:t>
            </w:r>
          </w:p>
        </w:tc>
        <w:tc>
          <w:tcPr>
            <w:tcW w:w="428" w:type="pct"/>
            <w:shd w:val="clear" w:color="auto" w:fill="auto"/>
            <w:noWrap/>
            <w:vAlign w:val="center"/>
            <w:hideMark/>
          </w:tcPr>
          <w:p w14:paraId="45B1905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0.596</w:t>
            </w:r>
          </w:p>
        </w:tc>
      </w:tr>
      <w:tr w:rsidR="005A3DC8" w:rsidRPr="005A3DC8" w14:paraId="2100097C" w14:textId="77777777" w:rsidTr="00887829">
        <w:tc>
          <w:tcPr>
            <w:tcW w:w="668" w:type="pct"/>
            <w:vMerge/>
            <w:shd w:val="clear" w:color="auto" w:fill="auto"/>
            <w:noWrap/>
            <w:vAlign w:val="center"/>
            <w:hideMark/>
          </w:tcPr>
          <w:p w14:paraId="22801EC3"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2828E9FF"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544" w:type="pct"/>
            <w:shd w:val="clear" w:color="auto" w:fill="auto"/>
            <w:noWrap/>
            <w:vAlign w:val="center"/>
            <w:hideMark/>
          </w:tcPr>
          <w:p w14:paraId="44A5963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1.910</w:t>
            </w:r>
          </w:p>
        </w:tc>
        <w:tc>
          <w:tcPr>
            <w:tcW w:w="438" w:type="pct"/>
            <w:shd w:val="clear" w:color="auto" w:fill="auto"/>
            <w:noWrap/>
            <w:vAlign w:val="center"/>
            <w:hideMark/>
          </w:tcPr>
          <w:p w14:paraId="1F8130E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0.399</w:t>
            </w:r>
          </w:p>
        </w:tc>
        <w:tc>
          <w:tcPr>
            <w:tcW w:w="515" w:type="pct"/>
            <w:shd w:val="clear" w:color="auto" w:fill="auto"/>
            <w:noWrap/>
            <w:vAlign w:val="center"/>
            <w:hideMark/>
          </w:tcPr>
          <w:p w14:paraId="3A3E9F4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7.510</w:t>
            </w:r>
          </w:p>
        </w:tc>
        <w:tc>
          <w:tcPr>
            <w:tcW w:w="412" w:type="pct"/>
            <w:shd w:val="clear" w:color="auto" w:fill="auto"/>
            <w:noWrap/>
            <w:vAlign w:val="center"/>
            <w:hideMark/>
          </w:tcPr>
          <w:p w14:paraId="0F70726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0.004</w:t>
            </w:r>
          </w:p>
        </w:tc>
        <w:tc>
          <w:tcPr>
            <w:tcW w:w="330" w:type="pct"/>
            <w:shd w:val="clear" w:color="auto" w:fill="auto"/>
            <w:noWrap/>
            <w:vAlign w:val="center"/>
            <w:hideMark/>
          </w:tcPr>
          <w:p w14:paraId="67E2BC6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006392F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1.35E-05</w:t>
            </w:r>
          </w:p>
        </w:tc>
        <w:tc>
          <w:tcPr>
            <w:tcW w:w="428" w:type="pct"/>
            <w:shd w:val="clear" w:color="auto" w:fill="auto"/>
            <w:noWrap/>
            <w:vAlign w:val="center"/>
            <w:hideMark/>
          </w:tcPr>
          <w:p w14:paraId="0709E0C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0.563</w:t>
            </w:r>
          </w:p>
        </w:tc>
      </w:tr>
      <w:tr w:rsidR="005A3DC8" w:rsidRPr="005A3DC8" w14:paraId="1F55381B" w14:textId="77777777" w:rsidTr="00887829">
        <w:tc>
          <w:tcPr>
            <w:tcW w:w="668" w:type="pct"/>
            <w:vMerge/>
            <w:shd w:val="clear" w:color="auto" w:fill="auto"/>
            <w:noWrap/>
            <w:vAlign w:val="center"/>
            <w:hideMark/>
          </w:tcPr>
          <w:p w14:paraId="197892D6"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41A5DA32"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544" w:type="pct"/>
            <w:shd w:val="clear" w:color="auto" w:fill="auto"/>
            <w:noWrap/>
            <w:vAlign w:val="center"/>
            <w:hideMark/>
          </w:tcPr>
          <w:p w14:paraId="12B0861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0.150</w:t>
            </w:r>
          </w:p>
        </w:tc>
        <w:tc>
          <w:tcPr>
            <w:tcW w:w="438" w:type="pct"/>
            <w:shd w:val="clear" w:color="auto" w:fill="auto"/>
            <w:noWrap/>
            <w:vAlign w:val="center"/>
            <w:hideMark/>
          </w:tcPr>
          <w:p w14:paraId="191430D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0.021</w:t>
            </w:r>
          </w:p>
        </w:tc>
        <w:tc>
          <w:tcPr>
            <w:tcW w:w="515" w:type="pct"/>
            <w:shd w:val="clear" w:color="auto" w:fill="auto"/>
            <w:noWrap/>
            <w:vAlign w:val="center"/>
            <w:hideMark/>
          </w:tcPr>
          <w:p w14:paraId="36A35D5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4.510</w:t>
            </w:r>
          </w:p>
        </w:tc>
        <w:tc>
          <w:tcPr>
            <w:tcW w:w="412" w:type="pct"/>
            <w:shd w:val="clear" w:color="auto" w:fill="auto"/>
            <w:noWrap/>
            <w:vAlign w:val="center"/>
            <w:hideMark/>
          </w:tcPr>
          <w:p w14:paraId="344077E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0.012</w:t>
            </w:r>
          </w:p>
        </w:tc>
        <w:tc>
          <w:tcPr>
            <w:tcW w:w="330" w:type="pct"/>
            <w:shd w:val="clear" w:color="auto" w:fill="auto"/>
            <w:noWrap/>
            <w:vAlign w:val="center"/>
            <w:hideMark/>
          </w:tcPr>
          <w:p w14:paraId="28455DB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082A270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1.28E-05</w:t>
            </w:r>
          </w:p>
        </w:tc>
        <w:tc>
          <w:tcPr>
            <w:tcW w:w="428" w:type="pct"/>
            <w:shd w:val="clear" w:color="auto" w:fill="auto"/>
            <w:noWrap/>
            <w:vAlign w:val="center"/>
            <w:hideMark/>
          </w:tcPr>
          <w:p w14:paraId="54280BB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0.530</w:t>
            </w:r>
          </w:p>
        </w:tc>
      </w:tr>
      <w:tr w:rsidR="005A3DC8" w:rsidRPr="005A3DC8" w14:paraId="31D65867" w14:textId="77777777" w:rsidTr="00887829">
        <w:tc>
          <w:tcPr>
            <w:tcW w:w="668" w:type="pct"/>
            <w:vMerge/>
            <w:shd w:val="clear" w:color="auto" w:fill="auto"/>
            <w:noWrap/>
            <w:vAlign w:val="center"/>
            <w:hideMark/>
          </w:tcPr>
          <w:p w14:paraId="23561D21" w14:textId="77777777" w:rsidR="005A3DC8" w:rsidRPr="005A3DC8" w:rsidRDefault="005A3DC8" w:rsidP="005A3DC8">
            <w:pPr>
              <w:rPr>
                <w:rFonts w:cs="Open Sans"/>
                <w:color w:val="000000"/>
                <w:sz w:val="14"/>
                <w:szCs w:val="14"/>
                <w:lang w:val="en-US" w:eastAsia="en-US"/>
              </w:rPr>
            </w:pPr>
          </w:p>
        </w:tc>
        <w:tc>
          <w:tcPr>
            <w:tcW w:w="1156" w:type="pct"/>
            <w:shd w:val="clear" w:color="auto" w:fill="auto"/>
            <w:noWrap/>
            <w:vAlign w:val="center"/>
            <w:hideMark/>
          </w:tcPr>
          <w:p w14:paraId="39A8531B"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544" w:type="pct"/>
            <w:shd w:val="clear" w:color="auto" w:fill="auto"/>
            <w:noWrap/>
            <w:vAlign w:val="center"/>
            <w:hideMark/>
          </w:tcPr>
          <w:p w14:paraId="0988FDA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0.150</w:t>
            </w:r>
          </w:p>
        </w:tc>
        <w:tc>
          <w:tcPr>
            <w:tcW w:w="438" w:type="pct"/>
            <w:shd w:val="clear" w:color="auto" w:fill="auto"/>
            <w:noWrap/>
            <w:vAlign w:val="center"/>
            <w:hideMark/>
          </w:tcPr>
          <w:p w14:paraId="677827D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0.021</w:t>
            </w:r>
          </w:p>
        </w:tc>
        <w:tc>
          <w:tcPr>
            <w:tcW w:w="515" w:type="pct"/>
            <w:shd w:val="clear" w:color="auto" w:fill="auto"/>
            <w:noWrap/>
            <w:vAlign w:val="center"/>
            <w:hideMark/>
          </w:tcPr>
          <w:p w14:paraId="079D4F1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2.570</w:t>
            </w:r>
          </w:p>
        </w:tc>
        <w:tc>
          <w:tcPr>
            <w:tcW w:w="412" w:type="pct"/>
            <w:shd w:val="clear" w:color="auto" w:fill="auto"/>
            <w:noWrap/>
            <w:vAlign w:val="center"/>
            <w:hideMark/>
          </w:tcPr>
          <w:p w14:paraId="38EF824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0.034</w:t>
            </w:r>
          </w:p>
        </w:tc>
        <w:tc>
          <w:tcPr>
            <w:tcW w:w="330" w:type="pct"/>
            <w:shd w:val="clear" w:color="auto" w:fill="auto"/>
            <w:noWrap/>
            <w:vAlign w:val="center"/>
            <w:hideMark/>
          </w:tcPr>
          <w:p w14:paraId="57662A6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05764D6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1.28E-05</w:t>
            </w:r>
          </w:p>
        </w:tc>
        <w:tc>
          <w:tcPr>
            <w:tcW w:w="428" w:type="pct"/>
            <w:shd w:val="clear" w:color="auto" w:fill="auto"/>
            <w:noWrap/>
            <w:vAlign w:val="center"/>
            <w:hideMark/>
          </w:tcPr>
          <w:p w14:paraId="2684059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0.530</w:t>
            </w:r>
          </w:p>
        </w:tc>
      </w:tr>
      <w:tr w:rsidR="005A3DC8" w:rsidRPr="005A3DC8" w14:paraId="2CCE024F" w14:textId="77777777" w:rsidTr="00887829">
        <w:tc>
          <w:tcPr>
            <w:tcW w:w="668" w:type="pct"/>
            <w:vMerge/>
            <w:shd w:val="clear" w:color="auto" w:fill="auto"/>
            <w:noWrap/>
            <w:vAlign w:val="center"/>
            <w:hideMark/>
          </w:tcPr>
          <w:p w14:paraId="070A4143" w14:textId="77777777" w:rsidR="005A3DC8" w:rsidRPr="005A3DC8" w:rsidRDefault="005A3DC8" w:rsidP="005A3DC8">
            <w:pPr>
              <w:spacing w:line="240" w:lineRule="auto"/>
              <w:rPr>
                <w:rFonts w:cs="Open Sans"/>
                <w:color w:val="000000"/>
                <w:sz w:val="14"/>
                <w:szCs w:val="14"/>
                <w:lang w:val="en-US" w:eastAsia="en-US"/>
              </w:rPr>
            </w:pPr>
          </w:p>
        </w:tc>
        <w:tc>
          <w:tcPr>
            <w:tcW w:w="1156" w:type="pct"/>
            <w:shd w:val="clear" w:color="auto" w:fill="auto"/>
            <w:noWrap/>
            <w:vAlign w:val="center"/>
            <w:hideMark/>
          </w:tcPr>
          <w:p w14:paraId="2F7652A6"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544" w:type="pct"/>
            <w:shd w:val="clear" w:color="auto" w:fill="auto"/>
            <w:noWrap/>
            <w:vAlign w:val="center"/>
            <w:hideMark/>
          </w:tcPr>
          <w:p w14:paraId="694D83B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0.150</w:t>
            </w:r>
          </w:p>
        </w:tc>
        <w:tc>
          <w:tcPr>
            <w:tcW w:w="438" w:type="pct"/>
            <w:shd w:val="clear" w:color="auto" w:fill="auto"/>
            <w:noWrap/>
            <w:vAlign w:val="center"/>
            <w:hideMark/>
          </w:tcPr>
          <w:p w14:paraId="5DC211E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0.021</w:t>
            </w:r>
          </w:p>
        </w:tc>
        <w:tc>
          <w:tcPr>
            <w:tcW w:w="515" w:type="pct"/>
            <w:shd w:val="clear" w:color="auto" w:fill="auto"/>
            <w:noWrap/>
            <w:vAlign w:val="center"/>
            <w:hideMark/>
          </w:tcPr>
          <w:p w14:paraId="7935239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0.496</w:t>
            </w:r>
          </w:p>
        </w:tc>
        <w:tc>
          <w:tcPr>
            <w:tcW w:w="412" w:type="pct"/>
            <w:shd w:val="clear" w:color="auto" w:fill="auto"/>
            <w:noWrap/>
            <w:vAlign w:val="center"/>
            <w:hideMark/>
          </w:tcPr>
          <w:p w14:paraId="06A2D71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0.033</w:t>
            </w:r>
          </w:p>
        </w:tc>
        <w:tc>
          <w:tcPr>
            <w:tcW w:w="330" w:type="pct"/>
            <w:shd w:val="clear" w:color="auto" w:fill="auto"/>
            <w:noWrap/>
            <w:vAlign w:val="center"/>
            <w:hideMark/>
          </w:tcPr>
          <w:p w14:paraId="302307D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0.029</w:t>
            </w:r>
          </w:p>
        </w:tc>
        <w:tc>
          <w:tcPr>
            <w:tcW w:w="509" w:type="pct"/>
            <w:shd w:val="clear" w:color="auto" w:fill="auto"/>
            <w:noWrap/>
            <w:vAlign w:val="center"/>
            <w:hideMark/>
          </w:tcPr>
          <w:p w14:paraId="4AF0A59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1.28E-05</w:t>
            </w:r>
          </w:p>
        </w:tc>
        <w:tc>
          <w:tcPr>
            <w:tcW w:w="428" w:type="pct"/>
            <w:shd w:val="clear" w:color="auto" w:fill="auto"/>
            <w:noWrap/>
            <w:vAlign w:val="center"/>
            <w:hideMark/>
          </w:tcPr>
          <w:p w14:paraId="0D0C52B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0.530</w:t>
            </w:r>
          </w:p>
        </w:tc>
      </w:tr>
    </w:tbl>
    <w:p w14:paraId="763B63A4" w14:textId="119F7AA0"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24</w:t>
      </w:r>
      <w:r w:rsidR="00FB454C">
        <w:rPr>
          <w:noProof/>
        </w:rPr>
        <w:fldChar w:fldCharType="end"/>
      </w:r>
      <w:r w:rsidR="00944F54">
        <w:t xml:space="preserve">: </w:t>
      </w:r>
      <w:r w:rsidR="001D2587" w:rsidRPr="000855B2">
        <w:t xml:space="preserve">Tier 2 </w:t>
      </w:r>
      <w:r w:rsidR="00EF3C06" w:rsidRPr="000855B2">
        <w:t xml:space="preserve">exhaust </w:t>
      </w:r>
      <w:r w:rsidR="001D2587" w:rsidRPr="000855B2">
        <w:t>emission factors for buses,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iii</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3"/>
        <w:gridCol w:w="1780"/>
        <w:gridCol w:w="1423"/>
        <w:gridCol w:w="1057"/>
        <w:gridCol w:w="805"/>
        <w:gridCol w:w="866"/>
        <w:gridCol w:w="869"/>
      </w:tblGrid>
      <w:tr w:rsidR="005A3DC8" w:rsidRPr="005A3DC8" w14:paraId="600E201F" w14:textId="77777777" w:rsidTr="00887829">
        <w:tc>
          <w:tcPr>
            <w:tcW w:w="941" w:type="pct"/>
            <w:shd w:val="clear" w:color="auto" w:fill="auto"/>
            <w:noWrap/>
            <w:vAlign w:val="center"/>
            <w:hideMark/>
          </w:tcPr>
          <w:p w14:paraId="5F6A8DB3"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Type</w:t>
            </w:r>
          </w:p>
        </w:tc>
        <w:tc>
          <w:tcPr>
            <w:tcW w:w="1075" w:type="pct"/>
            <w:vMerge w:val="restart"/>
            <w:shd w:val="clear" w:color="auto" w:fill="auto"/>
            <w:noWrap/>
            <w:vAlign w:val="center"/>
            <w:hideMark/>
          </w:tcPr>
          <w:p w14:paraId="15CB0770" w14:textId="77777777" w:rsidR="005A3DC8" w:rsidRPr="005A3DC8" w:rsidRDefault="005A3DC8" w:rsidP="00D1477A">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Technology</w:t>
            </w:r>
          </w:p>
        </w:tc>
        <w:tc>
          <w:tcPr>
            <w:tcW w:w="820" w:type="pct"/>
            <w:shd w:val="clear" w:color="auto" w:fill="auto"/>
            <w:noWrap/>
            <w:vAlign w:val="center"/>
            <w:hideMark/>
          </w:tcPr>
          <w:p w14:paraId="28E90D62"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PM2.5</w:t>
            </w:r>
          </w:p>
        </w:tc>
        <w:tc>
          <w:tcPr>
            <w:tcW w:w="600" w:type="pct"/>
            <w:shd w:val="clear" w:color="auto" w:fill="auto"/>
            <w:vAlign w:val="center"/>
            <w:hideMark/>
          </w:tcPr>
          <w:p w14:paraId="0FB33D33"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ID(1.2.3.cd)P</w:t>
            </w:r>
          </w:p>
        </w:tc>
        <w:tc>
          <w:tcPr>
            <w:tcW w:w="497" w:type="pct"/>
            <w:shd w:val="clear" w:color="auto" w:fill="auto"/>
            <w:noWrap/>
            <w:vAlign w:val="center"/>
            <w:hideMark/>
          </w:tcPr>
          <w:p w14:paraId="6A3F83C6"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B(k)F</w:t>
            </w:r>
          </w:p>
        </w:tc>
        <w:tc>
          <w:tcPr>
            <w:tcW w:w="533" w:type="pct"/>
            <w:shd w:val="clear" w:color="auto" w:fill="auto"/>
            <w:noWrap/>
            <w:vAlign w:val="center"/>
            <w:hideMark/>
          </w:tcPr>
          <w:p w14:paraId="21AF3041"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B(b)F</w:t>
            </w:r>
          </w:p>
        </w:tc>
        <w:tc>
          <w:tcPr>
            <w:tcW w:w="534" w:type="pct"/>
            <w:shd w:val="clear" w:color="auto" w:fill="auto"/>
            <w:noWrap/>
            <w:vAlign w:val="center"/>
            <w:hideMark/>
          </w:tcPr>
          <w:p w14:paraId="58DAE19D"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B(a)F</w:t>
            </w:r>
          </w:p>
        </w:tc>
      </w:tr>
      <w:tr w:rsidR="005A3DC8" w:rsidRPr="005A3DC8" w14:paraId="1DE37C63" w14:textId="77777777" w:rsidTr="00887829">
        <w:tc>
          <w:tcPr>
            <w:tcW w:w="941" w:type="pct"/>
            <w:shd w:val="clear" w:color="auto" w:fill="auto"/>
            <w:noWrap/>
            <w:vAlign w:val="center"/>
            <w:hideMark/>
          </w:tcPr>
          <w:p w14:paraId="18F3282B"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Units</w:t>
            </w:r>
          </w:p>
        </w:tc>
        <w:tc>
          <w:tcPr>
            <w:tcW w:w="1075" w:type="pct"/>
            <w:vMerge/>
            <w:vAlign w:val="center"/>
            <w:hideMark/>
          </w:tcPr>
          <w:p w14:paraId="4358CA78" w14:textId="77777777" w:rsidR="005A3DC8" w:rsidRPr="005A3DC8" w:rsidRDefault="005A3DC8" w:rsidP="00D1477A">
            <w:pPr>
              <w:spacing w:line="240" w:lineRule="auto"/>
              <w:jc w:val="center"/>
              <w:rPr>
                <w:rFonts w:cs="Open Sans"/>
                <w:b/>
                <w:color w:val="000000"/>
                <w:sz w:val="14"/>
                <w:szCs w:val="14"/>
                <w:lang w:val="en-US" w:eastAsia="en-US"/>
              </w:rPr>
            </w:pPr>
          </w:p>
        </w:tc>
        <w:tc>
          <w:tcPr>
            <w:tcW w:w="820" w:type="pct"/>
            <w:shd w:val="clear" w:color="auto" w:fill="auto"/>
            <w:noWrap/>
            <w:vAlign w:val="center"/>
            <w:hideMark/>
          </w:tcPr>
          <w:p w14:paraId="405C370F"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600" w:type="pct"/>
            <w:shd w:val="clear" w:color="auto" w:fill="auto"/>
            <w:noWrap/>
            <w:vAlign w:val="center"/>
            <w:hideMark/>
          </w:tcPr>
          <w:p w14:paraId="2CB90FA5"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497" w:type="pct"/>
            <w:shd w:val="clear" w:color="auto" w:fill="auto"/>
            <w:noWrap/>
            <w:vAlign w:val="center"/>
            <w:hideMark/>
          </w:tcPr>
          <w:p w14:paraId="5299F492"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33" w:type="pct"/>
            <w:shd w:val="clear" w:color="auto" w:fill="auto"/>
            <w:noWrap/>
            <w:vAlign w:val="center"/>
            <w:hideMark/>
          </w:tcPr>
          <w:p w14:paraId="774877C0"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c>
          <w:tcPr>
            <w:tcW w:w="534" w:type="pct"/>
            <w:shd w:val="clear" w:color="auto" w:fill="auto"/>
            <w:noWrap/>
            <w:vAlign w:val="center"/>
            <w:hideMark/>
          </w:tcPr>
          <w:p w14:paraId="3227047A"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g/km</w:t>
            </w:r>
          </w:p>
        </w:tc>
      </w:tr>
      <w:tr w:rsidR="005A3DC8" w:rsidRPr="005A3DC8" w14:paraId="329751F6" w14:textId="77777777" w:rsidTr="00246BA6">
        <w:tc>
          <w:tcPr>
            <w:tcW w:w="941" w:type="pct"/>
            <w:tcBorders>
              <w:bottom w:val="single" w:sz="12" w:space="0" w:color="auto"/>
            </w:tcBorders>
            <w:shd w:val="clear" w:color="auto" w:fill="auto"/>
            <w:noWrap/>
            <w:vAlign w:val="center"/>
            <w:hideMark/>
          </w:tcPr>
          <w:p w14:paraId="3B27A10E"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Notes</w:t>
            </w:r>
          </w:p>
        </w:tc>
        <w:tc>
          <w:tcPr>
            <w:tcW w:w="1075" w:type="pct"/>
            <w:vMerge/>
            <w:tcBorders>
              <w:bottom w:val="single" w:sz="12" w:space="0" w:color="auto"/>
            </w:tcBorders>
            <w:vAlign w:val="center"/>
            <w:hideMark/>
          </w:tcPr>
          <w:p w14:paraId="7A5A6DAD" w14:textId="77777777" w:rsidR="005A3DC8" w:rsidRPr="005A3DC8" w:rsidRDefault="005A3DC8" w:rsidP="00D1477A">
            <w:pPr>
              <w:spacing w:line="240" w:lineRule="auto"/>
              <w:jc w:val="center"/>
              <w:rPr>
                <w:rFonts w:cs="Open Sans"/>
                <w:b/>
                <w:color w:val="000000"/>
                <w:sz w:val="14"/>
                <w:szCs w:val="14"/>
                <w:lang w:val="en-US" w:eastAsia="en-US"/>
              </w:rPr>
            </w:pPr>
          </w:p>
        </w:tc>
        <w:tc>
          <w:tcPr>
            <w:tcW w:w="820" w:type="pct"/>
            <w:tcBorders>
              <w:bottom w:val="single" w:sz="12" w:space="0" w:color="auto"/>
            </w:tcBorders>
            <w:shd w:val="clear" w:color="auto" w:fill="auto"/>
            <w:vAlign w:val="center"/>
            <w:hideMark/>
          </w:tcPr>
          <w:p w14:paraId="7A2E6CA5" w14:textId="77777777" w:rsidR="005A3DC8" w:rsidRPr="005A3DC8" w:rsidRDefault="005A3DC8" w:rsidP="00E81C5C">
            <w:pPr>
              <w:spacing w:line="240" w:lineRule="auto"/>
              <w:jc w:val="center"/>
              <w:rPr>
                <w:rFonts w:cs="Open Sans"/>
                <w:b/>
                <w:color w:val="000000"/>
                <w:sz w:val="14"/>
                <w:szCs w:val="14"/>
                <w:lang w:val="en-US" w:eastAsia="en-US"/>
              </w:rPr>
            </w:pPr>
            <w:r w:rsidRPr="005A3DC8">
              <w:rPr>
                <w:rFonts w:cs="Open Sans"/>
                <w:b/>
                <w:color w:val="000000"/>
                <w:sz w:val="14"/>
                <w:szCs w:val="14"/>
                <w:lang w:val="en-US" w:eastAsia="en-US"/>
              </w:rPr>
              <w:t>PM2.5=PM10=TSP</w:t>
            </w:r>
          </w:p>
        </w:tc>
        <w:tc>
          <w:tcPr>
            <w:tcW w:w="600" w:type="pct"/>
            <w:tcBorders>
              <w:bottom w:val="single" w:sz="12" w:space="0" w:color="auto"/>
            </w:tcBorders>
            <w:shd w:val="clear" w:color="auto" w:fill="auto"/>
            <w:vAlign w:val="center"/>
            <w:hideMark/>
          </w:tcPr>
          <w:p w14:paraId="620AFE3C" w14:textId="77777777" w:rsidR="005A3DC8" w:rsidRPr="005A3DC8" w:rsidRDefault="005A3DC8" w:rsidP="00E81C5C">
            <w:pPr>
              <w:spacing w:line="240" w:lineRule="auto"/>
              <w:jc w:val="center"/>
              <w:rPr>
                <w:rFonts w:cs="Open Sans"/>
                <w:b/>
                <w:color w:val="000000"/>
                <w:sz w:val="14"/>
                <w:szCs w:val="14"/>
                <w:lang w:val="en-US" w:eastAsia="en-US"/>
              </w:rPr>
            </w:pPr>
          </w:p>
        </w:tc>
        <w:tc>
          <w:tcPr>
            <w:tcW w:w="497" w:type="pct"/>
            <w:tcBorders>
              <w:bottom w:val="single" w:sz="12" w:space="0" w:color="auto"/>
            </w:tcBorders>
            <w:shd w:val="clear" w:color="auto" w:fill="auto"/>
            <w:vAlign w:val="center"/>
            <w:hideMark/>
          </w:tcPr>
          <w:p w14:paraId="5AC82D38" w14:textId="77777777" w:rsidR="005A3DC8" w:rsidRPr="005A3DC8" w:rsidRDefault="005A3DC8" w:rsidP="00E81C5C">
            <w:pPr>
              <w:spacing w:line="240" w:lineRule="auto"/>
              <w:jc w:val="center"/>
              <w:rPr>
                <w:rFonts w:cs="Open Sans"/>
                <w:b/>
                <w:color w:val="000000"/>
                <w:sz w:val="14"/>
                <w:szCs w:val="14"/>
                <w:lang w:val="en-US" w:eastAsia="en-US"/>
              </w:rPr>
            </w:pPr>
          </w:p>
        </w:tc>
        <w:tc>
          <w:tcPr>
            <w:tcW w:w="533" w:type="pct"/>
            <w:tcBorders>
              <w:bottom w:val="single" w:sz="12" w:space="0" w:color="auto"/>
            </w:tcBorders>
            <w:shd w:val="clear" w:color="auto" w:fill="auto"/>
            <w:vAlign w:val="center"/>
            <w:hideMark/>
          </w:tcPr>
          <w:p w14:paraId="4C7BACFD" w14:textId="77777777" w:rsidR="005A3DC8" w:rsidRPr="005A3DC8" w:rsidRDefault="005A3DC8" w:rsidP="00E81C5C">
            <w:pPr>
              <w:spacing w:line="240" w:lineRule="auto"/>
              <w:jc w:val="center"/>
              <w:rPr>
                <w:rFonts w:cs="Open Sans"/>
                <w:b/>
                <w:color w:val="000000"/>
                <w:sz w:val="14"/>
                <w:szCs w:val="14"/>
                <w:lang w:val="en-US" w:eastAsia="en-US"/>
              </w:rPr>
            </w:pPr>
          </w:p>
        </w:tc>
        <w:tc>
          <w:tcPr>
            <w:tcW w:w="534" w:type="pct"/>
            <w:tcBorders>
              <w:bottom w:val="single" w:sz="12" w:space="0" w:color="auto"/>
            </w:tcBorders>
            <w:shd w:val="clear" w:color="auto" w:fill="auto"/>
            <w:vAlign w:val="center"/>
            <w:hideMark/>
          </w:tcPr>
          <w:p w14:paraId="3FA8321D" w14:textId="77777777" w:rsidR="005A3DC8" w:rsidRPr="005A3DC8" w:rsidRDefault="005A3DC8" w:rsidP="00E81C5C">
            <w:pPr>
              <w:spacing w:line="240" w:lineRule="auto"/>
              <w:jc w:val="center"/>
              <w:rPr>
                <w:rFonts w:cs="Open Sans"/>
                <w:b/>
                <w:color w:val="000000"/>
                <w:sz w:val="14"/>
                <w:szCs w:val="14"/>
                <w:lang w:val="en-US" w:eastAsia="en-US"/>
              </w:rPr>
            </w:pPr>
          </w:p>
        </w:tc>
      </w:tr>
      <w:tr w:rsidR="005A3DC8" w:rsidRPr="00E81C5C" w14:paraId="7DC7A702" w14:textId="77777777" w:rsidTr="00246BA6">
        <w:tc>
          <w:tcPr>
            <w:tcW w:w="941" w:type="pct"/>
            <w:vMerge w:val="restart"/>
            <w:tcBorders>
              <w:top w:val="single" w:sz="12" w:space="0" w:color="auto"/>
            </w:tcBorders>
            <w:shd w:val="clear" w:color="auto" w:fill="auto"/>
            <w:noWrap/>
            <w:vAlign w:val="center"/>
            <w:hideMark/>
          </w:tcPr>
          <w:p w14:paraId="72301285" w14:textId="77777777" w:rsidR="005A3DC8" w:rsidRPr="005A3DC8" w:rsidRDefault="005A3DC8" w:rsidP="00E81C5C">
            <w:pPr>
              <w:spacing w:line="240" w:lineRule="auto"/>
              <w:rPr>
                <w:rFonts w:cs="Open Sans"/>
                <w:color w:val="000000"/>
                <w:sz w:val="14"/>
                <w:szCs w:val="14"/>
                <w:lang w:val="en-US" w:eastAsia="en-US"/>
              </w:rPr>
            </w:pPr>
            <w:r w:rsidRPr="005A3DC8">
              <w:rPr>
                <w:rFonts w:cs="Open Sans"/>
                <w:color w:val="000000"/>
                <w:sz w:val="14"/>
                <w:szCs w:val="14"/>
                <w:lang w:val="en-US" w:eastAsia="en-US"/>
              </w:rPr>
              <w:t>Urban CNG Buses</w:t>
            </w:r>
          </w:p>
        </w:tc>
        <w:tc>
          <w:tcPr>
            <w:tcW w:w="1075" w:type="pct"/>
            <w:tcBorders>
              <w:top w:val="single" w:sz="12" w:space="0" w:color="auto"/>
            </w:tcBorders>
            <w:shd w:val="clear" w:color="auto" w:fill="auto"/>
            <w:noWrap/>
            <w:vAlign w:val="center"/>
            <w:hideMark/>
          </w:tcPr>
          <w:p w14:paraId="39437573"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820" w:type="pct"/>
            <w:tcBorders>
              <w:top w:val="single" w:sz="12" w:space="0" w:color="auto"/>
            </w:tcBorders>
            <w:shd w:val="clear" w:color="auto" w:fill="auto"/>
            <w:noWrap/>
            <w:vAlign w:val="center"/>
            <w:hideMark/>
          </w:tcPr>
          <w:p w14:paraId="6BFD7D7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0.0200</w:t>
            </w:r>
          </w:p>
        </w:tc>
        <w:tc>
          <w:tcPr>
            <w:tcW w:w="600" w:type="pct"/>
            <w:tcBorders>
              <w:top w:val="single" w:sz="12" w:space="0" w:color="auto"/>
            </w:tcBorders>
            <w:shd w:val="clear" w:color="auto" w:fill="auto"/>
            <w:noWrap/>
            <w:vAlign w:val="center"/>
            <w:hideMark/>
          </w:tcPr>
          <w:p w14:paraId="76C2288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497" w:type="pct"/>
            <w:tcBorders>
              <w:top w:val="single" w:sz="12" w:space="0" w:color="auto"/>
            </w:tcBorders>
            <w:shd w:val="clear" w:color="auto" w:fill="auto"/>
            <w:noWrap/>
            <w:vAlign w:val="center"/>
            <w:hideMark/>
          </w:tcPr>
          <w:p w14:paraId="119979D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3" w:type="pct"/>
            <w:tcBorders>
              <w:top w:val="single" w:sz="12" w:space="0" w:color="auto"/>
            </w:tcBorders>
            <w:shd w:val="clear" w:color="auto" w:fill="auto"/>
            <w:noWrap/>
            <w:vAlign w:val="center"/>
            <w:hideMark/>
          </w:tcPr>
          <w:p w14:paraId="47E3185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4" w:type="pct"/>
            <w:tcBorders>
              <w:top w:val="single" w:sz="12" w:space="0" w:color="auto"/>
            </w:tcBorders>
            <w:shd w:val="clear" w:color="auto" w:fill="auto"/>
            <w:noWrap/>
            <w:vAlign w:val="center"/>
            <w:hideMark/>
          </w:tcPr>
          <w:p w14:paraId="6E2ADF5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r>
      <w:tr w:rsidR="005A3DC8" w:rsidRPr="00E81C5C" w14:paraId="089094CF" w14:textId="77777777" w:rsidTr="00887829">
        <w:tc>
          <w:tcPr>
            <w:tcW w:w="941" w:type="pct"/>
            <w:vMerge/>
            <w:shd w:val="clear" w:color="auto" w:fill="auto"/>
            <w:noWrap/>
            <w:vAlign w:val="center"/>
            <w:hideMark/>
          </w:tcPr>
          <w:p w14:paraId="6F5EE8CA"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27159155"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820" w:type="pct"/>
            <w:shd w:val="clear" w:color="auto" w:fill="auto"/>
            <w:noWrap/>
            <w:vAlign w:val="center"/>
            <w:hideMark/>
          </w:tcPr>
          <w:p w14:paraId="01753EC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0.0100</w:t>
            </w:r>
          </w:p>
        </w:tc>
        <w:tc>
          <w:tcPr>
            <w:tcW w:w="600" w:type="pct"/>
            <w:shd w:val="clear" w:color="auto" w:fill="auto"/>
            <w:noWrap/>
            <w:vAlign w:val="center"/>
            <w:hideMark/>
          </w:tcPr>
          <w:p w14:paraId="09F6040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497" w:type="pct"/>
            <w:shd w:val="clear" w:color="auto" w:fill="auto"/>
            <w:noWrap/>
            <w:vAlign w:val="center"/>
            <w:hideMark/>
          </w:tcPr>
          <w:p w14:paraId="3E06438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3" w:type="pct"/>
            <w:shd w:val="clear" w:color="auto" w:fill="auto"/>
            <w:noWrap/>
            <w:vAlign w:val="center"/>
            <w:hideMark/>
          </w:tcPr>
          <w:p w14:paraId="115AAC5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c>
          <w:tcPr>
            <w:tcW w:w="534" w:type="pct"/>
            <w:shd w:val="clear" w:color="auto" w:fill="auto"/>
            <w:noWrap/>
            <w:vAlign w:val="center"/>
            <w:hideMark/>
          </w:tcPr>
          <w:p w14:paraId="5E9155A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n.a.</w:t>
            </w:r>
          </w:p>
        </w:tc>
      </w:tr>
      <w:tr w:rsidR="005A3DC8" w:rsidRPr="00E81C5C" w14:paraId="7F4164ED" w14:textId="77777777" w:rsidTr="00887829">
        <w:tc>
          <w:tcPr>
            <w:tcW w:w="941" w:type="pct"/>
            <w:vMerge/>
            <w:shd w:val="clear" w:color="auto" w:fill="auto"/>
            <w:noWrap/>
            <w:vAlign w:val="center"/>
            <w:hideMark/>
          </w:tcPr>
          <w:p w14:paraId="2DA97D33"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5A34E99D"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820" w:type="pct"/>
            <w:shd w:val="clear" w:color="auto" w:fill="auto"/>
            <w:noWrap/>
            <w:vAlign w:val="center"/>
            <w:hideMark/>
          </w:tcPr>
          <w:p w14:paraId="3AF30EF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0.0100</w:t>
            </w:r>
          </w:p>
        </w:tc>
        <w:tc>
          <w:tcPr>
            <w:tcW w:w="600" w:type="pct"/>
            <w:shd w:val="clear" w:color="auto" w:fill="auto"/>
            <w:noWrap/>
            <w:vAlign w:val="center"/>
            <w:hideMark/>
          </w:tcPr>
          <w:p w14:paraId="1991046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3.00E-08</w:t>
            </w:r>
          </w:p>
        </w:tc>
        <w:tc>
          <w:tcPr>
            <w:tcW w:w="497" w:type="pct"/>
            <w:shd w:val="clear" w:color="auto" w:fill="auto"/>
            <w:noWrap/>
            <w:vAlign w:val="center"/>
            <w:hideMark/>
          </w:tcPr>
          <w:p w14:paraId="6B62968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4.00E-08</w:t>
            </w:r>
          </w:p>
        </w:tc>
        <w:tc>
          <w:tcPr>
            <w:tcW w:w="533" w:type="pct"/>
            <w:shd w:val="clear" w:color="auto" w:fill="auto"/>
            <w:noWrap/>
            <w:vAlign w:val="center"/>
            <w:hideMark/>
          </w:tcPr>
          <w:p w14:paraId="4035418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8.00E-08</w:t>
            </w:r>
          </w:p>
        </w:tc>
        <w:tc>
          <w:tcPr>
            <w:tcW w:w="534" w:type="pct"/>
            <w:shd w:val="clear" w:color="auto" w:fill="auto"/>
            <w:noWrap/>
            <w:vAlign w:val="center"/>
            <w:hideMark/>
          </w:tcPr>
          <w:p w14:paraId="561F064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5.00E-08</w:t>
            </w:r>
          </w:p>
        </w:tc>
      </w:tr>
      <w:tr w:rsidR="005A3DC8" w:rsidRPr="00E81C5C" w14:paraId="0E248A04" w14:textId="77777777" w:rsidTr="00887829">
        <w:tc>
          <w:tcPr>
            <w:tcW w:w="941" w:type="pct"/>
            <w:vMerge/>
            <w:shd w:val="clear" w:color="auto" w:fill="auto"/>
            <w:noWrap/>
            <w:vAlign w:val="center"/>
            <w:hideMark/>
          </w:tcPr>
          <w:p w14:paraId="0AC9D7B4"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7C64D4C0"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EEV</w:t>
            </w:r>
          </w:p>
        </w:tc>
        <w:tc>
          <w:tcPr>
            <w:tcW w:w="820" w:type="pct"/>
            <w:shd w:val="clear" w:color="auto" w:fill="auto"/>
            <w:noWrap/>
            <w:vAlign w:val="center"/>
            <w:hideMark/>
          </w:tcPr>
          <w:p w14:paraId="4342CB1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0.0050</w:t>
            </w:r>
          </w:p>
        </w:tc>
        <w:tc>
          <w:tcPr>
            <w:tcW w:w="600" w:type="pct"/>
            <w:shd w:val="clear" w:color="auto" w:fill="auto"/>
            <w:noWrap/>
            <w:vAlign w:val="center"/>
            <w:hideMark/>
          </w:tcPr>
          <w:p w14:paraId="7475858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1.00E-08</w:t>
            </w:r>
          </w:p>
        </w:tc>
        <w:tc>
          <w:tcPr>
            <w:tcW w:w="497" w:type="pct"/>
            <w:shd w:val="clear" w:color="auto" w:fill="auto"/>
            <w:noWrap/>
            <w:vAlign w:val="center"/>
            <w:hideMark/>
          </w:tcPr>
          <w:p w14:paraId="5B90358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1.00E-08</w:t>
            </w:r>
          </w:p>
        </w:tc>
        <w:tc>
          <w:tcPr>
            <w:tcW w:w="533" w:type="pct"/>
            <w:shd w:val="clear" w:color="auto" w:fill="auto"/>
            <w:noWrap/>
            <w:vAlign w:val="center"/>
            <w:hideMark/>
          </w:tcPr>
          <w:p w14:paraId="4663545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1.00E-08</w:t>
            </w:r>
          </w:p>
        </w:tc>
        <w:tc>
          <w:tcPr>
            <w:tcW w:w="534" w:type="pct"/>
            <w:shd w:val="clear" w:color="auto" w:fill="auto"/>
            <w:noWrap/>
            <w:vAlign w:val="center"/>
            <w:hideMark/>
          </w:tcPr>
          <w:p w14:paraId="6BA7599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3.00E-08</w:t>
            </w:r>
          </w:p>
        </w:tc>
      </w:tr>
      <w:tr w:rsidR="005A3DC8" w:rsidRPr="00E81C5C" w14:paraId="758747AE" w14:textId="77777777" w:rsidTr="00887829">
        <w:tc>
          <w:tcPr>
            <w:tcW w:w="941" w:type="pct"/>
            <w:vMerge w:val="restart"/>
            <w:shd w:val="clear" w:color="auto" w:fill="auto"/>
            <w:noWrap/>
            <w:vAlign w:val="center"/>
            <w:hideMark/>
          </w:tcPr>
          <w:p w14:paraId="2ACF69AF" w14:textId="77777777" w:rsidR="005A3DC8" w:rsidRPr="005A3DC8" w:rsidRDefault="005A3DC8" w:rsidP="00E81C5C">
            <w:pPr>
              <w:spacing w:line="240" w:lineRule="auto"/>
              <w:rPr>
                <w:rFonts w:cs="Open Sans"/>
                <w:color w:val="000000"/>
                <w:sz w:val="14"/>
                <w:szCs w:val="14"/>
                <w:lang w:val="en-US" w:eastAsia="en-US"/>
              </w:rPr>
            </w:pPr>
            <w:r w:rsidRPr="005A3DC8">
              <w:rPr>
                <w:rFonts w:cs="Open Sans"/>
                <w:color w:val="000000"/>
                <w:sz w:val="14"/>
                <w:szCs w:val="14"/>
                <w:lang w:val="en-US" w:eastAsia="en-US"/>
              </w:rPr>
              <w:t>Urban Buses Standard</w:t>
            </w:r>
          </w:p>
        </w:tc>
        <w:tc>
          <w:tcPr>
            <w:tcW w:w="1075" w:type="pct"/>
            <w:shd w:val="clear" w:color="auto" w:fill="auto"/>
            <w:noWrap/>
            <w:vAlign w:val="center"/>
            <w:hideMark/>
          </w:tcPr>
          <w:p w14:paraId="72163B2F"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820" w:type="pct"/>
            <w:shd w:val="clear" w:color="auto" w:fill="auto"/>
            <w:noWrap/>
            <w:vAlign w:val="center"/>
            <w:hideMark/>
          </w:tcPr>
          <w:p w14:paraId="59E9676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0.9090</w:t>
            </w:r>
          </w:p>
        </w:tc>
        <w:tc>
          <w:tcPr>
            <w:tcW w:w="600" w:type="pct"/>
            <w:shd w:val="clear" w:color="auto" w:fill="auto"/>
            <w:noWrap/>
            <w:vAlign w:val="center"/>
            <w:hideMark/>
          </w:tcPr>
          <w:p w14:paraId="6A306821"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5E179D0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4AF08DC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97C02E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35A4FF53" w14:textId="77777777" w:rsidTr="00887829">
        <w:tc>
          <w:tcPr>
            <w:tcW w:w="941" w:type="pct"/>
            <w:vMerge/>
            <w:shd w:val="clear" w:color="auto" w:fill="auto"/>
            <w:noWrap/>
            <w:vAlign w:val="center"/>
            <w:hideMark/>
          </w:tcPr>
          <w:p w14:paraId="61D5C529"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60F9A5E9"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820" w:type="pct"/>
            <w:shd w:val="clear" w:color="auto" w:fill="auto"/>
            <w:noWrap/>
            <w:vAlign w:val="center"/>
            <w:hideMark/>
          </w:tcPr>
          <w:p w14:paraId="645ECAB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0.4790</w:t>
            </w:r>
          </w:p>
        </w:tc>
        <w:tc>
          <w:tcPr>
            <w:tcW w:w="600" w:type="pct"/>
            <w:shd w:val="clear" w:color="auto" w:fill="auto"/>
            <w:noWrap/>
            <w:vAlign w:val="center"/>
            <w:hideMark/>
          </w:tcPr>
          <w:p w14:paraId="2392A31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4B88A64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5460506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DF9725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130D2B59" w14:textId="77777777" w:rsidTr="00887829">
        <w:tc>
          <w:tcPr>
            <w:tcW w:w="941" w:type="pct"/>
            <w:vMerge/>
            <w:shd w:val="clear" w:color="auto" w:fill="auto"/>
            <w:noWrap/>
            <w:vAlign w:val="center"/>
            <w:hideMark/>
          </w:tcPr>
          <w:p w14:paraId="15E3ED12"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640A7DD0"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820" w:type="pct"/>
            <w:shd w:val="clear" w:color="auto" w:fill="auto"/>
            <w:noWrap/>
            <w:vAlign w:val="center"/>
            <w:hideMark/>
          </w:tcPr>
          <w:p w14:paraId="0189903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0.2200</w:t>
            </w:r>
          </w:p>
        </w:tc>
        <w:tc>
          <w:tcPr>
            <w:tcW w:w="600" w:type="pct"/>
            <w:shd w:val="clear" w:color="auto" w:fill="auto"/>
            <w:noWrap/>
            <w:vAlign w:val="center"/>
            <w:hideMark/>
          </w:tcPr>
          <w:p w14:paraId="156D9CC4"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2923D37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5E73328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467895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24FD7ED2" w14:textId="77777777" w:rsidTr="00887829">
        <w:tc>
          <w:tcPr>
            <w:tcW w:w="941" w:type="pct"/>
            <w:vMerge/>
            <w:shd w:val="clear" w:color="auto" w:fill="auto"/>
            <w:noWrap/>
            <w:vAlign w:val="center"/>
            <w:hideMark/>
          </w:tcPr>
          <w:p w14:paraId="7B44AD26"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14B39760"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820" w:type="pct"/>
            <w:shd w:val="clear" w:color="auto" w:fill="auto"/>
            <w:noWrap/>
            <w:vAlign w:val="center"/>
            <w:hideMark/>
          </w:tcPr>
          <w:p w14:paraId="48C2E80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0.2070</w:t>
            </w:r>
          </w:p>
        </w:tc>
        <w:tc>
          <w:tcPr>
            <w:tcW w:w="600" w:type="pct"/>
            <w:shd w:val="clear" w:color="auto" w:fill="auto"/>
            <w:noWrap/>
            <w:vAlign w:val="center"/>
            <w:hideMark/>
          </w:tcPr>
          <w:p w14:paraId="784D6B6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4D1E341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1AC1694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8F11D4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32B92E1E" w14:textId="77777777" w:rsidTr="00887829">
        <w:tc>
          <w:tcPr>
            <w:tcW w:w="941" w:type="pct"/>
            <w:vMerge/>
            <w:shd w:val="clear" w:color="auto" w:fill="auto"/>
            <w:noWrap/>
            <w:vAlign w:val="center"/>
            <w:hideMark/>
          </w:tcPr>
          <w:p w14:paraId="2BF6F716"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3C71D4B2"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820" w:type="pct"/>
            <w:shd w:val="clear" w:color="auto" w:fill="auto"/>
            <w:noWrap/>
            <w:vAlign w:val="center"/>
            <w:hideMark/>
          </w:tcPr>
          <w:p w14:paraId="75F9720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0.0462</w:t>
            </w:r>
          </w:p>
        </w:tc>
        <w:tc>
          <w:tcPr>
            <w:tcW w:w="600" w:type="pct"/>
            <w:shd w:val="clear" w:color="auto" w:fill="auto"/>
            <w:noWrap/>
            <w:vAlign w:val="center"/>
            <w:hideMark/>
          </w:tcPr>
          <w:p w14:paraId="7D9752D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315146F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161D25C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773E791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2814686B" w14:textId="77777777" w:rsidTr="00887829">
        <w:tc>
          <w:tcPr>
            <w:tcW w:w="941" w:type="pct"/>
            <w:vMerge/>
            <w:shd w:val="clear" w:color="auto" w:fill="auto"/>
            <w:noWrap/>
            <w:vAlign w:val="center"/>
            <w:hideMark/>
          </w:tcPr>
          <w:p w14:paraId="052B13FD"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60AA7147"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820" w:type="pct"/>
            <w:shd w:val="clear" w:color="auto" w:fill="auto"/>
            <w:noWrap/>
            <w:vAlign w:val="center"/>
            <w:hideMark/>
          </w:tcPr>
          <w:p w14:paraId="05C89C9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0.0462</w:t>
            </w:r>
          </w:p>
        </w:tc>
        <w:tc>
          <w:tcPr>
            <w:tcW w:w="600" w:type="pct"/>
            <w:shd w:val="clear" w:color="auto" w:fill="auto"/>
            <w:noWrap/>
            <w:vAlign w:val="center"/>
            <w:hideMark/>
          </w:tcPr>
          <w:p w14:paraId="7C2D1B7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698445D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1277B18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14E1736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6118F2CB" w14:textId="77777777" w:rsidTr="00887829">
        <w:tc>
          <w:tcPr>
            <w:tcW w:w="941" w:type="pct"/>
            <w:vMerge/>
            <w:shd w:val="clear" w:color="auto" w:fill="auto"/>
            <w:noWrap/>
            <w:vAlign w:val="center"/>
            <w:hideMark/>
          </w:tcPr>
          <w:p w14:paraId="31F6A757"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5E7E7F9B"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820" w:type="pct"/>
            <w:shd w:val="clear" w:color="auto" w:fill="auto"/>
            <w:noWrap/>
            <w:vAlign w:val="center"/>
            <w:hideMark/>
          </w:tcPr>
          <w:p w14:paraId="35F256B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0.0023</w:t>
            </w:r>
          </w:p>
        </w:tc>
        <w:tc>
          <w:tcPr>
            <w:tcW w:w="600" w:type="pct"/>
            <w:shd w:val="clear" w:color="auto" w:fill="auto"/>
            <w:noWrap/>
            <w:vAlign w:val="center"/>
            <w:hideMark/>
          </w:tcPr>
          <w:p w14:paraId="2CF4A80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40DF0BA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47CFE4B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D85CD1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7B983458" w14:textId="77777777" w:rsidTr="00887829">
        <w:tc>
          <w:tcPr>
            <w:tcW w:w="941" w:type="pct"/>
            <w:vMerge w:val="restart"/>
            <w:shd w:val="clear" w:color="auto" w:fill="auto"/>
            <w:noWrap/>
            <w:vAlign w:val="center"/>
            <w:hideMark/>
          </w:tcPr>
          <w:p w14:paraId="15274BFC" w14:textId="77777777" w:rsidR="005A3DC8" w:rsidRPr="005A3DC8" w:rsidRDefault="005A3DC8" w:rsidP="00E81C5C">
            <w:pPr>
              <w:spacing w:line="240" w:lineRule="auto"/>
              <w:rPr>
                <w:rFonts w:cs="Open Sans"/>
                <w:color w:val="000000"/>
                <w:sz w:val="14"/>
                <w:szCs w:val="14"/>
                <w:lang w:val="en-US" w:eastAsia="en-US"/>
              </w:rPr>
            </w:pPr>
            <w:r w:rsidRPr="005A3DC8">
              <w:rPr>
                <w:rFonts w:cs="Open Sans"/>
                <w:color w:val="000000"/>
                <w:sz w:val="14"/>
                <w:szCs w:val="14"/>
                <w:lang w:val="en-US" w:eastAsia="en-US"/>
              </w:rPr>
              <w:t>Coaches Standard</w:t>
            </w:r>
          </w:p>
        </w:tc>
        <w:tc>
          <w:tcPr>
            <w:tcW w:w="1075" w:type="pct"/>
            <w:shd w:val="clear" w:color="auto" w:fill="auto"/>
            <w:noWrap/>
            <w:vAlign w:val="center"/>
            <w:hideMark/>
          </w:tcPr>
          <w:p w14:paraId="1F9ACE27"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Conventional</w:t>
            </w:r>
          </w:p>
        </w:tc>
        <w:tc>
          <w:tcPr>
            <w:tcW w:w="820" w:type="pct"/>
            <w:shd w:val="clear" w:color="auto" w:fill="auto"/>
            <w:noWrap/>
            <w:vAlign w:val="center"/>
            <w:hideMark/>
          </w:tcPr>
          <w:p w14:paraId="10E36C3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0.4700</w:t>
            </w:r>
          </w:p>
        </w:tc>
        <w:tc>
          <w:tcPr>
            <w:tcW w:w="600" w:type="pct"/>
            <w:shd w:val="clear" w:color="auto" w:fill="auto"/>
            <w:noWrap/>
            <w:vAlign w:val="center"/>
            <w:hideMark/>
          </w:tcPr>
          <w:p w14:paraId="7FBB166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47565B0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56EE389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0BFCC82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364DCE8E" w14:textId="77777777" w:rsidTr="00887829">
        <w:tc>
          <w:tcPr>
            <w:tcW w:w="941" w:type="pct"/>
            <w:vMerge/>
            <w:shd w:val="clear" w:color="auto" w:fill="auto"/>
            <w:noWrap/>
            <w:vAlign w:val="center"/>
            <w:hideMark/>
          </w:tcPr>
          <w:p w14:paraId="191D178C"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0C1D07D7"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 - 91/542/EEC I</w:t>
            </w:r>
          </w:p>
        </w:tc>
        <w:tc>
          <w:tcPr>
            <w:tcW w:w="820" w:type="pct"/>
            <w:shd w:val="clear" w:color="auto" w:fill="auto"/>
            <w:noWrap/>
            <w:vAlign w:val="center"/>
            <w:hideMark/>
          </w:tcPr>
          <w:p w14:paraId="50C27C8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0.3620</w:t>
            </w:r>
          </w:p>
        </w:tc>
        <w:tc>
          <w:tcPr>
            <w:tcW w:w="600" w:type="pct"/>
            <w:shd w:val="clear" w:color="auto" w:fill="auto"/>
            <w:noWrap/>
            <w:vAlign w:val="center"/>
            <w:hideMark/>
          </w:tcPr>
          <w:p w14:paraId="502F199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39F5563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13F9B488"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6D8F877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25A4F8A8" w14:textId="77777777" w:rsidTr="00887829">
        <w:tc>
          <w:tcPr>
            <w:tcW w:w="941" w:type="pct"/>
            <w:vMerge/>
            <w:shd w:val="clear" w:color="auto" w:fill="auto"/>
            <w:noWrap/>
            <w:vAlign w:val="center"/>
            <w:hideMark/>
          </w:tcPr>
          <w:p w14:paraId="61F9F912"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4DD51F6C"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 - 91/542/EEC II</w:t>
            </w:r>
          </w:p>
        </w:tc>
        <w:tc>
          <w:tcPr>
            <w:tcW w:w="820" w:type="pct"/>
            <w:shd w:val="clear" w:color="auto" w:fill="auto"/>
            <w:noWrap/>
            <w:vAlign w:val="center"/>
            <w:hideMark/>
          </w:tcPr>
          <w:p w14:paraId="0423640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0.1650</w:t>
            </w:r>
          </w:p>
        </w:tc>
        <w:tc>
          <w:tcPr>
            <w:tcW w:w="600" w:type="pct"/>
            <w:shd w:val="clear" w:color="auto" w:fill="auto"/>
            <w:noWrap/>
            <w:vAlign w:val="center"/>
            <w:hideMark/>
          </w:tcPr>
          <w:p w14:paraId="5CC21D3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1DE6ABC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3559D0DC"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51AE454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574E2B9A" w14:textId="77777777" w:rsidTr="00887829">
        <w:tc>
          <w:tcPr>
            <w:tcW w:w="941" w:type="pct"/>
            <w:vMerge/>
            <w:shd w:val="clear" w:color="auto" w:fill="auto"/>
            <w:noWrap/>
            <w:vAlign w:val="center"/>
            <w:hideMark/>
          </w:tcPr>
          <w:p w14:paraId="44E41787"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7D676F5B"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III - 2000</w:t>
            </w:r>
          </w:p>
        </w:tc>
        <w:tc>
          <w:tcPr>
            <w:tcW w:w="820" w:type="pct"/>
            <w:shd w:val="clear" w:color="auto" w:fill="auto"/>
            <w:noWrap/>
            <w:vAlign w:val="center"/>
            <w:hideMark/>
          </w:tcPr>
          <w:p w14:paraId="0427E3AF"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0.1780</w:t>
            </w:r>
          </w:p>
        </w:tc>
        <w:tc>
          <w:tcPr>
            <w:tcW w:w="600" w:type="pct"/>
            <w:shd w:val="clear" w:color="auto" w:fill="auto"/>
            <w:noWrap/>
            <w:vAlign w:val="center"/>
            <w:hideMark/>
          </w:tcPr>
          <w:p w14:paraId="09565A2A"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50CDA97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7CEB1A8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6264FD16"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67B82F8B" w14:textId="77777777" w:rsidTr="00887829">
        <w:tc>
          <w:tcPr>
            <w:tcW w:w="941" w:type="pct"/>
            <w:vMerge/>
            <w:shd w:val="clear" w:color="auto" w:fill="auto"/>
            <w:noWrap/>
            <w:vAlign w:val="center"/>
            <w:hideMark/>
          </w:tcPr>
          <w:p w14:paraId="6CEBA163"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269B4921"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IV - 2005</w:t>
            </w:r>
          </w:p>
        </w:tc>
        <w:tc>
          <w:tcPr>
            <w:tcW w:w="820" w:type="pct"/>
            <w:shd w:val="clear" w:color="auto" w:fill="auto"/>
            <w:noWrap/>
            <w:vAlign w:val="center"/>
            <w:hideMark/>
          </w:tcPr>
          <w:p w14:paraId="2E513BB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0.0354</w:t>
            </w:r>
          </w:p>
        </w:tc>
        <w:tc>
          <w:tcPr>
            <w:tcW w:w="600" w:type="pct"/>
            <w:shd w:val="clear" w:color="auto" w:fill="auto"/>
            <w:noWrap/>
            <w:vAlign w:val="center"/>
            <w:hideMark/>
          </w:tcPr>
          <w:p w14:paraId="7D6C0B2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34F4E22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319516A3"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3F923997"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1088D684" w14:textId="77777777" w:rsidTr="00887829">
        <w:tc>
          <w:tcPr>
            <w:tcW w:w="941" w:type="pct"/>
            <w:vMerge/>
            <w:shd w:val="clear" w:color="auto" w:fill="auto"/>
            <w:noWrap/>
            <w:vAlign w:val="center"/>
            <w:hideMark/>
          </w:tcPr>
          <w:p w14:paraId="2004D199"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73E995D9"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 - 2008</w:t>
            </w:r>
          </w:p>
        </w:tc>
        <w:tc>
          <w:tcPr>
            <w:tcW w:w="820" w:type="pct"/>
            <w:shd w:val="clear" w:color="auto" w:fill="auto"/>
            <w:noWrap/>
            <w:vAlign w:val="center"/>
            <w:hideMark/>
          </w:tcPr>
          <w:p w14:paraId="632699AB"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0.0354</w:t>
            </w:r>
          </w:p>
        </w:tc>
        <w:tc>
          <w:tcPr>
            <w:tcW w:w="600" w:type="pct"/>
            <w:shd w:val="clear" w:color="auto" w:fill="auto"/>
            <w:noWrap/>
            <w:vAlign w:val="center"/>
            <w:hideMark/>
          </w:tcPr>
          <w:p w14:paraId="5AE22E6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321C0EB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796DA419"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7E3D4B90"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r w:rsidR="005A3DC8" w:rsidRPr="00E81C5C" w14:paraId="7C741C75" w14:textId="77777777" w:rsidTr="00887829">
        <w:tc>
          <w:tcPr>
            <w:tcW w:w="941" w:type="pct"/>
            <w:vMerge/>
            <w:shd w:val="clear" w:color="auto" w:fill="auto"/>
            <w:noWrap/>
            <w:vAlign w:val="center"/>
            <w:hideMark/>
          </w:tcPr>
          <w:p w14:paraId="6C9A3B86" w14:textId="77777777" w:rsidR="005A3DC8" w:rsidRPr="005A3DC8" w:rsidRDefault="005A3DC8" w:rsidP="00E81C5C">
            <w:pPr>
              <w:spacing w:line="240" w:lineRule="auto"/>
              <w:rPr>
                <w:rFonts w:cs="Open Sans"/>
                <w:color w:val="000000"/>
                <w:sz w:val="14"/>
                <w:szCs w:val="14"/>
                <w:lang w:val="en-US" w:eastAsia="en-US"/>
              </w:rPr>
            </w:pPr>
          </w:p>
        </w:tc>
        <w:tc>
          <w:tcPr>
            <w:tcW w:w="1075" w:type="pct"/>
            <w:shd w:val="clear" w:color="auto" w:fill="auto"/>
            <w:noWrap/>
            <w:vAlign w:val="center"/>
            <w:hideMark/>
          </w:tcPr>
          <w:p w14:paraId="73EA7F02" w14:textId="77777777" w:rsidR="005A3DC8" w:rsidRPr="005A3DC8" w:rsidRDefault="005A3DC8" w:rsidP="00410789">
            <w:pPr>
              <w:spacing w:line="240" w:lineRule="auto"/>
              <w:rPr>
                <w:rFonts w:cs="Open Sans"/>
                <w:color w:val="000000"/>
                <w:sz w:val="14"/>
                <w:szCs w:val="14"/>
                <w:lang w:val="en-US" w:eastAsia="en-US"/>
              </w:rPr>
            </w:pPr>
            <w:r w:rsidRPr="005A3DC8">
              <w:rPr>
                <w:rFonts w:cs="Open Sans"/>
                <w:color w:val="000000"/>
                <w:sz w:val="14"/>
                <w:szCs w:val="14"/>
                <w:lang w:val="en-US" w:eastAsia="en-US"/>
              </w:rPr>
              <w:t>Euro VI</w:t>
            </w:r>
          </w:p>
        </w:tc>
        <w:tc>
          <w:tcPr>
            <w:tcW w:w="820" w:type="pct"/>
            <w:shd w:val="clear" w:color="auto" w:fill="auto"/>
            <w:noWrap/>
            <w:vAlign w:val="center"/>
            <w:hideMark/>
          </w:tcPr>
          <w:p w14:paraId="06176F5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0.0018</w:t>
            </w:r>
          </w:p>
        </w:tc>
        <w:tc>
          <w:tcPr>
            <w:tcW w:w="600" w:type="pct"/>
            <w:shd w:val="clear" w:color="auto" w:fill="auto"/>
            <w:noWrap/>
            <w:vAlign w:val="center"/>
            <w:hideMark/>
          </w:tcPr>
          <w:p w14:paraId="4C16D03E"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1.40E-06</w:t>
            </w:r>
          </w:p>
        </w:tc>
        <w:tc>
          <w:tcPr>
            <w:tcW w:w="497" w:type="pct"/>
            <w:shd w:val="clear" w:color="auto" w:fill="auto"/>
            <w:noWrap/>
            <w:vAlign w:val="center"/>
            <w:hideMark/>
          </w:tcPr>
          <w:p w14:paraId="223FB57D"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6.09E-06</w:t>
            </w:r>
          </w:p>
        </w:tc>
        <w:tc>
          <w:tcPr>
            <w:tcW w:w="533" w:type="pct"/>
            <w:shd w:val="clear" w:color="auto" w:fill="auto"/>
            <w:noWrap/>
            <w:vAlign w:val="center"/>
            <w:hideMark/>
          </w:tcPr>
          <w:p w14:paraId="01224385"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5.45E-06</w:t>
            </w:r>
          </w:p>
        </w:tc>
        <w:tc>
          <w:tcPr>
            <w:tcW w:w="534" w:type="pct"/>
            <w:shd w:val="clear" w:color="auto" w:fill="auto"/>
            <w:noWrap/>
            <w:vAlign w:val="center"/>
            <w:hideMark/>
          </w:tcPr>
          <w:p w14:paraId="1A850742" w14:textId="77777777" w:rsidR="005A3DC8" w:rsidRPr="005A3DC8" w:rsidRDefault="005A3DC8" w:rsidP="0000485C">
            <w:pPr>
              <w:spacing w:line="240" w:lineRule="auto"/>
              <w:jc w:val="center"/>
              <w:rPr>
                <w:rFonts w:cs="Open Sans"/>
                <w:color w:val="000000"/>
                <w:sz w:val="14"/>
                <w:szCs w:val="14"/>
                <w:lang w:val="en-US" w:eastAsia="en-US"/>
              </w:rPr>
            </w:pPr>
            <w:r w:rsidRPr="005A3DC8">
              <w:rPr>
                <w:rFonts w:cs="Open Sans"/>
                <w:color w:val="000000"/>
                <w:sz w:val="14"/>
                <w:szCs w:val="14"/>
                <w:lang w:val="en-US" w:eastAsia="en-US"/>
              </w:rPr>
              <w:t>9.00E-07</w:t>
            </w:r>
          </w:p>
        </w:tc>
      </w:tr>
    </w:tbl>
    <w:p w14:paraId="0D74A3AA" w14:textId="6B580B25"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25</w:t>
      </w:r>
      <w:r w:rsidR="00FB454C">
        <w:rPr>
          <w:noProof/>
        </w:rPr>
        <w:fldChar w:fldCharType="end"/>
      </w:r>
      <w:r w:rsidR="00944F54">
        <w:t xml:space="preserve">: </w:t>
      </w:r>
      <w:r w:rsidR="001D2587" w:rsidRPr="000855B2">
        <w:t xml:space="preserve">Tier 2 </w:t>
      </w:r>
      <w:r w:rsidR="00EF3C06" w:rsidRPr="000855B2">
        <w:t xml:space="preserve">exhaust </w:t>
      </w:r>
      <w:r w:rsidR="001D2587" w:rsidRPr="000855B2">
        <w:t>emission factors f</w:t>
      </w:r>
      <w:r w:rsidR="00437ECC" w:rsidRPr="000855B2">
        <w:t>or mopeds and motorcycles, NFR 1.</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iv</w:t>
      </w:r>
    </w:p>
    <w:tbl>
      <w:tblPr>
        <w:tblW w:w="8677" w:type="dxa"/>
        <w:tblLayout w:type="fixed"/>
        <w:tblLook w:val="0000" w:firstRow="0" w:lastRow="0" w:firstColumn="0" w:lastColumn="0" w:noHBand="0" w:noVBand="0"/>
      </w:tblPr>
      <w:tblGrid>
        <w:gridCol w:w="1731"/>
        <w:gridCol w:w="1499"/>
        <w:gridCol w:w="567"/>
        <w:gridCol w:w="793"/>
        <w:gridCol w:w="969"/>
        <w:gridCol w:w="708"/>
        <w:gridCol w:w="709"/>
        <w:gridCol w:w="851"/>
        <w:gridCol w:w="850"/>
      </w:tblGrid>
      <w:tr w:rsidR="00C11E19" w:rsidRPr="000855B2" w14:paraId="51AE95C6" w14:textId="77777777" w:rsidTr="00887829">
        <w:tc>
          <w:tcPr>
            <w:tcW w:w="1731" w:type="dxa"/>
            <w:tcBorders>
              <w:top w:val="double" w:sz="4" w:space="0" w:color="auto"/>
              <w:left w:val="double" w:sz="4" w:space="0" w:color="auto"/>
              <w:bottom w:val="single" w:sz="6" w:space="0" w:color="auto"/>
              <w:right w:val="single" w:sz="6" w:space="0" w:color="auto"/>
            </w:tcBorders>
            <w:vAlign w:val="center"/>
          </w:tcPr>
          <w:p w14:paraId="4EB762E2" w14:textId="77777777" w:rsidR="005C51AA" w:rsidRDefault="00C11E19" w:rsidP="008231B8">
            <w:pPr>
              <w:autoSpaceDE w:val="0"/>
              <w:autoSpaceDN w:val="0"/>
              <w:adjustRightInd w:val="0"/>
              <w:spacing w:line="240" w:lineRule="auto"/>
              <w:jc w:val="center"/>
              <w:rPr>
                <w:b/>
                <w:bCs/>
                <w:color w:val="000000"/>
                <w:sz w:val="14"/>
                <w:szCs w:val="14"/>
                <w:lang w:val="en-GB"/>
              </w:rPr>
            </w:pPr>
            <w:bookmarkStart w:id="95" w:name="OLE_LINK12"/>
            <w:bookmarkStart w:id="96" w:name="_Ref197932297"/>
            <w:r w:rsidRPr="000855B2">
              <w:rPr>
                <w:b/>
                <w:bCs/>
                <w:color w:val="000000"/>
                <w:sz w:val="14"/>
                <w:szCs w:val="14"/>
                <w:lang w:val="en-GB"/>
              </w:rPr>
              <w:t>Type</w:t>
            </w:r>
          </w:p>
        </w:tc>
        <w:tc>
          <w:tcPr>
            <w:tcW w:w="1499" w:type="dxa"/>
            <w:vMerge w:val="restart"/>
            <w:tcBorders>
              <w:top w:val="double" w:sz="4" w:space="0" w:color="auto"/>
              <w:left w:val="single" w:sz="6" w:space="0" w:color="auto"/>
              <w:right w:val="single" w:sz="6" w:space="0" w:color="auto"/>
            </w:tcBorders>
            <w:vAlign w:val="center"/>
          </w:tcPr>
          <w:p w14:paraId="6C5965CB" w14:textId="77777777" w:rsidR="00C11E19" w:rsidRPr="000855B2" w:rsidRDefault="00C11E19" w:rsidP="00D1477A">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567" w:type="dxa"/>
            <w:tcBorders>
              <w:top w:val="double" w:sz="4" w:space="0" w:color="auto"/>
              <w:left w:val="single" w:sz="6" w:space="0" w:color="auto"/>
              <w:bottom w:val="single" w:sz="6" w:space="0" w:color="auto"/>
              <w:right w:val="single" w:sz="6" w:space="0" w:color="auto"/>
            </w:tcBorders>
            <w:vAlign w:val="center"/>
          </w:tcPr>
          <w:p w14:paraId="3CA319F4"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p>
        </w:tc>
        <w:tc>
          <w:tcPr>
            <w:tcW w:w="793" w:type="dxa"/>
            <w:tcBorders>
              <w:top w:val="double" w:sz="4" w:space="0" w:color="auto"/>
              <w:left w:val="single" w:sz="6" w:space="0" w:color="auto"/>
              <w:bottom w:val="single" w:sz="6" w:space="0" w:color="auto"/>
              <w:right w:val="single" w:sz="6" w:space="0" w:color="auto"/>
            </w:tcBorders>
            <w:vAlign w:val="center"/>
          </w:tcPr>
          <w:p w14:paraId="58276D32"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NMVOC</w:t>
            </w:r>
          </w:p>
        </w:tc>
        <w:tc>
          <w:tcPr>
            <w:tcW w:w="969" w:type="dxa"/>
            <w:tcBorders>
              <w:top w:val="double" w:sz="4" w:space="0" w:color="auto"/>
              <w:left w:val="single" w:sz="6" w:space="0" w:color="auto"/>
              <w:bottom w:val="single" w:sz="6" w:space="0" w:color="auto"/>
              <w:right w:val="single" w:sz="6" w:space="0" w:color="auto"/>
            </w:tcBorders>
            <w:vAlign w:val="center"/>
          </w:tcPr>
          <w:p w14:paraId="7B9502E8"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w:t>
            </w:r>
            <w:r w:rsidRPr="000855B2">
              <w:rPr>
                <w:b/>
                <w:bCs/>
                <w:color w:val="000000"/>
                <w:sz w:val="14"/>
                <w:szCs w:val="14"/>
                <w:vertAlign w:val="subscript"/>
                <w:lang w:val="en-GB"/>
              </w:rPr>
              <w:t>x</w:t>
            </w:r>
          </w:p>
        </w:tc>
        <w:tc>
          <w:tcPr>
            <w:tcW w:w="708" w:type="dxa"/>
            <w:tcBorders>
              <w:top w:val="double" w:sz="4" w:space="0" w:color="auto"/>
              <w:left w:val="single" w:sz="6" w:space="0" w:color="auto"/>
              <w:bottom w:val="single" w:sz="6" w:space="0" w:color="auto"/>
              <w:right w:val="single" w:sz="6" w:space="0" w:color="auto"/>
            </w:tcBorders>
            <w:vAlign w:val="center"/>
          </w:tcPr>
          <w:p w14:paraId="1E9D8621"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w:t>
            </w:r>
            <w:r w:rsidRPr="000855B2">
              <w:rPr>
                <w:b/>
                <w:bCs/>
                <w:color w:val="000000"/>
                <w:sz w:val="14"/>
                <w:szCs w:val="14"/>
                <w:vertAlign w:val="subscript"/>
                <w:lang w:val="en-GB"/>
              </w:rPr>
              <w:t>2</w:t>
            </w:r>
            <w:r w:rsidRPr="000855B2">
              <w:rPr>
                <w:b/>
                <w:bCs/>
                <w:color w:val="000000"/>
                <w:sz w:val="14"/>
                <w:szCs w:val="14"/>
                <w:lang w:val="en-GB"/>
              </w:rPr>
              <w:t>O</w:t>
            </w:r>
          </w:p>
        </w:tc>
        <w:tc>
          <w:tcPr>
            <w:tcW w:w="709" w:type="dxa"/>
            <w:tcBorders>
              <w:top w:val="double" w:sz="4" w:space="0" w:color="auto"/>
              <w:left w:val="single" w:sz="6" w:space="0" w:color="auto"/>
              <w:bottom w:val="single" w:sz="6" w:space="0" w:color="auto"/>
              <w:right w:val="single" w:sz="6" w:space="0" w:color="auto"/>
            </w:tcBorders>
            <w:vAlign w:val="center"/>
          </w:tcPr>
          <w:p w14:paraId="1C2F5F9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NH</w:t>
            </w:r>
            <w:r w:rsidRPr="000855B2">
              <w:rPr>
                <w:b/>
                <w:bCs/>
                <w:color w:val="000000"/>
                <w:sz w:val="14"/>
                <w:szCs w:val="14"/>
                <w:vertAlign w:val="subscript"/>
                <w:lang w:val="en-GB"/>
              </w:rPr>
              <w:t>3</w:t>
            </w:r>
          </w:p>
        </w:tc>
        <w:tc>
          <w:tcPr>
            <w:tcW w:w="851" w:type="dxa"/>
            <w:tcBorders>
              <w:top w:val="double" w:sz="4" w:space="0" w:color="auto"/>
              <w:left w:val="single" w:sz="6" w:space="0" w:color="auto"/>
              <w:bottom w:val="single" w:sz="6" w:space="0" w:color="auto"/>
              <w:right w:val="single" w:sz="6" w:space="0" w:color="auto"/>
            </w:tcBorders>
            <w:vAlign w:val="center"/>
          </w:tcPr>
          <w:p w14:paraId="607378F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Pb</w:t>
            </w:r>
          </w:p>
        </w:tc>
        <w:tc>
          <w:tcPr>
            <w:tcW w:w="850" w:type="dxa"/>
            <w:tcBorders>
              <w:top w:val="double" w:sz="4" w:space="0" w:color="auto"/>
              <w:left w:val="single" w:sz="6" w:space="0" w:color="auto"/>
              <w:bottom w:val="single" w:sz="6" w:space="0" w:color="auto"/>
              <w:right w:val="double" w:sz="4" w:space="0" w:color="auto"/>
            </w:tcBorders>
            <w:vAlign w:val="center"/>
          </w:tcPr>
          <w:p w14:paraId="48F3F298"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CO</w:t>
            </w:r>
            <w:r w:rsidRPr="000855B2">
              <w:rPr>
                <w:b/>
                <w:bCs/>
                <w:color w:val="000000"/>
                <w:sz w:val="14"/>
                <w:szCs w:val="14"/>
                <w:vertAlign w:val="subscript"/>
                <w:lang w:val="en-GB"/>
              </w:rPr>
              <w:t xml:space="preserve">2 </w:t>
            </w:r>
            <w:r w:rsidRPr="000855B2">
              <w:rPr>
                <w:b/>
                <w:bCs/>
                <w:color w:val="000000"/>
                <w:sz w:val="14"/>
                <w:szCs w:val="14"/>
                <w:lang w:val="en-GB"/>
              </w:rPr>
              <w:t>lube</w:t>
            </w:r>
          </w:p>
        </w:tc>
      </w:tr>
      <w:tr w:rsidR="00C11E19" w:rsidRPr="000855B2" w14:paraId="04E3EC56" w14:textId="77777777" w:rsidTr="00887829">
        <w:tc>
          <w:tcPr>
            <w:tcW w:w="1731" w:type="dxa"/>
            <w:tcBorders>
              <w:top w:val="single" w:sz="6" w:space="0" w:color="auto"/>
              <w:left w:val="double" w:sz="4" w:space="0" w:color="auto"/>
              <w:bottom w:val="single" w:sz="6" w:space="0" w:color="auto"/>
              <w:right w:val="single" w:sz="6" w:space="0" w:color="auto"/>
            </w:tcBorders>
            <w:vAlign w:val="center"/>
          </w:tcPr>
          <w:p w14:paraId="31B49DA1"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499" w:type="dxa"/>
            <w:vMerge/>
            <w:tcBorders>
              <w:left w:val="single" w:sz="6" w:space="0" w:color="auto"/>
              <w:right w:val="single" w:sz="6" w:space="0" w:color="auto"/>
            </w:tcBorders>
            <w:vAlign w:val="center"/>
          </w:tcPr>
          <w:p w14:paraId="790FF503" w14:textId="77777777" w:rsidR="005C51AA" w:rsidRDefault="005C51AA" w:rsidP="00D1477A">
            <w:pPr>
              <w:autoSpaceDE w:val="0"/>
              <w:autoSpaceDN w:val="0"/>
              <w:adjustRightInd w:val="0"/>
              <w:spacing w:line="240" w:lineRule="auto"/>
              <w:jc w:val="center"/>
              <w:rPr>
                <w:b/>
                <w:bCs/>
                <w:color w:val="000000"/>
                <w:sz w:val="14"/>
                <w:szCs w:val="14"/>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743777E3"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93" w:type="dxa"/>
            <w:tcBorders>
              <w:top w:val="single" w:sz="6" w:space="0" w:color="auto"/>
              <w:left w:val="single" w:sz="6" w:space="0" w:color="auto"/>
              <w:bottom w:val="single" w:sz="6" w:space="0" w:color="auto"/>
              <w:right w:val="single" w:sz="6" w:space="0" w:color="auto"/>
            </w:tcBorders>
            <w:vAlign w:val="center"/>
          </w:tcPr>
          <w:p w14:paraId="0EFF2CCA"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969" w:type="dxa"/>
            <w:tcBorders>
              <w:top w:val="single" w:sz="6" w:space="0" w:color="auto"/>
              <w:left w:val="single" w:sz="6" w:space="0" w:color="auto"/>
              <w:bottom w:val="single" w:sz="6" w:space="0" w:color="auto"/>
              <w:right w:val="single" w:sz="6" w:space="0" w:color="auto"/>
            </w:tcBorders>
            <w:vAlign w:val="center"/>
          </w:tcPr>
          <w:p w14:paraId="6E65F575"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08" w:type="dxa"/>
            <w:tcBorders>
              <w:top w:val="single" w:sz="6" w:space="0" w:color="auto"/>
              <w:left w:val="single" w:sz="6" w:space="0" w:color="auto"/>
              <w:bottom w:val="single" w:sz="6" w:space="0" w:color="auto"/>
              <w:right w:val="single" w:sz="6" w:space="0" w:color="auto"/>
            </w:tcBorders>
            <w:vAlign w:val="center"/>
          </w:tcPr>
          <w:p w14:paraId="58866C8F"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09" w:type="dxa"/>
            <w:tcBorders>
              <w:top w:val="single" w:sz="6" w:space="0" w:color="auto"/>
              <w:left w:val="single" w:sz="6" w:space="0" w:color="auto"/>
              <w:bottom w:val="single" w:sz="4" w:space="0" w:color="auto"/>
              <w:right w:val="single" w:sz="6" w:space="0" w:color="auto"/>
            </w:tcBorders>
            <w:vAlign w:val="center"/>
          </w:tcPr>
          <w:p w14:paraId="37FF88E2"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1" w:type="dxa"/>
            <w:tcBorders>
              <w:top w:val="single" w:sz="6" w:space="0" w:color="auto"/>
              <w:left w:val="single" w:sz="6" w:space="0" w:color="auto"/>
              <w:bottom w:val="single" w:sz="4" w:space="0" w:color="auto"/>
              <w:right w:val="single" w:sz="6" w:space="0" w:color="auto"/>
            </w:tcBorders>
            <w:vAlign w:val="center"/>
          </w:tcPr>
          <w:p w14:paraId="61332542"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50" w:type="dxa"/>
            <w:tcBorders>
              <w:top w:val="single" w:sz="6" w:space="0" w:color="auto"/>
              <w:left w:val="single" w:sz="6" w:space="0" w:color="auto"/>
              <w:bottom w:val="single" w:sz="6" w:space="0" w:color="auto"/>
              <w:right w:val="double" w:sz="4" w:space="0" w:color="auto"/>
            </w:tcBorders>
            <w:vAlign w:val="center"/>
          </w:tcPr>
          <w:p w14:paraId="0229490B"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C11E19" w:rsidRPr="000855B2" w14:paraId="40BC1E2B" w14:textId="77777777" w:rsidTr="00246BA6">
        <w:tc>
          <w:tcPr>
            <w:tcW w:w="1731" w:type="dxa"/>
            <w:tcBorders>
              <w:top w:val="single" w:sz="6" w:space="0" w:color="auto"/>
              <w:left w:val="double" w:sz="4" w:space="0" w:color="auto"/>
              <w:bottom w:val="single" w:sz="12" w:space="0" w:color="auto"/>
              <w:right w:val="single" w:sz="6" w:space="0" w:color="auto"/>
            </w:tcBorders>
            <w:vAlign w:val="center"/>
          </w:tcPr>
          <w:p w14:paraId="36EE61B5"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499" w:type="dxa"/>
            <w:vMerge/>
            <w:tcBorders>
              <w:left w:val="single" w:sz="6" w:space="0" w:color="auto"/>
              <w:bottom w:val="single" w:sz="12" w:space="0" w:color="auto"/>
              <w:right w:val="single" w:sz="6" w:space="0" w:color="auto"/>
            </w:tcBorders>
            <w:vAlign w:val="center"/>
          </w:tcPr>
          <w:p w14:paraId="72272BA4" w14:textId="77777777" w:rsidR="005C51AA" w:rsidRDefault="005C51AA" w:rsidP="00D1477A">
            <w:pPr>
              <w:autoSpaceDE w:val="0"/>
              <w:autoSpaceDN w:val="0"/>
              <w:adjustRightInd w:val="0"/>
              <w:spacing w:line="240" w:lineRule="auto"/>
              <w:jc w:val="center"/>
              <w:rPr>
                <w:b/>
                <w:bCs/>
                <w:color w:val="000000"/>
                <w:sz w:val="14"/>
                <w:szCs w:val="14"/>
                <w:lang w:val="en-GB"/>
              </w:rPr>
            </w:pPr>
          </w:p>
        </w:tc>
        <w:tc>
          <w:tcPr>
            <w:tcW w:w="567" w:type="dxa"/>
            <w:tcBorders>
              <w:top w:val="single" w:sz="6" w:space="0" w:color="auto"/>
              <w:left w:val="single" w:sz="6" w:space="0" w:color="auto"/>
              <w:bottom w:val="single" w:sz="12" w:space="0" w:color="auto"/>
              <w:right w:val="single" w:sz="6" w:space="0" w:color="auto"/>
            </w:tcBorders>
            <w:vAlign w:val="center"/>
          </w:tcPr>
          <w:p w14:paraId="63C22DC2"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793" w:type="dxa"/>
            <w:tcBorders>
              <w:top w:val="single" w:sz="6" w:space="0" w:color="auto"/>
              <w:left w:val="single" w:sz="6" w:space="0" w:color="auto"/>
              <w:bottom w:val="single" w:sz="12" w:space="0" w:color="auto"/>
              <w:right w:val="single" w:sz="6" w:space="0" w:color="auto"/>
            </w:tcBorders>
            <w:vAlign w:val="center"/>
          </w:tcPr>
          <w:p w14:paraId="2B625CFF"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THC-CH4</w:t>
            </w:r>
          </w:p>
        </w:tc>
        <w:tc>
          <w:tcPr>
            <w:tcW w:w="969" w:type="dxa"/>
            <w:tcBorders>
              <w:top w:val="single" w:sz="6" w:space="0" w:color="auto"/>
              <w:left w:val="single" w:sz="6" w:space="0" w:color="auto"/>
              <w:bottom w:val="single" w:sz="12" w:space="0" w:color="auto"/>
              <w:right w:val="single" w:sz="6" w:space="0" w:color="auto"/>
            </w:tcBorders>
            <w:vAlign w:val="center"/>
          </w:tcPr>
          <w:p w14:paraId="77965D3A"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Given as NO</w:t>
            </w:r>
            <w:r w:rsidRPr="000855B2">
              <w:rPr>
                <w:b/>
                <w:bCs/>
                <w:color w:val="000000"/>
                <w:sz w:val="14"/>
                <w:szCs w:val="14"/>
                <w:vertAlign w:val="subscript"/>
                <w:lang w:val="en-GB"/>
              </w:rPr>
              <w:t>2</w:t>
            </w:r>
            <w:r w:rsidRPr="000855B2">
              <w:rPr>
                <w:b/>
                <w:bCs/>
                <w:color w:val="000000"/>
                <w:sz w:val="14"/>
                <w:szCs w:val="14"/>
                <w:lang w:val="en-GB"/>
              </w:rPr>
              <w:t xml:space="preserve"> equivalent</w:t>
            </w:r>
          </w:p>
        </w:tc>
        <w:tc>
          <w:tcPr>
            <w:tcW w:w="708" w:type="dxa"/>
            <w:tcBorders>
              <w:top w:val="single" w:sz="6" w:space="0" w:color="auto"/>
              <w:left w:val="single" w:sz="6" w:space="0" w:color="auto"/>
              <w:bottom w:val="single" w:sz="12" w:space="0" w:color="auto"/>
              <w:right w:val="single" w:sz="6" w:space="0" w:color="auto"/>
            </w:tcBorders>
            <w:vAlign w:val="center"/>
          </w:tcPr>
          <w:p w14:paraId="5E837BEB"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709" w:type="dxa"/>
            <w:tcBorders>
              <w:top w:val="single" w:sz="4" w:space="0" w:color="auto"/>
              <w:left w:val="single" w:sz="6" w:space="0" w:color="auto"/>
              <w:bottom w:val="single" w:sz="12" w:space="0" w:color="auto"/>
              <w:right w:val="single" w:sz="6" w:space="0" w:color="auto"/>
            </w:tcBorders>
            <w:vAlign w:val="center"/>
          </w:tcPr>
          <w:p w14:paraId="7535DE54"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51" w:type="dxa"/>
            <w:tcBorders>
              <w:top w:val="single" w:sz="4" w:space="0" w:color="auto"/>
              <w:left w:val="single" w:sz="6" w:space="0" w:color="auto"/>
              <w:bottom w:val="single" w:sz="12" w:space="0" w:color="auto"/>
              <w:right w:val="single" w:sz="6" w:space="0" w:color="auto"/>
            </w:tcBorders>
            <w:vAlign w:val="center"/>
          </w:tcPr>
          <w:p w14:paraId="2E9F354D" w14:textId="77777777" w:rsidR="005C51AA" w:rsidRDefault="005C51AA" w:rsidP="008231B8">
            <w:pPr>
              <w:autoSpaceDE w:val="0"/>
              <w:autoSpaceDN w:val="0"/>
              <w:adjustRightInd w:val="0"/>
              <w:spacing w:line="240" w:lineRule="auto"/>
              <w:jc w:val="center"/>
              <w:rPr>
                <w:b/>
                <w:bCs/>
                <w:color w:val="000000"/>
                <w:sz w:val="14"/>
                <w:szCs w:val="14"/>
                <w:lang w:val="en-GB"/>
              </w:rPr>
            </w:pPr>
          </w:p>
        </w:tc>
        <w:tc>
          <w:tcPr>
            <w:tcW w:w="850" w:type="dxa"/>
            <w:tcBorders>
              <w:top w:val="single" w:sz="6" w:space="0" w:color="auto"/>
              <w:left w:val="single" w:sz="6" w:space="0" w:color="auto"/>
              <w:bottom w:val="single" w:sz="12" w:space="0" w:color="auto"/>
              <w:right w:val="double" w:sz="4" w:space="0" w:color="auto"/>
            </w:tcBorders>
            <w:vAlign w:val="center"/>
          </w:tcPr>
          <w:p w14:paraId="2CCC9D52" w14:textId="77777777" w:rsidR="005C51AA" w:rsidRDefault="00C11E19"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due to lube oil</w:t>
            </w:r>
          </w:p>
        </w:tc>
      </w:tr>
      <w:tr w:rsidR="005A3DC8" w:rsidRPr="000855B2" w14:paraId="21DCD780" w14:textId="77777777" w:rsidTr="00246BA6">
        <w:tc>
          <w:tcPr>
            <w:tcW w:w="1731" w:type="dxa"/>
            <w:vMerge w:val="restart"/>
            <w:tcBorders>
              <w:top w:val="single" w:sz="12" w:space="0" w:color="auto"/>
              <w:left w:val="double" w:sz="4" w:space="0" w:color="auto"/>
              <w:right w:val="single" w:sz="6" w:space="0" w:color="auto"/>
            </w:tcBorders>
            <w:vAlign w:val="center"/>
          </w:tcPr>
          <w:p w14:paraId="0BDE2720" w14:textId="77777777" w:rsidR="005A3DC8" w:rsidRDefault="005A3DC8" w:rsidP="0000485C">
            <w:pPr>
              <w:spacing w:line="240" w:lineRule="auto"/>
              <w:rPr>
                <w:sz w:val="14"/>
                <w:szCs w:val="14"/>
                <w:lang w:val="en-GB"/>
              </w:rPr>
            </w:pPr>
            <w:r w:rsidRPr="000855B2">
              <w:rPr>
                <w:sz w:val="14"/>
                <w:szCs w:val="14"/>
                <w:lang w:val="en-GB"/>
              </w:rPr>
              <w:t>2-stroke &lt;50 cm³</w:t>
            </w:r>
          </w:p>
        </w:tc>
        <w:tc>
          <w:tcPr>
            <w:tcW w:w="1499" w:type="dxa"/>
            <w:tcBorders>
              <w:top w:val="single" w:sz="12" w:space="0" w:color="auto"/>
              <w:left w:val="single" w:sz="6" w:space="0" w:color="auto"/>
              <w:bottom w:val="single" w:sz="6" w:space="0" w:color="auto"/>
              <w:right w:val="single" w:sz="6" w:space="0" w:color="auto"/>
            </w:tcBorders>
            <w:vAlign w:val="center"/>
          </w:tcPr>
          <w:p w14:paraId="648F9F62"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12" w:space="0" w:color="auto"/>
              <w:left w:val="single" w:sz="6" w:space="0" w:color="auto"/>
              <w:bottom w:val="single" w:sz="6" w:space="0" w:color="auto"/>
              <w:right w:val="single" w:sz="6" w:space="0" w:color="auto"/>
            </w:tcBorders>
            <w:vAlign w:val="center"/>
          </w:tcPr>
          <w:p w14:paraId="74E26B9C" w14:textId="77777777" w:rsidR="005A3DC8" w:rsidRDefault="005A3DC8" w:rsidP="008231B8">
            <w:pPr>
              <w:spacing w:line="240" w:lineRule="auto"/>
              <w:jc w:val="center"/>
              <w:rPr>
                <w:sz w:val="14"/>
                <w:szCs w:val="14"/>
                <w:lang w:val="en-GB"/>
              </w:rPr>
            </w:pPr>
            <w:r w:rsidRPr="000855B2">
              <w:rPr>
                <w:sz w:val="14"/>
                <w:szCs w:val="14"/>
                <w:lang w:val="en-GB"/>
              </w:rPr>
              <w:t>14.7</w:t>
            </w:r>
          </w:p>
        </w:tc>
        <w:tc>
          <w:tcPr>
            <w:tcW w:w="793" w:type="dxa"/>
            <w:tcBorders>
              <w:top w:val="single" w:sz="12" w:space="0" w:color="auto"/>
              <w:left w:val="single" w:sz="6" w:space="0" w:color="auto"/>
              <w:bottom w:val="single" w:sz="6" w:space="0" w:color="auto"/>
              <w:right w:val="single" w:sz="6" w:space="0" w:color="auto"/>
            </w:tcBorders>
            <w:vAlign w:val="center"/>
          </w:tcPr>
          <w:p w14:paraId="2D4726ED" w14:textId="77777777" w:rsidR="005A3DC8" w:rsidRDefault="005A3DC8" w:rsidP="008231B8">
            <w:pPr>
              <w:spacing w:line="240" w:lineRule="auto"/>
              <w:jc w:val="center"/>
              <w:rPr>
                <w:sz w:val="14"/>
                <w:szCs w:val="14"/>
                <w:lang w:val="en-GB"/>
              </w:rPr>
            </w:pPr>
            <w:r w:rsidRPr="000855B2">
              <w:rPr>
                <w:sz w:val="14"/>
                <w:szCs w:val="14"/>
                <w:lang w:val="en-GB"/>
              </w:rPr>
              <w:t>8.38</w:t>
            </w:r>
          </w:p>
        </w:tc>
        <w:tc>
          <w:tcPr>
            <w:tcW w:w="969" w:type="dxa"/>
            <w:tcBorders>
              <w:top w:val="single" w:sz="12" w:space="0" w:color="auto"/>
              <w:left w:val="single" w:sz="6" w:space="0" w:color="auto"/>
              <w:bottom w:val="single" w:sz="6" w:space="0" w:color="auto"/>
              <w:right w:val="single" w:sz="6" w:space="0" w:color="auto"/>
            </w:tcBorders>
            <w:vAlign w:val="center"/>
          </w:tcPr>
          <w:p w14:paraId="1DAD1144" w14:textId="77777777" w:rsidR="005A3DC8" w:rsidRDefault="005A3DC8" w:rsidP="008231B8">
            <w:pPr>
              <w:spacing w:line="240" w:lineRule="auto"/>
              <w:jc w:val="center"/>
              <w:rPr>
                <w:sz w:val="14"/>
                <w:szCs w:val="14"/>
                <w:lang w:val="en-GB"/>
              </w:rPr>
            </w:pPr>
            <w:r w:rsidRPr="000855B2">
              <w:rPr>
                <w:sz w:val="14"/>
                <w:szCs w:val="14"/>
                <w:lang w:val="en-GB"/>
              </w:rPr>
              <w:t>0.056</w:t>
            </w:r>
          </w:p>
        </w:tc>
        <w:tc>
          <w:tcPr>
            <w:tcW w:w="708" w:type="dxa"/>
            <w:tcBorders>
              <w:top w:val="single" w:sz="12" w:space="0" w:color="auto"/>
              <w:left w:val="single" w:sz="6" w:space="0" w:color="auto"/>
              <w:bottom w:val="single" w:sz="6" w:space="0" w:color="auto"/>
              <w:right w:val="single" w:sz="6" w:space="0" w:color="auto"/>
            </w:tcBorders>
            <w:vAlign w:val="center"/>
          </w:tcPr>
          <w:p w14:paraId="137C15E7"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12" w:space="0" w:color="auto"/>
              <w:left w:val="single" w:sz="6" w:space="0" w:color="auto"/>
              <w:bottom w:val="single" w:sz="6" w:space="0" w:color="auto"/>
              <w:right w:val="single" w:sz="6" w:space="0" w:color="auto"/>
            </w:tcBorders>
            <w:vAlign w:val="center"/>
          </w:tcPr>
          <w:p w14:paraId="1A60FB3D"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12" w:space="0" w:color="auto"/>
              <w:left w:val="single" w:sz="6" w:space="0" w:color="auto"/>
              <w:bottom w:val="single" w:sz="6" w:space="0" w:color="auto"/>
              <w:right w:val="single" w:sz="6" w:space="0" w:color="auto"/>
            </w:tcBorders>
            <w:vAlign w:val="center"/>
          </w:tcPr>
          <w:p w14:paraId="15930F1B"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12" w:space="0" w:color="auto"/>
              <w:left w:val="single" w:sz="6" w:space="0" w:color="auto"/>
              <w:bottom w:val="single" w:sz="6" w:space="0" w:color="auto"/>
              <w:right w:val="double" w:sz="4" w:space="0" w:color="auto"/>
            </w:tcBorders>
            <w:vAlign w:val="center"/>
          </w:tcPr>
          <w:p w14:paraId="45B73E46" w14:textId="77777777" w:rsidR="005A3DC8" w:rsidRDefault="005A3DC8" w:rsidP="008231B8">
            <w:pPr>
              <w:spacing w:line="240" w:lineRule="auto"/>
              <w:jc w:val="center"/>
              <w:rPr>
                <w:sz w:val="14"/>
                <w:szCs w:val="14"/>
                <w:lang w:val="en-GB"/>
              </w:rPr>
            </w:pPr>
            <w:r w:rsidRPr="000855B2">
              <w:rPr>
                <w:sz w:val="14"/>
                <w:szCs w:val="14"/>
                <w:lang w:val="en-GB"/>
              </w:rPr>
              <w:t>4.24</w:t>
            </w:r>
          </w:p>
        </w:tc>
      </w:tr>
      <w:tr w:rsidR="005A3DC8" w:rsidRPr="000855B2" w14:paraId="4FC8C5AA" w14:textId="77777777" w:rsidTr="00887829">
        <w:tc>
          <w:tcPr>
            <w:tcW w:w="1731" w:type="dxa"/>
            <w:vMerge/>
            <w:tcBorders>
              <w:left w:val="double" w:sz="4" w:space="0" w:color="auto"/>
              <w:right w:val="single" w:sz="6" w:space="0" w:color="auto"/>
            </w:tcBorders>
            <w:vAlign w:val="center"/>
          </w:tcPr>
          <w:p w14:paraId="30441BB3"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3FE75F78" w14:textId="77777777" w:rsidR="005A3DC8" w:rsidRDefault="005A3DC8" w:rsidP="00410789">
            <w:pPr>
              <w:spacing w:line="240" w:lineRule="auto"/>
              <w:rPr>
                <w:sz w:val="14"/>
                <w:szCs w:val="14"/>
                <w:lang w:val="en-GB"/>
              </w:rPr>
            </w:pPr>
            <w:r w:rsidRPr="000855B2">
              <w:rPr>
                <w:sz w:val="14"/>
                <w:szCs w:val="14"/>
                <w:lang w:val="en-GB"/>
              </w:rPr>
              <w:t>Mop - Euro 1</w:t>
            </w:r>
          </w:p>
        </w:tc>
        <w:tc>
          <w:tcPr>
            <w:tcW w:w="567" w:type="dxa"/>
            <w:tcBorders>
              <w:top w:val="single" w:sz="6" w:space="0" w:color="auto"/>
              <w:left w:val="single" w:sz="6" w:space="0" w:color="auto"/>
              <w:bottom w:val="single" w:sz="6" w:space="0" w:color="auto"/>
              <w:right w:val="single" w:sz="6" w:space="0" w:color="auto"/>
            </w:tcBorders>
            <w:vAlign w:val="center"/>
          </w:tcPr>
          <w:p w14:paraId="2A465656" w14:textId="77777777" w:rsidR="005A3DC8" w:rsidRDefault="005A3DC8" w:rsidP="008231B8">
            <w:pPr>
              <w:spacing w:line="240" w:lineRule="auto"/>
              <w:jc w:val="center"/>
              <w:rPr>
                <w:sz w:val="14"/>
                <w:szCs w:val="14"/>
                <w:lang w:val="en-GB"/>
              </w:rPr>
            </w:pPr>
            <w:r w:rsidRPr="000855B2">
              <w:rPr>
                <w:sz w:val="14"/>
                <w:szCs w:val="14"/>
                <w:lang w:val="en-GB"/>
              </w:rPr>
              <w:t>4.6</w:t>
            </w:r>
          </w:p>
        </w:tc>
        <w:tc>
          <w:tcPr>
            <w:tcW w:w="793" w:type="dxa"/>
            <w:tcBorders>
              <w:top w:val="single" w:sz="6" w:space="0" w:color="auto"/>
              <w:left w:val="single" w:sz="6" w:space="0" w:color="auto"/>
              <w:bottom w:val="single" w:sz="6" w:space="0" w:color="auto"/>
              <w:right w:val="single" w:sz="6" w:space="0" w:color="auto"/>
            </w:tcBorders>
            <w:vAlign w:val="center"/>
          </w:tcPr>
          <w:p w14:paraId="676AEF9D" w14:textId="77777777" w:rsidR="005A3DC8" w:rsidRDefault="005A3DC8" w:rsidP="008231B8">
            <w:pPr>
              <w:spacing w:line="240" w:lineRule="auto"/>
              <w:jc w:val="center"/>
              <w:rPr>
                <w:sz w:val="14"/>
                <w:szCs w:val="14"/>
                <w:lang w:val="en-GB"/>
              </w:rPr>
            </w:pPr>
            <w:r w:rsidRPr="000855B2">
              <w:rPr>
                <w:sz w:val="14"/>
                <w:szCs w:val="14"/>
                <w:lang w:val="en-GB"/>
              </w:rPr>
              <w:t>3.18</w:t>
            </w:r>
          </w:p>
        </w:tc>
        <w:tc>
          <w:tcPr>
            <w:tcW w:w="969" w:type="dxa"/>
            <w:tcBorders>
              <w:top w:val="single" w:sz="6" w:space="0" w:color="auto"/>
              <w:left w:val="single" w:sz="6" w:space="0" w:color="auto"/>
              <w:bottom w:val="single" w:sz="6" w:space="0" w:color="auto"/>
              <w:right w:val="single" w:sz="6" w:space="0" w:color="auto"/>
            </w:tcBorders>
            <w:vAlign w:val="center"/>
          </w:tcPr>
          <w:p w14:paraId="0C775A17" w14:textId="77777777" w:rsidR="005A3DC8" w:rsidRDefault="005A3DC8" w:rsidP="008231B8">
            <w:pPr>
              <w:spacing w:line="240" w:lineRule="auto"/>
              <w:jc w:val="center"/>
              <w:rPr>
                <w:sz w:val="14"/>
                <w:szCs w:val="14"/>
                <w:lang w:val="en-GB"/>
              </w:rPr>
            </w:pPr>
            <w:r w:rsidRPr="000855B2">
              <w:rPr>
                <w:sz w:val="14"/>
                <w:szCs w:val="14"/>
                <w:lang w:val="en-GB"/>
              </w:rPr>
              <w:t>0.18</w:t>
            </w:r>
          </w:p>
        </w:tc>
        <w:tc>
          <w:tcPr>
            <w:tcW w:w="708" w:type="dxa"/>
            <w:tcBorders>
              <w:top w:val="single" w:sz="6" w:space="0" w:color="auto"/>
              <w:left w:val="single" w:sz="6" w:space="0" w:color="auto"/>
              <w:bottom w:val="single" w:sz="6" w:space="0" w:color="auto"/>
              <w:right w:val="single" w:sz="6" w:space="0" w:color="auto"/>
            </w:tcBorders>
            <w:vAlign w:val="center"/>
          </w:tcPr>
          <w:p w14:paraId="59C7E817"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651F9BFC"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08B00664"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6" w:space="0" w:color="auto"/>
              <w:left w:val="single" w:sz="6" w:space="0" w:color="auto"/>
              <w:bottom w:val="single" w:sz="6" w:space="0" w:color="auto"/>
              <w:right w:val="double" w:sz="4" w:space="0" w:color="auto"/>
            </w:tcBorders>
            <w:vAlign w:val="center"/>
          </w:tcPr>
          <w:p w14:paraId="63F1D6C2" w14:textId="77777777" w:rsidR="005A3DC8" w:rsidRDefault="005A3DC8" w:rsidP="008231B8">
            <w:pPr>
              <w:spacing w:line="240" w:lineRule="auto"/>
              <w:jc w:val="center"/>
              <w:rPr>
                <w:sz w:val="14"/>
                <w:szCs w:val="14"/>
                <w:lang w:val="en-GB"/>
              </w:rPr>
            </w:pPr>
            <w:r w:rsidRPr="000855B2">
              <w:rPr>
                <w:sz w:val="14"/>
                <w:szCs w:val="14"/>
                <w:lang w:val="en-GB"/>
              </w:rPr>
              <w:t>3.53</w:t>
            </w:r>
          </w:p>
        </w:tc>
      </w:tr>
      <w:tr w:rsidR="005A3DC8" w:rsidRPr="000855B2" w14:paraId="0F44C231" w14:textId="77777777" w:rsidTr="00887829">
        <w:tc>
          <w:tcPr>
            <w:tcW w:w="1731" w:type="dxa"/>
            <w:vMerge/>
            <w:tcBorders>
              <w:left w:val="double" w:sz="4" w:space="0" w:color="auto"/>
              <w:right w:val="single" w:sz="6" w:space="0" w:color="auto"/>
            </w:tcBorders>
            <w:vAlign w:val="center"/>
          </w:tcPr>
          <w:p w14:paraId="6453E7E4"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01F40D91" w14:textId="77777777" w:rsidR="005A3DC8" w:rsidRDefault="005A3DC8" w:rsidP="00410789">
            <w:pPr>
              <w:spacing w:line="240" w:lineRule="auto"/>
              <w:rPr>
                <w:sz w:val="14"/>
                <w:szCs w:val="14"/>
                <w:lang w:val="en-GB"/>
              </w:rPr>
            </w:pPr>
            <w:r w:rsidRPr="000855B2">
              <w:rPr>
                <w:sz w:val="14"/>
                <w:szCs w:val="14"/>
                <w:lang w:val="en-GB"/>
              </w:rPr>
              <w:t>Mop - Euro 2</w:t>
            </w:r>
          </w:p>
        </w:tc>
        <w:tc>
          <w:tcPr>
            <w:tcW w:w="567" w:type="dxa"/>
            <w:tcBorders>
              <w:top w:val="single" w:sz="6" w:space="0" w:color="auto"/>
              <w:left w:val="single" w:sz="6" w:space="0" w:color="auto"/>
              <w:bottom w:val="single" w:sz="6" w:space="0" w:color="auto"/>
              <w:right w:val="single" w:sz="6" w:space="0" w:color="auto"/>
            </w:tcBorders>
            <w:vAlign w:val="center"/>
          </w:tcPr>
          <w:p w14:paraId="0AB93132" w14:textId="77777777" w:rsidR="005A3DC8" w:rsidRDefault="005A3DC8" w:rsidP="008231B8">
            <w:pPr>
              <w:spacing w:line="240" w:lineRule="auto"/>
              <w:jc w:val="center"/>
              <w:rPr>
                <w:sz w:val="14"/>
                <w:szCs w:val="14"/>
                <w:lang w:val="en-GB"/>
              </w:rPr>
            </w:pPr>
            <w:r w:rsidRPr="000855B2">
              <w:rPr>
                <w:sz w:val="14"/>
                <w:szCs w:val="14"/>
                <w:lang w:val="en-GB"/>
              </w:rPr>
              <w:t>2.8</w:t>
            </w:r>
          </w:p>
        </w:tc>
        <w:tc>
          <w:tcPr>
            <w:tcW w:w="793" w:type="dxa"/>
            <w:tcBorders>
              <w:top w:val="single" w:sz="6" w:space="0" w:color="auto"/>
              <w:left w:val="single" w:sz="6" w:space="0" w:color="auto"/>
              <w:bottom w:val="single" w:sz="6" w:space="0" w:color="auto"/>
              <w:right w:val="single" w:sz="6" w:space="0" w:color="auto"/>
            </w:tcBorders>
            <w:vAlign w:val="center"/>
          </w:tcPr>
          <w:p w14:paraId="7DA10382" w14:textId="77777777" w:rsidR="005A3DC8" w:rsidRDefault="005A3DC8" w:rsidP="008231B8">
            <w:pPr>
              <w:spacing w:line="240" w:lineRule="auto"/>
              <w:jc w:val="center"/>
              <w:rPr>
                <w:sz w:val="14"/>
                <w:szCs w:val="14"/>
                <w:lang w:val="en-GB"/>
              </w:rPr>
            </w:pPr>
            <w:r w:rsidRPr="000855B2">
              <w:rPr>
                <w:sz w:val="14"/>
                <w:szCs w:val="14"/>
                <w:lang w:val="en-GB"/>
              </w:rPr>
              <w:t>2.56</w:t>
            </w:r>
          </w:p>
        </w:tc>
        <w:tc>
          <w:tcPr>
            <w:tcW w:w="969" w:type="dxa"/>
            <w:tcBorders>
              <w:top w:val="single" w:sz="6" w:space="0" w:color="auto"/>
              <w:left w:val="single" w:sz="6" w:space="0" w:color="auto"/>
              <w:bottom w:val="single" w:sz="6" w:space="0" w:color="auto"/>
              <w:right w:val="single" w:sz="6" w:space="0" w:color="auto"/>
            </w:tcBorders>
            <w:vAlign w:val="center"/>
          </w:tcPr>
          <w:p w14:paraId="251099D7"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08EA8EF9"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297B8CF9"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03DBEDE0"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6" w:space="0" w:color="auto"/>
              <w:left w:val="single" w:sz="6" w:space="0" w:color="auto"/>
              <w:bottom w:val="single" w:sz="6" w:space="0" w:color="auto"/>
              <w:right w:val="double" w:sz="4" w:space="0" w:color="auto"/>
            </w:tcBorders>
            <w:vAlign w:val="center"/>
          </w:tcPr>
          <w:p w14:paraId="27414D71" w14:textId="77777777" w:rsidR="005A3DC8" w:rsidRDefault="005A3DC8" w:rsidP="008231B8">
            <w:pPr>
              <w:spacing w:line="240" w:lineRule="auto"/>
              <w:jc w:val="center"/>
              <w:rPr>
                <w:sz w:val="14"/>
                <w:szCs w:val="14"/>
                <w:lang w:val="en-GB"/>
              </w:rPr>
            </w:pPr>
            <w:r w:rsidRPr="000855B2">
              <w:rPr>
                <w:sz w:val="14"/>
                <w:szCs w:val="14"/>
                <w:lang w:val="en-GB"/>
              </w:rPr>
              <w:t>2.83</w:t>
            </w:r>
          </w:p>
        </w:tc>
      </w:tr>
      <w:tr w:rsidR="005A3DC8" w:rsidRPr="000855B2" w14:paraId="1C128153" w14:textId="77777777" w:rsidTr="00887829">
        <w:tc>
          <w:tcPr>
            <w:tcW w:w="1731" w:type="dxa"/>
            <w:vMerge/>
            <w:tcBorders>
              <w:left w:val="double" w:sz="4" w:space="0" w:color="auto"/>
              <w:bottom w:val="single" w:sz="6" w:space="0" w:color="auto"/>
              <w:right w:val="single" w:sz="6" w:space="0" w:color="auto"/>
            </w:tcBorders>
            <w:vAlign w:val="center"/>
          </w:tcPr>
          <w:p w14:paraId="5BDA98FB"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6C2BC473"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661C65DD" w14:textId="77777777" w:rsidR="005A3DC8" w:rsidRDefault="005A3DC8" w:rsidP="008231B8">
            <w:pPr>
              <w:spacing w:line="240" w:lineRule="auto"/>
              <w:jc w:val="center"/>
              <w:rPr>
                <w:sz w:val="14"/>
                <w:szCs w:val="14"/>
                <w:lang w:val="en-GB"/>
              </w:rPr>
            </w:pPr>
            <w:r w:rsidRPr="000855B2">
              <w:rPr>
                <w:sz w:val="14"/>
                <w:szCs w:val="14"/>
                <w:lang w:val="en-GB"/>
              </w:rPr>
              <w:t>1.8</w:t>
            </w:r>
          </w:p>
        </w:tc>
        <w:tc>
          <w:tcPr>
            <w:tcW w:w="793" w:type="dxa"/>
            <w:tcBorders>
              <w:top w:val="single" w:sz="6" w:space="0" w:color="auto"/>
              <w:left w:val="single" w:sz="6" w:space="0" w:color="auto"/>
              <w:bottom w:val="single" w:sz="6" w:space="0" w:color="auto"/>
              <w:right w:val="single" w:sz="6" w:space="0" w:color="auto"/>
            </w:tcBorders>
            <w:vAlign w:val="center"/>
          </w:tcPr>
          <w:p w14:paraId="6A7CB350" w14:textId="77777777" w:rsidR="005A3DC8" w:rsidRDefault="005A3DC8" w:rsidP="008231B8">
            <w:pPr>
              <w:spacing w:line="240" w:lineRule="auto"/>
              <w:jc w:val="center"/>
              <w:rPr>
                <w:sz w:val="14"/>
                <w:szCs w:val="14"/>
                <w:lang w:val="en-GB"/>
              </w:rPr>
            </w:pPr>
            <w:r w:rsidRPr="000855B2">
              <w:rPr>
                <w:sz w:val="14"/>
                <w:szCs w:val="14"/>
                <w:lang w:val="en-GB"/>
              </w:rPr>
              <w:t>1.78</w:t>
            </w:r>
          </w:p>
        </w:tc>
        <w:tc>
          <w:tcPr>
            <w:tcW w:w="969" w:type="dxa"/>
            <w:tcBorders>
              <w:top w:val="single" w:sz="6" w:space="0" w:color="auto"/>
              <w:left w:val="single" w:sz="6" w:space="0" w:color="auto"/>
              <w:bottom w:val="single" w:sz="6" w:space="0" w:color="auto"/>
              <w:right w:val="single" w:sz="6" w:space="0" w:color="auto"/>
            </w:tcBorders>
            <w:vAlign w:val="center"/>
          </w:tcPr>
          <w:p w14:paraId="4CF7F0B5"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5EDA3821"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74A824CC"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7198AC01" w14:textId="77777777" w:rsidR="005A3DC8" w:rsidRDefault="005A3DC8" w:rsidP="008231B8">
            <w:pPr>
              <w:spacing w:line="240" w:lineRule="auto"/>
              <w:jc w:val="center"/>
              <w:rPr>
                <w:sz w:val="14"/>
                <w:szCs w:val="14"/>
                <w:lang w:val="en-GB"/>
              </w:rPr>
            </w:pPr>
            <w:r w:rsidRPr="000855B2">
              <w:rPr>
                <w:sz w:val="14"/>
                <w:szCs w:val="14"/>
                <w:lang w:val="en-GB"/>
              </w:rPr>
              <w:t>1.10E-05</w:t>
            </w:r>
          </w:p>
        </w:tc>
        <w:tc>
          <w:tcPr>
            <w:tcW w:w="850" w:type="dxa"/>
            <w:tcBorders>
              <w:top w:val="single" w:sz="6" w:space="0" w:color="auto"/>
              <w:left w:val="single" w:sz="6" w:space="0" w:color="auto"/>
              <w:bottom w:val="single" w:sz="6" w:space="0" w:color="auto"/>
              <w:right w:val="double" w:sz="4" w:space="0" w:color="auto"/>
            </w:tcBorders>
            <w:vAlign w:val="center"/>
          </w:tcPr>
          <w:p w14:paraId="090B92FC" w14:textId="77777777" w:rsidR="005A3DC8" w:rsidRDefault="005A3DC8" w:rsidP="008231B8">
            <w:pPr>
              <w:spacing w:line="240" w:lineRule="auto"/>
              <w:jc w:val="center"/>
              <w:rPr>
                <w:sz w:val="14"/>
                <w:szCs w:val="14"/>
                <w:lang w:val="en-GB"/>
              </w:rPr>
            </w:pPr>
            <w:r w:rsidRPr="000855B2">
              <w:rPr>
                <w:sz w:val="14"/>
                <w:szCs w:val="14"/>
                <w:lang w:val="en-GB"/>
              </w:rPr>
              <w:t>2.12</w:t>
            </w:r>
          </w:p>
        </w:tc>
      </w:tr>
      <w:tr w:rsidR="005A3DC8" w:rsidRPr="000855B2" w14:paraId="73106352" w14:textId="77777777" w:rsidTr="00887829">
        <w:tc>
          <w:tcPr>
            <w:tcW w:w="1731" w:type="dxa"/>
            <w:vMerge w:val="restart"/>
            <w:tcBorders>
              <w:top w:val="single" w:sz="6" w:space="0" w:color="auto"/>
              <w:left w:val="double" w:sz="4" w:space="0" w:color="auto"/>
              <w:right w:val="single" w:sz="6" w:space="0" w:color="auto"/>
            </w:tcBorders>
            <w:vAlign w:val="center"/>
          </w:tcPr>
          <w:p w14:paraId="0CF81456" w14:textId="77777777" w:rsidR="005A3DC8" w:rsidRDefault="005A3DC8" w:rsidP="0000485C">
            <w:pPr>
              <w:spacing w:line="240" w:lineRule="auto"/>
              <w:rPr>
                <w:sz w:val="14"/>
                <w:szCs w:val="14"/>
                <w:lang w:val="en-GB"/>
              </w:rPr>
            </w:pPr>
            <w:r w:rsidRPr="000855B2">
              <w:rPr>
                <w:sz w:val="14"/>
                <w:szCs w:val="14"/>
                <w:lang w:val="en-GB"/>
              </w:rPr>
              <w:t>4-stroke &lt;50 cm³</w:t>
            </w:r>
          </w:p>
        </w:tc>
        <w:tc>
          <w:tcPr>
            <w:tcW w:w="1499" w:type="dxa"/>
            <w:tcBorders>
              <w:top w:val="single" w:sz="6" w:space="0" w:color="auto"/>
              <w:left w:val="single" w:sz="6" w:space="0" w:color="auto"/>
              <w:bottom w:val="single" w:sz="6" w:space="0" w:color="auto"/>
              <w:right w:val="single" w:sz="6" w:space="0" w:color="auto"/>
            </w:tcBorders>
            <w:vAlign w:val="center"/>
          </w:tcPr>
          <w:p w14:paraId="2430F026"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0479B188" w14:textId="77777777" w:rsidR="005A3DC8" w:rsidRDefault="005A3DC8" w:rsidP="008231B8">
            <w:pPr>
              <w:spacing w:line="240" w:lineRule="auto"/>
              <w:jc w:val="center"/>
              <w:rPr>
                <w:sz w:val="14"/>
                <w:szCs w:val="14"/>
                <w:lang w:val="en-GB"/>
              </w:rPr>
            </w:pPr>
            <w:r w:rsidRPr="000855B2">
              <w:rPr>
                <w:sz w:val="14"/>
                <w:szCs w:val="14"/>
                <w:lang w:val="en-GB"/>
              </w:rPr>
              <w:t>14.7</w:t>
            </w:r>
          </w:p>
        </w:tc>
        <w:tc>
          <w:tcPr>
            <w:tcW w:w="793" w:type="dxa"/>
            <w:tcBorders>
              <w:top w:val="single" w:sz="6" w:space="0" w:color="auto"/>
              <w:left w:val="single" w:sz="6" w:space="0" w:color="auto"/>
              <w:bottom w:val="single" w:sz="6" w:space="0" w:color="auto"/>
              <w:right w:val="single" w:sz="6" w:space="0" w:color="auto"/>
            </w:tcBorders>
            <w:vAlign w:val="center"/>
          </w:tcPr>
          <w:p w14:paraId="4B9C6C12" w14:textId="77777777" w:rsidR="005A3DC8" w:rsidRDefault="005A3DC8" w:rsidP="008231B8">
            <w:pPr>
              <w:spacing w:line="240" w:lineRule="auto"/>
              <w:jc w:val="center"/>
              <w:rPr>
                <w:sz w:val="14"/>
                <w:szCs w:val="14"/>
                <w:lang w:val="en-GB"/>
              </w:rPr>
            </w:pPr>
            <w:r w:rsidRPr="000855B2">
              <w:rPr>
                <w:sz w:val="14"/>
                <w:szCs w:val="14"/>
                <w:lang w:val="en-GB"/>
              </w:rPr>
              <w:t>8.18</w:t>
            </w:r>
          </w:p>
        </w:tc>
        <w:tc>
          <w:tcPr>
            <w:tcW w:w="969" w:type="dxa"/>
            <w:tcBorders>
              <w:top w:val="single" w:sz="6" w:space="0" w:color="auto"/>
              <w:left w:val="single" w:sz="6" w:space="0" w:color="auto"/>
              <w:bottom w:val="single" w:sz="6" w:space="0" w:color="auto"/>
              <w:right w:val="single" w:sz="6" w:space="0" w:color="auto"/>
            </w:tcBorders>
            <w:vAlign w:val="center"/>
          </w:tcPr>
          <w:p w14:paraId="4AEADB2F" w14:textId="77777777" w:rsidR="005A3DC8" w:rsidRDefault="005A3DC8" w:rsidP="008231B8">
            <w:pPr>
              <w:spacing w:line="240" w:lineRule="auto"/>
              <w:jc w:val="center"/>
              <w:rPr>
                <w:sz w:val="14"/>
                <w:szCs w:val="14"/>
                <w:lang w:val="en-GB"/>
              </w:rPr>
            </w:pPr>
            <w:r w:rsidRPr="000855B2">
              <w:rPr>
                <w:sz w:val="14"/>
                <w:szCs w:val="14"/>
                <w:lang w:val="en-GB"/>
              </w:rPr>
              <w:t>0.056</w:t>
            </w:r>
          </w:p>
        </w:tc>
        <w:tc>
          <w:tcPr>
            <w:tcW w:w="708" w:type="dxa"/>
            <w:tcBorders>
              <w:top w:val="single" w:sz="6" w:space="0" w:color="auto"/>
              <w:left w:val="single" w:sz="6" w:space="0" w:color="auto"/>
              <w:bottom w:val="single" w:sz="6" w:space="0" w:color="auto"/>
              <w:right w:val="single" w:sz="6" w:space="0" w:color="auto"/>
            </w:tcBorders>
            <w:vAlign w:val="center"/>
          </w:tcPr>
          <w:p w14:paraId="2EE78273"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02845098"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29149064"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14F41683" w14:textId="77777777" w:rsidR="005A3DC8" w:rsidRDefault="005A3DC8" w:rsidP="008231B8">
            <w:pPr>
              <w:spacing w:line="240" w:lineRule="auto"/>
              <w:jc w:val="center"/>
              <w:rPr>
                <w:sz w:val="14"/>
                <w:szCs w:val="14"/>
                <w:lang w:val="en-GB"/>
              </w:rPr>
            </w:pPr>
            <w:r w:rsidRPr="000855B2">
              <w:rPr>
                <w:sz w:val="14"/>
                <w:szCs w:val="14"/>
                <w:lang w:val="en-GB"/>
              </w:rPr>
              <w:t>4.24</w:t>
            </w:r>
          </w:p>
        </w:tc>
      </w:tr>
      <w:tr w:rsidR="005A3DC8" w:rsidRPr="000855B2" w14:paraId="592CB7CF" w14:textId="77777777" w:rsidTr="00887829">
        <w:tc>
          <w:tcPr>
            <w:tcW w:w="1731" w:type="dxa"/>
            <w:vMerge/>
            <w:tcBorders>
              <w:left w:val="double" w:sz="4" w:space="0" w:color="auto"/>
              <w:right w:val="single" w:sz="6" w:space="0" w:color="auto"/>
            </w:tcBorders>
            <w:vAlign w:val="center"/>
          </w:tcPr>
          <w:p w14:paraId="56BF48C8"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03581493" w14:textId="77777777" w:rsidR="005A3DC8" w:rsidRDefault="005A3DC8" w:rsidP="00410789">
            <w:pPr>
              <w:spacing w:line="240" w:lineRule="auto"/>
              <w:rPr>
                <w:sz w:val="14"/>
                <w:szCs w:val="14"/>
                <w:lang w:val="en-GB"/>
              </w:rPr>
            </w:pPr>
            <w:r w:rsidRPr="000855B2">
              <w:rPr>
                <w:sz w:val="14"/>
                <w:szCs w:val="14"/>
                <w:lang w:val="en-GB"/>
              </w:rPr>
              <w:t>Mop - Euro 1</w:t>
            </w:r>
          </w:p>
        </w:tc>
        <w:tc>
          <w:tcPr>
            <w:tcW w:w="567" w:type="dxa"/>
            <w:tcBorders>
              <w:top w:val="single" w:sz="6" w:space="0" w:color="auto"/>
              <w:left w:val="single" w:sz="6" w:space="0" w:color="auto"/>
              <w:bottom w:val="single" w:sz="6" w:space="0" w:color="auto"/>
              <w:right w:val="single" w:sz="6" w:space="0" w:color="auto"/>
            </w:tcBorders>
            <w:vAlign w:val="center"/>
          </w:tcPr>
          <w:p w14:paraId="6519FECD" w14:textId="77777777" w:rsidR="005A3DC8" w:rsidRDefault="005A3DC8" w:rsidP="008231B8">
            <w:pPr>
              <w:spacing w:line="240" w:lineRule="auto"/>
              <w:jc w:val="center"/>
              <w:rPr>
                <w:sz w:val="14"/>
                <w:szCs w:val="14"/>
                <w:lang w:val="en-GB"/>
              </w:rPr>
            </w:pPr>
            <w:r w:rsidRPr="000855B2">
              <w:rPr>
                <w:sz w:val="14"/>
                <w:szCs w:val="14"/>
                <w:lang w:val="en-GB"/>
              </w:rPr>
              <w:t>6.7</w:t>
            </w:r>
          </w:p>
        </w:tc>
        <w:tc>
          <w:tcPr>
            <w:tcW w:w="793" w:type="dxa"/>
            <w:tcBorders>
              <w:top w:val="single" w:sz="6" w:space="0" w:color="auto"/>
              <w:left w:val="single" w:sz="6" w:space="0" w:color="auto"/>
              <w:bottom w:val="single" w:sz="6" w:space="0" w:color="auto"/>
              <w:right w:val="single" w:sz="6" w:space="0" w:color="auto"/>
            </w:tcBorders>
            <w:vAlign w:val="center"/>
          </w:tcPr>
          <w:p w14:paraId="3150EF8A" w14:textId="77777777" w:rsidR="005A3DC8" w:rsidRDefault="005A3DC8" w:rsidP="008231B8">
            <w:pPr>
              <w:spacing w:line="240" w:lineRule="auto"/>
              <w:jc w:val="center"/>
              <w:rPr>
                <w:sz w:val="14"/>
                <w:szCs w:val="14"/>
                <w:lang w:val="en-GB"/>
              </w:rPr>
            </w:pPr>
            <w:r w:rsidRPr="000855B2">
              <w:rPr>
                <w:sz w:val="14"/>
                <w:szCs w:val="14"/>
                <w:lang w:val="en-GB"/>
              </w:rPr>
              <w:t>0.74</w:t>
            </w:r>
          </w:p>
        </w:tc>
        <w:tc>
          <w:tcPr>
            <w:tcW w:w="969" w:type="dxa"/>
            <w:tcBorders>
              <w:top w:val="single" w:sz="6" w:space="0" w:color="auto"/>
              <w:left w:val="single" w:sz="6" w:space="0" w:color="auto"/>
              <w:bottom w:val="single" w:sz="6" w:space="0" w:color="auto"/>
              <w:right w:val="single" w:sz="6" w:space="0" w:color="auto"/>
            </w:tcBorders>
            <w:vAlign w:val="center"/>
          </w:tcPr>
          <w:p w14:paraId="09025EA6" w14:textId="77777777" w:rsidR="005A3DC8" w:rsidRDefault="005A3DC8" w:rsidP="008231B8">
            <w:pPr>
              <w:spacing w:line="240" w:lineRule="auto"/>
              <w:jc w:val="center"/>
              <w:rPr>
                <w:sz w:val="14"/>
                <w:szCs w:val="14"/>
                <w:lang w:val="en-GB"/>
              </w:rPr>
            </w:pPr>
            <w:r w:rsidRPr="000855B2">
              <w:rPr>
                <w:sz w:val="14"/>
                <w:szCs w:val="14"/>
                <w:lang w:val="en-GB"/>
              </w:rPr>
              <w:t>0.22</w:t>
            </w:r>
          </w:p>
        </w:tc>
        <w:tc>
          <w:tcPr>
            <w:tcW w:w="708" w:type="dxa"/>
            <w:tcBorders>
              <w:top w:val="single" w:sz="6" w:space="0" w:color="auto"/>
              <w:left w:val="single" w:sz="6" w:space="0" w:color="auto"/>
              <w:bottom w:val="single" w:sz="6" w:space="0" w:color="auto"/>
              <w:right w:val="single" w:sz="6" w:space="0" w:color="auto"/>
            </w:tcBorders>
            <w:vAlign w:val="center"/>
          </w:tcPr>
          <w:p w14:paraId="3AF5ADCB"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7E191404"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2321E467"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6643FC23" w14:textId="77777777" w:rsidR="005A3DC8" w:rsidRDefault="005A3DC8" w:rsidP="008231B8">
            <w:pPr>
              <w:spacing w:line="240" w:lineRule="auto"/>
              <w:jc w:val="center"/>
              <w:rPr>
                <w:sz w:val="14"/>
                <w:szCs w:val="14"/>
                <w:lang w:val="en-GB"/>
              </w:rPr>
            </w:pPr>
            <w:r w:rsidRPr="000855B2">
              <w:rPr>
                <w:sz w:val="14"/>
                <w:szCs w:val="14"/>
                <w:lang w:val="en-GB"/>
              </w:rPr>
              <w:t>3.53</w:t>
            </w:r>
          </w:p>
        </w:tc>
      </w:tr>
      <w:tr w:rsidR="005A3DC8" w:rsidRPr="000855B2" w14:paraId="6101EDA8" w14:textId="77777777" w:rsidTr="00887829">
        <w:tc>
          <w:tcPr>
            <w:tcW w:w="1731" w:type="dxa"/>
            <w:vMerge/>
            <w:tcBorders>
              <w:left w:val="double" w:sz="4" w:space="0" w:color="auto"/>
              <w:right w:val="single" w:sz="6" w:space="0" w:color="auto"/>
            </w:tcBorders>
            <w:vAlign w:val="center"/>
          </w:tcPr>
          <w:p w14:paraId="23946C06"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1000E445" w14:textId="77777777" w:rsidR="005A3DC8" w:rsidRDefault="005A3DC8" w:rsidP="00410789">
            <w:pPr>
              <w:spacing w:line="240" w:lineRule="auto"/>
              <w:rPr>
                <w:sz w:val="14"/>
                <w:szCs w:val="14"/>
                <w:lang w:val="en-GB"/>
              </w:rPr>
            </w:pPr>
            <w:r w:rsidRPr="000855B2">
              <w:rPr>
                <w:sz w:val="14"/>
                <w:szCs w:val="14"/>
                <w:lang w:val="en-GB"/>
              </w:rPr>
              <w:t>Mop - Euro 2</w:t>
            </w:r>
          </w:p>
        </w:tc>
        <w:tc>
          <w:tcPr>
            <w:tcW w:w="567" w:type="dxa"/>
            <w:tcBorders>
              <w:top w:val="single" w:sz="6" w:space="0" w:color="auto"/>
              <w:left w:val="single" w:sz="6" w:space="0" w:color="auto"/>
              <w:bottom w:val="single" w:sz="6" w:space="0" w:color="auto"/>
              <w:right w:val="single" w:sz="6" w:space="0" w:color="auto"/>
            </w:tcBorders>
            <w:vAlign w:val="center"/>
          </w:tcPr>
          <w:p w14:paraId="0D41E67D" w14:textId="77777777" w:rsidR="005A3DC8" w:rsidRDefault="005A3DC8" w:rsidP="008231B8">
            <w:pPr>
              <w:spacing w:line="240" w:lineRule="auto"/>
              <w:jc w:val="center"/>
              <w:rPr>
                <w:sz w:val="14"/>
                <w:szCs w:val="14"/>
                <w:lang w:val="en-GB"/>
              </w:rPr>
            </w:pPr>
            <w:r w:rsidRPr="000855B2">
              <w:rPr>
                <w:sz w:val="14"/>
                <w:szCs w:val="14"/>
                <w:lang w:val="en-GB"/>
              </w:rPr>
              <w:t>4.2</w:t>
            </w:r>
          </w:p>
        </w:tc>
        <w:tc>
          <w:tcPr>
            <w:tcW w:w="793" w:type="dxa"/>
            <w:tcBorders>
              <w:top w:val="single" w:sz="6" w:space="0" w:color="auto"/>
              <w:left w:val="single" w:sz="6" w:space="0" w:color="auto"/>
              <w:bottom w:val="single" w:sz="6" w:space="0" w:color="auto"/>
              <w:right w:val="single" w:sz="6" w:space="0" w:color="auto"/>
            </w:tcBorders>
            <w:vAlign w:val="center"/>
          </w:tcPr>
          <w:p w14:paraId="3433FE76" w14:textId="77777777" w:rsidR="005A3DC8" w:rsidRDefault="005A3DC8" w:rsidP="008231B8">
            <w:pPr>
              <w:spacing w:line="240" w:lineRule="auto"/>
              <w:jc w:val="center"/>
              <w:rPr>
                <w:sz w:val="14"/>
                <w:szCs w:val="14"/>
                <w:lang w:val="en-GB"/>
              </w:rPr>
            </w:pPr>
            <w:r w:rsidRPr="000855B2">
              <w:rPr>
                <w:sz w:val="14"/>
                <w:szCs w:val="14"/>
                <w:lang w:val="en-GB"/>
              </w:rPr>
              <w:t>0.77</w:t>
            </w:r>
          </w:p>
        </w:tc>
        <w:tc>
          <w:tcPr>
            <w:tcW w:w="969" w:type="dxa"/>
            <w:tcBorders>
              <w:top w:val="single" w:sz="6" w:space="0" w:color="auto"/>
              <w:left w:val="single" w:sz="6" w:space="0" w:color="auto"/>
              <w:bottom w:val="single" w:sz="6" w:space="0" w:color="auto"/>
              <w:right w:val="single" w:sz="6" w:space="0" w:color="auto"/>
            </w:tcBorders>
            <w:vAlign w:val="center"/>
          </w:tcPr>
          <w:p w14:paraId="49B5BF6C"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5C7D61CF"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511E184B"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0A96C3C6"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54E14431" w14:textId="77777777" w:rsidR="005A3DC8" w:rsidRDefault="005A3DC8" w:rsidP="008231B8">
            <w:pPr>
              <w:spacing w:line="240" w:lineRule="auto"/>
              <w:jc w:val="center"/>
              <w:rPr>
                <w:sz w:val="14"/>
                <w:szCs w:val="14"/>
                <w:lang w:val="en-GB"/>
              </w:rPr>
            </w:pPr>
            <w:r w:rsidRPr="000855B2">
              <w:rPr>
                <w:sz w:val="14"/>
                <w:szCs w:val="14"/>
                <w:lang w:val="en-GB"/>
              </w:rPr>
              <w:t>2.83</w:t>
            </w:r>
          </w:p>
        </w:tc>
      </w:tr>
      <w:tr w:rsidR="005A3DC8" w:rsidRPr="000855B2" w14:paraId="6B3B5AD5" w14:textId="77777777" w:rsidTr="00887829">
        <w:tc>
          <w:tcPr>
            <w:tcW w:w="1731" w:type="dxa"/>
            <w:vMerge/>
            <w:tcBorders>
              <w:left w:val="double" w:sz="4" w:space="0" w:color="auto"/>
              <w:bottom w:val="single" w:sz="6" w:space="0" w:color="auto"/>
              <w:right w:val="single" w:sz="6" w:space="0" w:color="auto"/>
            </w:tcBorders>
            <w:vAlign w:val="center"/>
          </w:tcPr>
          <w:p w14:paraId="2207286A"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07A630F2"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0DB05D81" w14:textId="77777777" w:rsidR="005A3DC8" w:rsidRDefault="005A3DC8" w:rsidP="008231B8">
            <w:pPr>
              <w:spacing w:line="240" w:lineRule="auto"/>
              <w:jc w:val="center"/>
              <w:rPr>
                <w:sz w:val="14"/>
                <w:szCs w:val="14"/>
                <w:lang w:val="en-GB"/>
              </w:rPr>
            </w:pPr>
            <w:r w:rsidRPr="000855B2">
              <w:rPr>
                <w:sz w:val="14"/>
                <w:szCs w:val="14"/>
                <w:lang w:val="en-GB"/>
              </w:rPr>
              <w:t>2.7</w:t>
            </w:r>
          </w:p>
        </w:tc>
        <w:tc>
          <w:tcPr>
            <w:tcW w:w="793" w:type="dxa"/>
            <w:tcBorders>
              <w:top w:val="single" w:sz="6" w:space="0" w:color="auto"/>
              <w:left w:val="single" w:sz="6" w:space="0" w:color="auto"/>
              <w:bottom w:val="single" w:sz="6" w:space="0" w:color="auto"/>
              <w:right w:val="single" w:sz="6" w:space="0" w:color="auto"/>
            </w:tcBorders>
            <w:vAlign w:val="center"/>
          </w:tcPr>
          <w:p w14:paraId="41FFCA12" w14:textId="77777777" w:rsidR="005A3DC8" w:rsidRDefault="005A3DC8" w:rsidP="008231B8">
            <w:pPr>
              <w:spacing w:line="240" w:lineRule="auto"/>
              <w:jc w:val="center"/>
              <w:rPr>
                <w:sz w:val="14"/>
                <w:szCs w:val="14"/>
                <w:lang w:val="en-GB"/>
              </w:rPr>
            </w:pPr>
            <w:r w:rsidRPr="000855B2">
              <w:rPr>
                <w:sz w:val="14"/>
                <w:szCs w:val="14"/>
                <w:lang w:val="en-GB"/>
              </w:rPr>
              <w:t>0.52</w:t>
            </w:r>
          </w:p>
        </w:tc>
        <w:tc>
          <w:tcPr>
            <w:tcW w:w="969" w:type="dxa"/>
            <w:tcBorders>
              <w:top w:val="single" w:sz="6" w:space="0" w:color="auto"/>
              <w:left w:val="single" w:sz="6" w:space="0" w:color="auto"/>
              <w:bottom w:val="single" w:sz="6" w:space="0" w:color="auto"/>
              <w:right w:val="single" w:sz="6" w:space="0" w:color="auto"/>
            </w:tcBorders>
            <w:vAlign w:val="center"/>
          </w:tcPr>
          <w:p w14:paraId="0CF7F4D3" w14:textId="77777777" w:rsidR="005A3DC8" w:rsidRDefault="005A3DC8" w:rsidP="008231B8">
            <w:pPr>
              <w:spacing w:line="240" w:lineRule="auto"/>
              <w:jc w:val="center"/>
              <w:rPr>
                <w:sz w:val="14"/>
                <w:szCs w:val="14"/>
                <w:lang w:val="en-GB"/>
              </w:rPr>
            </w:pPr>
            <w:r w:rsidRPr="000855B2">
              <w:rPr>
                <w:sz w:val="14"/>
                <w:szCs w:val="14"/>
                <w:lang w:val="en-GB"/>
              </w:rPr>
              <w:t>0.17</w:t>
            </w:r>
          </w:p>
        </w:tc>
        <w:tc>
          <w:tcPr>
            <w:tcW w:w="708" w:type="dxa"/>
            <w:tcBorders>
              <w:top w:val="single" w:sz="6" w:space="0" w:color="auto"/>
              <w:left w:val="single" w:sz="6" w:space="0" w:color="auto"/>
              <w:bottom w:val="single" w:sz="6" w:space="0" w:color="auto"/>
              <w:right w:val="single" w:sz="6" w:space="0" w:color="auto"/>
            </w:tcBorders>
            <w:vAlign w:val="center"/>
          </w:tcPr>
          <w:p w14:paraId="1F7805CA"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709" w:type="dxa"/>
            <w:tcBorders>
              <w:top w:val="single" w:sz="6" w:space="0" w:color="auto"/>
              <w:left w:val="single" w:sz="6" w:space="0" w:color="auto"/>
              <w:bottom w:val="single" w:sz="6" w:space="0" w:color="auto"/>
              <w:right w:val="single" w:sz="6" w:space="0" w:color="auto"/>
            </w:tcBorders>
            <w:vAlign w:val="center"/>
          </w:tcPr>
          <w:p w14:paraId="5A82E6A1" w14:textId="77777777" w:rsidR="005A3DC8" w:rsidRDefault="005A3DC8" w:rsidP="008231B8">
            <w:pPr>
              <w:spacing w:line="240" w:lineRule="auto"/>
              <w:jc w:val="center"/>
              <w:rPr>
                <w:sz w:val="14"/>
                <w:szCs w:val="14"/>
                <w:lang w:val="en-GB"/>
              </w:rPr>
            </w:pPr>
            <w:r w:rsidRPr="000855B2">
              <w:rPr>
                <w:sz w:val="14"/>
                <w:szCs w:val="14"/>
                <w:lang w:val="en-GB"/>
              </w:rPr>
              <w:t>0.001</w:t>
            </w:r>
          </w:p>
        </w:tc>
        <w:tc>
          <w:tcPr>
            <w:tcW w:w="851" w:type="dxa"/>
            <w:tcBorders>
              <w:top w:val="single" w:sz="6" w:space="0" w:color="auto"/>
              <w:left w:val="single" w:sz="6" w:space="0" w:color="auto"/>
              <w:bottom w:val="single" w:sz="6" w:space="0" w:color="auto"/>
              <w:right w:val="single" w:sz="6" w:space="0" w:color="auto"/>
            </w:tcBorders>
            <w:vAlign w:val="center"/>
          </w:tcPr>
          <w:p w14:paraId="6AD69CEE" w14:textId="77777777" w:rsidR="005A3DC8" w:rsidRDefault="005A3DC8" w:rsidP="008231B8">
            <w:pPr>
              <w:spacing w:line="240" w:lineRule="auto"/>
              <w:jc w:val="center"/>
              <w:rPr>
                <w:sz w:val="14"/>
                <w:szCs w:val="14"/>
                <w:lang w:val="en-GB"/>
              </w:rPr>
            </w:pPr>
            <w:r w:rsidRPr="000855B2">
              <w:rPr>
                <w:sz w:val="14"/>
                <w:szCs w:val="14"/>
                <w:lang w:val="en-GB"/>
              </w:rPr>
              <w:t>1.1E-05</w:t>
            </w:r>
          </w:p>
        </w:tc>
        <w:tc>
          <w:tcPr>
            <w:tcW w:w="850" w:type="dxa"/>
            <w:tcBorders>
              <w:top w:val="single" w:sz="6" w:space="0" w:color="auto"/>
              <w:left w:val="single" w:sz="6" w:space="0" w:color="auto"/>
              <w:bottom w:val="single" w:sz="6" w:space="0" w:color="auto"/>
              <w:right w:val="double" w:sz="4" w:space="0" w:color="auto"/>
            </w:tcBorders>
            <w:vAlign w:val="center"/>
          </w:tcPr>
          <w:p w14:paraId="464F4C9F" w14:textId="77777777" w:rsidR="005A3DC8" w:rsidRDefault="005A3DC8" w:rsidP="008231B8">
            <w:pPr>
              <w:spacing w:line="240" w:lineRule="auto"/>
              <w:jc w:val="center"/>
              <w:rPr>
                <w:sz w:val="14"/>
                <w:szCs w:val="14"/>
                <w:lang w:val="en-GB"/>
              </w:rPr>
            </w:pPr>
            <w:r w:rsidRPr="000855B2">
              <w:rPr>
                <w:sz w:val="14"/>
                <w:szCs w:val="14"/>
                <w:lang w:val="en-GB"/>
              </w:rPr>
              <w:t>2.12</w:t>
            </w:r>
          </w:p>
        </w:tc>
      </w:tr>
      <w:tr w:rsidR="005A3DC8" w:rsidRPr="000855B2" w14:paraId="2063A06A" w14:textId="77777777" w:rsidTr="00887829">
        <w:tc>
          <w:tcPr>
            <w:tcW w:w="1731" w:type="dxa"/>
            <w:vMerge w:val="restart"/>
            <w:tcBorders>
              <w:top w:val="single" w:sz="6" w:space="0" w:color="auto"/>
              <w:left w:val="double" w:sz="4" w:space="0" w:color="auto"/>
              <w:right w:val="single" w:sz="6" w:space="0" w:color="auto"/>
            </w:tcBorders>
            <w:vAlign w:val="center"/>
          </w:tcPr>
          <w:p w14:paraId="5F188CDF" w14:textId="77777777" w:rsidR="005A3DC8" w:rsidRDefault="005A3DC8" w:rsidP="0000485C">
            <w:pPr>
              <w:spacing w:line="240" w:lineRule="auto"/>
              <w:rPr>
                <w:sz w:val="14"/>
                <w:szCs w:val="14"/>
                <w:lang w:val="en-GB"/>
              </w:rPr>
            </w:pPr>
            <w:r w:rsidRPr="000855B2">
              <w:rPr>
                <w:sz w:val="14"/>
                <w:szCs w:val="14"/>
                <w:lang w:val="en-GB"/>
              </w:rPr>
              <w:t>2-stroke &gt;50 cm³</w:t>
            </w:r>
          </w:p>
        </w:tc>
        <w:tc>
          <w:tcPr>
            <w:tcW w:w="1499" w:type="dxa"/>
            <w:tcBorders>
              <w:top w:val="single" w:sz="6" w:space="0" w:color="auto"/>
              <w:left w:val="single" w:sz="6" w:space="0" w:color="auto"/>
              <w:bottom w:val="single" w:sz="6" w:space="0" w:color="auto"/>
              <w:right w:val="single" w:sz="6" w:space="0" w:color="auto"/>
            </w:tcBorders>
            <w:vAlign w:val="center"/>
          </w:tcPr>
          <w:p w14:paraId="4BE12BA4"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18540A3F" w14:textId="77777777" w:rsidR="005A3DC8" w:rsidRDefault="005A3DC8" w:rsidP="008231B8">
            <w:pPr>
              <w:spacing w:line="240" w:lineRule="auto"/>
              <w:jc w:val="center"/>
              <w:rPr>
                <w:sz w:val="14"/>
                <w:szCs w:val="14"/>
                <w:lang w:val="en-GB"/>
              </w:rPr>
            </w:pPr>
            <w:r w:rsidRPr="000855B2">
              <w:rPr>
                <w:sz w:val="14"/>
                <w:szCs w:val="14"/>
                <w:lang w:val="en-GB"/>
              </w:rPr>
              <w:t>24.3</w:t>
            </w:r>
          </w:p>
        </w:tc>
        <w:tc>
          <w:tcPr>
            <w:tcW w:w="793" w:type="dxa"/>
            <w:tcBorders>
              <w:top w:val="single" w:sz="6" w:space="0" w:color="auto"/>
              <w:left w:val="single" w:sz="6" w:space="0" w:color="auto"/>
              <w:bottom w:val="single" w:sz="6" w:space="0" w:color="auto"/>
              <w:right w:val="single" w:sz="6" w:space="0" w:color="auto"/>
            </w:tcBorders>
            <w:vAlign w:val="center"/>
          </w:tcPr>
          <w:p w14:paraId="6B19DA4B" w14:textId="77777777" w:rsidR="005A3DC8" w:rsidRDefault="005A3DC8" w:rsidP="008231B8">
            <w:pPr>
              <w:spacing w:line="240" w:lineRule="auto"/>
              <w:jc w:val="center"/>
              <w:rPr>
                <w:sz w:val="14"/>
                <w:szCs w:val="14"/>
                <w:lang w:val="en-GB"/>
              </w:rPr>
            </w:pPr>
            <w:r w:rsidRPr="000855B2">
              <w:rPr>
                <w:sz w:val="14"/>
                <w:szCs w:val="14"/>
                <w:lang w:val="en-GB"/>
              </w:rPr>
              <w:t>9.97</w:t>
            </w:r>
          </w:p>
        </w:tc>
        <w:tc>
          <w:tcPr>
            <w:tcW w:w="969" w:type="dxa"/>
            <w:tcBorders>
              <w:top w:val="single" w:sz="6" w:space="0" w:color="auto"/>
              <w:left w:val="single" w:sz="6" w:space="0" w:color="auto"/>
              <w:bottom w:val="single" w:sz="6" w:space="0" w:color="auto"/>
              <w:right w:val="single" w:sz="6" w:space="0" w:color="auto"/>
            </w:tcBorders>
            <w:vAlign w:val="center"/>
          </w:tcPr>
          <w:p w14:paraId="59D84D0E" w14:textId="77777777" w:rsidR="005A3DC8" w:rsidRDefault="005A3DC8" w:rsidP="008231B8">
            <w:pPr>
              <w:spacing w:line="240" w:lineRule="auto"/>
              <w:jc w:val="center"/>
              <w:rPr>
                <w:sz w:val="14"/>
                <w:szCs w:val="14"/>
                <w:lang w:val="en-GB"/>
              </w:rPr>
            </w:pPr>
            <w:r w:rsidRPr="000855B2">
              <w:rPr>
                <w:sz w:val="14"/>
                <w:szCs w:val="14"/>
                <w:lang w:val="en-GB"/>
              </w:rPr>
              <w:t>0.067</w:t>
            </w:r>
          </w:p>
        </w:tc>
        <w:tc>
          <w:tcPr>
            <w:tcW w:w="708" w:type="dxa"/>
            <w:tcBorders>
              <w:top w:val="single" w:sz="6" w:space="0" w:color="auto"/>
              <w:left w:val="single" w:sz="6" w:space="0" w:color="auto"/>
              <w:bottom w:val="single" w:sz="6" w:space="0" w:color="auto"/>
              <w:right w:val="single" w:sz="6" w:space="0" w:color="auto"/>
            </w:tcBorders>
            <w:vAlign w:val="center"/>
          </w:tcPr>
          <w:p w14:paraId="5A10FBCF"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5899195A"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046E73C8" w14:textId="77777777" w:rsidR="005A3DC8" w:rsidRDefault="005A3DC8" w:rsidP="008231B8">
            <w:pPr>
              <w:spacing w:line="240" w:lineRule="auto"/>
              <w:jc w:val="center"/>
              <w:rPr>
                <w:sz w:val="14"/>
                <w:szCs w:val="14"/>
                <w:lang w:val="en-GB"/>
              </w:rPr>
            </w:pPr>
            <w:r w:rsidRPr="000855B2">
              <w:rPr>
                <w:sz w:val="14"/>
                <w:szCs w:val="14"/>
                <w:lang w:val="en-GB"/>
              </w:rPr>
              <w:t>1.10E-06</w:t>
            </w:r>
          </w:p>
        </w:tc>
        <w:tc>
          <w:tcPr>
            <w:tcW w:w="850" w:type="dxa"/>
            <w:tcBorders>
              <w:top w:val="single" w:sz="6" w:space="0" w:color="auto"/>
              <w:left w:val="single" w:sz="6" w:space="0" w:color="auto"/>
              <w:bottom w:val="single" w:sz="6" w:space="0" w:color="auto"/>
              <w:right w:val="double" w:sz="4" w:space="0" w:color="auto"/>
            </w:tcBorders>
            <w:vAlign w:val="center"/>
          </w:tcPr>
          <w:p w14:paraId="1C5C6A38" w14:textId="77777777" w:rsidR="005A3DC8" w:rsidRDefault="005A3DC8" w:rsidP="008231B8">
            <w:pPr>
              <w:spacing w:line="240" w:lineRule="auto"/>
              <w:jc w:val="center"/>
              <w:rPr>
                <w:sz w:val="14"/>
                <w:szCs w:val="14"/>
                <w:lang w:val="en-GB"/>
              </w:rPr>
            </w:pPr>
            <w:r w:rsidRPr="000855B2">
              <w:rPr>
                <w:sz w:val="14"/>
                <w:szCs w:val="14"/>
                <w:lang w:val="en-GB"/>
              </w:rPr>
              <w:t>4.24</w:t>
            </w:r>
          </w:p>
        </w:tc>
      </w:tr>
      <w:tr w:rsidR="005A3DC8" w:rsidRPr="000855B2" w14:paraId="1CD65083" w14:textId="77777777" w:rsidTr="00887829">
        <w:tc>
          <w:tcPr>
            <w:tcW w:w="1731" w:type="dxa"/>
            <w:vMerge/>
            <w:tcBorders>
              <w:left w:val="double" w:sz="4" w:space="0" w:color="auto"/>
              <w:right w:val="single" w:sz="6" w:space="0" w:color="auto"/>
            </w:tcBorders>
            <w:vAlign w:val="center"/>
          </w:tcPr>
          <w:p w14:paraId="290DD395"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127AC323"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0A9CDE8C" w14:textId="77777777" w:rsidR="005A3DC8" w:rsidRDefault="005A3DC8" w:rsidP="008231B8">
            <w:pPr>
              <w:spacing w:line="240" w:lineRule="auto"/>
              <w:jc w:val="center"/>
              <w:rPr>
                <w:sz w:val="14"/>
                <w:szCs w:val="14"/>
                <w:lang w:val="en-GB"/>
              </w:rPr>
            </w:pPr>
            <w:r w:rsidRPr="000855B2">
              <w:rPr>
                <w:sz w:val="14"/>
                <w:szCs w:val="14"/>
                <w:lang w:val="en-GB"/>
              </w:rPr>
              <w:t>16.3</w:t>
            </w:r>
          </w:p>
        </w:tc>
        <w:tc>
          <w:tcPr>
            <w:tcW w:w="793" w:type="dxa"/>
            <w:tcBorders>
              <w:top w:val="single" w:sz="6" w:space="0" w:color="auto"/>
              <w:left w:val="single" w:sz="6" w:space="0" w:color="auto"/>
              <w:bottom w:val="single" w:sz="6" w:space="0" w:color="auto"/>
              <w:right w:val="single" w:sz="6" w:space="0" w:color="auto"/>
            </w:tcBorders>
            <w:vAlign w:val="center"/>
          </w:tcPr>
          <w:p w14:paraId="3F12699D" w14:textId="77777777" w:rsidR="005A3DC8" w:rsidRDefault="005A3DC8" w:rsidP="008231B8">
            <w:pPr>
              <w:spacing w:line="240" w:lineRule="auto"/>
              <w:jc w:val="center"/>
              <w:rPr>
                <w:sz w:val="14"/>
                <w:szCs w:val="14"/>
                <w:lang w:val="en-GB"/>
              </w:rPr>
            </w:pPr>
            <w:r w:rsidRPr="000855B2">
              <w:rPr>
                <w:sz w:val="14"/>
                <w:szCs w:val="14"/>
                <w:lang w:val="en-GB"/>
              </w:rPr>
              <w:t>5.82</w:t>
            </w:r>
          </w:p>
        </w:tc>
        <w:tc>
          <w:tcPr>
            <w:tcW w:w="969" w:type="dxa"/>
            <w:tcBorders>
              <w:top w:val="single" w:sz="6" w:space="0" w:color="auto"/>
              <w:left w:val="single" w:sz="6" w:space="0" w:color="auto"/>
              <w:bottom w:val="single" w:sz="6" w:space="0" w:color="auto"/>
              <w:right w:val="single" w:sz="6" w:space="0" w:color="auto"/>
            </w:tcBorders>
            <w:vAlign w:val="center"/>
          </w:tcPr>
          <w:p w14:paraId="406A9430" w14:textId="77777777" w:rsidR="005A3DC8" w:rsidRDefault="005A3DC8" w:rsidP="008231B8">
            <w:pPr>
              <w:spacing w:line="240" w:lineRule="auto"/>
              <w:jc w:val="center"/>
              <w:rPr>
                <w:sz w:val="14"/>
                <w:szCs w:val="14"/>
                <w:lang w:val="en-GB"/>
              </w:rPr>
            </w:pPr>
            <w:r w:rsidRPr="000855B2">
              <w:rPr>
                <w:sz w:val="14"/>
                <w:szCs w:val="14"/>
                <w:lang w:val="en-GB"/>
              </w:rPr>
              <w:t>0.028</w:t>
            </w:r>
          </w:p>
        </w:tc>
        <w:tc>
          <w:tcPr>
            <w:tcW w:w="708" w:type="dxa"/>
            <w:tcBorders>
              <w:top w:val="single" w:sz="6" w:space="0" w:color="auto"/>
              <w:left w:val="single" w:sz="6" w:space="0" w:color="auto"/>
              <w:bottom w:val="single" w:sz="6" w:space="0" w:color="auto"/>
              <w:right w:val="single" w:sz="6" w:space="0" w:color="auto"/>
            </w:tcBorders>
            <w:vAlign w:val="center"/>
          </w:tcPr>
          <w:p w14:paraId="53C3BB58"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16F70ADE"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1E68AFB5" w14:textId="77777777" w:rsidR="005A3DC8" w:rsidRPr="00E44952" w:rsidRDefault="005A3DC8" w:rsidP="008231B8">
            <w:pPr>
              <w:spacing w:line="240" w:lineRule="auto"/>
              <w:jc w:val="center"/>
              <w:rPr>
                <w:sz w:val="14"/>
                <w:szCs w:val="14"/>
                <w:lang w:val="en-GB"/>
              </w:rPr>
            </w:pPr>
            <w:r w:rsidRPr="00E44952">
              <w:rPr>
                <w:sz w:val="14"/>
                <w:szCs w:val="14"/>
                <w:lang w:val="en-GB"/>
              </w:rPr>
              <w:t>8.22E-07</w:t>
            </w:r>
          </w:p>
        </w:tc>
        <w:tc>
          <w:tcPr>
            <w:tcW w:w="850" w:type="dxa"/>
            <w:tcBorders>
              <w:top w:val="single" w:sz="6" w:space="0" w:color="auto"/>
              <w:left w:val="single" w:sz="6" w:space="0" w:color="auto"/>
              <w:bottom w:val="single" w:sz="6" w:space="0" w:color="auto"/>
              <w:right w:val="double" w:sz="4" w:space="0" w:color="auto"/>
            </w:tcBorders>
            <w:vAlign w:val="center"/>
          </w:tcPr>
          <w:p w14:paraId="31296A0D" w14:textId="77777777" w:rsidR="005A3DC8" w:rsidRPr="00E44952" w:rsidRDefault="005A3DC8" w:rsidP="008231B8">
            <w:pPr>
              <w:spacing w:line="240" w:lineRule="auto"/>
              <w:jc w:val="center"/>
              <w:rPr>
                <w:sz w:val="14"/>
                <w:szCs w:val="14"/>
                <w:lang w:val="en-GB"/>
              </w:rPr>
            </w:pPr>
            <w:r w:rsidRPr="00E44952">
              <w:rPr>
                <w:sz w:val="14"/>
                <w:szCs w:val="14"/>
                <w:lang w:val="en-GB"/>
              </w:rPr>
              <w:t>3.53</w:t>
            </w:r>
          </w:p>
        </w:tc>
      </w:tr>
      <w:tr w:rsidR="005A3DC8" w:rsidRPr="000855B2" w14:paraId="2DD33E0F" w14:textId="77777777" w:rsidTr="00887829">
        <w:tc>
          <w:tcPr>
            <w:tcW w:w="1731" w:type="dxa"/>
            <w:vMerge/>
            <w:tcBorders>
              <w:left w:val="double" w:sz="4" w:space="0" w:color="auto"/>
              <w:right w:val="single" w:sz="6" w:space="0" w:color="auto"/>
            </w:tcBorders>
            <w:vAlign w:val="center"/>
          </w:tcPr>
          <w:p w14:paraId="64DB789F"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2AF4D18"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2A2D69B0" w14:textId="77777777" w:rsidR="005A3DC8" w:rsidRDefault="005A3DC8" w:rsidP="008231B8">
            <w:pPr>
              <w:spacing w:line="240" w:lineRule="auto"/>
              <w:jc w:val="center"/>
              <w:rPr>
                <w:sz w:val="14"/>
                <w:szCs w:val="14"/>
                <w:lang w:val="en-GB"/>
              </w:rPr>
            </w:pPr>
            <w:r w:rsidRPr="000855B2">
              <w:rPr>
                <w:sz w:val="14"/>
                <w:szCs w:val="14"/>
                <w:lang w:val="en-GB"/>
              </w:rPr>
              <w:t>11.2</w:t>
            </w:r>
          </w:p>
        </w:tc>
        <w:tc>
          <w:tcPr>
            <w:tcW w:w="793" w:type="dxa"/>
            <w:tcBorders>
              <w:top w:val="single" w:sz="6" w:space="0" w:color="auto"/>
              <w:left w:val="single" w:sz="6" w:space="0" w:color="auto"/>
              <w:bottom w:val="single" w:sz="6" w:space="0" w:color="auto"/>
              <w:right w:val="single" w:sz="6" w:space="0" w:color="auto"/>
            </w:tcBorders>
            <w:vAlign w:val="center"/>
          </w:tcPr>
          <w:p w14:paraId="2B3C41DB" w14:textId="77777777" w:rsidR="005A3DC8" w:rsidRDefault="005A3DC8" w:rsidP="008231B8">
            <w:pPr>
              <w:spacing w:line="240" w:lineRule="auto"/>
              <w:jc w:val="center"/>
              <w:rPr>
                <w:sz w:val="14"/>
                <w:szCs w:val="14"/>
                <w:lang w:val="en-GB"/>
              </w:rPr>
            </w:pPr>
            <w:r w:rsidRPr="000855B2">
              <w:rPr>
                <w:sz w:val="14"/>
                <w:szCs w:val="14"/>
                <w:lang w:val="en-GB"/>
              </w:rPr>
              <w:t>1.84</w:t>
            </w:r>
          </w:p>
        </w:tc>
        <w:tc>
          <w:tcPr>
            <w:tcW w:w="969" w:type="dxa"/>
            <w:tcBorders>
              <w:top w:val="single" w:sz="6" w:space="0" w:color="auto"/>
              <w:left w:val="single" w:sz="6" w:space="0" w:color="auto"/>
              <w:bottom w:val="single" w:sz="6" w:space="0" w:color="auto"/>
              <w:right w:val="single" w:sz="6" w:space="0" w:color="auto"/>
            </w:tcBorders>
            <w:vAlign w:val="center"/>
          </w:tcPr>
          <w:p w14:paraId="41B73BE3" w14:textId="77777777" w:rsidR="005A3DC8" w:rsidRDefault="005A3DC8" w:rsidP="008231B8">
            <w:pPr>
              <w:spacing w:line="240" w:lineRule="auto"/>
              <w:jc w:val="center"/>
              <w:rPr>
                <w:sz w:val="14"/>
                <w:szCs w:val="14"/>
                <w:lang w:val="en-GB"/>
              </w:rPr>
            </w:pPr>
            <w:r w:rsidRPr="000855B2">
              <w:rPr>
                <w:sz w:val="14"/>
                <w:szCs w:val="14"/>
                <w:lang w:val="en-GB"/>
              </w:rPr>
              <w:t>0.104</w:t>
            </w:r>
          </w:p>
        </w:tc>
        <w:tc>
          <w:tcPr>
            <w:tcW w:w="708" w:type="dxa"/>
            <w:tcBorders>
              <w:top w:val="single" w:sz="6" w:space="0" w:color="auto"/>
              <w:left w:val="single" w:sz="6" w:space="0" w:color="auto"/>
              <w:bottom w:val="single" w:sz="6" w:space="0" w:color="auto"/>
              <w:right w:val="single" w:sz="6" w:space="0" w:color="auto"/>
            </w:tcBorders>
            <w:vAlign w:val="center"/>
          </w:tcPr>
          <w:p w14:paraId="2D813853"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515A9F38"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1C9B03BC" w14:textId="77777777" w:rsidR="005A3DC8" w:rsidRPr="00E44952" w:rsidRDefault="005A3DC8" w:rsidP="008231B8">
            <w:pPr>
              <w:spacing w:line="240" w:lineRule="auto"/>
              <w:jc w:val="center"/>
              <w:rPr>
                <w:sz w:val="14"/>
                <w:szCs w:val="14"/>
                <w:lang w:val="en-GB"/>
              </w:rPr>
            </w:pPr>
            <w:r w:rsidRPr="00E44952">
              <w:rPr>
                <w:sz w:val="14"/>
                <w:szCs w:val="14"/>
                <w:lang w:val="en-GB"/>
              </w:rPr>
              <w:t>7.49E-07</w:t>
            </w:r>
          </w:p>
        </w:tc>
        <w:tc>
          <w:tcPr>
            <w:tcW w:w="850" w:type="dxa"/>
            <w:tcBorders>
              <w:top w:val="single" w:sz="6" w:space="0" w:color="auto"/>
              <w:left w:val="single" w:sz="6" w:space="0" w:color="auto"/>
              <w:bottom w:val="single" w:sz="6" w:space="0" w:color="auto"/>
              <w:right w:val="double" w:sz="4" w:space="0" w:color="auto"/>
            </w:tcBorders>
            <w:vAlign w:val="center"/>
          </w:tcPr>
          <w:p w14:paraId="01EAF55A" w14:textId="77777777" w:rsidR="005A3DC8" w:rsidRPr="00E44952" w:rsidRDefault="005A3DC8" w:rsidP="008231B8">
            <w:pPr>
              <w:spacing w:line="240" w:lineRule="auto"/>
              <w:jc w:val="center"/>
              <w:rPr>
                <w:sz w:val="14"/>
                <w:szCs w:val="14"/>
                <w:lang w:val="en-GB"/>
              </w:rPr>
            </w:pPr>
            <w:r w:rsidRPr="00E44952">
              <w:rPr>
                <w:sz w:val="14"/>
                <w:szCs w:val="14"/>
                <w:lang w:val="en-GB"/>
              </w:rPr>
              <w:t>2.83</w:t>
            </w:r>
          </w:p>
        </w:tc>
      </w:tr>
      <w:tr w:rsidR="005A3DC8" w:rsidRPr="000855B2" w14:paraId="423D04C4" w14:textId="77777777" w:rsidTr="00887829">
        <w:tc>
          <w:tcPr>
            <w:tcW w:w="1731" w:type="dxa"/>
            <w:vMerge/>
            <w:tcBorders>
              <w:left w:val="double" w:sz="4" w:space="0" w:color="auto"/>
              <w:bottom w:val="single" w:sz="6" w:space="0" w:color="auto"/>
              <w:right w:val="single" w:sz="6" w:space="0" w:color="auto"/>
            </w:tcBorders>
            <w:vAlign w:val="center"/>
          </w:tcPr>
          <w:p w14:paraId="1C00A06B"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F16E09E"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0BB3ECA3" w14:textId="77777777" w:rsidR="005A3DC8" w:rsidRDefault="005A3DC8" w:rsidP="008231B8">
            <w:pPr>
              <w:spacing w:line="240" w:lineRule="auto"/>
              <w:jc w:val="center"/>
              <w:rPr>
                <w:sz w:val="14"/>
                <w:szCs w:val="14"/>
                <w:lang w:val="en-GB"/>
              </w:rPr>
            </w:pPr>
            <w:r w:rsidRPr="000855B2">
              <w:rPr>
                <w:sz w:val="14"/>
                <w:szCs w:val="14"/>
                <w:lang w:val="en-GB"/>
              </w:rPr>
              <w:t>2.73</w:t>
            </w:r>
          </w:p>
        </w:tc>
        <w:tc>
          <w:tcPr>
            <w:tcW w:w="793" w:type="dxa"/>
            <w:tcBorders>
              <w:top w:val="single" w:sz="6" w:space="0" w:color="auto"/>
              <w:left w:val="single" w:sz="6" w:space="0" w:color="auto"/>
              <w:bottom w:val="single" w:sz="6" w:space="0" w:color="auto"/>
              <w:right w:val="single" w:sz="6" w:space="0" w:color="auto"/>
            </w:tcBorders>
            <w:vAlign w:val="center"/>
          </w:tcPr>
          <w:p w14:paraId="1089D786" w14:textId="77777777" w:rsidR="005A3DC8" w:rsidRDefault="005A3DC8" w:rsidP="008231B8">
            <w:pPr>
              <w:spacing w:line="240" w:lineRule="auto"/>
              <w:jc w:val="center"/>
              <w:rPr>
                <w:sz w:val="14"/>
                <w:szCs w:val="14"/>
                <w:lang w:val="en-GB"/>
              </w:rPr>
            </w:pPr>
            <w:r w:rsidRPr="000855B2">
              <w:rPr>
                <w:sz w:val="14"/>
                <w:szCs w:val="14"/>
                <w:lang w:val="en-GB"/>
              </w:rPr>
              <w:t>0.806</w:t>
            </w:r>
          </w:p>
        </w:tc>
        <w:tc>
          <w:tcPr>
            <w:tcW w:w="969" w:type="dxa"/>
            <w:tcBorders>
              <w:top w:val="single" w:sz="6" w:space="0" w:color="auto"/>
              <w:left w:val="single" w:sz="6" w:space="0" w:color="auto"/>
              <w:bottom w:val="single" w:sz="6" w:space="0" w:color="auto"/>
              <w:right w:val="single" w:sz="6" w:space="0" w:color="auto"/>
            </w:tcBorders>
            <w:vAlign w:val="center"/>
          </w:tcPr>
          <w:p w14:paraId="131DECE6" w14:textId="77777777" w:rsidR="005A3DC8" w:rsidRDefault="005A3DC8" w:rsidP="008231B8">
            <w:pPr>
              <w:spacing w:line="240" w:lineRule="auto"/>
              <w:jc w:val="center"/>
              <w:rPr>
                <w:sz w:val="14"/>
                <w:szCs w:val="14"/>
                <w:lang w:val="en-GB"/>
              </w:rPr>
            </w:pPr>
            <w:r w:rsidRPr="000855B2">
              <w:rPr>
                <w:sz w:val="14"/>
                <w:szCs w:val="14"/>
                <w:lang w:val="en-GB"/>
              </w:rPr>
              <w:t>0.280</w:t>
            </w:r>
          </w:p>
        </w:tc>
        <w:tc>
          <w:tcPr>
            <w:tcW w:w="708" w:type="dxa"/>
            <w:tcBorders>
              <w:top w:val="single" w:sz="6" w:space="0" w:color="auto"/>
              <w:left w:val="single" w:sz="6" w:space="0" w:color="auto"/>
              <w:bottom w:val="single" w:sz="6" w:space="0" w:color="auto"/>
              <w:right w:val="single" w:sz="6" w:space="0" w:color="auto"/>
            </w:tcBorders>
            <w:vAlign w:val="center"/>
          </w:tcPr>
          <w:p w14:paraId="7E15F663"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2B9A3511"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55F2A5D1" w14:textId="77777777" w:rsidR="005A3DC8" w:rsidRPr="00E44952" w:rsidRDefault="005A3DC8" w:rsidP="008231B8">
            <w:pPr>
              <w:spacing w:line="240" w:lineRule="auto"/>
              <w:jc w:val="center"/>
              <w:rPr>
                <w:sz w:val="14"/>
                <w:szCs w:val="14"/>
                <w:lang w:val="en-GB"/>
              </w:rPr>
            </w:pPr>
            <w:r w:rsidRPr="00E44952">
              <w:rPr>
                <w:sz w:val="14"/>
                <w:szCs w:val="14"/>
                <w:lang w:val="en-GB"/>
              </w:rPr>
              <w:t>5.74E-07</w:t>
            </w:r>
          </w:p>
        </w:tc>
        <w:tc>
          <w:tcPr>
            <w:tcW w:w="850" w:type="dxa"/>
            <w:tcBorders>
              <w:top w:val="single" w:sz="6" w:space="0" w:color="auto"/>
              <w:left w:val="single" w:sz="6" w:space="0" w:color="auto"/>
              <w:bottom w:val="single" w:sz="6" w:space="0" w:color="auto"/>
              <w:right w:val="double" w:sz="4" w:space="0" w:color="auto"/>
            </w:tcBorders>
            <w:vAlign w:val="center"/>
          </w:tcPr>
          <w:p w14:paraId="58D01831" w14:textId="77777777" w:rsidR="005A3DC8" w:rsidRPr="00E44952" w:rsidRDefault="005A3DC8" w:rsidP="008231B8">
            <w:pPr>
              <w:spacing w:line="240" w:lineRule="auto"/>
              <w:jc w:val="center"/>
              <w:rPr>
                <w:sz w:val="14"/>
                <w:szCs w:val="14"/>
                <w:lang w:val="en-GB"/>
              </w:rPr>
            </w:pPr>
            <w:r w:rsidRPr="00E44952">
              <w:rPr>
                <w:sz w:val="14"/>
                <w:szCs w:val="14"/>
                <w:lang w:val="en-GB"/>
              </w:rPr>
              <w:t>2.12</w:t>
            </w:r>
          </w:p>
        </w:tc>
      </w:tr>
      <w:tr w:rsidR="005A3DC8" w:rsidRPr="000855B2" w14:paraId="3D61A753" w14:textId="77777777" w:rsidTr="00887829">
        <w:tc>
          <w:tcPr>
            <w:tcW w:w="1731" w:type="dxa"/>
            <w:vMerge w:val="restart"/>
            <w:tcBorders>
              <w:top w:val="single" w:sz="6" w:space="0" w:color="auto"/>
              <w:left w:val="double" w:sz="4" w:space="0" w:color="auto"/>
              <w:right w:val="single" w:sz="6" w:space="0" w:color="auto"/>
            </w:tcBorders>
            <w:vAlign w:val="center"/>
          </w:tcPr>
          <w:p w14:paraId="39EC9B6F" w14:textId="77777777" w:rsidR="005A3DC8" w:rsidRDefault="005A3DC8" w:rsidP="0000485C">
            <w:pPr>
              <w:spacing w:line="240" w:lineRule="auto"/>
              <w:rPr>
                <w:sz w:val="14"/>
                <w:szCs w:val="14"/>
                <w:lang w:val="en-GB"/>
              </w:rPr>
            </w:pPr>
            <w:r w:rsidRPr="000855B2">
              <w:rPr>
                <w:sz w:val="14"/>
                <w:szCs w:val="14"/>
                <w:lang w:val="en-GB"/>
              </w:rPr>
              <w:t>4-stroke &lt;250 cm³</w:t>
            </w:r>
          </w:p>
        </w:tc>
        <w:tc>
          <w:tcPr>
            <w:tcW w:w="1499" w:type="dxa"/>
            <w:tcBorders>
              <w:top w:val="single" w:sz="6" w:space="0" w:color="auto"/>
              <w:left w:val="single" w:sz="6" w:space="0" w:color="auto"/>
              <w:bottom w:val="single" w:sz="6" w:space="0" w:color="auto"/>
              <w:right w:val="single" w:sz="6" w:space="0" w:color="auto"/>
            </w:tcBorders>
            <w:vAlign w:val="center"/>
          </w:tcPr>
          <w:p w14:paraId="4513CF0F"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23FB5535" w14:textId="77777777" w:rsidR="005A3DC8" w:rsidRDefault="005A3DC8" w:rsidP="008231B8">
            <w:pPr>
              <w:spacing w:line="240" w:lineRule="auto"/>
              <w:jc w:val="center"/>
              <w:rPr>
                <w:sz w:val="14"/>
                <w:szCs w:val="14"/>
                <w:lang w:val="en-GB"/>
              </w:rPr>
            </w:pPr>
            <w:r w:rsidRPr="000855B2">
              <w:rPr>
                <w:sz w:val="14"/>
                <w:szCs w:val="14"/>
                <w:lang w:val="en-GB"/>
              </w:rPr>
              <w:t>32.8</w:t>
            </w:r>
          </w:p>
        </w:tc>
        <w:tc>
          <w:tcPr>
            <w:tcW w:w="793" w:type="dxa"/>
            <w:tcBorders>
              <w:top w:val="single" w:sz="6" w:space="0" w:color="auto"/>
              <w:left w:val="single" w:sz="6" w:space="0" w:color="auto"/>
              <w:bottom w:val="single" w:sz="6" w:space="0" w:color="auto"/>
              <w:right w:val="single" w:sz="6" w:space="0" w:color="auto"/>
            </w:tcBorders>
            <w:vAlign w:val="center"/>
          </w:tcPr>
          <w:p w14:paraId="7C009529" w14:textId="77777777" w:rsidR="005A3DC8" w:rsidRDefault="005A3DC8" w:rsidP="008231B8">
            <w:pPr>
              <w:spacing w:line="240" w:lineRule="auto"/>
              <w:jc w:val="center"/>
              <w:rPr>
                <w:sz w:val="14"/>
                <w:szCs w:val="14"/>
                <w:lang w:val="en-GB"/>
              </w:rPr>
            </w:pPr>
            <w:r w:rsidRPr="000855B2">
              <w:rPr>
                <w:sz w:val="14"/>
                <w:szCs w:val="14"/>
                <w:lang w:val="en-GB"/>
              </w:rPr>
              <w:t>2.06</w:t>
            </w:r>
          </w:p>
        </w:tc>
        <w:tc>
          <w:tcPr>
            <w:tcW w:w="969" w:type="dxa"/>
            <w:tcBorders>
              <w:top w:val="single" w:sz="6" w:space="0" w:color="auto"/>
              <w:left w:val="single" w:sz="6" w:space="0" w:color="auto"/>
              <w:bottom w:val="single" w:sz="6" w:space="0" w:color="auto"/>
              <w:right w:val="single" w:sz="6" w:space="0" w:color="auto"/>
            </w:tcBorders>
            <w:vAlign w:val="center"/>
          </w:tcPr>
          <w:p w14:paraId="3D674DF7" w14:textId="77777777" w:rsidR="005A3DC8" w:rsidRDefault="005A3DC8" w:rsidP="008231B8">
            <w:pPr>
              <w:spacing w:line="240" w:lineRule="auto"/>
              <w:jc w:val="center"/>
              <w:rPr>
                <w:sz w:val="14"/>
                <w:szCs w:val="14"/>
                <w:lang w:val="en-GB"/>
              </w:rPr>
            </w:pPr>
            <w:r w:rsidRPr="000855B2">
              <w:rPr>
                <w:sz w:val="14"/>
                <w:szCs w:val="14"/>
                <w:lang w:val="en-GB"/>
              </w:rPr>
              <w:t>0.225</w:t>
            </w:r>
          </w:p>
        </w:tc>
        <w:tc>
          <w:tcPr>
            <w:tcW w:w="708" w:type="dxa"/>
            <w:tcBorders>
              <w:top w:val="single" w:sz="6" w:space="0" w:color="auto"/>
              <w:left w:val="single" w:sz="6" w:space="0" w:color="auto"/>
              <w:bottom w:val="single" w:sz="6" w:space="0" w:color="auto"/>
              <w:right w:val="single" w:sz="6" w:space="0" w:color="auto"/>
            </w:tcBorders>
            <w:vAlign w:val="center"/>
          </w:tcPr>
          <w:p w14:paraId="3F26D12D"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4F337A06"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04DD0762" w14:textId="77777777" w:rsidR="005A3DC8" w:rsidRPr="00E44952" w:rsidRDefault="005A3DC8" w:rsidP="008231B8">
            <w:pPr>
              <w:spacing w:line="240" w:lineRule="auto"/>
              <w:jc w:val="center"/>
              <w:rPr>
                <w:sz w:val="14"/>
                <w:szCs w:val="14"/>
                <w:lang w:val="en-GB"/>
              </w:rPr>
            </w:pPr>
            <w:r w:rsidRPr="00E44952">
              <w:rPr>
                <w:sz w:val="14"/>
                <w:szCs w:val="14"/>
                <w:lang w:val="en-GB"/>
              </w:rPr>
              <w:t>1.06E-06</w:t>
            </w:r>
          </w:p>
        </w:tc>
        <w:tc>
          <w:tcPr>
            <w:tcW w:w="850" w:type="dxa"/>
            <w:tcBorders>
              <w:top w:val="single" w:sz="6" w:space="0" w:color="auto"/>
              <w:left w:val="single" w:sz="6" w:space="0" w:color="auto"/>
              <w:bottom w:val="single" w:sz="6" w:space="0" w:color="auto"/>
              <w:right w:val="double" w:sz="4" w:space="0" w:color="auto"/>
            </w:tcBorders>
            <w:vAlign w:val="center"/>
          </w:tcPr>
          <w:p w14:paraId="2E70EDDB"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398</w:t>
            </w:r>
          </w:p>
        </w:tc>
      </w:tr>
      <w:tr w:rsidR="005A3DC8" w:rsidRPr="000855B2" w14:paraId="73E6C449" w14:textId="77777777" w:rsidTr="00887829">
        <w:tc>
          <w:tcPr>
            <w:tcW w:w="1731" w:type="dxa"/>
            <w:vMerge/>
            <w:tcBorders>
              <w:left w:val="double" w:sz="4" w:space="0" w:color="auto"/>
              <w:right w:val="single" w:sz="6" w:space="0" w:color="auto"/>
            </w:tcBorders>
            <w:vAlign w:val="center"/>
          </w:tcPr>
          <w:p w14:paraId="665D00E7"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18F89163"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12EE32EC" w14:textId="77777777" w:rsidR="005A3DC8" w:rsidRDefault="005A3DC8" w:rsidP="008231B8">
            <w:pPr>
              <w:spacing w:line="240" w:lineRule="auto"/>
              <w:jc w:val="center"/>
              <w:rPr>
                <w:sz w:val="14"/>
                <w:szCs w:val="14"/>
                <w:lang w:val="en-GB"/>
              </w:rPr>
            </w:pPr>
            <w:r w:rsidRPr="000855B2">
              <w:rPr>
                <w:sz w:val="14"/>
                <w:szCs w:val="14"/>
                <w:lang w:val="en-GB"/>
              </w:rPr>
              <w:t>13.6</w:t>
            </w:r>
          </w:p>
        </w:tc>
        <w:tc>
          <w:tcPr>
            <w:tcW w:w="793" w:type="dxa"/>
            <w:tcBorders>
              <w:top w:val="single" w:sz="6" w:space="0" w:color="auto"/>
              <w:left w:val="single" w:sz="6" w:space="0" w:color="auto"/>
              <w:bottom w:val="single" w:sz="6" w:space="0" w:color="auto"/>
              <w:right w:val="single" w:sz="6" w:space="0" w:color="auto"/>
            </w:tcBorders>
            <w:vAlign w:val="center"/>
          </w:tcPr>
          <w:p w14:paraId="572444CD" w14:textId="77777777" w:rsidR="005A3DC8" w:rsidRDefault="005A3DC8" w:rsidP="008231B8">
            <w:pPr>
              <w:spacing w:line="240" w:lineRule="auto"/>
              <w:jc w:val="center"/>
              <w:rPr>
                <w:sz w:val="14"/>
                <w:szCs w:val="14"/>
                <w:lang w:val="en-GB"/>
              </w:rPr>
            </w:pPr>
            <w:r w:rsidRPr="000855B2">
              <w:rPr>
                <w:sz w:val="14"/>
                <w:szCs w:val="14"/>
                <w:lang w:val="en-GB"/>
              </w:rPr>
              <w:t>1.08</w:t>
            </w:r>
          </w:p>
        </w:tc>
        <w:tc>
          <w:tcPr>
            <w:tcW w:w="969" w:type="dxa"/>
            <w:tcBorders>
              <w:top w:val="single" w:sz="6" w:space="0" w:color="auto"/>
              <w:left w:val="single" w:sz="6" w:space="0" w:color="auto"/>
              <w:bottom w:val="single" w:sz="6" w:space="0" w:color="auto"/>
              <w:right w:val="single" w:sz="6" w:space="0" w:color="auto"/>
            </w:tcBorders>
            <w:vAlign w:val="center"/>
          </w:tcPr>
          <w:p w14:paraId="257047BD" w14:textId="77777777" w:rsidR="005A3DC8" w:rsidRDefault="005A3DC8" w:rsidP="008231B8">
            <w:pPr>
              <w:spacing w:line="240" w:lineRule="auto"/>
              <w:jc w:val="center"/>
              <w:rPr>
                <w:sz w:val="14"/>
                <w:szCs w:val="14"/>
                <w:lang w:val="en-GB"/>
              </w:rPr>
            </w:pPr>
            <w:r w:rsidRPr="000855B2">
              <w:rPr>
                <w:sz w:val="14"/>
                <w:szCs w:val="14"/>
                <w:lang w:val="en-GB"/>
              </w:rPr>
              <w:t>0.445</w:t>
            </w:r>
          </w:p>
        </w:tc>
        <w:tc>
          <w:tcPr>
            <w:tcW w:w="708" w:type="dxa"/>
            <w:tcBorders>
              <w:top w:val="single" w:sz="6" w:space="0" w:color="auto"/>
              <w:left w:val="single" w:sz="6" w:space="0" w:color="auto"/>
              <w:bottom w:val="single" w:sz="6" w:space="0" w:color="auto"/>
              <w:right w:val="single" w:sz="6" w:space="0" w:color="auto"/>
            </w:tcBorders>
            <w:vAlign w:val="center"/>
          </w:tcPr>
          <w:p w14:paraId="5F7CDA47"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53CEAD9C"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3AE70F04"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4D37E205"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309</w:t>
            </w:r>
          </w:p>
        </w:tc>
      </w:tr>
      <w:tr w:rsidR="005A3DC8" w:rsidRPr="000855B2" w14:paraId="70224F07" w14:textId="77777777" w:rsidTr="00887829">
        <w:tc>
          <w:tcPr>
            <w:tcW w:w="1731" w:type="dxa"/>
            <w:vMerge/>
            <w:tcBorders>
              <w:left w:val="double" w:sz="4" w:space="0" w:color="auto"/>
              <w:right w:val="single" w:sz="6" w:space="0" w:color="auto"/>
            </w:tcBorders>
            <w:vAlign w:val="center"/>
          </w:tcPr>
          <w:p w14:paraId="770528FD"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1C027783"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25AF8AF9" w14:textId="77777777" w:rsidR="005A3DC8" w:rsidRDefault="005A3DC8" w:rsidP="008231B8">
            <w:pPr>
              <w:spacing w:line="240" w:lineRule="auto"/>
              <w:jc w:val="center"/>
              <w:rPr>
                <w:sz w:val="14"/>
                <w:szCs w:val="14"/>
                <w:lang w:val="en-GB"/>
              </w:rPr>
            </w:pPr>
            <w:r w:rsidRPr="000855B2">
              <w:rPr>
                <w:sz w:val="14"/>
                <w:szCs w:val="14"/>
                <w:lang w:val="en-GB"/>
              </w:rPr>
              <w:t>7.17</w:t>
            </w:r>
          </w:p>
        </w:tc>
        <w:tc>
          <w:tcPr>
            <w:tcW w:w="793" w:type="dxa"/>
            <w:tcBorders>
              <w:top w:val="single" w:sz="6" w:space="0" w:color="auto"/>
              <w:left w:val="single" w:sz="6" w:space="0" w:color="auto"/>
              <w:bottom w:val="single" w:sz="6" w:space="0" w:color="auto"/>
              <w:right w:val="single" w:sz="6" w:space="0" w:color="auto"/>
            </w:tcBorders>
            <w:vAlign w:val="center"/>
          </w:tcPr>
          <w:p w14:paraId="5A7336A4" w14:textId="77777777" w:rsidR="005A3DC8" w:rsidRDefault="005A3DC8" w:rsidP="008231B8">
            <w:pPr>
              <w:spacing w:line="240" w:lineRule="auto"/>
              <w:jc w:val="center"/>
              <w:rPr>
                <w:sz w:val="14"/>
                <w:szCs w:val="14"/>
                <w:lang w:val="en-GB"/>
              </w:rPr>
            </w:pPr>
            <w:r w:rsidRPr="000855B2">
              <w:rPr>
                <w:sz w:val="14"/>
                <w:szCs w:val="14"/>
                <w:lang w:val="en-GB"/>
              </w:rPr>
              <w:t>0.839</w:t>
            </w:r>
          </w:p>
        </w:tc>
        <w:tc>
          <w:tcPr>
            <w:tcW w:w="969" w:type="dxa"/>
            <w:tcBorders>
              <w:top w:val="single" w:sz="6" w:space="0" w:color="auto"/>
              <w:left w:val="single" w:sz="6" w:space="0" w:color="auto"/>
              <w:bottom w:val="single" w:sz="6" w:space="0" w:color="auto"/>
              <w:right w:val="single" w:sz="6" w:space="0" w:color="auto"/>
            </w:tcBorders>
            <w:vAlign w:val="center"/>
          </w:tcPr>
          <w:p w14:paraId="110416A9" w14:textId="77777777" w:rsidR="005A3DC8" w:rsidRDefault="005A3DC8" w:rsidP="008231B8">
            <w:pPr>
              <w:spacing w:line="240" w:lineRule="auto"/>
              <w:jc w:val="center"/>
              <w:rPr>
                <w:sz w:val="14"/>
                <w:szCs w:val="14"/>
                <w:lang w:val="en-GB"/>
              </w:rPr>
            </w:pPr>
            <w:r w:rsidRPr="000855B2">
              <w:rPr>
                <w:sz w:val="14"/>
                <w:szCs w:val="14"/>
                <w:lang w:val="en-GB"/>
              </w:rPr>
              <w:t>0.317</w:t>
            </w:r>
          </w:p>
        </w:tc>
        <w:tc>
          <w:tcPr>
            <w:tcW w:w="708" w:type="dxa"/>
            <w:tcBorders>
              <w:top w:val="single" w:sz="6" w:space="0" w:color="auto"/>
              <w:left w:val="single" w:sz="6" w:space="0" w:color="auto"/>
              <w:bottom w:val="single" w:sz="6" w:space="0" w:color="auto"/>
              <w:right w:val="single" w:sz="6" w:space="0" w:color="auto"/>
            </w:tcBorders>
            <w:vAlign w:val="center"/>
          </w:tcPr>
          <w:p w14:paraId="64E60624"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67868E7C"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30150B1B"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3257DF67"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221</w:t>
            </w:r>
          </w:p>
        </w:tc>
      </w:tr>
      <w:tr w:rsidR="005A3DC8" w:rsidRPr="000855B2" w14:paraId="6C256798" w14:textId="77777777" w:rsidTr="00887829">
        <w:tc>
          <w:tcPr>
            <w:tcW w:w="1731" w:type="dxa"/>
            <w:vMerge/>
            <w:tcBorders>
              <w:left w:val="double" w:sz="4" w:space="0" w:color="auto"/>
              <w:bottom w:val="single" w:sz="6" w:space="0" w:color="auto"/>
              <w:right w:val="single" w:sz="6" w:space="0" w:color="auto"/>
            </w:tcBorders>
            <w:vAlign w:val="center"/>
          </w:tcPr>
          <w:p w14:paraId="6F3EACDC"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27A74B9"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3EDCC056" w14:textId="77777777" w:rsidR="005A3DC8" w:rsidRDefault="005A3DC8" w:rsidP="008231B8">
            <w:pPr>
              <w:spacing w:line="240" w:lineRule="auto"/>
              <w:jc w:val="center"/>
              <w:rPr>
                <w:sz w:val="14"/>
                <w:szCs w:val="14"/>
                <w:lang w:val="en-GB"/>
              </w:rPr>
            </w:pPr>
            <w:r w:rsidRPr="000855B2">
              <w:rPr>
                <w:sz w:val="14"/>
                <w:szCs w:val="14"/>
                <w:lang w:val="en-GB"/>
              </w:rPr>
              <w:t>3.03</w:t>
            </w:r>
          </w:p>
        </w:tc>
        <w:tc>
          <w:tcPr>
            <w:tcW w:w="793" w:type="dxa"/>
            <w:tcBorders>
              <w:top w:val="single" w:sz="6" w:space="0" w:color="auto"/>
              <w:left w:val="single" w:sz="6" w:space="0" w:color="auto"/>
              <w:bottom w:val="single" w:sz="6" w:space="0" w:color="auto"/>
              <w:right w:val="single" w:sz="6" w:space="0" w:color="auto"/>
            </w:tcBorders>
            <w:vAlign w:val="center"/>
          </w:tcPr>
          <w:p w14:paraId="35CB88FF" w14:textId="77777777" w:rsidR="005A3DC8" w:rsidRDefault="005A3DC8" w:rsidP="008231B8">
            <w:pPr>
              <w:spacing w:line="240" w:lineRule="auto"/>
              <w:jc w:val="center"/>
              <w:rPr>
                <w:sz w:val="14"/>
                <w:szCs w:val="14"/>
                <w:lang w:val="en-GB"/>
              </w:rPr>
            </w:pPr>
            <w:r w:rsidRPr="000855B2">
              <w:rPr>
                <w:sz w:val="14"/>
                <w:szCs w:val="14"/>
                <w:lang w:val="en-GB"/>
              </w:rPr>
              <w:t>0.465</w:t>
            </w:r>
          </w:p>
        </w:tc>
        <w:tc>
          <w:tcPr>
            <w:tcW w:w="969" w:type="dxa"/>
            <w:tcBorders>
              <w:top w:val="single" w:sz="6" w:space="0" w:color="auto"/>
              <w:left w:val="single" w:sz="6" w:space="0" w:color="auto"/>
              <w:bottom w:val="single" w:sz="6" w:space="0" w:color="auto"/>
              <w:right w:val="single" w:sz="6" w:space="0" w:color="auto"/>
            </w:tcBorders>
            <w:vAlign w:val="center"/>
          </w:tcPr>
          <w:p w14:paraId="5C536BBD" w14:textId="77777777" w:rsidR="005A3DC8" w:rsidRDefault="005A3DC8" w:rsidP="008231B8">
            <w:pPr>
              <w:spacing w:line="240" w:lineRule="auto"/>
              <w:jc w:val="center"/>
              <w:rPr>
                <w:sz w:val="14"/>
                <w:szCs w:val="14"/>
                <w:lang w:val="en-GB"/>
              </w:rPr>
            </w:pPr>
            <w:r w:rsidRPr="000855B2">
              <w:rPr>
                <w:sz w:val="14"/>
                <w:szCs w:val="14"/>
                <w:lang w:val="en-GB"/>
              </w:rPr>
              <w:t>0.194</w:t>
            </w:r>
          </w:p>
        </w:tc>
        <w:tc>
          <w:tcPr>
            <w:tcW w:w="708" w:type="dxa"/>
            <w:tcBorders>
              <w:top w:val="single" w:sz="6" w:space="0" w:color="auto"/>
              <w:left w:val="single" w:sz="6" w:space="0" w:color="auto"/>
              <w:bottom w:val="single" w:sz="6" w:space="0" w:color="auto"/>
              <w:right w:val="single" w:sz="6" w:space="0" w:color="auto"/>
            </w:tcBorders>
            <w:vAlign w:val="center"/>
          </w:tcPr>
          <w:p w14:paraId="075907FB"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7D93E53F"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2DCEA384"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6B63BBB8"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133</w:t>
            </w:r>
          </w:p>
        </w:tc>
      </w:tr>
      <w:tr w:rsidR="005A3DC8" w:rsidRPr="000855B2" w14:paraId="3AED8D43" w14:textId="77777777" w:rsidTr="00887829">
        <w:tc>
          <w:tcPr>
            <w:tcW w:w="1731" w:type="dxa"/>
            <w:vMerge w:val="restart"/>
            <w:tcBorders>
              <w:top w:val="single" w:sz="6" w:space="0" w:color="auto"/>
              <w:left w:val="double" w:sz="4" w:space="0" w:color="auto"/>
              <w:right w:val="single" w:sz="6" w:space="0" w:color="auto"/>
            </w:tcBorders>
            <w:vAlign w:val="center"/>
          </w:tcPr>
          <w:p w14:paraId="720425D5" w14:textId="77777777" w:rsidR="005A3DC8" w:rsidRDefault="005A3DC8" w:rsidP="0000485C">
            <w:pPr>
              <w:spacing w:line="240" w:lineRule="auto"/>
              <w:rPr>
                <w:sz w:val="14"/>
                <w:szCs w:val="14"/>
                <w:lang w:val="en-GB"/>
              </w:rPr>
            </w:pPr>
            <w:r w:rsidRPr="000855B2">
              <w:rPr>
                <w:sz w:val="14"/>
                <w:szCs w:val="14"/>
                <w:lang w:val="en-GB"/>
              </w:rPr>
              <w:t>4-stroke 250 - 750 cm³</w:t>
            </w:r>
          </w:p>
        </w:tc>
        <w:tc>
          <w:tcPr>
            <w:tcW w:w="1499" w:type="dxa"/>
            <w:tcBorders>
              <w:top w:val="single" w:sz="6" w:space="0" w:color="auto"/>
              <w:left w:val="single" w:sz="6" w:space="0" w:color="auto"/>
              <w:bottom w:val="single" w:sz="6" w:space="0" w:color="auto"/>
              <w:right w:val="single" w:sz="6" w:space="0" w:color="auto"/>
            </w:tcBorders>
            <w:vAlign w:val="center"/>
          </w:tcPr>
          <w:p w14:paraId="242C40B6"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50BB41FC" w14:textId="77777777" w:rsidR="005A3DC8" w:rsidRDefault="005A3DC8" w:rsidP="008231B8">
            <w:pPr>
              <w:spacing w:line="240" w:lineRule="auto"/>
              <w:jc w:val="center"/>
              <w:rPr>
                <w:sz w:val="14"/>
                <w:szCs w:val="14"/>
                <w:lang w:val="en-GB"/>
              </w:rPr>
            </w:pPr>
            <w:r w:rsidRPr="000855B2">
              <w:rPr>
                <w:sz w:val="14"/>
                <w:szCs w:val="14"/>
                <w:lang w:val="en-GB"/>
              </w:rPr>
              <w:t>25.7</w:t>
            </w:r>
          </w:p>
        </w:tc>
        <w:tc>
          <w:tcPr>
            <w:tcW w:w="793" w:type="dxa"/>
            <w:tcBorders>
              <w:top w:val="single" w:sz="6" w:space="0" w:color="auto"/>
              <w:left w:val="single" w:sz="6" w:space="0" w:color="auto"/>
              <w:bottom w:val="single" w:sz="6" w:space="0" w:color="auto"/>
              <w:right w:val="single" w:sz="6" w:space="0" w:color="auto"/>
            </w:tcBorders>
            <w:vAlign w:val="center"/>
          </w:tcPr>
          <w:p w14:paraId="3ADF3F68" w14:textId="77777777" w:rsidR="005A3DC8" w:rsidRDefault="005A3DC8" w:rsidP="008231B8">
            <w:pPr>
              <w:spacing w:line="240" w:lineRule="auto"/>
              <w:jc w:val="center"/>
              <w:rPr>
                <w:sz w:val="14"/>
                <w:szCs w:val="14"/>
                <w:lang w:val="en-GB"/>
              </w:rPr>
            </w:pPr>
            <w:r w:rsidRPr="000855B2">
              <w:rPr>
                <w:sz w:val="14"/>
                <w:szCs w:val="14"/>
                <w:lang w:val="en-GB"/>
              </w:rPr>
              <w:t>1.68</w:t>
            </w:r>
          </w:p>
        </w:tc>
        <w:tc>
          <w:tcPr>
            <w:tcW w:w="969" w:type="dxa"/>
            <w:tcBorders>
              <w:top w:val="single" w:sz="6" w:space="0" w:color="auto"/>
              <w:left w:val="single" w:sz="6" w:space="0" w:color="auto"/>
              <w:bottom w:val="single" w:sz="6" w:space="0" w:color="auto"/>
              <w:right w:val="single" w:sz="6" w:space="0" w:color="auto"/>
            </w:tcBorders>
            <w:vAlign w:val="center"/>
          </w:tcPr>
          <w:p w14:paraId="219050F9" w14:textId="77777777" w:rsidR="005A3DC8" w:rsidRDefault="005A3DC8" w:rsidP="008231B8">
            <w:pPr>
              <w:spacing w:line="240" w:lineRule="auto"/>
              <w:jc w:val="center"/>
              <w:rPr>
                <w:sz w:val="14"/>
                <w:szCs w:val="14"/>
                <w:lang w:val="en-GB"/>
              </w:rPr>
            </w:pPr>
            <w:r w:rsidRPr="000855B2">
              <w:rPr>
                <w:sz w:val="14"/>
                <w:szCs w:val="14"/>
                <w:lang w:val="en-GB"/>
              </w:rPr>
              <w:t>0.233</w:t>
            </w:r>
          </w:p>
        </w:tc>
        <w:tc>
          <w:tcPr>
            <w:tcW w:w="708" w:type="dxa"/>
            <w:tcBorders>
              <w:top w:val="single" w:sz="6" w:space="0" w:color="auto"/>
              <w:left w:val="single" w:sz="6" w:space="0" w:color="auto"/>
              <w:bottom w:val="single" w:sz="6" w:space="0" w:color="auto"/>
              <w:right w:val="single" w:sz="6" w:space="0" w:color="auto"/>
            </w:tcBorders>
            <w:vAlign w:val="center"/>
          </w:tcPr>
          <w:p w14:paraId="387F3248"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02B8B520"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03092C40" w14:textId="77777777" w:rsidR="005A3DC8" w:rsidRPr="00E44952" w:rsidRDefault="005A3DC8" w:rsidP="008231B8">
            <w:pPr>
              <w:spacing w:line="240" w:lineRule="auto"/>
              <w:jc w:val="center"/>
              <w:rPr>
                <w:sz w:val="14"/>
                <w:szCs w:val="14"/>
                <w:lang w:val="en-GB"/>
              </w:rPr>
            </w:pPr>
            <w:r w:rsidRPr="00E44952">
              <w:rPr>
                <w:sz w:val="14"/>
                <w:szCs w:val="14"/>
                <w:lang w:val="en-GB"/>
              </w:rPr>
              <w:t>1.23E-06</w:t>
            </w:r>
          </w:p>
        </w:tc>
        <w:tc>
          <w:tcPr>
            <w:tcW w:w="850" w:type="dxa"/>
            <w:tcBorders>
              <w:top w:val="single" w:sz="6" w:space="0" w:color="auto"/>
              <w:left w:val="single" w:sz="6" w:space="0" w:color="auto"/>
              <w:bottom w:val="single" w:sz="6" w:space="0" w:color="auto"/>
              <w:right w:val="double" w:sz="4" w:space="0" w:color="auto"/>
            </w:tcBorders>
            <w:vAlign w:val="center"/>
          </w:tcPr>
          <w:p w14:paraId="11F33965"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398</w:t>
            </w:r>
          </w:p>
        </w:tc>
      </w:tr>
      <w:tr w:rsidR="005A3DC8" w:rsidRPr="000855B2" w14:paraId="4D043A7D" w14:textId="77777777" w:rsidTr="00887829">
        <w:tc>
          <w:tcPr>
            <w:tcW w:w="1731" w:type="dxa"/>
            <w:vMerge/>
            <w:tcBorders>
              <w:left w:val="double" w:sz="4" w:space="0" w:color="auto"/>
              <w:right w:val="single" w:sz="6" w:space="0" w:color="auto"/>
            </w:tcBorders>
            <w:vAlign w:val="center"/>
          </w:tcPr>
          <w:p w14:paraId="465110AF"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2EF9ECEE"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45033AC1" w14:textId="77777777" w:rsidR="005A3DC8" w:rsidRDefault="005A3DC8" w:rsidP="008231B8">
            <w:pPr>
              <w:spacing w:line="240" w:lineRule="auto"/>
              <w:jc w:val="center"/>
              <w:rPr>
                <w:sz w:val="14"/>
                <w:szCs w:val="14"/>
                <w:lang w:val="en-GB"/>
              </w:rPr>
            </w:pPr>
            <w:r w:rsidRPr="000855B2">
              <w:rPr>
                <w:sz w:val="14"/>
                <w:szCs w:val="14"/>
                <w:lang w:val="en-GB"/>
              </w:rPr>
              <w:t>13.8</w:t>
            </w:r>
          </w:p>
        </w:tc>
        <w:tc>
          <w:tcPr>
            <w:tcW w:w="793" w:type="dxa"/>
            <w:tcBorders>
              <w:top w:val="single" w:sz="6" w:space="0" w:color="auto"/>
              <w:left w:val="single" w:sz="6" w:space="0" w:color="auto"/>
              <w:bottom w:val="single" w:sz="6" w:space="0" w:color="auto"/>
              <w:right w:val="single" w:sz="6" w:space="0" w:color="auto"/>
            </w:tcBorders>
            <w:vAlign w:val="center"/>
          </w:tcPr>
          <w:p w14:paraId="27F1E537" w14:textId="77777777" w:rsidR="005A3DC8" w:rsidRDefault="005A3DC8" w:rsidP="008231B8">
            <w:pPr>
              <w:spacing w:line="240" w:lineRule="auto"/>
              <w:jc w:val="center"/>
              <w:rPr>
                <w:sz w:val="14"/>
                <w:szCs w:val="14"/>
                <w:lang w:val="en-GB"/>
              </w:rPr>
            </w:pPr>
            <w:r w:rsidRPr="000855B2">
              <w:rPr>
                <w:sz w:val="14"/>
                <w:szCs w:val="14"/>
                <w:lang w:val="en-GB"/>
              </w:rPr>
              <w:t>1.19</w:t>
            </w:r>
          </w:p>
        </w:tc>
        <w:tc>
          <w:tcPr>
            <w:tcW w:w="969" w:type="dxa"/>
            <w:tcBorders>
              <w:top w:val="single" w:sz="6" w:space="0" w:color="auto"/>
              <w:left w:val="single" w:sz="6" w:space="0" w:color="auto"/>
              <w:bottom w:val="single" w:sz="6" w:space="0" w:color="auto"/>
              <w:right w:val="single" w:sz="6" w:space="0" w:color="auto"/>
            </w:tcBorders>
            <w:vAlign w:val="center"/>
          </w:tcPr>
          <w:p w14:paraId="05F3466D" w14:textId="77777777" w:rsidR="005A3DC8" w:rsidRDefault="005A3DC8" w:rsidP="008231B8">
            <w:pPr>
              <w:spacing w:line="240" w:lineRule="auto"/>
              <w:jc w:val="center"/>
              <w:rPr>
                <w:sz w:val="14"/>
                <w:szCs w:val="14"/>
                <w:lang w:val="en-GB"/>
              </w:rPr>
            </w:pPr>
            <w:r w:rsidRPr="000855B2">
              <w:rPr>
                <w:sz w:val="14"/>
                <w:szCs w:val="14"/>
                <w:lang w:val="en-GB"/>
              </w:rPr>
              <w:t>0.477</w:t>
            </w:r>
          </w:p>
        </w:tc>
        <w:tc>
          <w:tcPr>
            <w:tcW w:w="708" w:type="dxa"/>
            <w:tcBorders>
              <w:top w:val="single" w:sz="6" w:space="0" w:color="auto"/>
              <w:left w:val="single" w:sz="6" w:space="0" w:color="auto"/>
              <w:bottom w:val="single" w:sz="6" w:space="0" w:color="auto"/>
              <w:right w:val="single" w:sz="6" w:space="0" w:color="auto"/>
            </w:tcBorders>
            <w:vAlign w:val="center"/>
          </w:tcPr>
          <w:p w14:paraId="60E17619"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447C8741"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785DB136"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3D645456"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309</w:t>
            </w:r>
          </w:p>
        </w:tc>
      </w:tr>
      <w:tr w:rsidR="005A3DC8" w:rsidRPr="000855B2" w14:paraId="7D9C8F2F" w14:textId="77777777" w:rsidTr="00887829">
        <w:tc>
          <w:tcPr>
            <w:tcW w:w="1731" w:type="dxa"/>
            <w:vMerge/>
            <w:tcBorders>
              <w:left w:val="double" w:sz="4" w:space="0" w:color="auto"/>
              <w:right w:val="single" w:sz="6" w:space="0" w:color="auto"/>
            </w:tcBorders>
            <w:vAlign w:val="center"/>
          </w:tcPr>
          <w:p w14:paraId="36449FAF"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01AEC0FD"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282E572B" w14:textId="77777777" w:rsidR="005A3DC8" w:rsidRDefault="005A3DC8" w:rsidP="008231B8">
            <w:pPr>
              <w:spacing w:line="240" w:lineRule="auto"/>
              <w:jc w:val="center"/>
              <w:rPr>
                <w:sz w:val="14"/>
                <w:szCs w:val="14"/>
                <w:lang w:val="en-GB"/>
              </w:rPr>
            </w:pPr>
            <w:r w:rsidRPr="000855B2">
              <w:rPr>
                <w:sz w:val="14"/>
                <w:szCs w:val="14"/>
                <w:lang w:val="en-GB"/>
              </w:rPr>
              <w:t>7.17</w:t>
            </w:r>
          </w:p>
        </w:tc>
        <w:tc>
          <w:tcPr>
            <w:tcW w:w="793" w:type="dxa"/>
            <w:tcBorders>
              <w:top w:val="single" w:sz="6" w:space="0" w:color="auto"/>
              <w:left w:val="single" w:sz="6" w:space="0" w:color="auto"/>
              <w:bottom w:val="single" w:sz="6" w:space="0" w:color="auto"/>
              <w:right w:val="single" w:sz="6" w:space="0" w:color="auto"/>
            </w:tcBorders>
            <w:vAlign w:val="center"/>
          </w:tcPr>
          <w:p w14:paraId="14D2DB60" w14:textId="77777777" w:rsidR="005A3DC8" w:rsidRDefault="005A3DC8" w:rsidP="008231B8">
            <w:pPr>
              <w:spacing w:line="240" w:lineRule="auto"/>
              <w:jc w:val="center"/>
              <w:rPr>
                <w:sz w:val="14"/>
                <w:szCs w:val="14"/>
                <w:lang w:val="en-GB"/>
              </w:rPr>
            </w:pPr>
            <w:r w:rsidRPr="000855B2">
              <w:rPr>
                <w:sz w:val="14"/>
                <w:szCs w:val="14"/>
                <w:lang w:val="en-GB"/>
              </w:rPr>
              <w:t>0.918</w:t>
            </w:r>
          </w:p>
        </w:tc>
        <w:tc>
          <w:tcPr>
            <w:tcW w:w="969" w:type="dxa"/>
            <w:tcBorders>
              <w:top w:val="single" w:sz="6" w:space="0" w:color="auto"/>
              <w:left w:val="single" w:sz="6" w:space="0" w:color="auto"/>
              <w:bottom w:val="single" w:sz="6" w:space="0" w:color="auto"/>
              <w:right w:val="single" w:sz="6" w:space="0" w:color="auto"/>
            </w:tcBorders>
            <w:vAlign w:val="center"/>
          </w:tcPr>
          <w:p w14:paraId="7836B8AE" w14:textId="77777777" w:rsidR="005A3DC8" w:rsidRDefault="005A3DC8" w:rsidP="008231B8">
            <w:pPr>
              <w:spacing w:line="240" w:lineRule="auto"/>
              <w:jc w:val="center"/>
              <w:rPr>
                <w:sz w:val="14"/>
                <w:szCs w:val="14"/>
                <w:lang w:val="en-GB"/>
              </w:rPr>
            </w:pPr>
            <w:r w:rsidRPr="000855B2">
              <w:rPr>
                <w:sz w:val="14"/>
                <w:szCs w:val="14"/>
                <w:lang w:val="en-GB"/>
              </w:rPr>
              <w:t>0.317</w:t>
            </w:r>
          </w:p>
        </w:tc>
        <w:tc>
          <w:tcPr>
            <w:tcW w:w="708" w:type="dxa"/>
            <w:tcBorders>
              <w:top w:val="single" w:sz="6" w:space="0" w:color="auto"/>
              <w:left w:val="single" w:sz="6" w:space="0" w:color="auto"/>
              <w:bottom w:val="single" w:sz="6" w:space="0" w:color="auto"/>
              <w:right w:val="single" w:sz="6" w:space="0" w:color="auto"/>
            </w:tcBorders>
            <w:vAlign w:val="center"/>
          </w:tcPr>
          <w:p w14:paraId="6657DE00"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53EC8A54"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34839AAC"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37D19060"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221</w:t>
            </w:r>
          </w:p>
        </w:tc>
      </w:tr>
      <w:tr w:rsidR="005A3DC8" w:rsidRPr="000855B2" w14:paraId="0EBFDFE0" w14:textId="77777777" w:rsidTr="00887829">
        <w:tc>
          <w:tcPr>
            <w:tcW w:w="1731" w:type="dxa"/>
            <w:vMerge/>
            <w:tcBorders>
              <w:left w:val="double" w:sz="4" w:space="0" w:color="auto"/>
              <w:bottom w:val="single" w:sz="6" w:space="0" w:color="auto"/>
              <w:right w:val="single" w:sz="6" w:space="0" w:color="auto"/>
            </w:tcBorders>
            <w:vAlign w:val="center"/>
          </w:tcPr>
          <w:p w14:paraId="7A2DF5E2" w14:textId="77777777" w:rsidR="005A3DC8" w:rsidRDefault="005A3DC8" w:rsidP="0000485C">
            <w:pPr>
              <w:spacing w:line="240" w:lineRule="auto"/>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503ECA06"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single" w:sz="6" w:space="0" w:color="auto"/>
              <w:right w:val="single" w:sz="6" w:space="0" w:color="auto"/>
            </w:tcBorders>
            <w:vAlign w:val="center"/>
          </w:tcPr>
          <w:p w14:paraId="13D929D0" w14:textId="77777777" w:rsidR="005A3DC8" w:rsidRDefault="005A3DC8" w:rsidP="008231B8">
            <w:pPr>
              <w:spacing w:line="240" w:lineRule="auto"/>
              <w:jc w:val="center"/>
              <w:rPr>
                <w:sz w:val="14"/>
                <w:szCs w:val="14"/>
                <w:lang w:val="en-GB"/>
              </w:rPr>
            </w:pPr>
            <w:r w:rsidRPr="000855B2">
              <w:rPr>
                <w:sz w:val="14"/>
                <w:szCs w:val="14"/>
                <w:lang w:val="en-GB"/>
              </w:rPr>
              <w:t>3.03</w:t>
            </w:r>
          </w:p>
        </w:tc>
        <w:tc>
          <w:tcPr>
            <w:tcW w:w="793" w:type="dxa"/>
            <w:tcBorders>
              <w:top w:val="single" w:sz="6" w:space="0" w:color="auto"/>
              <w:left w:val="single" w:sz="6" w:space="0" w:color="auto"/>
              <w:bottom w:val="single" w:sz="6" w:space="0" w:color="auto"/>
              <w:right w:val="single" w:sz="6" w:space="0" w:color="auto"/>
            </w:tcBorders>
            <w:vAlign w:val="center"/>
          </w:tcPr>
          <w:p w14:paraId="0D25DE0B" w14:textId="77777777" w:rsidR="005A3DC8" w:rsidRDefault="005A3DC8" w:rsidP="008231B8">
            <w:pPr>
              <w:spacing w:line="240" w:lineRule="auto"/>
              <w:jc w:val="center"/>
              <w:rPr>
                <w:sz w:val="14"/>
                <w:szCs w:val="14"/>
                <w:lang w:val="en-GB"/>
              </w:rPr>
            </w:pPr>
            <w:r w:rsidRPr="000855B2">
              <w:rPr>
                <w:sz w:val="14"/>
                <w:szCs w:val="14"/>
                <w:lang w:val="en-GB"/>
              </w:rPr>
              <w:t>0.541</w:t>
            </w:r>
          </w:p>
        </w:tc>
        <w:tc>
          <w:tcPr>
            <w:tcW w:w="969" w:type="dxa"/>
            <w:tcBorders>
              <w:top w:val="single" w:sz="6" w:space="0" w:color="auto"/>
              <w:left w:val="single" w:sz="6" w:space="0" w:color="auto"/>
              <w:bottom w:val="single" w:sz="6" w:space="0" w:color="auto"/>
              <w:right w:val="single" w:sz="6" w:space="0" w:color="auto"/>
            </w:tcBorders>
            <w:vAlign w:val="center"/>
          </w:tcPr>
          <w:p w14:paraId="00C3F86F" w14:textId="77777777" w:rsidR="005A3DC8" w:rsidRDefault="005A3DC8" w:rsidP="008231B8">
            <w:pPr>
              <w:spacing w:line="240" w:lineRule="auto"/>
              <w:jc w:val="center"/>
              <w:rPr>
                <w:sz w:val="14"/>
                <w:szCs w:val="14"/>
                <w:lang w:val="en-GB"/>
              </w:rPr>
            </w:pPr>
            <w:r w:rsidRPr="000855B2">
              <w:rPr>
                <w:sz w:val="14"/>
                <w:szCs w:val="14"/>
                <w:lang w:val="en-GB"/>
              </w:rPr>
              <w:t>0.194</w:t>
            </w:r>
          </w:p>
        </w:tc>
        <w:tc>
          <w:tcPr>
            <w:tcW w:w="708" w:type="dxa"/>
            <w:tcBorders>
              <w:top w:val="single" w:sz="6" w:space="0" w:color="auto"/>
              <w:left w:val="single" w:sz="6" w:space="0" w:color="auto"/>
              <w:bottom w:val="single" w:sz="6" w:space="0" w:color="auto"/>
              <w:right w:val="single" w:sz="6" w:space="0" w:color="auto"/>
            </w:tcBorders>
            <w:vAlign w:val="center"/>
          </w:tcPr>
          <w:p w14:paraId="791E62C8"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1DC09629"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004D5985" w14:textId="77777777" w:rsidR="005A3DC8" w:rsidRPr="00E44952" w:rsidRDefault="005A3DC8" w:rsidP="008231B8">
            <w:pPr>
              <w:spacing w:line="240" w:lineRule="auto"/>
              <w:jc w:val="center"/>
              <w:rPr>
                <w:sz w:val="14"/>
                <w:szCs w:val="14"/>
                <w:lang w:val="en-GB"/>
              </w:rPr>
            </w:pPr>
            <w:r w:rsidRPr="00E44952">
              <w:rPr>
                <w:sz w:val="14"/>
                <w:szCs w:val="14"/>
                <w:lang w:val="en-GB"/>
              </w:rPr>
              <w:t>1.19E-06</w:t>
            </w:r>
          </w:p>
        </w:tc>
        <w:tc>
          <w:tcPr>
            <w:tcW w:w="850" w:type="dxa"/>
            <w:tcBorders>
              <w:top w:val="single" w:sz="6" w:space="0" w:color="auto"/>
              <w:left w:val="single" w:sz="6" w:space="0" w:color="auto"/>
              <w:bottom w:val="single" w:sz="6" w:space="0" w:color="auto"/>
              <w:right w:val="double" w:sz="4" w:space="0" w:color="auto"/>
            </w:tcBorders>
            <w:vAlign w:val="center"/>
          </w:tcPr>
          <w:p w14:paraId="327006C1"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133</w:t>
            </w:r>
          </w:p>
        </w:tc>
      </w:tr>
      <w:tr w:rsidR="005A3DC8" w:rsidRPr="000855B2" w14:paraId="040B90A1" w14:textId="77777777" w:rsidTr="00887829">
        <w:tc>
          <w:tcPr>
            <w:tcW w:w="1731" w:type="dxa"/>
            <w:vMerge w:val="restart"/>
            <w:tcBorders>
              <w:top w:val="single" w:sz="6" w:space="0" w:color="auto"/>
              <w:left w:val="double" w:sz="4" w:space="0" w:color="auto"/>
              <w:right w:val="single" w:sz="6" w:space="0" w:color="auto"/>
            </w:tcBorders>
            <w:vAlign w:val="center"/>
          </w:tcPr>
          <w:p w14:paraId="71FC5A5B" w14:textId="77777777" w:rsidR="005A3DC8" w:rsidRDefault="005A3DC8" w:rsidP="0000485C">
            <w:pPr>
              <w:spacing w:line="240" w:lineRule="auto"/>
              <w:rPr>
                <w:sz w:val="14"/>
                <w:szCs w:val="14"/>
                <w:lang w:val="en-GB"/>
              </w:rPr>
            </w:pPr>
            <w:r w:rsidRPr="000855B2">
              <w:rPr>
                <w:sz w:val="14"/>
                <w:szCs w:val="14"/>
                <w:lang w:val="en-GB"/>
              </w:rPr>
              <w:t>4-stroke &gt;750 cm³</w:t>
            </w:r>
          </w:p>
        </w:tc>
        <w:tc>
          <w:tcPr>
            <w:tcW w:w="1499" w:type="dxa"/>
            <w:tcBorders>
              <w:top w:val="single" w:sz="6" w:space="0" w:color="auto"/>
              <w:left w:val="single" w:sz="6" w:space="0" w:color="auto"/>
              <w:bottom w:val="single" w:sz="6" w:space="0" w:color="auto"/>
              <w:right w:val="single" w:sz="6" w:space="0" w:color="auto"/>
            </w:tcBorders>
            <w:vAlign w:val="center"/>
          </w:tcPr>
          <w:p w14:paraId="792347EC" w14:textId="77777777" w:rsidR="005A3DC8" w:rsidRDefault="005A3DC8" w:rsidP="00410789">
            <w:pPr>
              <w:spacing w:line="240" w:lineRule="auto"/>
              <w:rPr>
                <w:sz w:val="14"/>
                <w:szCs w:val="14"/>
                <w:lang w:val="en-GB"/>
              </w:rPr>
            </w:pPr>
            <w:r w:rsidRPr="000855B2">
              <w:rPr>
                <w:sz w:val="14"/>
                <w:szCs w:val="14"/>
                <w:lang w:val="en-GB"/>
              </w:rPr>
              <w:t>Conventional</w:t>
            </w:r>
          </w:p>
        </w:tc>
        <w:tc>
          <w:tcPr>
            <w:tcW w:w="567" w:type="dxa"/>
            <w:tcBorders>
              <w:top w:val="single" w:sz="6" w:space="0" w:color="auto"/>
              <w:left w:val="single" w:sz="6" w:space="0" w:color="auto"/>
              <w:bottom w:val="single" w:sz="6" w:space="0" w:color="auto"/>
              <w:right w:val="single" w:sz="6" w:space="0" w:color="auto"/>
            </w:tcBorders>
            <w:vAlign w:val="center"/>
          </w:tcPr>
          <w:p w14:paraId="598B141B" w14:textId="77777777" w:rsidR="005A3DC8" w:rsidRDefault="005A3DC8" w:rsidP="008231B8">
            <w:pPr>
              <w:spacing w:line="240" w:lineRule="auto"/>
              <w:jc w:val="center"/>
              <w:rPr>
                <w:sz w:val="14"/>
                <w:szCs w:val="14"/>
                <w:lang w:val="en-GB"/>
              </w:rPr>
            </w:pPr>
            <w:r w:rsidRPr="000855B2">
              <w:rPr>
                <w:sz w:val="14"/>
                <w:szCs w:val="14"/>
                <w:lang w:val="en-GB"/>
              </w:rPr>
              <w:t>21.1</w:t>
            </w:r>
          </w:p>
        </w:tc>
        <w:tc>
          <w:tcPr>
            <w:tcW w:w="793" w:type="dxa"/>
            <w:tcBorders>
              <w:top w:val="single" w:sz="6" w:space="0" w:color="auto"/>
              <w:left w:val="single" w:sz="6" w:space="0" w:color="auto"/>
              <w:bottom w:val="single" w:sz="6" w:space="0" w:color="auto"/>
              <w:right w:val="single" w:sz="6" w:space="0" w:color="auto"/>
            </w:tcBorders>
            <w:vAlign w:val="center"/>
          </w:tcPr>
          <w:p w14:paraId="478F34E3" w14:textId="77777777" w:rsidR="005A3DC8" w:rsidRDefault="005A3DC8" w:rsidP="008231B8">
            <w:pPr>
              <w:spacing w:line="240" w:lineRule="auto"/>
              <w:jc w:val="center"/>
              <w:rPr>
                <w:sz w:val="14"/>
                <w:szCs w:val="14"/>
                <w:lang w:val="en-GB"/>
              </w:rPr>
            </w:pPr>
            <w:r w:rsidRPr="000855B2">
              <w:rPr>
                <w:sz w:val="14"/>
                <w:szCs w:val="14"/>
                <w:lang w:val="en-GB"/>
              </w:rPr>
              <w:t>2.75</w:t>
            </w:r>
          </w:p>
        </w:tc>
        <w:tc>
          <w:tcPr>
            <w:tcW w:w="969" w:type="dxa"/>
            <w:tcBorders>
              <w:top w:val="single" w:sz="6" w:space="0" w:color="auto"/>
              <w:left w:val="single" w:sz="6" w:space="0" w:color="auto"/>
              <w:bottom w:val="single" w:sz="6" w:space="0" w:color="auto"/>
              <w:right w:val="single" w:sz="6" w:space="0" w:color="auto"/>
            </w:tcBorders>
            <w:vAlign w:val="center"/>
          </w:tcPr>
          <w:p w14:paraId="5BECC394" w14:textId="77777777" w:rsidR="005A3DC8" w:rsidRDefault="005A3DC8" w:rsidP="008231B8">
            <w:pPr>
              <w:spacing w:line="240" w:lineRule="auto"/>
              <w:jc w:val="center"/>
              <w:rPr>
                <w:sz w:val="14"/>
                <w:szCs w:val="14"/>
                <w:lang w:val="en-GB"/>
              </w:rPr>
            </w:pPr>
            <w:r w:rsidRPr="000855B2">
              <w:rPr>
                <w:sz w:val="14"/>
                <w:szCs w:val="14"/>
                <w:lang w:val="en-GB"/>
              </w:rPr>
              <w:t>0.247</w:t>
            </w:r>
          </w:p>
        </w:tc>
        <w:tc>
          <w:tcPr>
            <w:tcW w:w="708" w:type="dxa"/>
            <w:tcBorders>
              <w:top w:val="single" w:sz="6" w:space="0" w:color="auto"/>
              <w:left w:val="single" w:sz="6" w:space="0" w:color="auto"/>
              <w:bottom w:val="single" w:sz="6" w:space="0" w:color="auto"/>
              <w:right w:val="single" w:sz="6" w:space="0" w:color="auto"/>
            </w:tcBorders>
            <w:vAlign w:val="center"/>
          </w:tcPr>
          <w:p w14:paraId="2517D9D0"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1F0BBA42"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1FF54A93" w14:textId="77777777" w:rsidR="005A3DC8" w:rsidRPr="00E44952" w:rsidRDefault="005A3DC8" w:rsidP="008231B8">
            <w:pPr>
              <w:spacing w:line="240" w:lineRule="auto"/>
              <w:jc w:val="center"/>
              <w:rPr>
                <w:sz w:val="14"/>
                <w:szCs w:val="14"/>
                <w:lang w:val="en-GB"/>
              </w:rPr>
            </w:pPr>
            <w:r w:rsidRPr="00E44952">
              <w:rPr>
                <w:sz w:val="14"/>
                <w:szCs w:val="14"/>
                <w:lang w:val="en-GB"/>
              </w:rPr>
              <w:t>1.48E-06</w:t>
            </w:r>
          </w:p>
        </w:tc>
        <w:tc>
          <w:tcPr>
            <w:tcW w:w="850" w:type="dxa"/>
            <w:tcBorders>
              <w:top w:val="single" w:sz="6" w:space="0" w:color="auto"/>
              <w:left w:val="single" w:sz="6" w:space="0" w:color="auto"/>
              <w:bottom w:val="single" w:sz="6" w:space="0" w:color="auto"/>
              <w:right w:val="double" w:sz="4" w:space="0" w:color="auto"/>
            </w:tcBorders>
            <w:vAlign w:val="center"/>
          </w:tcPr>
          <w:p w14:paraId="203A9FA7"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398</w:t>
            </w:r>
          </w:p>
        </w:tc>
      </w:tr>
      <w:tr w:rsidR="005A3DC8" w:rsidRPr="000855B2" w14:paraId="0B86B239" w14:textId="77777777" w:rsidTr="00887829">
        <w:tc>
          <w:tcPr>
            <w:tcW w:w="1731" w:type="dxa"/>
            <w:vMerge/>
            <w:tcBorders>
              <w:left w:val="double" w:sz="4" w:space="0" w:color="auto"/>
              <w:right w:val="single" w:sz="6" w:space="0" w:color="auto"/>
            </w:tcBorders>
            <w:vAlign w:val="center"/>
          </w:tcPr>
          <w:p w14:paraId="4AB8247D" w14:textId="77777777" w:rsidR="005A3DC8" w:rsidRDefault="005A3DC8" w:rsidP="008231B8">
            <w:pPr>
              <w:spacing w:line="240" w:lineRule="auto"/>
              <w:jc w:val="center"/>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155CAB80" w14:textId="77777777" w:rsidR="005A3DC8" w:rsidRDefault="005A3DC8" w:rsidP="00410789">
            <w:pPr>
              <w:spacing w:line="240" w:lineRule="auto"/>
              <w:rPr>
                <w:sz w:val="14"/>
                <w:szCs w:val="14"/>
                <w:lang w:val="en-GB"/>
              </w:rPr>
            </w:pPr>
            <w:r w:rsidRPr="000855B2">
              <w:rPr>
                <w:sz w:val="14"/>
                <w:szCs w:val="14"/>
                <w:lang w:val="en-GB"/>
              </w:rPr>
              <w:t>Mot - Euro 1</w:t>
            </w:r>
          </w:p>
        </w:tc>
        <w:tc>
          <w:tcPr>
            <w:tcW w:w="567" w:type="dxa"/>
            <w:tcBorders>
              <w:top w:val="single" w:sz="6" w:space="0" w:color="auto"/>
              <w:left w:val="single" w:sz="6" w:space="0" w:color="auto"/>
              <w:bottom w:val="single" w:sz="6" w:space="0" w:color="auto"/>
              <w:right w:val="single" w:sz="6" w:space="0" w:color="auto"/>
            </w:tcBorders>
            <w:vAlign w:val="center"/>
          </w:tcPr>
          <w:p w14:paraId="1F2C0A0B" w14:textId="77777777" w:rsidR="005A3DC8" w:rsidRDefault="005A3DC8" w:rsidP="008231B8">
            <w:pPr>
              <w:spacing w:line="240" w:lineRule="auto"/>
              <w:jc w:val="center"/>
              <w:rPr>
                <w:sz w:val="14"/>
                <w:szCs w:val="14"/>
                <w:lang w:val="en-GB"/>
              </w:rPr>
            </w:pPr>
            <w:r w:rsidRPr="000855B2">
              <w:rPr>
                <w:sz w:val="14"/>
                <w:szCs w:val="14"/>
                <w:lang w:val="en-GB"/>
              </w:rPr>
              <w:t>10.1</w:t>
            </w:r>
          </w:p>
        </w:tc>
        <w:tc>
          <w:tcPr>
            <w:tcW w:w="793" w:type="dxa"/>
            <w:tcBorders>
              <w:top w:val="single" w:sz="6" w:space="0" w:color="auto"/>
              <w:left w:val="single" w:sz="6" w:space="0" w:color="auto"/>
              <w:bottom w:val="single" w:sz="6" w:space="0" w:color="auto"/>
              <w:right w:val="single" w:sz="6" w:space="0" w:color="auto"/>
            </w:tcBorders>
            <w:vAlign w:val="center"/>
          </w:tcPr>
          <w:p w14:paraId="778A18D7" w14:textId="77777777" w:rsidR="005A3DC8" w:rsidRDefault="005A3DC8" w:rsidP="008231B8">
            <w:pPr>
              <w:spacing w:line="240" w:lineRule="auto"/>
              <w:jc w:val="center"/>
              <w:rPr>
                <w:sz w:val="14"/>
                <w:szCs w:val="14"/>
                <w:lang w:val="en-GB"/>
              </w:rPr>
            </w:pPr>
            <w:r w:rsidRPr="000855B2">
              <w:rPr>
                <w:sz w:val="14"/>
                <w:szCs w:val="14"/>
                <w:lang w:val="en-GB"/>
              </w:rPr>
              <w:t>1.50</w:t>
            </w:r>
          </w:p>
        </w:tc>
        <w:tc>
          <w:tcPr>
            <w:tcW w:w="969" w:type="dxa"/>
            <w:tcBorders>
              <w:top w:val="single" w:sz="6" w:space="0" w:color="auto"/>
              <w:left w:val="single" w:sz="6" w:space="0" w:color="auto"/>
              <w:bottom w:val="single" w:sz="6" w:space="0" w:color="auto"/>
              <w:right w:val="single" w:sz="6" w:space="0" w:color="auto"/>
            </w:tcBorders>
            <w:vAlign w:val="center"/>
          </w:tcPr>
          <w:p w14:paraId="07E7EFF0" w14:textId="77777777" w:rsidR="005A3DC8" w:rsidRDefault="005A3DC8" w:rsidP="008231B8">
            <w:pPr>
              <w:spacing w:line="240" w:lineRule="auto"/>
              <w:jc w:val="center"/>
              <w:rPr>
                <w:sz w:val="14"/>
                <w:szCs w:val="14"/>
                <w:lang w:val="en-GB"/>
              </w:rPr>
            </w:pPr>
            <w:r w:rsidRPr="000855B2">
              <w:rPr>
                <w:sz w:val="14"/>
                <w:szCs w:val="14"/>
                <w:lang w:val="en-GB"/>
              </w:rPr>
              <w:t>0.579</w:t>
            </w:r>
          </w:p>
        </w:tc>
        <w:tc>
          <w:tcPr>
            <w:tcW w:w="708" w:type="dxa"/>
            <w:tcBorders>
              <w:top w:val="single" w:sz="6" w:space="0" w:color="auto"/>
              <w:left w:val="single" w:sz="6" w:space="0" w:color="auto"/>
              <w:bottom w:val="single" w:sz="6" w:space="0" w:color="auto"/>
              <w:right w:val="single" w:sz="6" w:space="0" w:color="auto"/>
            </w:tcBorders>
            <w:vAlign w:val="center"/>
          </w:tcPr>
          <w:p w14:paraId="67EC792A"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75F13C30"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429EE7E9" w14:textId="77777777" w:rsidR="005A3DC8" w:rsidRPr="00E44952" w:rsidRDefault="005A3DC8" w:rsidP="008231B8">
            <w:pPr>
              <w:spacing w:line="240" w:lineRule="auto"/>
              <w:jc w:val="center"/>
              <w:rPr>
                <w:sz w:val="14"/>
                <w:szCs w:val="14"/>
                <w:lang w:val="en-GB"/>
              </w:rPr>
            </w:pPr>
            <w:r w:rsidRPr="00E44952">
              <w:rPr>
                <w:sz w:val="14"/>
                <w:szCs w:val="14"/>
                <w:lang w:val="en-GB"/>
              </w:rPr>
              <w:t>1.53E-06</w:t>
            </w:r>
          </w:p>
        </w:tc>
        <w:tc>
          <w:tcPr>
            <w:tcW w:w="850" w:type="dxa"/>
            <w:tcBorders>
              <w:top w:val="single" w:sz="6" w:space="0" w:color="auto"/>
              <w:left w:val="single" w:sz="6" w:space="0" w:color="auto"/>
              <w:bottom w:val="single" w:sz="6" w:space="0" w:color="auto"/>
              <w:right w:val="double" w:sz="4" w:space="0" w:color="auto"/>
            </w:tcBorders>
            <w:vAlign w:val="center"/>
          </w:tcPr>
          <w:p w14:paraId="6533B3D4"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309</w:t>
            </w:r>
          </w:p>
        </w:tc>
      </w:tr>
      <w:tr w:rsidR="005A3DC8" w:rsidRPr="000855B2" w14:paraId="316C90AD" w14:textId="77777777" w:rsidTr="00887829">
        <w:tc>
          <w:tcPr>
            <w:tcW w:w="1731" w:type="dxa"/>
            <w:vMerge/>
            <w:tcBorders>
              <w:left w:val="double" w:sz="4" w:space="0" w:color="auto"/>
              <w:right w:val="single" w:sz="6" w:space="0" w:color="auto"/>
            </w:tcBorders>
            <w:vAlign w:val="center"/>
          </w:tcPr>
          <w:p w14:paraId="496FDEE4" w14:textId="77777777" w:rsidR="005A3DC8" w:rsidRDefault="005A3DC8" w:rsidP="008231B8">
            <w:pPr>
              <w:spacing w:line="240" w:lineRule="auto"/>
              <w:jc w:val="center"/>
              <w:rPr>
                <w:sz w:val="14"/>
                <w:szCs w:val="14"/>
                <w:lang w:val="en-GB"/>
              </w:rPr>
            </w:pPr>
          </w:p>
        </w:tc>
        <w:tc>
          <w:tcPr>
            <w:tcW w:w="1499" w:type="dxa"/>
            <w:tcBorders>
              <w:top w:val="single" w:sz="6" w:space="0" w:color="auto"/>
              <w:left w:val="single" w:sz="6" w:space="0" w:color="auto"/>
              <w:bottom w:val="single" w:sz="6" w:space="0" w:color="auto"/>
              <w:right w:val="single" w:sz="6" w:space="0" w:color="auto"/>
            </w:tcBorders>
            <w:vAlign w:val="center"/>
          </w:tcPr>
          <w:p w14:paraId="63C6B4C8" w14:textId="77777777" w:rsidR="005A3DC8" w:rsidRDefault="005A3DC8" w:rsidP="00410789">
            <w:pPr>
              <w:spacing w:line="240" w:lineRule="auto"/>
              <w:rPr>
                <w:sz w:val="14"/>
                <w:szCs w:val="14"/>
                <w:lang w:val="en-GB"/>
              </w:rPr>
            </w:pPr>
            <w:r w:rsidRPr="000855B2">
              <w:rPr>
                <w:sz w:val="14"/>
                <w:szCs w:val="14"/>
                <w:lang w:val="en-GB"/>
              </w:rPr>
              <w:t>Mot - Euro 2</w:t>
            </w:r>
          </w:p>
        </w:tc>
        <w:tc>
          <w:tcPr>
            <w:tcW w:w="567" w:type="dxa"/>
            <w:tcBorders>
              <w:top w:val="single" w:sz="6" w:space="0" w:color="auto"/>
              <w:left w:val="single" w:sz="6" w:space="0" w:color="auto"/>
              <w:bottom w:val="single" w:sz="6" w:space="0" w:color="auto"/>
              <w:right w:val="single" w:sz="6" w:space="0" w:color="auto"/>
            </w:tcBorders>
            <w:vAlign w:val="center"/>
          </w:tcPr>
          <w:p w14:paraId="59124255" w14:textId="77777777" w:rsidR="005A3DC8" w:rsidRDefault="005A3DC8" w:rsidP="008231B8">
            <w:pPr>
              <w:spacing w:line="240" w:lineRule="auto"/>
              <w:jc w:val="center"/>
              <w:rPr>
                <w:sz w:val="14"/>
                <w:szCs w:val="14"/>
                <w:lang w:val="en-GB"/>
              </w:rPr>
            </w:pPr>
            <w:r w:rsidRPr="000855B2">
              <w:rPr>
                <w:sz w:val="14"/>
                <w:szCs w:val="14"/>
                <w:lang w:val="en-GB"/>
              </w:rPr>
              <w:t>7.17</w:t>
            </w:r>
          </w:p>
        </w:tc>
        <w:tc>
          <w:tcPr>
            <w:tcW w:w="793" w:type="dxa"/>
            <w:tcBorders>
              <w:top w:val="single" w:sz="6" w:space="0" w:color="auto"/>
              <w:left w:val="single" w:sz="6" w:space="0" w:color="auto"/>
              <w:bottom w:val="single" w:sz="6" w:space="0" w:color="auto"/>
              <w:right w:val="single" w:sz="6" w:space="0" w:color="auto"/>
            </w:tcBorders>
            <w:vAlign w:val="center"/>
          </w:tcPr>
          <w:p w14:paraId="2C87A360" w14:textId="77777777" w:rsidR="005A3DC8" w:rsidRDefault="005A3DC8" w:rsidP="008231B8">
            <w:pPr>
              <w:spacing w:line="240" w:lineRule="auto"/>
              <w:jc w:val="center"/>
              <w:rPr>
                <w:sz w:val="14"/>
                <w:szCs w:val="14"/>
                <w:lang w:val="en-GB"/>
              </w:rPr>
            </w:pPr>
            <w:r w:rsidRPr="000855B2">
              <w:rPr>
                <w:sz w:val="14"/>
                <w:szCs w:val="14"/>
                <w:lang w:val="en-GB"/>
              </w:rPr>
              <w:t>0.994</w:t>
            </w:r>
          </w:p>
        </w:tc>
        <w:tc>
          <w:tcPr>
            <w:tcW w:w="969" w:type="dxa"/>
            <w:tcBorders>
              <w:top w:val="single" w:sz="6" w:space="0" w:color="auto"/>
              <w:left w:val="single" w:sz="6" w:space="0" w:color="auto"/>
              <w:bottom w:val="single" w:sz="6" w:space="0" w:color="auto"/>
              <w:right w:val="single" w:sz="6" w:space="0" w:color="auto"/>
            </w:tcBorders>
            <w:vAlign w:val="center"/>
          </w:tcPr>
          <w:p w14:paraId="6A937450" w14:textId="77777777" w:rsidR="005A3DC8" w:rsidRDefault="005A3DC8" w:rsidP="008231B8">
            <w:pPr>
              <w:spacing w:line="240" w:lineRule="auto"/>
              <w:jc w:val="center"/>
              <w:rPr>
                <w:sz w:val="14"/>
                <w:szCs w:val="14"/>
                <w:lang w:val="en-GB"/>
              </w:rPr>
            </w:pPr>
            <w:r w:rsidRPr="000855B2">
              <w:rPr>
                <w:sz w:val="14"/>
                <w:szCs w:val="14"/>
                <w:lang w:val="en-GB"/>
              </w:rPr>
              <w:t>0.317</w:t>
            </w:r>
          </w:p>
        </w:tc>
        <w:tc>
          <w:tcPr>
            <w:tcW w:w="708" w:type="dxa"/>
            <w:tcBorders>
              <w:top w:val="single" w:sz="6" w:space="0" w:color="auto"/>
              <w:left w:val="single" w:sz="6" w:space="0" w:color="auto"/>
              <w:bottom w:val="single" w:sz="6" w:space="0" w:color="auto"/>
              <w:right w:val="single" w:sz="6" w:space="0" w:color="auto"/>
            </w:tcBorders>
            <w:vAlign w:val="center"/>
          </w:tcPr>
          <w:p w14:paraId="35E2041E"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single" w:sz="6" w:space="0" w:color="auto"/>
              <w:right w:val="single" w:sz="6" w:space="0" w:color="auto"/>
            </w:tcBorders>
            <w:vAlign w:val="center"/>
          </w:tcPr>
          <w:p w14:paraId="3AC4D1AF"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single" w:sz="6" w:space="0" w:color="auto"/>
              <w:right w:val="single" w:sz="6" w:space="0" w:color="auto"/>
            </w:tcBorders>
            <w:vAlign w:val="center"/>
          </w:tcPr>
          <w:p w14:paraId="2BACF7CC" w14:textId="77777777" w:rsidR="005A3DC8" w:rsidRPr="00E44952" w:rsidRDefault="005A3DC8" w:rsidP="008231B8">
            <w:pPr>
              <w:spacing w:line="240" w:lineRule="auto"/>
              <w:jc w:val="center"/>
              <w:rPr>
                <w:sz w:val="14"/>
                <w:szCs w:val="14"/>
                <w:lang w:val="en-GB"/>
              </w:rPr>
            </w:pPr>
            <w:r w:rsidRPr="00E44952">
              <w:rPr>
                <w:sz w:val="14"/>
                <w:szCs w:val="14"/>
                <w:lang w:val="en-GB"/>
              </w:rPr>
              <w:t>1.53E-06</w:t>
            </w:r>
          </w:p>
        </w:tc>
        <w:tc>
          <w:tcPr>
            <w:tcW w:w="850" w:type="dxa"/>
            <w:tcBorders>
              <w:top w:val="single" w:sz="6" w:space="0" w:color="auto"/>
              <w:left w:val="single" w:sz="6" w:space="0" w:color="auto"/>
              <w:bottom w:val="single" w:sz="6" w:space="0" w:color="auto"/>
              <w:right w:val="double" w:sz="4" w:space="0" w:color="auto"/>
            </w:tcBorders>
            <w:vAlign w:val="center"/>
          </w:tcPr>
          <w:p w14:paraId="25AB230E"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221</w:t>
            </w:r>
          </w:p>
        </w:tc>
      </w:tr>
      <w:tr w:rsidR="005A3DC8" w:rsidRPr="000855B2" w14:paraId="7CA0C8F8" w14:textId="77777777" w:rsidTr="00887829">
        <w:tc>
          <w:tcPr>
            <w:tcW w:w="1731" w:type="dxa"/>
            <w:vMerge/>
            <w:tcBorders>
              <w:left w:val="double" w:sz="4" w:space="0" w:color="auto"/>
              <w:bottom w:val="double" w:sz="4" w:space="0" w:color="auto"/>
              <w:right w:val="single" w:sz="6" w:space="0" w:color="auto"/>
            </w:tcBorders>
            <w:vAlign w:val="center"/>
          </w:tcPr>
          <w:p w14:paraId="2CF7065B" w14:textId="77777777" w:rsidR="005A3DC8" w:rsidRDefault="005A3DC8" w:rsidP="008231B8">
            <w:pPr>
              <w:spacing w:line="240" w:lineRule="auto"/>
              <w:jc w:val="center"/>
              <w:rPr>
                <w:sz w:val="14"/>
                <w:szCs w:val="14"/>
                <w:lang w:val="en-GB"/>
              </w:rPr>
            </w:pPr>
          </w:p>
        </w:tc>
        <w:tc>
          <w:tcPr>
            <w:tcW w:w="1499" w:type="dxa"/>
            <w:tcBorders>
              <w:top w:val="single" w:sz="6" w:space="0" w:color="auto"/>
              <w:left w:val="single" w:sz="6" w:space="0" w:color="auto"/>
              <w:bottom w:val="double" w:sz="4" w:space="0" w:color="auto"/>
              <w:right w:val="single" w:sz="6" w:space="0" w:color="auto"/>
            </w:tcBorders>
            <w:vAlign w:val="center"/>
          </w:tcPr>
          <w:p w14:paraId="1BBB8BCE"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567" w:type="dxa"/>
            <w:tcBorders>
              <w:top w:val="single" w:sz="6" w:space="0" w:color="auto"/>
              <w:left w:val="single" w:sz="6" w:space="0" w:color="auto"/>
              <w:bottom w:val="double" w:sz="4" w:space="0" w:color="auto"/>
              <w:right w:val="single" w:sz="6" w:space="0" w:color="auto"/>
            </w:tcBorders>
            <w:vAlign w:val="center"/>
          </w:tcPr>
          <w:p w14:paraId="04EF20E7" w14:textId="77777777" w:rsidR="005A3DC8" w:rsidRDefault="005A3DC8" w:rsidP="008231B8">
            <w:pPr>
              <w:spacing w:line="240" w:lineRule="auto"/>
              <w:jc w:val="center"/>
              <w:rPr>
                <w:sz w:val="14"/>
                <w:szCs w:val="14"/>
                <w:lang w:val="en-GB"/>
              </w:rPr>
            </w:pPr>
            <w:r w:rsidRPr="000855B2">
              <w:rPr>
                <w:sz w:val="14"/>
                <w:szCs w:val="14"/>
                <w:lang w:val="en-GB"/>
              </w:rPr>
              <w:t>3.03</w:t>
            </w:r>
          </w:p>
        </w:tc>
        <w:tc>
          <w:tcPr>
            <w:tcW w:w="793" w:type="dxa"/>
            <w:tcBorders>
              <w:top w:val="single" w:sz="6" w:space="0" w:color="auto"/>
              <w:left w:val="single" w:sz="6" w:space="0" w:color="auto"/>
              <w:bottom w:val="double" w:sz="4" w:space="0" w:color="auto"/>
              <w:right w:val="single" w:sz="6" w:space="0" w:color="auto"/>
            </w:tcBorders>
            <w:vAlign w:val="center"/>
          </w:tcPr>
          <w:p w14:paraId="64CDE0D5" w14:textId="77777777" w:rsidR="005A3DC8" w:rsidRDefault="005A3DC8" w:rsidP="008231B8">
            <w:pPr>
              <w:spacing w:line="240" w:lineRule="auto"/>
              <w:jc w:val="center"/>
              <w:rPr>
                <w:sz w:val="14"/>
                <w:szCs w:val="14"/>
                <w:lang w:val="en-GB"/>
              </w:rPr>
            </w:pPr>
            <w:r w:rsidRPr="000855B2">
              <w:rPr>
                <w:sz w:val="14"/>
                <w:szCs w:val="14"/>
                <w:lang w:val="en-GB"/>
              </w:rPr>
              <w:t>0.587</w:t>
            </w:r>
          </w:p>
        </w:tc>
        <w:tc>
          <w:tcPr>
            <w:tcW w:w="969" w:type="dxa"/>
            <w:tcBorders>
              <w:top w:val="single" w:sz="6" w:space="0" w:color="auto"/>
              <w:left w:val="single" w:sz="6" w:space="0" w:color="auto"/>
              <w:bottom w:val="double" w:sz="4" w:space="0" w:color="auto"/>
              <w:right w:val="single" w:sz="6" w:space="0" w:color="auto"/>
            </w:tcBorders>
            <w:vAlign w:val="center"/>
          </w:tcPr>
          <w:p w14:paraId="49373DF2" w14:textId="77777777" w:rsidR="005A3DC8" w:rsidRDefault="005A3DC8" w:rsidP="008231B8">
            <w:pPr>
              <w:spacing w:line="240" w:lineRule="auto"/>
              <w:jc w:val="center"/>
              <w:rPr>
                <w:sz w:val="14"/>
                <w:szCs w:val="14"/>
                <w:lang w:val="en-GB"/>
              </w:rPr>
            </w:pPr>
            <w:r w:rsidRPr="000855B2">
              <w:rPr>
                <w:sz w:val="14"/>
                <w:szCs w:val="14"/>
                <w:lang w:val="en-GB"/>
              </w:rPr>
              <w:t>0.194</w:t>
            </w:r>
          </w:p>
        </w:tc>
        <w:tc>
          <w:tcPr>
            <w:tcW w:w="708" w:type="dxa"/>
            <w:tcBorders>
              <w:top w:val="single" w:sz="6" w:space="0" w:color="auto"/>
              <w:left w:val="single" w:sz="6" w:space="0" w:color="auto"/>
              <w:bottom w:val="double" w:sz="4" w:space="0" w:color="auto"/>
              <w:right w:val="single" w:sz="6" w:space="0" w:color="auto"/>
            </w:tcBorders>
            <w:vAlign w:val="center"/>
          </w:tcPr>
          <w:p w14:paraId="67503C56" w14:textId="77777777" w:rsidR="005A3DC8" w:rsidRDefault="005A3DC8" w:rsidP="008231B8">
            <w:pPr>
              <w:spacing w:line="240" w:lineRule="auto"/>
              <w:jc w:val="center"/>
              <w:rPr>
                <w:sz w:val="14"/>
                <w:szCs w:val="14"/>
                <w:lang w:val="en-GB"/>
              </w:rPr>
            </w:pPr>
            <w:r w:rsidRPr="000855B2">
              <w:rPr>
                <w:sz w:val="14"/>
                <w:szCs w:val="14"/>
                <w:lang w:val="en-GB"/>
              </w:rPr>
              <w:t>0.002</w:t>
            </w:r>
          </w:p>
        </w:tc>
        <w:tc>
          <w:tcPr>
            <w:tcW w:w="709" w:type="dxa"/>
            <w:tcBorders>
              <w:top w:val="single" w:sz="6" w:space="0" w:color="auto"/>
              <w:left w:val="single" w:sz="6" w:space="0" w:color="auto"/>
              <w:bottom w:val="double" w:sz="4" w:space="0" w:color="auto"/>
              <w:right w:val="single" w:sz="6" w:space="0" w:color="auto"/>
            </w:tcBorders>
            <w:vAlign w:val="center"/>
          </w:tcPr>
          <w:p w14:paraId="0C279DC4" w14:textId="77777777" w:rsidR="005A3DC8" w:rsidRDefault="005A3DC8" w:rsidP="008231B8">
            <w:pPr>
              <w:spacing w:line="240" w:lineRule="auto"/>
              <w:jc w:val="center"/>
              <w:rPr>
                <w:sz w:val="14"/>
                <w:szCs w:val="14"/>
                <w:lang w:val="en-GB"/>
              </w:rPr>
            </w:pPr>
            <w:r w:rsidRPr="000855B2">
              <w:rPr>
                <w:sz w:val="14"/>
                <w:szCs w:val="14"/>
                <w:lang w:val="en-GB"/>
              </w:rPr>
              <w:t>0.0019</w:t>
            </w:r>
          </w:p>
        </w:tc>
        <w:tc>
          <w:tcPr>
            <w:tcW w:w="851" w:type="dxa"/>
            <w:tcBorders>
              <w:top w:val="single" w:sz="6" w:space="0" w:color="auto"/>
              <w:left w:val="single" w:sz="6" w:space="0" w:color="auto"/>
              <w:bottom w:val="double" w:sz="4" w:space="0" w:color="auto"/>
              <w:right w:val="single" w:sz="6" w:space="0" w:color="auto"/>
            </w:tcBorders>
            <w:vAlign w:val="center"/>
          </w:tcPr>
          <w:p w14:paraId="66DC189B" w14:textId="77777777" w:rsidR="005A3DC8" w:rsidRPr="00E44952" w:rsidRDefault="005A3DC8" w:rsidP="008231B8">
            <w:pPr>
              <w:spacing w:line="240" w:lineRule="auto"/>
              <w:jc w:val="center"/>
              <w:rPr>
                <w:sz w:val="14"/>
                <w:szCs w:val="14"/>
                <w:lang w:val="en-GB"/>
              </w:rPr>
            </w:pPr>
            <w:r w:rsidRPr="00E44952">
              <w:rPr>
                <w:sz w:val="14"/>
                <w:szCs w:val="14"/>
                <w:lang w:val="en-GB"/>
              </w:rPr>
              <w:t>1.53E-06</w:t>
            </w:r>
          </w:p>
        </w:tc>
        <w:tc>
          <w:tcPr>
            <w:tcW w:w="850" w:type="dxa"/>
            <w:tcBorders>
              <w:top w:val="single" w:sz="6" w:space="0" w:color="auto"/>
              <w:left w:val="single" w:sz="6" w:space="0" w:color="auto"/>
              <w:bottom w:val="double" w:sz="4" w:space="0" w:color="auto"/>
              <w:right w:val="double" w:sz="4" w:space="0" w:color="auto"/>
            </w:tcBorders>
            <w:vAlign w:val="center"/>
          </w:tcPr>
          <w:p w14:paraId="24A8D930" w14:textId="77777777" w:rsidR="005A3DC8" w:rsidRPr="00E44952" w:rsidRDefault="00E44952" w:rsidP="008231B8">
            <w:pPr>
              <w:spacing w:line="240" w:lineRule="auto"/>
              <w:jc w:val="center"/>
              <w:rPr>
                <w:sz w:val="14"/>
                <w:szCs w:val="14"/>
                <w:lang w:val="en-GB"/>
              </w:rPr>
            </w:pPr>
            <w:r w:rsidRPr="00E44952">
              <w:rPr>
                <w:color w:val="000000"/>
                <w:sz w:val="14"/>
                <w:szCs w:val="14"/>
                <w:lang w:val="en-GB"/>
              </w:rPr>
              <w:t>0.</w:t>
            </w:r>
            <w:r w:rsidR="005A3DC8" w:rsidRPr="00E44952">
              <w:rPr>
                <w:sz w:val="14"/>
                <w:szCs w:val="14"/>
                <w:lang w:val="en-GB"/>
              </w:rPr>
              <w:t>133</w:t>
            </w:r>
          </w:p>
        </w:tc>
      </w:tr>
    </w:tbl>
    <w:bookmarkEnd w:id="95"/>
    <w:p w14:paraId="3F4ADDAF" w14:textId="7B0F6510" w:rsidR="001D2587" w:rsidRPr="000855B2" w:rsidRDefault="00A040D1" w:rsidP="00E43131">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26</w:t>
      </w:r>
      <w:r w:rsidR="00FB454C">
        <w:rPr>
          <w:noProof/>
        </w:rPr>
        <w:fldChar w:fldCharType="end"/>
      </w:r>
      <w:bookmarkEnd w:id="96"/>
      <w:r w:rsidR="00944F54">
        <w:t xml:space="preserve">: </w:t>
      </w:r>
      <w:r w:rsidR="001D2587" w:rsidRPr="000855B2">
        <w:t>Tier 2 emission factors for mopeds and motorcycles, NFR 1</w:t>
      </w:r>
      <w:r w:rsidR="00437ECC" w:rsidRPr="000855B2">
        <w:t>.</w:t>
      </w:r>
      <w:r w:rsidR="001D2587" w:rsidRPr="000855B2">
        <w:t>A</w:t>
      </w:r>
      <w:r w:rsidR="00437ECC" w:rsidRPr="000855B2">
        <w:t>.</w:t>
      </w:r>
      <w:r w:rsidR="001D2587" w:rsidRPr="000855B2">
        <w:t>3</w:t>
      </w:r>
      <w:r w:rsidR="00437ECC" w:rsidRPr="000855B2">
        <w:t>.</w:t>
      </w:r>
      <w:r w:rsidR="001D2587" w:rsidRPr="000855B2">
        <w:t>b</w:t>
      </w:r>
      <w:r w:rsidR="00437ECC" w:rsidRPr="000855B2">
        <w:t>.</w:t>
      </w:r>
      <w:r w:rsidR="001D2587" w:rsidRPr="000855B2">
        <w:t>iv</w:t>
      </w:r>
    </w:p>
    <w:tbl>
      <w:tblPr>
        <w:tblW w:w="8191" w:type="dxa"/>
        <w:tblLayout w:type="fixed"/>
        <w:tblLook w:val="0000" w:firstRow="0" w:lastRow="0" w:firstColumn="0" w:lastColumn="0" w:noHBand="0" w:noVBand="0"/>
      </w:tblPr>
      <w:tblGrid>
        <w:gridCol w:w="1915"/>
        <w:gridCol w:w="1701"/>
        <w:gridCol w:w="1077"/>
        <w:gridCol w:w="1077"/>
        <w:gridCol w:w="794"/>
        <w:gridCol w:w="794"/>
        <w:gridCol w:w="833"/>
      </w:tblGrid>
      <w:tr w:rsidR="005A3DC8" w:rsidRPr="000855B2" w14:paraId="702D4469" w14:textId="77777777" w:rsidTr="00887829">
        <w:tc>
          <w:tcPr>
            <w:tcW w:w="1915" w:type="dxa"/>
            <w:tcBorders>
              <w:top w:val="double" w:sz="4" w:space="0" w:color="auto"/>
              <w:left w:val="double" w:sz="4" w:space="0" w:color="auto"/>
              <w:bottom w:val="single" w:sz="6" w:space="0" w:color="auto"/>
              <w:right w:val="single" w:sz="6" w:space="0" w:color="auto"/>
            </w:tcBorders>
            <w:vAlign w:val="center"/>
          </w:tcPr>
          <w:p w14:paraId="36276BB3" w14:textId="77777777" w:rsidR="005A3DC8" w:rsidRDefault="005A3DC8" w:rsidP="008231B8">
            <w:pPr>
              <w:autoSpaceDE w:val="0"/>
              <w:autoSpaceDN w:val="0"/>
              <w:adjustRightInd w:val="0"/>
              <w:spacing w:line="240" w:lineRule="auto"/>
              <w:jc w:val="center"/>
              <w:rPr>
                <w:b/>
                <w:bCs/>
                <w:color w:val="000000"/>
                <w:sz w:val="14"/>
                <w:szCs w:val="14"/>
                <w:lang w:val="en-GB"/>
              </w:rPr>
            </w:pPr>
            <w:bookmarkStart w:id="97" w:name="OLE_LINK13"/>
            <w:r w:rsidRPr="000855B2">
              <w:rPr>
                <w:b/>
                <w:bCs/>
                <w:color w:val="000000"/>
                <w:sz w:val="14"/>
                <w:szCs w:val="14"/>
                <w:lang w:val="en-GB"/>
              </w:rPr>
              <w:t>Type</w:t>
            </w:r>
          </w:p>
        </w:tc>
        <w:tc>
          <w:tcPr>
            <w:tcW w:w="1701" w:type="dxa"/>
            <w:vMerge w:val="restart"/>
            <w:tcBorders>
              <w:top w:val="double" w:sz="4" w:space="0" w:color="auto"/>
              <w:left w:val="single" w:sz="6" w:space="0" w:color="auto"/>
              <w:right w:val="single" w:sz="6" w:space="0" w:color="auto"/>
            </w:tcBorders>
            <w:vAlign w:val="center"/>
          </w:tcPr>
          <w:p w14:paraId="215B85CD" w14:textId="77777777" w:rsidR="005A3DC8" w:rsidRPr="000855B2"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Technology</w:t>
            </w:r>
          </w:p>
        </w:tc>
        <w:tc>
          <w:tcPr>
            <w:tcW w:w="1077" w:type="dxa"/>
            <w:tcBorders>
              <w:top w:val="double" w:sz="4" w:space="0" w:color="auto"/>
              <w:left w:val="single" w:sz="6" w:space="0" w:color="auto"/>
              <w:bottom w:val="single" w:sz="6" w:space="0" w:color="auto"/>
              <w:right w:val="single" w:sz="6" w:space="0" w:color="auto"/>
            </w:tcBorders>
            <w:vAlign w:val="center"/>
          </w:tcPr>
          <w:p w14:paraId="4F28BFCC"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w:t>
            </w:r>
          </w:p>
        </w:tc>
        <w:tc>
          <w:tcPr>
            <w:tcW w:w="1077" w:type="dxa"/>
            <w:tcBorders>
              <w:top w:val="double" w:sz="4" w:space="0" w:color="auto"/>
              <w:left w:val="single" w:sz="6" w:space="0" w:color="auto"/>
              <w:bottom w:val="single" w:sz="6" w:space="0" w:color="auto"/>
              <w:right w:val="single" w:sz="6" w:space="0" w:color="auto"/>
            </w:tcBorders>
            <w:vAlign w:val="center"/>
          </w:tcPr>
          <w:p w14:paraId="6952C308"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ID(1,2,3,cd)P</w:t>
            </w:r>
          </w:p>
        </w:tc>
        <w:tc>
          <w:tcPr>
            <w:tcW w:w="794" w:type="dxa"/>
            <w:tcBorders>
              <w:top w:val="double" w:sz="4" w:space="0" w:color="auto"/>
              <w:left w:val="single" w:sz="6" w:space="0" w:color="auto"/>
              <w:bottom w:val="single" w:sz="6" w:space="0" w:color="auto"/>
              <w:right w:val="single" w:sz="6" w:space="0" w:color="auto"/>
            </w:tcBorders>
            <w:vAlign w:val="center"/>
          </w:tcPr>
          <w:p w14:paraId="27110684"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B(k)F</w:t>
            </w:r>
          </w:p>
        </w:tc>
        <w:tc>
          <w:tcPr>
            <w:tcW w:w="794" w:type="dxa"/>
            <w:tcBorders>
              <w:top w:val="double" w:sz="4" w:space="0" w:color="auto"/>
              <w:left w:val="single" w:sz="6" w:space="0" w:color="auto"/>
              <w:bottom w:val="single" w:sz="6" w:space="0" w:color="auto"/>
              <w:right w:val="single" w:sz="6" w:space="0" w:color="auto"/>
            </w:tcBorders>
            <w:vAlign w:val="center"/>
          </w:tcPr>
          <w:p w14:paraId="5333AC0D"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B(b)F</w:t>
            </w:r>
          </w:p>
        </w:tc>
        <w:tc>
          <w:tcPr>
            <w:tcW w:w="833" w:type="dxa"/>
            <w:tcBorders>
              <w:top w:val="double" w:sz="4" w:space="0" w:color="auto"/>
              <w:left w:val="single" w:sz="6" w:space="0" w:color="auto"/>
              <w:bottom w:val="single" w:sz="6" w:space="0" w:color="auto"/>
              <w:right w:val="double" w:sz="4" w:space="0" w:color="auto"/>
            </w:tcBorders>
            <w:vAlign w:val="center"/>
          </w:tcPr>
          <w:p w14:paraId="005C4E1C"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B(a)P</w:t>
            </w:r>
          </w:p>
        </w:tc>
      </w:tr>
      <w:tr w:rsidR="005A3DC8" w:rsidRPr="000855B2" w14:paraId="75E2EAB7" w14:textId="77777777" w:rsidTr="00887829">
        <w:tc>
          <w:tcPr>
            <w:tcW w:w="1915" w:type="dxa"/>
            <w:tcBorders>
              <w:top w:val="single" w:sz="6" w:space="0" w:color="auto"/>
              <w:left w:val="double" w:sz="4" w:space="0" w:color="auto"/>
              <w:bottom w:val="single" w:sz="6" w:space="0" w:color="auto"/>
              <w:right w:val="single" w:sz="6" w:space="0" w:color="auto"/>
            </w:tcBorders>
            <w:vAlign w:val="center"/>
          </w:tcPr>
          <w:p w14:paraId="13A671DA"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Units</w:t>
            </w:r>
          </w:p>
        </w:tc>
        <w:tc>
          <w:tcPr>
            <w:tcW w:w="1701" w:type="dxa"/>
            <w:vMerge/>
            <w:tcBorders>
              <w:left w:val="single" w:sz="6" w:space="0" w:color="auto"/>
              <w:right w:val="single" w:sz="6" w:space="0" w:color="auto"/>
            </w:tcBorders>
            <w:vAlign w:val="center"/>
          </w:tcPr>
          <w:p w14:paraId="736A63E0" w14:textId="77777777" w:rsidR="005A3DC8" w:rsidRPr="000855B2" w:rsidRDefault="005A3DC8" w:rsidP="008231B8">
            <w:pPr>
              <w:autoSpaceDE w:val="0"/>
              <w:autoSpaceDN w:val="0"/>
              <w:adjustRightInd w:val="0"/>
              <w:spacing w:line="240" w:lineRule="auto"/>
              <w:jc w:val="center"/>
              <w:rPr>
                <w:b/>
                <w:bCs/>
                <w:color w:val="000000"/>
                <w:sz w:val="14"/>
                <w:szCs w:val="14"/>
                <w:lang w:val="en-GB"/>
              </w:rPr>
            </w:pPr>
          </w:p>
        </w:tc>
        <w:tc>
          <w:tcPr>
            <w:tcW w:w="1077" w:type="dxa"/>
            <w:tcBorders>
              <w:top w:val="single" w:sz="6" w:space="0" w:color="auto"/>
              <w:left w:val="single" w:sz="6" w:space="0" w:color="auto"/>
              <w:bottom w:val="single" w:sz="6" w:space="0" w:color="auto"/>
              <w:right w:val="single" w:sz="6" w:space="0" w:color="auto"/>
            </w:tcBorders>
            <w:vAlign w:val="center"/>
          </w:tcPr>
          <w:p w14:paraId="5386849B"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1077" w:type="dxa"/>
            <w:tcBorders>
              <w:top w:val="single" w:sz="6" w:space="0" w:color="auto"/>
              <w:left w:val="single" w:sz="6" w:space="0" w:color="auto"/>
              <w:bottom w:val="single" w:sz="6" w:space="0" w:color="auto"/>
              <w:right w:val="single" w:sz="6" w:space="0" w:color="auto"/>
            </w:tcBorders>
            <w:vAlign w:val="center"/>
          </w:tcPr>
          <w:p w14:paraId="6A9A0E70"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94" w:type="dxa"/>
            <w:tcBorders>
              <w:top w:val="single" w:sz="6" w:space="0" w:color="auto"/>
              <w:left w:val="single" w:sz="6" w:space="0" w:color="auto"/>
              <w:bottom w:val="single" w:sz="6" w:space="0" w:color="auto"/>
              <w:right w:val="single" w:sz="6" w:space="0" w:color="auto"/>
            </w:tcBorders>
            <w:vAlign w:val="center"/>
          </w:tcPr>
          <w:p w14:paraId="3328E09D"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794" w:type="dxa"/>
            <w:tcBorders>
              <w:top w:val="single" w:sz="6" w:space="0" w:color="auto"/>
              <w:left w:val="single" w:sz="6" w:space="0" w:color="auto"/>
              <w:bottom w:val="single" w:sz="6" w:space="0" w:color="auto"/>
              <w:right w:val="single" w:sz="6" w:space="0" w:color="auto"/>
            </w:tcBorders>
            <w:vAlign w:val="center"/>
          </w:tcPr>
          <w:p w14:paraId="423DBF87"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c>
          <w:tcPr>
            <w:tcW w:w="833" w:type="dxa"/>
            <w:tcBorders>
              <w:top w:val="single" w:sz="6" w:space="0" w:color="auto"/>
              <w:left w:val="single" w:sz="6" w:space="0" w:color="auto"/>
              <w:bottom w:val="single" w:sz="6" w:space="0" w:color="auto"/>
              <w:right w:val="double" w:sz="4" w:space="0" w:color="auto"/>
            </w:tcBorders>
            <w:vAlign w:val="center"/>
          </w:tcPr>
          <w:p w14:paraId="55E96560"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g/km</w:t>
            </w:r>
          </w:p>
        </w:tc>
      </w:tr>
      <w:tr w:rsidR="005A3DC8" w:rsidRPr="000855B2" w14:paraId="02E5951E" w14:textId="77777777" w:rsidTr="00246BA6">
        <w:tc>
          <w:tcPr>
            <w:tcW w:w="1915" w:type="dxa"/>
            <w:tcBorders>
              <w:top w:val="single" w:sz="6" w:space="0" w:color="auto"/>
              <w:left w:val="double" w:sz="4" w:space="0" w:color="auto"/>
              <w:bottom w:val="single" w:sz="12" w:space="0" w:color="auto"/>
              <w:right w:val="single" w:sz="6" w:space="0" w:color="auto"/>
            </w:tcBorders>
            <w:vAlign w:val="center"/>
          </w:tcPr>
          <w:p w14:paraId="1D535C54"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Notes</w:t>
            </w:r>
          </w:p>
        </w:tc>
        <w:tc>
          <w:tcPr>
            <w:tcW w:w="1701" w:type="dxa"/>
            <w:vMerge/>
            <w:tcBorders>
              <w:left w:val="single" w:sz="6" w:space="0" w:color="auto"/>
              <w:bottom w:val="single" w:sz="12" w:space="0" w:color="auto"/>
              <w:right w:val="single" w:sz="6" w:space="0" w:color="auto"/>
            </w:tcBorders>
            <w:vAlign w:val="center"/>
          </w:tcPr>
          <w:p w14:paraId="2209C115" w14:textId="77777777" w:rsidR="005A3DC8" w:rsidRPr="000855B2" w:rsidRDefault="005A3DC8" w:rsidP="008231B8">
            <w:pPr>
              <w:autoSpaceDE w:val="0"/>
              <w:autoSpaceDN w:val="0"/>
              <w:adjustRightInd w:val="0"/>
              <w:spacing w:line="240" w:lineRule="auto"/>
              <w:jc w:val="center"/>
              <w:rPr>
                <w:b/>
                <w:bCs/>
                <w:color w:val="000000"/>
                <w:sz w:val="14"/>
                <w:szCs w:val="14"/>
                <w:lang w:val="en-GB"/>
              </w:rPr>
            </w:pPr>
          </w:p>
        </w:tc>
        <w:tc>
          <w:tcPr>
            <w:tcW w:w="1077" w:type="dxa"/>
            <w:tcBorders>
              <w:top w:val="single" w:sz="6" w:space="0" w:color="auto"/>
              <w:left w:val="single" w:sz="6" w:space="0" w:color="auto"/>
              <w:bottom w:val="single" w:sz="12" w:space="0" w:color="auto"/>
              <w:right w:val="single" w:sz="6" w:space="0" w:color="auto"/>
            </w:tcBorders>
            <w:vAlign w:val="center"/>
          </w:tcPr>
          <w:p w14:paraId="6B410FCD" w14:textId="77777777" w:rsidR="005A3DC8" w:rsidRDefault="005A3DC8" w:rsidP="008231B8">
            <w:pPr>
              <w:autoSpaceDE w:val="0"/>
              <w:autoSpaceDN w:val="0"/>
              <w:adjustRightInd w:val="0"/>
              <w:spacing w:line="240" w:lineRule="auto"/>
              <w:jc w:val="center"/>
              <w:rPr>
                <w:b/>
                <w:bCs/>
                <w:color w:val="000000"/>
                <w:sz w:val="14"/>
                <w:szCs w:val="14"/>
                <w:lang w:val="en-GB"/>
              </w:rPr>
            </w:pPr>
            <w:r w:rsidRPr="000855B2">
              <w:rPr>
                <w:b/>
                <w:bCs/>
                <w:color w:val="000000"/>
                <w:sz w:val="14"/>
                <w:szCs w:val="14"/>
                <w:lang w:val="en-GB"/>
              </w:rPr>
              <w:t>PM2.5=PM10=TSP</w:t>
            </w:r>
          </w:p>
        </w:tc>
        <w:tc>
          <w:tcPr>
            <w:tcW w:w="1077" w:type="dxa"/>
            <w:tcBorders>
              <w:top w:val="single" w:sz="6" w:space="0" w:color="auto"/>
              <w:left w:val="single" w:sz="6" w:space="0" w:color="auto"/>
              <w:bottom w:val="single" w:sz="12" w:space="0" w:color="auto"/>
              <w:right w:val="single" w:sz="6" w:space="0" w:color="auto"/>
            </w:tcBorders>
            <w:vAlign w:val="center"/>
          </w:tcPr>
          <w:p w14:paraId="3A082F1F" w14:textId="77777777" w:rsidR="005A3DC8" w:rsidRDefault="005A3DC8" w:rsidP="008231B8">
            <w:pPr>
              <w:autoSpaceDE w:val="0"/>
              <w:autoSpaceDN w:val="0"/>
              <w:adjustRightInd w:val="0"/>
              <w:spacing w:line="240" w:lineRule="auto"/>
              <w:jc w:val="center"/>
              <w:rPr>
                <w:b/>
                <w:bCs/>
                <w:color w:val="000000"/>
                <w:sz w:val="14"/>
                <w:szCs w:val="14"/>
                <w:lang w:val="en-GB"/>
              </w:rPr>
            </w:pPr>
          </w:p>
        </w:tc>
        <w:tc>
          <w:tcPr>
            <w:tcW w:w="794" w:type="dxa"/>
            <w:tcBorders>
              <w:top w:val="single" w:sz="6" w:space="0" w:color="auto"/>
              <w:left w:val="single" w:sz="6" w:space="0" w:color="auto"/>
              <w:bottom w:val="single" w:sz="12" w:space="0" w:color="auto"/>
              <w:right w:val="single" w:sz="6" w:space="0" w:color="auto"/>
            </w:tcBorders>
            <w:vAlign w:val="center"/>
          </w:tcPr>
          <w:p w14:paraId="670497A5" w14:textId="77777777" w:rsidR="005A3DC8" w:rsidRDefault="005A3DC8" w:rsidP="008231B8">
            <w:pPr>
              <w:autoSpaceDE w:val="0"/>
              <w:autoSpaceDN w:val="0"/>
              <w:adjustRightInd w:val="0"/>
              <w:spacing w:line="240" w:lineRule="auto"/>
              <w:jc w:val="center"/>
              <w:rPr>
                <w:b/>
                <w:bCs/>
                <w:color w:val="000000"/>
                <w:sz w:val="14"/>
                <w:szCs w:val="14"/>
                <w:lang w:val="en-GB"/>
              </w:rPr>
            </w:pPr>
          </w:p>
        </w:tc>
        <w:tc>
          <w:tcPr>
            <w:tcW w:w="794" w:type="dxa"/>
            <w:tcBorders>
              <w:top w:val="single" w:sz="6" w:space="0" w:color="auto"/>
              <w:left w:val="single" w:sz="6" w:space="0" w:color="auto"/>
              <w:bottom w:val="single" w:sz="12" w:space="0" w:color="auto"/>
              <w:right w:val="single" w:sz="6" w:space="0" w:color="auto"/>
            </w:tcBorders>
            <w:vAlign w:val="center"/>
          </w:tcPr>
          <w:p w14:paraId="363A778C" w14:textId="77777777" w:rsidR="005A3DC8" w:rsidRDefault="005A3DC8" w:rsidP="008231B8">
            <w:pPr>
              <w:autoSpaceDE w:val="0"/>
              <w:autoSpaceDN w:val="0"/>
              <w:adjustRightInd w:val="0"/>
              <w:spacing w:line="240" w:lineRule="auto"/>
              <w:jc w:val="center"/>
              <w:rPr>
                <w:b/>
                <w:bCs/>
                <w:color w:val="000000"/>
                <w:sz w:val="14"/>
                <w:szCs w:val="14"/>
                <w:lang w:val="en-GB"/>
              </w:rPr>
            </w:pPr>
          </w:p>
        </w:tc>
        <w:tc>
          <w:tcPr>
            <w:tcW w:w="833" w:type="dxa"/>
            <w:tcBorders>
              <w:top w:val="single" w:sz="6" w:space="0" w:color="auto"/>
              <w:left w:val="single" w:sz="6" w:space="0" w:color="auto"/>
              <w:bottom w:val="single" w:sz="12" w:space="0" w:color="auto"/>
              <w:right w:val="double" w:sz="4" w:space="0" w:color="auto"/>
            </w:tcBorders>
            <w:vAlign w:val="center"/>
          </w:tcPr>
          <w:p w14:paraId="7C091132" w14:textId="77777777" w:rsidR="005A3DC8" w:rsidRDefault="005A3DC8" w:rsidP="008231B8">
            <w:pPr>
              <w:autoSpaceDE w:val="0"/>
              <w:autoSpaceDN w:val="0"/>
              <w:adjustRightInd w:val="0"/>
              <w:spacing w:line="240" w:lineRule="auto"/>
              <w:jc w:val="center"/>
              <w:rPr>
                <w:b/>
                <w:bCs/>
                <w:color w:val="000000"/>
                <w:sz w:val="14"/>
                <w:szCs w:val="14"/>
                <w:lang w:val="en-GB"/>
              </w:rPr>
            </w:pPr>
          </w:p>
        </w:tc>
      </w:tr>
      <w:tr w:rsidR="005A3DC8" w:rsidRPr="000855B2" w14:paraId="622CD324" w14:textId="77777777" w:rsidTr="00246BA6">
        <w:tc>
          <w:tcPr>
            <w:tcW w:w="1915" w:type="dxa"/>
            <w:vMerge w:val="restart"/>
            <w:tcBorders>
              <w:top w:val="single" w:sz="12" w:space="0" w:color="auto"/>
              <w:left w:val="double" w:sz="4" w:space="0" w:color="auto"/>
              <w:right w:val="single" w:sz="6" w:space="0" w:color="auto"/>
            </w:tcBorders>
            <w:vAlign w:val="center"/>
          </w:tcPr>
          <w:p w14:paraId="3C964D61" w14:textId="77777777" w:rsidR="005A3DC8" w:rsidRDefault="005A3DC8" w:rsidP="0000485C">
            <w:pPr>
              <w:spacing w:line="240" w:lineRule="auto"/>
              <w:rPr>
                <w:sz w:val="14"/>
                <w:szCs w:val="14"/>
                <w:lang w:val="en-GB"/>
              </w:rPr>
            </w:pPr>
            <w:r w:rsidRPr="000855B2">
              <w:rPr>
                <w:sz w:val="14"/>
                <w:szCs w:val="14"/>
                <w:lang w:val="en-GB"/>
              </w:rPr>
              <w:t>2-stroke &lt;50 cm³</w:t>
            </w:r>
          </w:p>
        </w:tc>
        <w:tc>
          <w:tcPr>
            <w:tcW w:w="1701" w:type="dxa"/>
            <w:tcBorders>
              <w:top w:val="single" w:sz="12" w:space="0" w:color="auto"/>
              <w:left w:val="single" w:sz="6" w:space="0" w:color="auto"/>
              <w:bottom w:val="single" w:sz="6" w:space="0" w:color="auto"/>
              <w:right w:val="single" w:sz="6" w:space="0" w:color="auto"/>
            </w:tcBorders>
            <w:vAlign w:val="center"/>
          </w:tcPr>
          <w:p w14:paraId="6D2365E5"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12" w:space="0" w:color="auto"/>
              <w:left w:val="single" w:sz="6" w:space="0" w:color="auto"/>
              <w:bottom w:val="single" w:sz="6" w:space="0" w:color="auto"/>
              <w:right w:val="single" w:sz="6" w:space="0" w:color="auto"/>
            </w:tcBorders>
            <w:vAlign w:val="center"/>
          </w:tcPr>
          <w:p w14:paraId="0208E301" w14:textId="77777777" w:rsidR="005A3DC8" w:rsidRDefault="005A3DC8" w:rsidP="008231B8">
            <w:pPr>
              <w:spacing w:line="240" w:lineRule="auto"/>
              <w:jc w:val="center"/>
              <w:rPr>
                <w:sz w:val="14"/>
                <w:szCs w:val="14"/>
                <w:lang w:val="en-GB"/>
              </w:rPr>
            </w:pPr>
            <w:r w:rsidRPr="000855B2">
              <w:rPr>
                <w:sz w:val="14"/>
                <w:szCs w:val="14"/>
                <w:lang w:val="en-GB"/>
              </w:rPr>
              <w:t>0.176</w:t>
            </w:r>
          </w:p>
        </w:tc>
        <w:tc>
          <w:tcPr>
            <w:tcW w:w="1077" w:type="dxa"/>
            <w:tcBorders>
              <w:top w:val="single" w:sz="12" w:space="0" w:color="auto"/>
              <w:left w:val="single" w:sz="6" w:space="0" w:color="auto"/>
              <w:bottom w:val="single" w:sz="6" w:space="0" w:color="auto"/>
              <w:right w:val="single" w:sz="6" w:space="0" w:color="auto"/>
            </w:tcBorders>
            <w:vAlign w:val="center"/>
          </w:tcPr>
          <w:p w14:paraId="29F9448D" w14:textId="77777777" w:rsidR="005A3DC8" w:rsidRDefault="005A3DC8" w:rsidP="008231B8">
            <w:pPr>
              <w:spacing w:line="240" w:lineRule="auto"/>
              <w:jc w:val="center"/>
              <w:rPr>
                <w:sz w:val="14"/>
                <w:szCs w:val="14"/>
                <w:lang w:val="en-GB"/>
              </w:rPr>
            </w:pPr>
            <w:r w:rsidRPr="000855B2">
              <w:rPr>
                <w:sz w:val="14"/>
                <w:szCs w:val="14"/>
                <w:lang w:val="en-GB"/>
              </w:rPr>
              <w:t>2.06E-07</w:t>
            </w:r>
          </w:p>
        </w:tc>
        <w:tc>
          <w:tcPr>
            <w:tcW w:w="794" w:type="dxa"/>
            <w:tcBorders>
              <w:top w:val="single" w:sz="12" w:space="0" w:color="auto"/>
              <w:left w:val="single" w:sz="6" w:space="0" w:color="auto"/>
              <w:bottom w:val="single" w:sz="6" w:space="0" w:color="auto"/>
              <w:right w:val="single" w:sz="6" w:space="0" w:color="auto"/>
            </w:tcBorders>
            <w:vAlign w:val="center"/>
          </w:tcPr>
          <w:p w14:paraId="5AC7AEFD" w14:textId="77777777" w:rsidR="005A3DC8" w:rsidRDefault="005A3DC8" w:rsidP="008231B8">
            <w:pPr>
              <w:spacing w:line="240" w:lineRule="auto"/>
              <w:jc w:val="center"/>
              <w:rPr>
                <w:sz w:val="14"/>
                <w:szCs w:val="14"/>
                <w:lang w:val="en-GB"/>
              </w:rPr>
            </w:pPr>
            <w:r w:rsidRPr="000855B2">
              <w:rPr>
                <w:sz w:val="14"/>
                <w:szCs w:val="14"/>
                <w:lang w:val="en-GB"/>
              </w:rPr>
              <w:t>6E-08</w:t>
            </w:r>
          </w:p>
        </w:tc>
        <w:tc>
          <w:tcPr>
            <w:tcW w:w="794" w:type="dxa"/>
            <w:tcBorders>
              <w:top w:val="single" w:sz="12" w:space="0" w:color="auto"/>
              <w:left w:val="single" w:sz="6" w:space="0" w:color="auto"/>
              <w:bottom w:val="single" w:sz="6" w:space="0" w:color="auto"/>
              <w:right w:val="single" w:sz="6" w:space="0" w:color="auto"/>
            </w:tcBorders>
            <w:vAlign w:val="center"/>
          </w:tcPr>
          <w:p w14:paraId="3991019E" w14:textId="77777777" w:rsidR="005A3DC8" w:rsidRDefault="005A3DC8" w:rsidP="008231B8">
            <w:pPr>
              <w:spacing w:line="240" w:lineRule="auto"/>
              <w:jc w:val="center"/>
              <w:rPr>
                <w:sz w:val="14"/>
                <w:szCs w:val="14"/>
                <w:lang w:val="en-GB"/>
              </w:rPr>
            </w:pPr>
            <w:r w:rsidRPr="000855B2">
              <w:rPr>
                <w:sz w:val="14"/>
                <w:szCs w:val="14"/>
                <w:lang w:val="en-GB"/>
              </w:rPr>
              <w:t>1.76E-07</w:t>
            </w:r>
          </w:p>
        </w:tc>
        <w:tc>
          <w:tcPr>
            <w:tcW w:w="833" w:type="dxa"/>
            <w:tcBorders>
              <w:top w:val="single" w:sz="12" w:space="0" w:color="auto"/>
              <w:left w:val="single" w:sz="6" w:space="0" w:color="auto"/>
              <w:bottom w:val="single" w:sz="6" w:space="0" w:color="auto"/>
              <w:right w:val="double" w:sz="4" w:space="0" w:color="auto"/>
            </w:tcBorders>
            <w:vAlign w:val="center"/>
          </w:tcPr>
          <w:p w14:paraId="0AF7DED9" w14:textId="77777777" w:rsidR="005A3DC8" w:rsidRDefault="005A3DC8" w:rsidP="008231B8">
            <w:pPr>
              <w:spacing w:line="240" w:lineRule="auto"/>
              <w:jc w:val="center"/>
              <w:rPr>
                <w:sz w:val="14"/>
                <w:szCs w:val="14"/>
                <w:lang w:val="en-GB"/>
              </w:rPr>
            </w:pPr>
            <w:r w:rsidRPr="000855B2">
              <w:rPr>
                <w:sz w:val="14"/>
                <w:szCs w:val="14"/>
                <w:lang w:val="en-GB"/>
              </w:rPr>
              <w:t>9.6E-08</w:t>
            </w:r>
          </w:p>
        </w:tc>
      </w:tr>
      <w:tr w:rsidR="005A3DC8" w:rsidRPr="000855B2" w14:paraId="343A7C3C" w14:textId="77777777" w:rsidTr="00887829">
        <w:tc>
          <w:tcPr>
            <w:tcW w:w="1915" w:type="dxa"/>
            <w:vMerge/>
            <w:tcBorders>
              <w:left w:val="double" w:sz="4" w:space="0" w:color="auto"/>
              <w:right w:val="single" w:sz="6" w:space="0" w:color="auto"/>
            </w:tcBorders>
            <w:vAlign w:val="center"/>
          </w:tcPr>
          <w:p w14:paraId="6CAD01A3"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424CA31" w14:textId="77777777" w:rsidR="005A3DC8" w:rsidRDefault="005A3DC8" w:rsidP="00410789">
            <w:pPr>
              <w:spacing w:line="240" w:lineRule="auto"/>
              <w:rPr>
                <w:sz w:val="14"/>
                <w:szCs w:val="14"/>
                <w:lang w:val="en-GB"/>
              </w:rPr>
            </w:pPr>
            <w:r w:rsidRPr="000855B2">
              <w:rPr>
                <w:sz w:val="14"/>
                <w:szCs w:val="14"/>
                <w:lang w:val="en-GB"/>
              </w:rPr>
              <w:t>Mop - Euro 1</w:t>
            </w:r>
          </w:p>
        </w:tc>
        <w:tc>
          <w:tcPr>
            <w:tcW w:w="1077" w:type="dxa"/>
            <w:tcBorders>
              <w:top w:val="single" w:sz="6" w:space="0" w:color="auto"/>
              <w:left w:val="single" w:sz="6" w:space="0" w:color="auto"/>
              <w:bottom w:val="single" w:sz="6" w:space="0" w:color="auto"/>
              <w:right w:val="single" w:sz="6" w:space="0" w:color="auto"/>
            </w:tcBorders>
            <w:vAlign w:val="center"/>
          </w:tcPr>
          <w:p w14:paraId="526D9CEE" w14:textId="77777777" w:rsidR="005A3DC8" w:rsidRDefault="005A3DC8" w:rsidP="008231B8">
            <w:pPr>
              <w:spacing w:line="240" w:lineRule="auto"/>
              <w:jc w:val="center"/>
              <w:rPr>
                <w:sz w:val="14"/>
                <w:szCs w:val="14"/>
                <w:lang w:val="en-GB"/>
              </w:rPr>
            </w:pPr>
            <w:r w:rsidRPr="000855B2">
              <w:rPr>
                <w:sz w:val="14"/>
                <w:szCs w:val="14"/>
                <w:lang w:val="en-GB"/>
              </w:rPr>
              <w:t>0.045</w:t>
            </w:r>
          </w:p>
        </w:tc>
        <w:tc>
          <w:tcPr>
            <w:tcW w:w="1077" w:type="dxa"/>
            <w:tcBorders>
              <w:top w:val="single" w:sz="6" w:space="0" w:color="auto"/>
              <w:left w:val="single" w:sz="6" w:space="0" w:color="auto"/>
              <w:bottom w:val="single" w:sz="6" w:space="0" w:color="auto"/>
              <w:right w:val="single" w:sz="6" w:space="0" w:color="auto"/>
            </w:tcBorders>
            <w:vAlign w:val="center"/>
          </w:tcPr>
          <w:p w14:paraId="522A3C36"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3954D715"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06CC16F3"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5E992558"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1E9320A9" w14:textId="77777777" w:rsidTr="00887829">
        <w:tc>
          <w:tcPr>
            <w:tcW w:w="1915" w:type="dxa"/>
            <w:vMerge/>
            <w:tcBorders>
              <w:left w:val="double" w:sz="4" w:space="0" w:color="auto"/>
              <w:right w:val="single" w:sz="6" w:space="0" w:color="auto"/>
            </w:tcBorders>
            <w:vAlign w:val="center"/>
          </w:tcPr>
          <w:p w14:paraId="42BCC66A"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5F14A852" w14:textId="77777777" w:rsidR="005A3DC8" w:rsidRDefault="005A3DC8" w:rsidP="00410789">
            <w:pPr>
              <w:spacing w:line="240" w:lineRule="auto"/>
              <w:rPr>
                <w:sz w:val="14"/>
                <w:szCs w:val="14"/>
                <w:lang w:val="en-GB"/>
              </w:rPr>
            </w:pPr>
            <w:r w:rsidRPr="000855B2">
              <w:rPr>
                <w:sz w:val="14"/>
                <w:szCs w:val="14"/>
                <w:lang w:val="en-GB"/>
              </w:rPr>
              <w:t>Mop - Euro 2</w:t>
            </w:r>
          </w:p>
        </w:tc>
        <w:tc>
          <w:tcPr>
            <w:tcW w:w="1077" w:type="dxa"/>
            <w:tcBorders>
              <w:top w:val="single" w:sz="6" w:space="0" w:color="auto"/>
              <w:left w:val="single" w:sz="6" w:space="0" w:color="auto"/>
              <w:bottom w:val="single" w:sz="6" w:space="0" w:color="auto"/>
              <w:right w:val="single" w:sz="6" w:space="0" w:color="auto"/>
            </w:tcBorders>
            <w:vAlign w:val="center"/>
          </w:tcPr>
          <w:p w14:paraId="368A4D7F" w14:textId="77777777" w:rsidR="005A3DC8" w:rsidRDefault="005A3DC8" w:rsidP="008231B8">
            <w:pPr>
              <w:spacing w:line="240" w:lineRule="auto"/>
              <w:jc w:val="center"/>
              <w:rPr>
                <w:sz w:val="14"/>
                <w:szCs w:val="14"/>
                <w:lang w:val="en-GB"/>
              </w:rPr>
            </w:pPr>
            <w:r w:rsidRPr="000855B2">
              <w:rPr>
                <w:sz w:val="14"/>
                <w:szCs w:val="14"/>
                <w:lang w:val="en-GB"/>
              </w:rPr>
              <w:t>0.026</w:t>
            </w:r>
          </w:p>
        </w:tc>
        <w:tc>
          <w:tcPr>
            <w:tcW w:w="1077" w:type="dxa"/>
            <w:tcBorders>
              <w:top w:val="single" w:sz="6" w:space="0" w:color="auto"/>
              <w:left w:val="single" w:sz="6" w:space="0" w:color="auto"/>
              <w:bottom w:val="single" w:sz="6" w:space="0" w:color="auto"/>
              <w:right w:val="single" w:sz="6" w:space="0" w:color="auto"/>
            </w:tcBorders>
            <w:vAlign w:val="center"/>
          </w:tcPr>
          <w:p w14:paraId="72CBD6B4"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10F8A1DE"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2D667979"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4F4ED6CC"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0978DF52" w14:textId="77777777" w:rsidTr="00887829">
        <w:tc>
          <w:tcPr>
            <w:tcW w:w="1915" w:type="dxa"/>
            <w:vMerge/>
            <w:tcBorders>
              <w:left w:val="double" w:sz="4" w:space="0" w:color="auto"/>
              <w:bottom w:val="single" w:sz="6" w:space="0" w:color="auto"/>
              <w:right w:val="single" w:sz="6" w:space="0" w:color="auto"/>
            </w:tcBorders>
            <w:vAlign w:val="center"/>
          </w:tcPr>
          <w:p w14:paraId="0D58B0FD"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1E8A993A"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46250C34" w14:textId="77777777" w:rsidR="005A3DC8" w:rsidRDefault="005A3DC8" w:rsidP="008231B8">
            <w:pPr>
              <w:spacing w:line="240" w:lineRule="auto"/>
              <w:jc w:val="center"/>
              <w:rPr>
                <w:sz w:val="14"/>
                <w:szCs w:val="14"/>
                <w:lang w:val="en-GB"/>
              </w:rPr>
            </w:pPr>
            <w:r w:rsidRPr="000855B2">
              <w:rPr>
                <w:sz w:val="14"/>
                <w:szCs w:val="14"/>
                <w:lang w:val="en-GB"/>
              </w:rPr>
              <w:t>0.018</w:t>
            </w:r>
          </w:p>
        </w:tc>
        <w:tc>
          <w:tcPr>
            <w:tcW w:w="1077" w:type="dxa"/>
            <w:tcBorders>
              <w:top w:val="single" w:sz="6" w:space="0" w:color="auto"/>
              <w:left w:val="single" w:sz="6" w:space="0" w:color="auto"/>
              <w:bottom w:val="single" w:sz="6" w:space="0" w:color="auto"/>
              <w:right w:val="single" w:sz="6" w:space="0" w:color="auto"/>
            </w:tcBorders>
            <w:vAlign w:val="center"/>
          </w:tcPr>
          <w:p w14:paraId="16520155"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6309D692"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0B797DD4"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4EDCD8E0"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5F6EA76F" w14:textId="77777777" w:rsidTr="00887829">
        <w:tc>
          <w:tcPr>
            <w:tcW w:w="1915" w:type="dxa"/>
            <w:vMerge w:val="restart"/>
            <w:tcBorders>
              <w:top w:val="single" w:sz="6" w:space="0" w:color="auto"/>
              <w:left w:val="double" w:sz="4" w:space="0" w:color="auto"/>
              <w:right w:val="single" w:sz="6" w:space="0" w:color="auto"/>
            </w:tcBorders>
            <w:vAlign w:val="center"/>
          </w:tcPr>
          <w:p w14:paraId="7D1C0D60" w14:textId="77777777" w:rsidR="005A3DC8" w:rsidRDefault="005A3DC8" w:rsidP="0000485C">
            <w:pPr>
              <w:spacing w:line="240" w:lineRule="auto"/>
              <w:rPr>
                <w:sz w:val="14"/>
                <w:szCs w:val="14"/>
                <w:lang w:val="en-GB"/>
              </w:rPr>
            </w:pPr>
            <w:r w:rsidRPr="000855B2">
              <w:rPr>
                <w:sz w:val="14"/>
                <w:szCs w:val="14"/>
                <w:lang w:val="en-GB"/>
              </w:rPr>
              <w:t>4-stroke &lt;50 cm³</w:t>
            </w:r>
          </w:p>
        </w:tc>
        <w:tc>
          <w:tcPr>
            <w:tcW w:w="1701" w:type="dxa"/>
            <w:tcBorders>
              <w:top w:val="single" w:sz="6" w:space="0" w:color="auto"/>
              <w:left w:val="single" w:sz="6" w:space="0" w:color="auto"/>
              <w:bottom w:val="single" w:sz="6" w:space="0" w:color="auto"/>
              <w:right w:val="single" w:sz="6" w:space="0" w:color="auto"/>
            </w:tcBorders>
            <w:vAlign w:val="center"/>
          </w:tcPr>
          <w:p w14:paraId="383A0BBE"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25E15935" w14:textId="77777777" w:rsidR="005A3DC8" w:rsidRDefault="005A3DC8" w:rsidP="008231B8">
            <w:pPr>
              <w:spacing w:line="240" w:lineRule="auto"/>
              <w:jc w:val="center"/>
              <w:rPr>
                <w:sz w:val="14"/>
                <w:szCs w:val="14"/>
                <w:lang w:val="en-GB"/>
              </w:rPr>
            </w:pPr>
            <w:r w:rsidRPr="000855B2">
              <w:rPr>
                <w:sz w:val="14"/>
                <w:szCs w:val="14"/>
                <w:lang w:val="en-GB"/>
              </w:rPr>
              <w:t>0.176</w:t>
            </w:r>
          </w:p>
        </w:tc>
        <w:tc>
          <w:tcPr>
            <w:tcW w:w="1077" w:type="dxa"/>
            <w:tcBorders>
              <w:top w:val="single" w:sz="6" w:space="0" w:color="auto"/>
              <w:left w:val="single" w:sz="6" w:space="0" w:color="auto"/>
              <w:bottom w:val="single" w:sz="6" w:space="0" w:color="auto"/>
              <w:right w:val="single" w:sz="6" w:space="0" w:color="auto"/>
            </w:tcBorders>
            <w:vAlign w:val="center"/>
          </w:tcPr>
          <w:p w14:paraId="51281048" w14:textId="77777777" w:rsidR="005A3DC8" w:rsidRDefault="005A3DC8" w:rsidP="008231B8">
            <w:pPr>
              <w:spacing w:line="240" w:lineRule="auto"/>
              <w:jc w:val="center"/>
              <w:rPr>
                <w:sz w:val="14"/>
                <w:szCs w:val="14"/>
                <w:lang w:val="en-GB"/>
              </w:rPr>
            </w:pPr>
            <w:r w:rsidRPr="000855B2">
              <w:rPr>
                <w:sz w:val="14"/>
                <w:szCs w:val="14"/>
                <w:lang w:val="en-GB"/>
              </w:rPr>
              <w:t>2.06E-07</w:t>
            </w:r>
          </w:p>
        </w:tc>
        <w:tc>
          <w:tcPr>
            <w:tcW w:w="794" w:type="dxa"/>
            <w:tcBorders>
              <w:top w:val="single" w:sz="6" w:space="0" w:color="auto"/>
              <w:left w:val="single" w:sz="6" w:space="0" w:color="auto"/>
              <w:bottom w:val="single" w:sz="6" w:space="0" w:color="auto"/>
              <w:right w:val="single" w:sz="6" w:space="0" w:color="auto"/>
            </w:tcBorders>
            <w:vAlign w:val="center"/>
          </w:tcPr>
          <w:p w14:paraId="090585AF" w14:textId="77777777" w:rsidR="005A3DC8" w:rsidRDefault="005A3DC8" w:rsidP="008231B8">
            <w:pPr>
              <w:spacing w:line="240" w:lineRule="auto"/>
              <w:jc w:val="center"/>
              <w:rPr>
                <w:sz w:val="14"/>
                <w:szCs w:val="14"/>
                <w:lang w:val="en-GB"/>
              </w:rPr>
            </w:pPr>
            <w:r w:rsidRPr="000855B2">
              <w:rPr>
                <w:sz w:val="14"/>
                <w:szCs w:val="14"/>
                <w:lang w:val="en-GB"/>
              </w:rPr>
              <w:t>6E-08</w:t>
            </w:r>
          </w:p>
        </w:tc>
        <w:tc>
          <w:tcPr>
            <w:tcW w:w="794" w:type="dxa"/>
            <w:tcBorders>
              <w:top w:val="single" w:sz="6" w:space="0" w:color="auto"/>
              <w:left w:val="single" w:sz="6" w:space="0" w:color="auto"/>
              <w:bottom w:val="single" w:sz="6" w:space="0" w:color="auto"/>
              <w:right w:val="single" w:sz="6" w:space="0" w:color="auto"/>
            </w:tcBorders>
            <w:vAlign w:val="center"/>
          </w:tcPr>
          <w:p w14:paraId="33E630CA" w14:textId="77777777" w:rsidR="005A3DC8" w:rsidRDefault="005A3DC8" w:rsidP="008231B8">
            <w:pPr>
              <w:spacing w:line="240" w:lineRule="auto"/>
              <w:jc w:val="center"/>
              <w:rPr>
                <w:sz w:val="14"/>
                <w:szCs w:val="14"/>
                <w:lang w:val="en-GB"/>
              </w:rPr>
            </w:pPr>
            <w:r w:rsidRPr="000855B2">
              <w:rPr>
                <w:sz w:val="14"/>
                <w:szCs w:val="14"/>
                <w:lang w:val="en-GB"/>
              </w:rPr>
              <w:t>1.76E-07</w:t>
            </w:r>
          </w:p>
        </w:tc>
        <w:tc>
          <w:tcPr>
            <w:tcW w:w="833" w:type="dxa"/>
            <w:tcBorders>
              <w:top w:val="single" w:sz="6" w:space="0" w:color="auto"/>
              <w:left w:val="single" w:sz="6" w:space="0" w:color="auto"/>
              <w:bottom w:val="single" w:sz="6" w:space="0" w:color="auto"/>
              <w:right w:val="double" w:sz="4" w:space="0" w:color="auto"/>
            </w:tcBorders>
            <w:vAlign w:val="center"/>
          </w:tcPr>
          <w:p w14:paraId="20EA814A" w14:textId="77777777" w:rsidR="005A3DC8" w:rsidRDefault="005A3DC8" w:rsidP="008231B8">
            <w:pPr>
              <w:spacing w:line="240" w:lineRule="auto"/>
              <w:jc w:val="center"/>
              <w:rPr>
                <w:sz w:val="14"/>
                <w:szCs w:val="14"/>
                <w:lang w:val="en-GB"/>
              </w:rPr>
            </w:pPr>
            <w:r w:rsidRPr="000855B2">
              <w:rPr>
                <w:sz w:val="14"/>
                <w:szCs w:val="14"/>
                <w:lang w:val="en-GB"/>
              </w:rPr>
              <w:t>9.6E-08</w:t>
            </w:r>
          </w:p>
        </w:tc>
      </w:tr>
      <w:tr w:rsidR="005A3DC8" w:rsidRPr="000855B2" w14:paraId="3B308B15" w14:textId="77777777" w:rsidTr="00887829">
        <w:tc>
          <w:tcPr>
            <w:tcW w:w="1915" w:type="dxa"/>
            <w:vMerge/>
            <w:tcBorders>
              <w:left w:val="double" w:sz="4" w:space="0" w:color="auto"/>
              <w:right w:val="single" w:sz="6" w:space="0" w:color="auto"/>
            </w:tcBorders>
            <w:vAlign w:val="center"/>
          </w:tcPr>
          <w:p w14:paraId="331A25F7"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0D2F4A01" w14:textId="77777777" w:rsidR="005A3DC8" w:rsidRDefault="005A3DC8" w:rsidP="00410789">
            <w:pPr>
              <w:spacing w:line="240" w:lineRule="auto"/>
              <w:rPr>
                <w:sz w:val="14"/>
                <w:szCs w:val="14"/>
                <w:lang w:val="en-GB"/>
              </w:rPr>
            </w:pPr>
            <w:r w:rsidRPr="000855B2">
              <w:rPr>
                <w:sz w:val="14"/>
                <w:szCs w:val="14"/>
                <w:lang w:val="en-GB"/>
              </w:rPr>
              <w:t>Mop - Euro 1</w:t>
            </w:r>
          </w:p>
        </w:tc>
        <w:tc>
          <w:tcPr>
            <w:tcW w:w="1077" w:type="dxa"/>
            <w:tcBorders>
              <w:top w:val="single" w:sz="6" w:space="0" w:color="auto"/>
              <w:left w:val="single" w:sz="6" w:space="0" w:color="auto"/>
              <w:bottom w:val="single" w:sz="6" w:space="0" w:color="auto"/>
              <w:right w:val="single" w:sz="6" w:space="0" w:color="auto"/>
            </w:tcBorders>
            <w:vAlign w:val="center"/>
          </w:tcPr>
          <w:p w14:paraId="6A36B099" w14:textId="77777777" w:rsidR="005A3DC8" w:rsidRDefault="005A3DC8" w:rsidP="008231B8">
            <w:pPr>
              <w:spacing w:line="240" w:lineRule="auto"/>
              <w:jc w:val="center"/>
              <w:rPr>
                <w:sz w:val="14"/>
                <w:szCs w:val="14"/>
                <w:lang w:val="en-GB"/>
              </w:rPr>
            </w:pPr>
            <w:r w:rsidRPr="000855B2">
              <w:rPr>
                <w:sz w:val="14"/>
                <w:szCs w:val="14"/>
                <w:lang w:val="en-GB"/>
              </w:rPr>
              <w:t>0.04</w:t>
            </w:r>
          </w:p>
        </w:tc>
        <w:tc>
          <w:tcPr>
            <w:tcW w:w="1077" w:type="dxa"/>
            <w:tcBorders>
              <w:top w:val="single" w:sz="6" w:space="0" w:color="auto"/>
              <w:left w:val="single" w:sz="6" w:space="0" w:color="auto"/>
              <w:bottom w:val="single" w:sz="6" w:space="0" w:color="auto"/>
              <w:right w:val="single" w:sz="6" w:space="0" w:color="auto"/>
            </w:tcBorders>
            <w:vAlign w:val="center"/>
          </w:tcPr>
          <w:p w14:paraId="4F21CC2D"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5EA2B815"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237CE063"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08B8F8E1"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5B7CF2C9" w14:textId="77777777" w:rsidTr="00887829">
        <w:tc>
          <w:tcPr>
            <w:tcW w:w="1915" w:type="dxa"/>
            <w:vMerge/>
            <w:tcBorders>
              <w:left w:val="double" w:sz="4" w:space="0" w:color="auto"/>
              <w:right w:val="single" w:sz="6" w:space="0" w:color="auto"/>
            </w:tcBorders>
            <w:vAlign w:val="center"/>
          </w:tcPr>
          <w:p w14:paraId="50547913"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53B59C94" w14:textId="77777777" w:rsidR="005A3DC8" w:rsidRDefault="005A3DC8" w:rsidP="00410789">
            <w:pPr>
              <w:spacing w:line="240" w:lineRule="auto"/>
              <w:rPr>
                <w:sz w:val="14"/>
                <w:szCs w:val="14"/>
                <w:lang w:val="en-GB"/>
              </w:rPr>
            </w:pPr>
            <w:r w:rsidRPr="000855B2">
              <w:rPr>
                <w:sz w:val="14"/>
                <w:szCs w:val="14"/>
                <w:lang w:val="en-GB"/>
              </w:rPr>
              <w:t>Mop - Euro 2</w:t>
            </w:r>
          </w:p>
        </w:tc>
        <w:tc>
          <w:tcPr>
            <w:tcW w:w="1077" w:type="dxa"/>
            <w:tcBorders>
              <w:top w:val="single" w:sz="6" w:space="0" w:color="auto"/>
              <w:left w:val="single" w:sz="6" w:space="0" w:color="auto"/>
              <w:bottom w:val="single" w:sz="6" w:space="0" w:color="auto"/>
              <w:right w:val="single" w:sz="6" w:space="0" w:color="auto"/>
            </w:tcBorders>
            <w:vAlign w:val="center"/>
          </w:tcPr>
          <w:p w14:paraId="7944A8F6" w14:textId="77777777" w:rsidR="005A3DC8" w:rsidRDefault="005A3DC8" w:rsidP="008231B8">
            <w:pPr>
              <w:spacing w:line="240" w:lineRule="auto"/>
              <w:jc w:val="center"/>
              <w:rPr>
                <w:sz w:val="14"/>
                <w:szCs w:val="14"/>
                <w:lang w:val="en-GB"/>
              </w:rPr>
            </w:pPr>
            <w:r w:rsidRPr="000855B2">
              <w:rPr>
                <w:sz w:val="14"/>
                <w:szCs w:val="14"/>
                <w:lang w:val="en-GB"/>
              </w:rPr>
              <w:t>0.007</w:t>
            </w:r>
          </w:p>
        </w:tc>
        <w:tc>
          <w:tcPr>
            <w:tcW w:w="1077" w:type="dxa"/>
            <w:tcBorders>
              <w:top w:val="single" w:sz="6" w:space="0" w:color="auto"/>
              <w:left w:val="single" w:sz="6" w:space="0" w:color="auto"/>
              <w:bottom w:val="single" w:sz="6" w:space="0" w:color="auto"/>
              <w:right w:val="single" w:sz="6" w:space="0" w:color="auto"/>
            </w:tcBorders>
            <w:vAlign w:val="center"/>
          </w:tcPr>
          <w:p w14:paraId="5A12E558"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21F5441A"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594258D5"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6156D6D7"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277E11FC" w14:textId="77777777" w:rsidTr="00887829">
        <w:tc>
          <w:tcPr>
            <w:tcW w:w="1915" w:type="dxa"/>
            <w:vMerge/>
            <w:tcBorders>
              <w:left w:val="double" w:sz="4" w:space="0" w:color="auto"/>
              <w:bottom w:val="single" w:sz="6" w:space="0" w:color="auto"/>
              <w:right w:val="single" w:sz="6" w:space="0" w:color="auto"/>
            </w:tcBorders>
            <w:vAlign w:val="center"/>
          </w:tcPr>
          <w:p w14:paraId="637AEC73"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7DCDD309" w14:textId="77777777" w:rsidR="005A3DC8" w:rsidRDefault="005A3DC8" w:rsidP="00410789">
            <w:pPr>
              <w:spacing w:line="240" w:lineRule="auto"/>
              <w:rPr>
                <w:sz w:val="14"/>
                <w:szCs w:val="14"/>
                <w:lang w:val="en-GB"/>
              </w:rPr>
            </w:pPr>
            <w:r w:rsidRPr="000855B2">
              <w:rPr>
                <w:sz w:val="14"/>
                <w:szCs w:val="14"/>
                <w:lang w:val="en-GB"/>
              </w:rPr>
              <w:t>Mop - Euro 3</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5C26099D" w14:textId="77777777" w:rsidR="005A3DC8" w:rsidRDefault="005A3DC8" w:rsidP="008231B8">
            <w:pPr>
              <w:spacing w:line="240" w:lineRule="auto"/>
              <w:jc w:val="center"/>
              <w:rPr>
                <w:sz w:val="14"/>
                <w:szCs w:val="14"/>
                <w:lang w:val="en-GB"/>
              </w:rPr>
            </w:pPr>
            <w:r w:rsidRPr="000855B2">
              <w:rPr>
                <w:sz w:val="14"/>
                <w:szCs w:val="14"/>
                <w:lang w:val="en-GB"/>
              </w:rPr>
              <w:t>0.004</w:t>
            </w:r>
          </w:p>
        </w:tc>
        <w:tc>
          <w:tcPr>
            <w:tcW w:w="1077" w:type="dxa"/>
            <w:tcBorders>
              <w:top w:val="single" w:sz="6" w:space="0" w:color="auto"/>
              <w:left w:val="single" w:sz="6" w:space="0" w:color="auto"/>
              <w:bottom w:val="single" w:sz="6" w:space="0" w:color="auto"/>
              <w:right w:val="single" w:sz="6" w:space="0" w:color="auto"/>
            </w:tcBorders>
            <w:vAlign w:val="center"/>
          </w:tcPr>
          <w:p w14:paraId="3A4BA3ED" w14:textId="77777777" w:rsidR="005A3DC8" w:rsidRDefault="005A3DC8" w:rsidP="008231B8">
            <w:pPr>
              <w:spacing w:line="240" w:lineRule="auto"/>
              <w:jc w:val="center"/>
              <w:rPr>
                <w:sz w:val="14"/>
                <w:szCs w:val="14"/>
                <w:lang w:val="en-GB"/>
              </w:rPr>
            </w:pPr>
            <w:r w:rsidRPr="000855B2">
              <w:rPr>
                <w:sz w:val="14"/>
                <w:szCs w:val="14"/>
                <w:lang w:val="en-GB"/>
              </w:rPr>
              <w:t>7.8E-08</w:t>
            </w:r>
          </w:p>
        </w:tc>
        <w:tc>
          <w:tcPr>
            <w:tcW w:w="794" w:type="dxa"/>
            <w:tcBorders>
              <w:top w:val="single" w:sz="6" w:space="0" w:color="auto"/>
              <w:left w:val="single" w:sz="6" w:space="0" w:color="auto"/>
              <w:bottom w:val="single" w:sz="6" w:space="0" w:color="auto"/>
              <w:right w:val="single" w:sz="6" w:space="0" w:color="auto"/>
            </w:tcBorders>
            <w:vAlign w:val="center"/>
          </w:tcPr>
          <w:p w14:paraId="02DC976A" w14:textId="77777777" w:rsidR="005A3DC8" w:rsidRDefault="005A3DC8" w:rsidP="008231B8">
            <w:pPr>
              <w:spacing w:line="240" w:lineRule="auto"/>
              <w:jc w:val="center"/>
              <w:rPr>
                <w:sz w:val="14"/>
                <w:szCs w:val="14"/>
                <w:lang w:val="en-GB"/>
              </w:rPr>
            </w:pPr>
            <w:r w:rsidRPr="000855B2">
              <w:rPr>
                <w:sz w:val="14"/>
                <w:szCs w:val="14"/>
                <w:lang w:val="en-GB"/>
              </w:rPr>
              <w:t>5.2E-08</w:t>
            </w:r>
          </w:p>
        </w:tc>
        <w:tc>
          <w:tcPr>
            <w:tcW w:w="794" w:type="dxa"/>
            <w:tcBorders>
              <w:top w:val="single" w:sz="6" w:space="0" w:color="auto"/>
              <w:left w:val="single" w:sz="6" w:space="0" w:color="auto"/>
              <w:bottom w:val="single" w:sz="6" w:space="0" w:color="auto"/>
              <w:right w:val="single" w:sz="6" w:space="0" w:color="auto"/>
            </w:tcBorders>
            <w:vAlign w:val="center"/>
          </w:tcPr>
          <w:p w14:paraId="63A96897" w14:textId="77777777" w:rsidR="005A3DC8" w:rsidRDefault="005A3DC8" w:rsidP="008231B8">
            <w:pPr>
              <w:spacing w:line="240" w:lineRule="auto"/>
              <w:jc w:val="center"/>
              <w:rPr>
                <w:sz w:val="14"/>
                <w:szCs w:val="14"/>
                <w:lang w:val="en-GB"/>
              </w:rPr>
            </w:pPr>
            <w:r w:rsidRPr="000855B2">
              <w:rPr>
                <w:sz w:val="14"/>
                <w:szCs w:val="14"/>
                <w:lang w:val="en-GB"/>
              </w:rPr>
              <w:t>7.2E-08</w:t>
            </w:r>
          </w:p>
        </w:tc>
        <w:tc>
          <w:tcPr>
            <w:tcW w:w="833" w:type="dxa"/>
            <w:tcBorders>
              <w:top w:val="single" w:sz="6" w:space="0" w:color="auto"/>
              <w:left w:val="single" w:sz="6" w:space="0" w:color="auto"/>
              <w:bottom w:val="single" w:sz="6" w:space="0" w:color="auto"/>
              <w:right w:val="double" w:sz="4" w:space="0" w:color="auto"/>
            </w:tcBorders>
            <w:vAlign w:val="center"/>
          </w:tcPr>
          <w:p w14:paraId="751E53B4" w14:textId="77777777" w:rsidR="005A3DC8" w:rsidRDefault="005A3DC8" w:rsidP="008231B8">
            <w:pPr>
              <w:spacing w:line="240" w:lineRule="auto"/>
              <w:jc w:val="center"/>
              <w:rPr>
                <w:sz w:val="14"/>
                <w:szCs w:val="14"/>
                <w:lang w:val="en-GB"/>
              </w:rPr>
            </w:pPr>
            <w:r w:rsidRPr="000855B2">
              <w:rPr>
                <w:sz w:val="14"/>
                <w:szCs w:val="14"/>
                <w:lang w:val="en-GB"/>
              </w:rPr>
              <w:t>6.4E-08</w:t>
            </w:r>
          </w:p>
        </w:tc>
      </w:tr>
      <w:tr w:rsidR="005A3DC8" w:rsidRPr="000855B2" w14:paraId="5DF27971" w14:textId="77777777" w:rsidTr="00887829">
        <w:tc>
          <w:tcPr>
            <w:tcW w:w="1915" w:type="dxa"/>
            <w:vMerge w:val="restart"/>
            <w:tcBorders>
              <w:top w:val="single" w:sz="6" w:space="0" w:color="auto"/>
              <w:left w:val="double" w:sz="4" w:space="0" w:color="auto"/>
              <w:right w:val="single" w:sz="6" w:space="0" w:color="auto"/>
            </w:tcBorders>
            <w:vAlign w:val="center"/>
          </w:tcPr>
          <w:p w14:paraId="2A84B21C" w14:textId="77777777" w:rsidR="005A3DC8" w:rsidRDefault="005A3DC8" w:rsidP="0000485C">
            <w:pPr>
              <w:spacing w:line="240" w:lineRule="auto"/>
              <w:rPr>
                <w:sz w:val="14"/>
                <w:szCs w:val="14"/>
                <w:lang w:val="en-GB"/>
              </w:rPr>
            </w:pPr>
            <w:r w:rsidRPr="000855B2">
              <w:rPr>
                <w:sz w:val="14"/>
                <w:szCs w:val="14"/>
                <w:lang w:val="en-GB"/>
              </w:rPr>
              <w:t>2-stroke &gt;50 cm³</w:t>
            </w:r>
          </w:p>
        </w:tc>
        <w:tc>
          <w:tcPr>
            <w:tcW w:w="1701" w:type="dxa"/>
            <w:tcBorders>
              <w:top w:val="single" w:sz="6" w:space="0" w:color="auto"/>
              <w:left w:val="single" w:sz="6" w:space="0" w:color="auto"/>
              <w:bottom w:val="single" w:sz="6" w:space="0" w:color="auto"/>
              <w:right w:val="single" w:sz="6" w:space="0" w:color="auto"/>
            </w:tcBorders>
            <w:vAlign w:val="center"/>
          </w:tcPr>
          <w:p w14:paraId="3FB1B38A"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1F418708" w14:textId="77777777" w:rsidR="005A3DC8" w:rsidRDefault="005A3DC8" w:rsidP="008231B8">
            <w:pPr>
              <w:spacing w:line="240" w:lineRule="auto"/>
              <w:jc w:val="center"/>
              <w:rPr>
                <w:sz w:val="14"/>
                <w:szCs w:val="14"/>
                <w:lang w:val="en-GB"/>
              </w:rPr>
            </w:pPr>
            <w:r w:rsidRPr="000855B2">
              <w:rPr>
                <w:sz w:val="14"/>
                <w:szCs w:val="14"/>
                <w:lang w:val="en-GB"/>
              </w:rPr>
              <w:t>0.16</w:t>
            </w:r>
          </w:p>
        </w:tc>
        <w:tc>
          <w:tcPr>
            <w:tcW w:w="1077" w:type="dxa"/>
            <w:tcBorders>
              <w:top w:val="single" w:sz="6" w:space="0" w:color="auto"/>
              <w:left w:val="single" w:sz="6" w:space="0" w:color="auto"/>
              <w:bottom w:val="single" w:sz="6" w:space="0" w:color="auto"/>
              <w:right w:val="single" w:sz="6" w:space="0" w:color="auto"/>
            </w:tcBorders>
            <w:vAlign w:val="center"/>
          </w:tcPr>
          <w:p w14:paraId="2FE605D7"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267ACAF8"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4FC958F8"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7A6709DE"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29D5A82C" w14:textId="77777777" w:rsidTr="00887829">
        <w:tc>
          <w:tcPr>
            <w:tcW w:w="1915" w:type="dxa"/>
            <w:vMerge/>
            <w:tcBorders>
              <w:left w:val="double" w:sz="4" w:space="0" w:color="auto"/>
              <w:right w:val="single" w:sz="6" w:space="0" w:color="auto"/>
            </w:tcBorders>
            <w:vAlign w:val="center"/>
          </w:tcPr>
          <w:p w14:paraId="3A29BE31"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6E7224FB"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2C01A074" w14:textId="77777777" w:rsidR="005A3DC8" w:rsidRDefault="005A3DC8" w:rsidP="008231B8">
            <w:pPr>
              <w:spacing w:line="240" w:lineRule="auto"/>
              <w:jc w:val="center"/>
              <w:rPr>
                <w:sz w:val="14"/>
                <w:szCs w:val="14"/>
                <w:lang w:val="en-GB"/>
              </w:rPr>
            </w:pPr>
            <w:r w:rsidRPr="000855B2">
              <w:rPr>
                <w:sz w:val="14"/>
                <w:szCs w:val="14"/>
                <w:lang w:val="en-GB"/>
              </w:rPr>
              <w:t>0.064</w:t>
            </w:r>
          </w:p>
        </w:tc>
        <w:tc>
          <w:tcPr>
            <w:tcW w:w="1077" w:type="dxa"/>
            <w:tcBorders>
              <w:top w:val="single" w:sz="6" w:space="0" w:color="auto"/>
              <w:left w:val="single" w:sz="6" w:space="0" w:color="auto"/>
              <w:bottom w:val="single" w:sz="6" w:space="0" w:color="auto"/>
              <w:right w:val="single" w:sz="6" w:space="0" w:color="auto"/>
            </w:tcBorders>
            <w:vAlign w:val="center"/>
          </w:tcPr>
          <w:p w14:paraId="557551F0"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10D54F30"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624BA699"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0B432456"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6E642D38" w14:textId="77777777" w:rsidTr="00887829">
        <w:tc>
          <w:tcPr>
            <w:tcW w:w="1915" w:type="dxa"/>
            <w:vMerge/>
            <w:tcBorders>
              <w:left w:val="double" w:sz="4" w:space="0" w:color="auto"/>
              <w:right w:val="single" w:sz="6" w:space="0" w:color="auto"/>
            </w:tcBorders>
            <w:vAlign w:val="center"/>
          </w:tcPr>
          <w:p w14:paraId="04A16AEB"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3F8F5F0F" w14:textId="77777777" w:rsidR="005A3DC8" w:rsidRDefault="005A3DC8" w:rsidP="00410789">
            <w:pPr>
              <w:spacing w:line="240" w:lineRule="auto"/>
              <w:rPr>
                <w:sz w:val="14"/>
                <w:szCs w:val="14"/>
                <w:lang w:val="en-GB"/>
              </w:rPr>
            </w:pPr>
            <w:r w:rsidRPr="000855B2">
              <w:rPr>
                <w:sz w:val="14"/>
                <w:szCs w:val="14"/>
                <w:lang w:val="en-GB"/>
              </w:rPr>
              <w:t>Mot - Euro 2</w:t>
            </w:r>
          </w:p>
        </w:tc>
        <w:tc>
          <w:tcPr>
            <w:tcW w:w="1077" w:type="dxa"/>
            <w:tcBorders>
              <w:top w:val="single" w:sz="6" w:space="0" w:color="auto"/>
              <w:left w:val="single" w:sz="6" w:space="0" w:color="auto"/>
              <w:bottom w:val="single" w:sz="6" w:space="0" w:color="auto"/>
              <w:right w:val="single" w:sz="6" w:space="0" w:color="auto"/>
            </w:tcBorders>
            <w:vAlign w:val="center"/>
          </w:tcPr>
          <w:p w14:paraId="7A3EAA4C" w14:textId="77777777" w:rsidR="005A3DC8" w:rsidRDefault="005A3DC8" w:rsidP="008231B8">
            <w:pPr>
              <w:spacing w:line="240" w:lineRule="auto"/>
              <w:jc w:val="center"/>
              <w:rPr>
                <w:sz w:val="14"/>
                <w:szCs w:val="14"/>
                <w:lang w:val="en-GB"/>
              </w:rPr>
            </w:pPr>
            <w:r w:rsidRPr="000855B2">
              <w:rPr>
                <w:sz w:val="14"/>
                <w:szCs w:val="14"/>
                <w:lang w:val="en-GB"/>
              </w:rPr>
              <w:t>0.032</w:t>
            </w:r>
          </w:p>
        </w:tc>
        <w:tc>
          <w:tcPr>
            <w:tcW w:w="1077" w:type="dxa"/>
            <w:tcBorders>
              <w:top w:val="single" w:sz="6" w:space="0" w:color="auto"/>
              <w:left w:val="single" w:sz="6" w:space="0" w:color="auto"/>
              <w:bottom w:val="single" w:sz="6" w:space="0" w:color="auto"/>
              <w:right w:val="single" w:sz="6" w:space="0" w:color="auto"/>
            </w:tcBorders>
            <w:vAlign w:val="center"/>
          </w:tcPr>
          <w:p w14:paraId="51181C5F"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25053E9B"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553F8ED5"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02576902"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5E348610" w14:textId="77777777" w:rsidTr="00887829">
        <w:tc>
          <w:tcPr>
            <w:tcW w:w="1915" w:type="dxa"/>
            <w:vMerge/>
            <w:tcBorders>
              <w:left w:val="double" w:sz="4" w:space="0" w:color="auto"/>
              <w:bottom w:val="single" w:sz="6" w:space="0" w:color="auto"/>
              <w:right w:val="single" w:sz="6" w:space="0" w:color="auto"/>
            </w:tcBorders>
            <w:vAlign w:val="center"/>
          </w:tcPr>
          <w:p w14:paraId="14279FBB"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F278001" w14:textId="77777777" w:rsidR="005A3DC8" w:rsidRDefault="005A3DC8" w:rsidP="00410789">
            <w:pPr>
              <w:spacing w:line="240" w:lineRule="auto"/>
              <w:rPr>
                <w:sz w:val="14"/>
                <w:szCs w:val="14"/>
                <w:lang w:val="en-GB"/>
              </w:rPr>
            </w:pPr>
            <w:r w:rsidRPr="000855B2">
              <w:rPr>
                <w:sz w:val="14"/>
                <w:szCs w:val="14"/>
                <w:lang w:val="en-GB"/>
              </w:rPr>
              <w:t>Mot - Euro 3</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3966939C" w14:textId="77777777" w:rsidR="005A3DC8" w:rsidRDefault="005A3DC8" w:rsidP="008231B8">
            <w:pPr>
              <w:spacing w:line="240" w:lineRule="auto"/>
              <w:jc w:val="center"/>
              <w:rPr>
                <w:sz w:val="14"/>
                <w:szCs w:val="14"/>
                <w:lang w:val="en-GB"/>
              </w:rPr>
            </w:pPr>
            <w:r w:rsidRPr="000855B2">
              <w:rPr>
                <w:sz w:val="14"/>
                <w:szCs w:val="14"/>
                <w:lang w:val="en-GB"/>
              </w:rPr>
              <w:t>0.0096</w:t>
            </w:r>
          </w:p>
        </w:tc>
        <w:tc>
          <w:tcPr>
            <w:tcW w:w="1077" w:type="dxa"/>
            <w:tcBorders>
              <w:top w:val="single" w:sz="6" w:space="0" w:color="auto"/>
              <w:left w:val="single" w:sz="6" w:space="0" w:color="auto"/>
              <w:bottom w:val="single" w:sz="6" w:space="0" w:color="auto"/>
              <w:right w:val="single" w:sz="6" w:space="0" w:color="auto"/>
            </w:tcBorders>
            <w:vAlign w:val="center"/>
          </w:tcPr>
          <w:p w14:paraId="2F399B12"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4FFEBB62"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794" w:type="dxa"/>
            <w:tcBorders>
              <w:top w:val="single" w:sz="6" w:space="0" w:color="auto"/>
              <w:left w:val="single" w:sz="6" w:space="0" w:color="auto"/>
              <w:bottom w:val="single" w:sz="6" w:space="0" w:color="auto"/>
              <w:right w:val="single" w:sz="6" w:space="0" w:color="auto"/>
            </w:tcBorders>
            <w:vAlign w:val="center"/>
          </w:tcPr>
          <w:p w14:paraId="7A678121" w14:textId="77777777" w:rsidR="005A3DC8" w:rsidRDefault="005A3DC8" w:rsidP="008231B8">
            <w:pPr>
              <w:spacing w:line="240" w:lineRule="auto"/>
              <w:jc w:val="center"/>
              <w:rPr>
                <w:sz w:val="14"/>
                <w:szCs w:val="14"/>
                <w:lang w:val="en-GB"/>
              </w:rPr>
            </w:pPr>
            <w:r w:rsidRPr="000855B2">
              <w:rPr>
                <w:sz w:val="14"/>
                <w:szCs w:val="14"/>
                <w:lang w:val="en-GB"/>
              </w:rPr>
              <w:t>n.a.</w:t>
            </w:r>
          </w:p>
        </w:tc>
        <w:tc>
          <w:tcPr>
            <w:tcW w:w="833" w:type="dxa"/>
            <w:tcBorders>
              <w:top w:val="single" w:sz="6" w:space="0" w:color="auto"/>
              <w:left w:val="single" w:sz="6" w:space="0" w:color="auto"/>
              <w:bottom w:val="single" w:sz="6" w:space="0" w:color="auto"/>
              <w:right w:val="double" w:sz="4" w:space="0" w:color="auto"/>
            </w:tcBorders>
            <w:vAlign w:val="center"/>
          </w:tcPr>
          <w:p w14:paraId="6FD1C9B8" w14:textId="77777777" w:rsidR="005A3DC8" w:rsidRDefault="005A3DC8" w:rsidP="008231B8">
            <w:pPr>
              <w:spacing w:line="240" w:lineRule="auto"/>
              <w:jc w:val="center"/>
              <w:rPr>
                <w:sz w:val="14"/>
                <w:szCs w:val="14"/>
                <w:lang w:val="en-GB"/>
              </w:rPr>
            </w:pPr>
            <w:r w:rsidRPr="000855B2">
              <w:rPr>
                <w:sz w:val="14"/>
                <w:szCs w:val="14"/>
                <w:lang w:val="en-GB"/>
              </w:rPr>
              <w:t>n.a.</w:t>
            </w:r>
          </w:p>
        </w:tc>
      </w:tr>
      <w:tr w:rsidR="005A3DC8" w:rsidRPr="000855B2" w14:paraId="5B79E910" w14:textId="77777777" w:rsidTr="00887829">
        <w:tc>
          <w:tcPr>
            <w:tcW w:w="1915" w:type="dxa"/>
            <w:vMerge w:val="restart"/>
            <w:tcBorders>
              <w:top w:val="single" w:sz="6" w:space="0" w:color="auto"/>
              <w:left w:val="double" w:sz="4" w:space="0" w:color="auto"/>
              <w:right w:val="single" w:sz="6" w:space="0" w:color="auto"/>
            </w:tcBorders>
            <w:vAlign w:val="center"/>
          </w:tcPr>
          <w:p w14:paraId="2007F526" w14:textId="77777777" w:rsidR="005A3DC8" w:rsidRDefault="005A3DC8" w:rsidP="0000485C">
            <w:pPr>
              <w:spacing w:line="240" w:lineRule="auto"/>
              <w:rPr>
                <w:sz w:val="14"/>
                <w:szCs w:val="14"/>
                <w:lang w:val="en-GB"/>
              </w:rPr>
            </w:pPr>
            <w:r w:rsidRPr="000855B2">
              <w:rPr>
                <w:sz w:val="14"/>
                <w:szCs w:val="14"/>
                <w:lang w:val="en-GB"/>
              </w:rPr>
              <w:t>4-stroke &lt;250 cm</w:t>
            </w:r>
          </w:p>
        </w:tc>
        <w:tc>
          <w:tcPr>
            <w:tcW w:w="1701" w:type="dxa"/>
            <w:tcBorders>
              <w:top w:val="single" w:sz="6" w:space="0" w:color="auto"/>
              <w:left w:val="single" w:sz="6" w:space="0" w:color="auto"/>
              <w:bottom w:val="single" w:sz="6" w:space="0" w:color="auto"/>
              <w:right w:val="single" w:sz="6" w:space="0" w:color="auto"/>
            </w:tcBorders>
            <w:vAlign w:val="center"/>
          </w:tcPr>
          <w:p w14:paraId="6C546468"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7C9CCD0F"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2673AC37"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3EA285E2"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7BF70903"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4F21B718"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50813A65" w14:textId="77777777" w:rsidTr="00887829">
        <w:tc>
          <w:tcPr>
            <w:tcW w:w="1915" w:type="dxa"/>
            <w:vMerge/>
            <w:tcBorders>
              <w:left w:val="double" w:sz="4" w:space="0" w:color="auto"/>
              <w:right w:val="single" w:sz="6" w:space="0" w:color="auto"/>
            </w:tcBorders>
            <w:vAlign w:val="center"/>
          </w:tcPr>
          <w:p w14:paraId="6EEEE061"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5D22D3B6"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1C20CB4E"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31242F2D"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5432A1E5"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3579B226"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18B41B1F"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757D9550" w14:textId="77777777" w:rsidTr="00887829">
        <w:tc>
          <w:tcPr>
            <w:tcW w:w="1915" w:type="dxa"/>
            <w:vMerge/>
            <w:tcBorders>
              <w:left w:val="double" w:sz="4" w:space="0" w:color="auto"/>
              <w:bottom w:val="single" w:sz="6" w:space="0" w:color="auto"/>
              <w:right w:val="single" w:sz="6" w:space="0" w:color="auto"/>
            </w:tcBorders>
            <w:vAlign w:val="center"/>
          </w:tcPr>
          <w:p w14:paraId="08AA0F22"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7F13480A" w14:textId="77777777" w:rsidR="005A3DC8" w:rsidRDefault="005A3DC8" w:rsidP="00410789">
            <w:pPr>
              <w:spacing w:line="240" w:lineRule="auto"/>
              <w:rPr>
                <w:sz w:val="14"/>
                <w:szCs w:val="14"/>
                <w:lang w:val="en-GB"/>
              </w:rPr>
            </w:pPr>
            <w:r w:rsidRPr="000855B2">
              <w:rPr>
                <w:sz w:val="14"/>
                <w:szCs w:val="14"/>
                <w:lang w:val="en-GB"/>
              </w:rPr>
              <w:t>Mot - Euro 2</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21BFACC8" w14:textId="77777777" w:rsidR="005A3DC8" w:rsidRDefault="005A3DC8" w:rsidP="008231B8">
            <w:pPr>
              <w:spacing w:line="240" w:lineRule="auto"/>
              <w:jc w:val="center"/>
              <w:rPr>
                <w:sz w:val="14"/>
                <w:szCs w:val="14"/>
                <w:lang w:val="en-GB"/>
              </w:rPr>
            </w:pPr>
            <w:r w:rsidRPr="000855B2">
              <w:rPr>
                <w:sz w:val="14"/>
                <w:szCs w:val="14"/>
                <w:lang w:val="en-GB"/>
              </w:rPr>
              <w:t>0.0035</w:t>
            </w:r>
          </w:p>
        </w:tc>
        <w:tc>
          <w:tcPr>
            <w:tcW w:w="1077" w:type="dxa"/>
            <w:tcBorders>
              <w:top w:val="single" w:sz="6" w:space="0" w:color="auto"/>
              <w:left w:val="single" w:sz="6" w:space="0" w:color="auto"/>
              <w:bottom w:val="single" w:sz="6" w:space="0" w:color="auto"/>
              <w:right w:val="single" w:sz="6" w:space="0" w:color="auto"/>
            </w:tcBorders>
            <w:vAlign w:val="center"/>
          </w:tcPr>
          <w:p w14:paraId="515445F4"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290C7E8E"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5F5FCA0D"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78D744F6"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4D915CE2" w14:textId="77777777" w:rsidTr="00887829">
        <w:tc>
          <w:tcPr>
            <w:tcW w:w="1915" w:type="dxa"/>
            <w:vMerge w:val="restart"/>
            <w:tcBorders>
              <w:top w:val="single" w:sz="6" w:space="0" w:color="auto"/>
              <w:left w:val="double" w:sz="4" w:space="0" w:color="auto"/>
              <w:right w:val="single" w:sz="6" w:space="0" w:color="auto"/>
            </w:tcBorders>
            <w:vAlign w:val="center"/>
          </w:tcPr>
          <w:p w14:paraId="6DD61951" w14:textId="77777777" w:rsidR="005A3DC8" w:rsidRDefault="005A3DC8" w:rsidP="0000485C">
            <w:pPr>
              <w:spacing w:line="240" w:lineRule="auto"/>
              <w:rPr>
                <w:sz w:val="14"/>
                <w:szCs w:val="14"/>
                <w:lang w:val="en-GB"/>
              </w:rPr>
            </w:pPr>
            <w:r w:rsidRPr="000855B2">
              <w:rPr>
                <w:sz w:val="14"/>
                <w:szCs w:val="14"/>
                <w:lang w:val="en-GB"/>
              </w:rPr>
              <w:t>4-stroke 250 - 750 cm³</w:t>
            </w:r>
          </w:p>
        </w:tc>
        <w:tc>
          <w:tcPr>
            <w:tcW w:w="1701" w:type="dxa"/>
            <w:tcBorders>
              <w:top w:val="single" w:sz="6" w:space="0" w:color="auto"/>
              <w:left w:val="single" w:sz="6" w:space="0" w:color="auto"/>
              <w:bottom w:val="single" w:sz="6" w:space="0" w:color="auto"/>
              <w:right w:val="single" w:sz="6" w:space="0" w:color="auto"/>
            </w:tcBorders>
            <w:vAlign w:val="center"/>
          </w:tcPr>
          <w:p w14:paraId="499630FC"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21E2176E"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79A98F4E"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78EB93F3"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0097D1C9"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5B57ACE9"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21CF8106" w14:textId="77777777" w:rsidTr="00887829">
        <w:tc>
          <w:tcPr>
            <w:tcW w:w="1915" w:type="dxa"/>
            <w:vMerge/>
            <w:tcBorders>
              <w:left w:val="double" w:sz="4" w:space="0" w:color="auto"/>
              <w:right w:val="single" w:sz="6" w:space="0" w:color="auto"/>
            </w:tcBorders>
            <w:vAlign w:val="center"/>
          </w:tcPr>
          <w:p w14:paraId="5CA5212B"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5F64B02"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14A86425"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1B169FCF"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4DFD7CCC"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10A98B95"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535C9511"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1AD63E1E" w14:textId="77777777" w:rsidTr="00887829">
        <w:tc>
          <w:tcPr>
            <w:tcW w:w="1915" w:type="dxa"/>
            <w:vMerge/>
            <w:tcBorders>
              <w:left w:val="double" w:sz="4" w:space="0" w:color="auto"/>
              <w:bottom w:val="single" w:sz="6" w:space="0" w:color="auto"/>
              <w:right w:val="single" w:sz="6" w:space="0" w:color="auto"/>
            </w:tcBorders>
            <w:vAlign w:val="center"/>
          </w:tcPr>
          <w:p w14:paraId="30958079" w14:textId="77777777" w:rsidR="005A3DC8" w:rsidRDefault="005A3DC8" w:rsidP="0000485C">
            <w:pPr>
              <w:spacing w:line="240" w:lineRule="auto"/>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726E6BC2" w14:textId="77777777" w:rsidR="005A3DC8" w:rsidRDefault="005A3DC8" w:rsidP="00410789">
            <w:pPr>
              <w:spacing w:line="240" w:lineRule="auto"/>
              <w:rPr>
                <w:sz w:val="14"/>
                <w:szCs w:val="14"/>
                <w:lang w:val="en-GB"/>
              </w:rPr>
            </w:pPr>
            <w:r w:rsidRPr="000855B2">
              <w:rPr>
                <w:sz w:val="14"/>
                <w:szCs w:val="14"/>
                <w:lang w:val="en-GB"/>
              </w:rPr>
              <w:t>Mot - Euro 2</w:t>
            </w:r>
            <w:r>
              <w:rPr>
                <w:sz w:val="14"/>
                <w:szCs w:val="14"/>
                <w:lang w:val="en-GB"/>
              </w:rPr>
              <w:t xml:space="preserve"> and on</w:t>
            </w:r>
          </w:p>
        </w:tc>
        <w:tc>
          <w:tcPr>
            <w:tcW w:w="1077" w:type="dxa"/>
            <w:tcBorders>
              <w:top w:val="single" w:sz="6" w:space="0" w:color="auto"/>
              <w:left w:val="single" w:sz="6" w:space="0" w:color="auto"/>
              <w:bottom w:val="single" w:sz="6" w:space="0" w:color="auto"/>
              <w:right w:val="single" w:sz="6" w:space="0" w:color="auto"/>
            </w:tcBorders>
            <w:vAlign w:val="center"/>
          </w:tcPr>
          <w:p w14:paraId="1128EE76" w14:textId="77777777" w:rsidR="005A3DC8" w:rsidRDefault="005A3DC8" w:rsidP="008231B8">
            <w:pPr>
              <w:spacing w:line="240" w:lineRule="auto"/>
              <w:jc w:val="center"/>
              <w:rPr>
                <w:sz w:val="14"/>
                <w:szCs w:val="14"/>
                <w:lang w:val="en-GB"/>
              </w:rPr>
            </w:pPr>
            <w:r w:rsidRPr="000855B2">
              <w:rPr>
                <w:sz w:val="14"/>
                <w:szCs w:val="14"/>
                <w:lang w:val="en-GB"/>
              </w:rPr>
              <w:t>0.0035</w:t>
            </w:r>
          </w:p>
        </w:tc>
        <w:tc>
          <w:tcPr>
            <w:tcW w:w="1077" w:type="dxa"/>
            <w:tcBorders>
              <w:top w:val="single" w:sz="6" w:space="0" w:color="auto"/>
              <w:left w:val="single" w:sz="6" w:space="0" w:color="auto"/>
              <w:bottom w:val="single" w:sz="6" w:space="0" w:color="auto"/>
              <w:right w:val="single" w:sz="6" w:space="0" w:color="auto"/>
            </w:tcBorders>
            <w:vAlign w:val="center"/>
          </w:tcPr>
          <w:p w14:paraId="6A50D771"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3A65FB31"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75626B47"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5BBA72E2"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3F93F8FA" w14:textId="77777777" w:rsidTr="00887829">
        <w:tc>
          <w:tcPr>
            <w:tcW w:w="1915" w:type="dxa"/>
            <w:vMerge w:val="restart"/>
            <w:tcBorders>
              <w:top w:val="single" w:sz="6" w:space="0" w:color="auto"/>
              <w:left w:val="double" w:sz="4" w:space="0" w:color="auto"/>
              <w:right w:val="single" w:sz="6" w:space="0" w:color="auto"/>
            </w:tcBorders>
            <w:vAlign w:val="center"/>
          </w:tcPr>
          <w:p w14:paraId="2819BB99" w14:textId="77777777" w:rsidR="005A3DC8" w:rsidRDefault="005A3DC8" w:rsidP="0000485C">
            <w:pPr>
              <w:spacing w:line="240" w:lineRule="auto"/>
              <w:rPr>
                <w:sz w:val="14"/>
                <w:szCs w:val="14"/>
                <w:lang w:val="en-GB"/>
              </w:rPr>
            </w:pPr>
            <w:r w:rsidRPr="000855B2">
              <w:rPr>
                <w:sz w:val="14"/>
                <w:szCs w:val="14"/>
                <w:lang w:val="en-GB"/>
              </w:rPr>
              <w:t>4-stroke &gt;750 cm³</w:t>
            </w:r>
          </w:p>
        </w:tc>
        <w:tc>
          <w:tcPr>
            <w:tcW w:w="1701" w:type="dxa"/>
            <w:tcBorders>
              <w:top w:val="single" w:sz="6" w:space="0" w:color="auto"/>
              <w:left w:val="single" w:sz="6" w:space="0" w:color="auto"/>
              <w:bottom w:val="single" w:sz="6" w:space="0" w:color="auto"/>
              <w:right w:val="single" w:sz="6" w:space="0" w:color="auto"/>
            </w:tcBorders>
            <w:vAlign w:val="center"/>
          </w:tcPr>
          <w:p w14:paraId="7E3EA6FB" w14:textId="77777777" w:rsidR="005A3DC8" w:rsidRDefault="005A3DC8" w:rsidP="00410789">
            <w:pPr>
              <w:spacing w:line="240" w:lineRule="auto"/>
              <w:rPr>
                <w:sz w:val="14"/>
                <w:szCs w:val="14"/>
                <w:lang w:val="en-GB"/>
              </w:rPr>
            </w:pPr>
            <w:r w:rsidRPr="000855B2">
              <w:rPr>
                <w:sz w:val="14"/>
                <w:szCs w:val="14"/>
                <w:lang w:val="en-GB"/>
              </w:rPr>
              <w:t>Conventional</w:t>
            </w:r>
          </w:p>
        </w:tc>
        <w:tc>
          <w:tcPr>
            <w:tcW w:w="1077" w:type="dxa"/>
            <w:tcBorders>
              <w:top w:val="single" w:sz="6" w:space="0" w:color="auto"/>
              <w:left w:val="single" w:sz="6" w:space="0" w:color="auto"/>
              <w:bottom w:val="single" w:sz="6" w:space="0" w:color="auto"/>
              <w:right w:val="single" w:sz="6" w:space="0" w:color="auto"/>
            </w:tcBorders>
            <w:vAlign w:val="center"/>
          </w:tcPr>
          <w:p w14:paraId="4498F98C"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3BAA4E32"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0F86A1F1"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3AFF62DB"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72805042"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18654557" w14:textId="77777777" w:rsidTr="00887829">
        <w:tc>
          <w:tcPr>
            <w:tcW w:w="1915" w:type="dxa"/>
            <w:vMerge/>
            <w:tcBorders>
              <w:left w:val="double" w:sz="4" w:space="0" w:color="auto"/>
              <w:right w:val="single" w:sz="6" w:space="0" w:color="auto"/>
            </w:tcBorders>
            <w:vAlign w:val="center"/>
          </w:tcPr>
          <w:p w14:paraId="2AC3522F" w14:textId="77777777" w:rsidR="005A3DC8" w:rsidRDefault="005A3DC8" w:rsidP="008231B8">
            <w:pPr>
              <w:spacing w:line="240" w:lineRule="auto"/>
              <w:jc w:val="center"/>
              <w:rPr>
                <w:sz w:val="14"/>
                <w:szCs w:val="14"/>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223493DE" w14:textId="77777777" w:rsidR="005A3DC8" w:rsidRDefault="005A3DC8" w:rsidP="00410789">
            <w:pPr>
              <w:spacing w:line="240" w:lineRule="auto"/>
              <w:rPr>
                <w:sz w:val="14"/>
                <w:szCs w:val="14"/>
                <w:lang w:val="en-GB"/>
              </w:rPr>
            </w:pPr>
            <w:r w:rsidRPr="000855B2">
              <w:rPr>
                <w:sz w:val="14"/>
                <w:szCs w:val="14"/>
                <w:lang w:val="en-GB"/>
              </w:rPr>
              <w:t>Mot - Euro 1</w:t>
            </w:r>
          </w:p>
        </w:tc>
        <w:tc>
          <w:tcPr>
            <w:tcW w:w="1077" w:type="dxa"/>
            <w:tcBorders>
              <w:top w:val="single" w:sz="6" w:space="0" w:color="auto"/>
              <w:left w:val="single" w:sz="6" w:space="0" w:color="auto"/>
              <w:bottom w:val="single" w:sz="6" w:space="0" w:color="auto"/>
              <w:right w:val="single" w:sz="6" w:space="0" w:color="auto"/>
            </w:tcBorders>
            <w:vAlign w:val="center"/>
          </w:tcPr>
          <w:p w14:paraId="5619675E" w14:textId="77777777" w:rsidR="005A3DC8" w:rsidRDefault="005A3DC8" w:rsidP="008231B8">
            <w:pPr>
              <w:spacing w:line="240" w:lineRule="auto"/>
              <w:jc w:val="center"/>
              <w:rPr>
                <w:sz w:val="14"/>
                <w:szCs w:val="14"/>
                <w:lang w:val="en-GB"/>
              </w:rPr>
            </w:pPr>
            <w:r w:rsidRPr="000855B2">
              <w:rPr>
                <w:sz w:val="14"/>
                <w:szCs w:val="14"/>
                <w:lang w:val="en-GB"/>
              </w:rPr>
              <w:t>0.014</w:t>
            </w:r>
          </w:p>
        </w:tc>
        <w:tc>
          <w:tcPr>
            <w:tcW w:w="1077" w:type="dxa"/>
            <w:tcBorders>
              <w:top w:val="single" w:sz="6" w:space="0" w:color="auto"/>
              <w:left w:val="single" w:sz="6" w:space="0" w:color="auto"/>
              <w:bottom w:val="single" w:sz="6" w:space="0" w:color="auto"/>
              <w:right w:val="single" w:sz="6" w:space="0" w:color="auto"/>
            </w:tcBorders>
            <w:vAlign w:val="center"/>
          </w:tcPr>
          <w:p w14:paraId="279F5213"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single" w:sz="6" w:space="0" w:color="auto"/>
              <w:right w:val="single" w:sz="6" w:space="0" w:color="auto"/>
            </w:tcBorders>
            <w:vAlign w:val="center"/>
          </w:tcPr>
          <w:p w14:paraId="261C5CF9"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single" w:sz="6" w:space="0" w:color="auto"/>
              <w:right w:val="single" w:sz="6" w:space="0" w:color="auto"/>
            </w:tcBorders>
            <w:vAlign w:val="center"/>
          </w:tcPr>
          <w:p w14:paraId="29278D88"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single" w:sz="6" w:space="0" w:color="auto"/>
              <w:right w:val="double" w:sz="4" w:space="0" w:color="auto"/>
            </w:tcBorders>
            <w:vAlign w:val="center"/>
          </w:tcPr>
          <w:p w14:paraId="6D6D6269" w14:textId="77777777" w:rsidR="005A3DC8" w:rsidRDefault="005A3DC8" w:rsidP="008231B8">
            <w:pPr>
              <w:spacing w:line="240" w:lineRule="auto"/>
              <w:jc w:val="center"/>
              <w:rPr>
                <w:sz w:val="14"/>
                <w:szCs w:val="14"/>
                <w:lang w:val="en-GB"/>
              </w:rPr>
            </w:pPr>
            <w:r w:rsidRPr="000855B2">
              <w:rPr>
                <w:sz w:val="14"/>
                <w:szCs w:val="14"/>
                <w:lang w:val="en-GB"/>
              </w:rPr>
              <w:t>3.20E-07</w:t>
            </w:r>
          </w:p>
        </w:tc>
      </w:tr>
      <w:tr w:rsidR="005A3DC8" w:rsidRPr="000855B2" w14:paraId="70D9ACE0" w14:textId="77777777" w:rsidTr="00887829">
        <w:tc>
          <w:tcPr>
            <w:tcW w:w="1915" w:type="dxa"/>
            <w:vMerge/>
            <w:tcBorders>
              <w:left w:val="double" w:sz="4" w:space="0" w:color="auto"/>
              <w:bottom w:val="double" w:sz="4" w:space="0" w:color="auto"/>
              <w:right w:val="single" w:sz="6" w:space="0" w:color="auto"/>
            </w:tcBorders>
            <w:vAlign w:val="center"/>
          </w:tcPr>
          <w:p w14:paraId="0021E35D" w14:textId="77777777" w:rsidR="005A3DC8" w:rsidRDefault="005A3DC8" w:rsidP="008231B8">
            <w:pPr>
              <w:spacing w:line="240" w:lineRule="auto"/>
              <w:jc w:val="center"/>
              <w:rPr>
                <w:sz w:val="14"/>
                <w:szCs w:val="14"/>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14:paraId="2F1C2893" w14:textId="77777777" w:rsidR="005A3DC8" w:rsidRDefault="005A3DC8" w:rsidP="00410789">
            <w:pPr>
              <w:spacing w:line="240" w:lineRule="auto"/>
              <w:rPr>
                <w:sz w:val="14"/>
                <w:szCs w:val="14"/>
                <w:lang w:val="en-GB"/>
              </w:rPr>
            </w:pPr>
            <w:r w:rsidRPr="000855B2">
              <w:rPr>
                <w:sz w:val="14"/>
                <w:szCs w:val="14"/>
                <w:lang w:val="en-GB"/>
              </w:rPr>
              <w:t>Mot - Euro 2</w:t>
            </w:r>
            <w:r>
              <w:rPr>
                <w:sz w:val="14"/>
                <w:szCs w:val="14"/>
                <w:lang w:val="en-GB"/>
              </w:rPr>
              <w:t xml:space="preserve"> and on</w:t>
            </w:r>
          </w:p>
        </w:tc>
        <w:tc>
          <w:tcPr>
            <w:tcW w:w="1077" w:type="dxa"/>
            <w:tcBorders>
              <w:top w:val="single" w:sz="6" w:space="0" w:color="auto"/>
              <w:left w:val="single" w:sz="6" w:space="0" w:color="auto"/>
              <w:bottom w:val="double" w:sz="4" w:space="0" w:color="auto"/>
              <w:right w:val="single" w:sz="6" w:space="0" w:color="auto"/>
            </w:tcBorders>
            <w:vAlign w:val="center"/>
          </w:tcPr>
          <w:p w14:paraId="664D554F" w14:textId="77777777" w:rsidR="005A3DC8" w:rsidRDefault="005A3DC8" w:rsidP="008231B8">
            <w:pPr>
              <w:spacing w:line="240" w:lineRule="auto"/>
              <w:jc w:val="center"/>
              <w:rPr>
                <w:sz w:val="14"/>
                <w:szCs w:val="14"/>
                <w:lang w:val="en-GB"/>
              </w:rPr>
            </w:pPr>
            <w:r w:rsidRPr="000855B2">
              <w:rPr>
                <w:sz w:val="14"/>
                <w:szCs w:val="14"/>
                <w:lang w:val="en-GB"/>
              </w:rPr>
              <w:t>0.0035</w:t>
            </w:r>
          </w:p>
        </w:tc>
        <w:tc>
          <w:tcPr>
            <w:tcW w:w="1077" w:type="dxa"/>
            <w:tcBorders>
              <w:top w:val="single" w:sz="6" w:space="0" w:color="auto"/>
              <w:left w:val="single" w:sz="6" w:space="0" w:color="auto"/>
              <w:bottom w:val="double" w:sz="4" w:space="0" w:color="auto"/>
              <w:right w:val="single" w:sz="6" w:space="0" w:color="auto"/>
            </w:tcBorders>
            <w:vAlign w:val="center"/>
          </w:tcPr>
          <w:p w14:paraId="3FCEB1FC" w14:textId="77777777" w:rsidR="005A3DC8" w:rsidRDefault="005A3DC8" w:rsidP="008231B8">
            <w:pPr>
              <w:spacing w:line="240" w:lineRule="auto"/>
              <w:jc w:val="center"/>
              <w:rPr>
                <w:sz w:val="14"/>
                <w:szCs w:val="14"/>
                <w:lang w:val="en-GB"/>
              </w:rPr>
            </w:pPr>
            <w:r w:rsidRPr="000855B2">
              <w:rPr>
                <w:sz w:val="14"/>
                <w:szCs w:val="14"/>
                <w:lang w:val="en-GB"/>
              </w:rPr>
              <w:t>3.90E-07</w:t>
            </w:r>
          </w:p>
        </w:tc>
        <w:tc>
          <w:tcPr>
            <w:tcW w:w="794" w:type="dxa"/>
            <w:tcBorders>
              <w:top w:val="single" w:sz="6" w:space="0" w:color="auto"/>
              <w:left w:val="single" w:sz="6" w:space="0" w:color="auto"/>
              <w:bottom w:val="double" w:sz="4" w:space="0" w:color="auto"/>
              <w:right w:val="single" w:sz="6" w:space="0" w:color="auto"/>
            </w:tcBorders>
            <w:vAlign w:val="center"/>
          </w:tcPr>
          <w:p w14:paraId="778ED4CE" w14:textId="77777777" w:rsidR="005A3DC8" w:rsidRDefault="005A3DC8" w:rsidP="008231B8">
            <w:pPr>
              <w:spacing w:line="240" w:lineRule="auto"/>
              <w:jc w:val="center"/>
              <w:rPr>
                <w:sz w:val="14"/>
                <w:szCs w:val="14"/>
                <w:lang w:val="en-GB"/>
              </w:rPr>
            </w:pPr>
            <w:r w:rsidRPr="000855B2">
              <w:rPr>
                <w:sz w:val="14"/>
                <w:szCs w:val="14"/>
                <w:lang w:val="en-GB"/>
              </w:rPr>
              <w:t>2.60E-07</w:t>
            </w:r>
          </w:p>
        </w:tc>
        <w:tc>
          <w:tcPr>
            <w:tcW w:w="794" w:type="dxa"/>
            <w:tcBorders>
              <w:top w:val="single" w:sz="6" w:space="0" w:color="auto"/>
              <w:left w:val="single" w:sz="6" w:space="0" w:color="auto"/>
              <w:bottom w:val="double" w:sz="4" w:space="0" w:color="auto"/>
              <w:right w:val="single" w:sz="6" w:space="0" w:color="auto"/>
            </w:tcBorders>
            <w:vAlign w:val="center"/>
          </w:tcPr>
          <w:p w14:paraId="3D86CEE2" w14:textId="77777777" w:rsidR="005A3DC8" w:rsidRDefault="005A3DC8" w:rsidP="008231B8">
            <w:pPr>
              <w:spacing w:line="240" w:lineRule="auto"/>
              <w:jc w:val="center"/>
              <w:rPr>
                <w:sz w:val="14"/>
                <w:szCs w:val="14"/>
                <w:lang w:val="en-GB"/>
              </w:rPr>
            </w:pPr>
            <w:r w:rsidRPr="000855B2">
              <w:rPr>
                <w:sz w:val="14"/>
                <w:szCs w:val="14"/>
                <w:lang w:val="en-GB"/>
              </w:rPr>
              <w:t>3.60E-07</w:t>
            </w:r>
          </w:p>
        </w:tc>
        <w:tc>
          <w:tcPr>
            <w:tcW w:w="833" w:type="dxa"/>
            <w:tcBorders>
              <w:top w:val="single" w:sz="6" w:space="0" w:color="auto"/>
              <w:left w:val="single" w:sz="6" w:space="0" w:color="auto"/>
              <w:bottom w:val="double" w:sz="4" w:space="0" w:color="auto"/>
              <w:right w:val="double" w:sz="4" w:space="0" w:color="auto"/>
            </w:tcBorders>
            <w:vAlign w:val="center"/>
          </w:tcPr>
          <w:p w14:paraId="77BB8B3D" w14:textId="77777777" w:rsidR="005A3DC8" w:rsidRDefault="005A3DC8" w:rsidP="008231B8">
            <w:pPr>
              <w:spacing w:line="240" w:lineRule="auto"/>
              <w:jc w:val="center"/>
              <w:rPr>
                <w:sz w:val="14"/>
                <w:szCs w:val="14"/>
                <w:lang w:val="en-GB"/>
              </w:rPr>
            </w:pPr>
            <w:r w:rsidRPr="000855B2">
              <w:rPr>
                <w:sz w:val="14"/>
                <w:szCs w:val="14"/>
                <w:lang w:val="en-GB"/>
              </w:rPr>
              <w:t>3.20E-07</w:t>
            </w:r>
          </w:p>
        </w:tc>
      </w:tr>
    </w:tbl>
    <w:bookmarkEnd w:id="97"/>
    <w:p w14:paraId="69CA082E" w14:textId="51C2CAE6" w:rsidR="00B479F8" w:rsidRPr="000855B2" w:rsidRDefault="001D2587" w:rsidP="00546C89">
      <w:pPr>
        <w:pStyle w:val="BodyText"/>
      </w:pPr>
      <w:r w:rsidRPr="000855B2">
        <w:t xml:space="preserve">The preceding </w:t>
      </w:r>
      <w:r w:rsidR="00C42A1C" w:rsidRPr="000855B2">
        <w:t>t</w:t>
      </w:r>
      <w:r w:rsidRPr="000855B2">
        <w:t>ables</w:t>
      </w:r>
      <w:r w:rsidR="00E9659F" w:rsidRPr="000855B2">
        <w:t xml:space="preserve"> </w:t>
      </w:r>
      <w:r w:rsidR="00121510" w:rsidRPr="000855B2">
        <w:t>provided</w:t>
      </w:r>
      <w:r w:rsidRPr="000855B2">
        <w:t xml:space="preserve"> emission fa</w:t>
      </w:r>
      <w:r w:rsidR="00D31480" w:rsidRPr="000855B2">
        <w:t>ctors for different vehicle categories</w:t>
      </w:r>
      <w:r w:rsidR="00121510" w:rsidRPr="000855B2">
        <w:t>, fuels</w:t>
      </w:r>
      <w:r w:rsidRPr="000855B2">
        <w:t xml:space="preserve"> </w:t>
      </w:r>
      <w:r w:rsidR="00121510" w:rsidRPr="000855B2">
        <w:t xml:space="preserve">and </w:t>
      </w:r>
      <w:r w:rsidRPr="000855B2">
        <w:t>vehicle technolo</w:t>
      </w:r>
      <w:r w:rsidR="00121510" w:rsidRPr="000855B2">
        <w:t>gies, and</w:t>
      </w:r>
      <w:r w:rsidRPr="000855B2">
        <w:t xml:space="preserve"> for the principal </w:t>
      </w:r>
      <w:r w:rsidR="00121510" w:rsidRPr="000855B2">
        <w:t>pollutants which are</w:t>
      </w:r>
      <w:r w:rsidRPr="000855B2">
        <w:t xml:space="preserve"> affected by vehicle technology. Other pollutants </w:t>
      </w:r>
      <w:r w:rsidR="00121510" w:rsidRPr="000855B2">
        <w:t>(</w:t>
      </w:r>
      <w:r w:rsidR="00D73F59" w:rsidRPr="000855B2">
        <w:t>e.g</w:t>
      </w:r>
      <w:r w:rsidRPr="000855B2">
        <w:rPr>
          <w:i/>
        </w:rPr>
        <w:t>.</w:t>
      </w:r>
      <w:r w:rsidRPr="000855B2">
        <w:t xml:space="preserve"> SO</w:t>
      </w:r>
      <w:r w:rsidRPr="000855B2">
        <w:rPr>
          <w:vertAlign w:val="subscript"/>
        </w:rPr>
        <w:t>2</w:t>
      </w:r>
      <w:r w:rsidRPr="000855B2">
        <w:t xml:space="preserve"> and heavy metals</w:t>
      </w:r>
      <w:r w:rsidR="00121510" w:rsidRPr="000855B2">
        <w:t>)</w:t>
      </w:r>
      <w:r w:rsidRPr="000855B2">
        <w:t xml:space="preserve"> originate </w:t>
      </w:r>
      <w:r w:rsidR="00407974" w:rsidRPr="000855B2">
        <w:t xml:space="preserve">directly </w:t>
      </w:r>
      <w:r w:rsidRPr="000855B2">
        <w:t>from the fuel</w:t>
      </w:r>
      <w:r w:rsidR="00407974" w:rsidRPr="000855B2">
        <w:t xml:space="preserve"> and lubricant combustion</w:t>
      </w:r>
      <w:r w:rsidRPr="000855B2">
        <w:t>.</w:t>
      </w:r>
      <w:r w:rsidR="00121510" w:rsidRPr="000855B2">
        <w:t xml:space="preserve"> Therefore,</w:t>
      </w:r>
      <w:r w:rsidRPr="000855B2">
        <w:t xml:space="preserve"> </w:t>
      </w:r>
      <w:r w:rsidR="00FB454C">
        <w:fldChar w:fldCharType="begin"/>
      </w:r>
      <w:r w:rsidR="00FB454C">
        <w:instrText xml:space="preserve"> REF _Ref197480350 \h  \* MERGEFORMAT </w:instrText>
      </w:r>
      <w:r w:rsidR="00FB454C">
        <w:fldChar w:fldCharType="separate"/>
      </w:r>
      <w:r w:rsidR="0071604C" w:rsidRPr="00E43131">
        <w:t>Table </w:t>
      </w:r>
      <w:r w:rsidR="0071604C">
        <w:t>3.27</w:t>
      </w:r>
      <w:r w:rsidR="00FB454C">
        <w:fldChar w:fldCharType="end"/>
      </w:r>
      <w:r w:rsidRPr="000855B2">
        <w:t xml:space="preserve"> provides the fuel</w:t>
      </w:r>
      <w:r w:rsidR="00B35E95">
        <w:t>/energy</w:t>
      </w:r>
      <w:r w:rsidRPr="000855B2">
        <w:t xml:space="preserve"> consumption for each different </w:t>
      </w:r>
      <w:r w:rsidR="00121510" w:rsidRPr="000855B2">
        <w:t xml:space="preserve">combination of </w:t>
      </w:r>
      <w:r w:rsidRPr="000855B2">
        <w:t>vehicle type</w:t>
      </w:r>
      <w:r w:rsidR="00121510" w:rsidRPr="000855B2">
        <w:t>, fuel and</w:t>
      </w:r>
      <w:r w:rsidRPr="000855B2">
        <w:t xml:space="preserve"> vehicle technology. These data, when multiplied by the Tie</w:t>
      </w:r>
      <w:r w:rsidR="00D73F59" w:rsidRPr="000855B2">
        <w:t>r 1</w:t>
      </w:r>
      <w:r w:rsidRPr="000855B2">
        <w:t xml:space="preserve"> emission factors for pollutants originating </w:t>
      </w:r>
      <w:r w:rsidR="00FB5995" w:rsidRPr="000855B2">
        <w:t>directly from fuel consumption</w:t>
      </w:r>
      <w:r w:rsidRPr="000855B2">
        <w:t xml:space="preserve"> (</w:t>
      </w:r>
      <w:r w:rsidR="00FB454C">
        <w:fldChar w:fldCharType="begin"/>
      </w:r>
      <w:r w:rsidR="00FB454C">
        <w:instrText xml:space="preserve"> REF _Ref201722158 \h  \* MERGEFORMAT </w:instrText>
      </w:r>
      <w:r w:rsidR="00FB454C">
        <w:fldChar w:fldCharType="separate"/>
      </w:r>
      <w:r w:rsidR="0071604C" w:rsidRPr="000855B2">
        <w:t>Table </w:t>
      </w:r>
      <w:r w:rsidR="0071604C">
        <w:t>3.12</w:t>
      </w:r>
      <w:r w:rsidR="00FB454C">
        <w:fldChar w:fldCharType="end"/>
      </w:r>
      <w:r w:rsidR="00E053BB" w:rsidRPr="000855B2">
        <w:t xml:space="preserve"> </w:t>
      </w:r>
      <w:r w:rsidRPr="000855B2">
        <w:t>to</w:t>
      </w:r>
      <w:r w:rsidR="00E053BB" w:rsidRPr="000855B2">
        <w:t xml:space="preserve"> </w:t>
      </w:r>
      <w:r w:rsidR="00FB454C">
        <w:fldChar w:fldCharType="begin"/>
      </w:r>
      <w:r w:rsidR="00FB454C">
        <w:instrText xml:space="preserve"> REF _Ref201722178 \h  \* MERGEFORMAT </w:instrText>
      </w:r>
      <w:r w:rsidR="00FB454C">
        <w:fldChar w:fldCharType="separate"/>
      </w:r>
      <w:r w:rsidR="0071604C" w:rsidRPr="000855B2">
        <w:t>Table </w:t>
      </w:r>
      <w:r w:rsidR="0071604C">
        <w:t>3.14</w:t>
      </w:r>
      <w:r w:rsidR="00FB454C">
        <w:fldChar w:fldCharType="end"/>
      </w:r>
      <w:r w:rsidRPr="000855B2">
        <w:t xml:space="preserve">) give </w:t>
      </w:r>
      <w:r w:rsidR="00121510" w:rsidRPr="000855B2">
        <w:t xml:space="preserve">the </w:t>
      </w:r>
      <w:r w:rsidRPr="000855B2">
        <w:t>Tie</w:t>
      </w:r>
      <w:r w:rsidR="00E0302E" w:rsidRPr="000855B2">
        <w:t>r 2</w:t>
      </w:r>
      <w:r w:rsidRPr="000855B2">
        <w:t xml:space="preserve"> emission factors.</w:t>
      </w:r>
    </w:p>
    <w:p w14:paraId="06A8C1D4" w14:textId="7BE9CE46" w:rsidR="001D2587" w:rsidRPr="00E43131" w:rsidRDefault="00A040D1" w:rsidP="00E43131">
      <w:pPr>
        <w:pStyle w:val="Caption"/>
      </w:pPr>
      <w:bookmarkStart w:id="98" w:name="_Ref197480350"/>
      <w:bookmarkStart w:id="99" w:name="_Ref201722345"/>
      <w:r w:rsidRPr="00E43131">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27</w:t>
      </w:r>
      <w:r w:rsidR="00FB454C">
        <w:rPr>
          <w:noProof/>
        </w:rPr>
        <w:fldChar w:fldCharType="end"/>
      </w:r>
      <w:bookmarkEnd w:id="98"/>
      <w:r w:rsidR="00944F54">
        <w:t xml:space="preserve">: </w:t>
      </w:r>
      <w:r w:rsidR="001D2587" w:rsidRPr="00E43131">
        <w:t>Tier 2 average fuel</w:t>
      </w:r>
      <w:r w:rsidR="00B35E95">
        <w:t>/energy</w:t>
      </w:r>
      <w:r w:rsidR="001D2587" w:rsidRPr="00E43131">
        <w:t xml:space="preserve"> consumption </w:t>
      </w:r>
      <w:r w:rsidR="00E15DD0" w:rsidRPr="00E43131">
        <w:t>values</w:t>
      </w:r>
      <w:bookmarkEnd w:id="99"/>
    </w:p>
    <w:tbl>
      <w:tblPr>
        <w:tblW w:w="8505" w:type="dxa"/>
        <w:tblLook w:val="0000" w:firstRow="0" w:lastRow="0" w:firstColumn="0" w:lastColumn="0" w:noHBand="0" w:noVBand="0"/>
      </w:tblPr>
      <w:tblGrid>
        <w:gridCol w:w="1985"/>
        <w:gridCol w:w="2268"/>
        <w:gridCol w:w="1984"/>
        <w:gridCol w:w="1134"/>
        <w:gridCol w:w="1134"/>
      </w:tblGrid>
      <w:tr w:rsidR="002A7C81" w:rsidRPr="00167D6A" w14:paraId="3E60143D" w14:textId="77777777" w:rsidTr="002A7C81">
        <w:trPr>
          <w:trHeight w:val="359"/>
        </w:trPr>
        <w:tc>
          <w:tcPr>
            <w:tcW w:w="1985" w:type="dxa"/>
            <w:tcBorders>
              <w:top w:val="double" w:sz="4" w:space="0" w:color="auto"/>
              <w:left w:val="double" w:sz="4" w:space="0" w:color="auto"/>
              <w:bottom w:val="single" w:sz="12" w:space="0" w:color="auto"/>
              <w:right w:val="single" w:sz="6" w:space="0" w:color="auto"/>
            </w:tcBorders>
            <w:noWrap/>
            <w:vAlign w:val="center"/>
          </w:tcPr>
          <w:p w14:paraId="132091D3" w14:textId="77777777" w:rsidR="002A7C81" w:rsidRPr="00167D6A" w:rsidRDefault="002A7C81" w:rsidP="002A7C81">
            <w:pPr>
              <w:spacing w:line="240" w:lineRule="auto"/>
              <w:jc w:val="center"/>
              <w:rPr>
                <w:b/>
                <w:bCs/>
                <w:sz w:val="14"/>
                <w:szCs w:val="14"/>
                <w:lang w:val="en-GB" w:eastAsia="en-US"/>
              </w:rPr>
            </w:pPr>
            <w:bookmarkStart w:id="100" w:name="OLE_LINK14"/>
            <w:bookmarkStart w:id="101" w:name="_Ref164675263"/>
            <w:r w:rsidRPr="00167D6A">
              <w:rPr>
                <w:b/>
                <w:bCs/>
                <w:sz w:val="14"/>
                <w:szCs w:val="14"/>
                <w:lang w:val="en-GB" w:eastAsia="en-US"/>
              </w:rPr>
              <w:t>Vehicle category</w:t>
            </w:r>
          </w:p>
        </w:tc>
        <w:tc>
          <w:tcPr>
            <w:tcW w:w="2268" w:type="dxa"/>
            <w:tcBorders>
              <w:top w:val="double" w:sz="4" w:space="0" w:color="auto"/>
              <w:left w:val="single" w:sz="6" w:space="0" w:color="auto"/>
              <w:bottom w:val="single" w:sz="12" w:space="0" w:color="auto"/>
              <w:right w:val="single" w:sz="6" w:space="0" w:color="auto"/>
            </w:tcBorders>
            <w:noWrap/>
            <w:vAlign w:val="center"/>
          </w:tcPr>
          <w:p w14:paraId="6386FAC8" w14:textId="77777777" w:rsidR="002A7C81" w:rsidRPr="00167D6A" w:rsidRDefault="002A7C81" w:rsidP="002A7C81">
            <w:pPr>
              <w:spacing w:line="240" w:lineRule="auto"/>
              <w:jc w:val="center"/>
              <w:rPr>
                <w:b/>
                <w:bCs/>
                <w:sz w:val="14"/>
                <w:szCs w:val="14"/>
                <w:lang w:val="en-GB" w:eastAsia="en-US"/>
              </w:rPr>
            </w:pPr>
            <w:r w:rsidRPr="00167D6A">
              <w:rPr>
                <w:b/>
                <w:bCs/>
                <w:sz w:val="14"/>
                <w:szCs w:val="14"/>
                <w:lang w:val="en-GB" w:eastAsia="en-US"/>
              </w:rPr>
              <w:t>Sub-category</w:t>
            </w:r>
          </w:p>
        </w:tc>
        <w:tc>
          <w:tcPr>
            <w:tcW w:w="1984" w:type="dxa"/>
            <w:tcBorders>
              <w:top w:val="double" w:sz="4" w:space="0" w:color="auto"/>
              <w:left w:val="single" w:sz="6" w:space="0" w:color="auto"/>
              <w:bottom w:val="single" w:sz="12" w:space="0" w:color="auto"/>
              <w:right w:val="single" w:sz="6" w:space="0" w:color="auto"/>
            </w:tcBorders>
            <w:noWrap/>
            <w:vAlign w:val="center"/>
          </w:tcPr>
          <w:p w14:paraId="4C4FAE29" w14:textId="77777777" w:rsidR="002A7C81" w:rsidRPr="00167D6A" w:rsidRDefault="002A7C81" w:rsidP="002A7C81">
            <w:pPr>
              <w:spacing w:line="240" w:lineRule="auto"/>
              <w:jc w:val="center"/>
              <w:rPr>
                <w:b/>
                <w:bCs/>
                <w:sz w:val="14"/>
                <w:szCs w:val="14"/>
                <w:lang w:val="en-GB" w:eastAsia="en-US"/>
              </w:rPr>
            </w:pPr>
            <w:r w:rsidRPr="00167D6A">
              <w:rPr>
                <w:b/>
                <w:bCs/>
                <w:sz w:val="14"/>
                <w:szCs w:val="14"/>
                <w:lang w:val="en-GB" w:eastAsia="en-US"/>
              </w:rPr>
              <w:t>Technology</w:t>
            </w:r>
          </w:p>
        </w:tc>
        <w:tc>
          <w:tcPr>
            <w:tcW w:w="1134" w:type="dxa"/>
            <w:tcBorders>
              <w:top w:val="double" w:sz="4" w:space="0" w:color="auto"/>
              <w:left w:val="single" w:sz="6" w:space="0" w:color="auto"/>
              <w:bottom w:val="single" w:sz="12" w:space="0" w:color="auto"/>
              <w:right w:val="single" w:sz="6" w:space="0" w:color="auto"/>
            </w:tcBorders>
            <w:vAlign w:val="center"/>
          </w:tcPr>
          <w:p w14:paraId="27D93D21" w14:textId="77777777" w:rsidR="002A7C81" w:rsidRPr="00167D6A" w:rsidRDefault="002A7C81" w:rsidP="002A7C81">
            <w:pPr>
              <w:spacing w:line="240" w:lineRule="auto"/>
              <w:jc w:val="center"/>
              <w:rPr>
                <w:b/>
                <w:bCs/>
                <w:sz w:val="14"/>
                <w:szCs w:val="14"/>
                <w:lang w:val="en-GB" w:eastAsia="en-US"/>
              </w:rPr>
            </w:pPr>
            <w:r w:rsidRPr="00167D6A">
              <w:rPr>
                <w:b/>
                <w:bCs/>
                <w:sz w:val="14"/>
                <w:szCs w:val="14"/>
                <w:lang w:val="en-GB" w:eastAsia="en-US"/>
              </w:rPr>
              <w:t>FC (g/km)</w:t>
            </w:r>
          </w:p>
        </w:tc>
        <w:tc>
          <w:tcPr>
            <w:tcW w:w="1134" w:type="dxa"/>
            <w:tcBorders>
              <w:top w:val="double" w:sz="4" w:space="0" w:color="auto"/>
              <w:left w:val="single" w:sz="6" w:space="0" w:color="auto"/>
              <w:bottom w:val="single" w:sz="12" w:space="0" w:color="auto"/>
              <w:right w:val="double" w:sz="4" w:space="0" w:color="auto"/>
            </w:tcBorders>
            <w:noWrap/>
            <w:vAlign w:val="center"/>
          </w:tcPr>
          <w:p w14:paraId="540AD37C" w14:textId="77777777" w:rsidR="002A7C81" w:rsidRPr="00167D6A" w:rsidRDefault="002A7C81" w:rsidP="002A7C81">
            <w:pPr>
              <w:spacing w:line="240" w:lineRule="auto"/>
              <w:jc w:val="center"/>
              <w:rPr>
                <w:rFonts w:cs="Open Sans"/>
                <w:b/>
                <w:bCs/>
                <w:sz w:val="14"/>
                <w:szCs w:val="14"/>
                <w:lang w:val="en-GB" w:eastAsia="en-US"/>
              </w:rPr>
            </w:pPr>
            <w:r w:rsidRPr="00167D6A">
              <w:rPr>
                <w:rFonts w:cs="Open Sans"/>
                <w:b/>
                <w:bCs/>
                <w:sz w:val="14"/>
                <w:szCs w:val="14"/>
                <w:lang w:val="en-GB" w:eastAsia="en-US"/>
              </w:rPr>
              <w:t>EC (MJ/km)*</w:t>
            </w:r>
          </w:p>
        </w:tc>
      </w:tr>
      <w:tr w:rsidR="002A7C81" w:rsidRPr="00167D6A" w14:paraId="04241805" w14:textId="77777777" w:rsidTr="002A7C81">
        <w:tc>
          <w:tcPr>
            <w:tcW w:w="1985" w:type="dxa"/>
            <w:vMerge w:val="restart"/>
            <w:tcBorders>
              <w:top w:val="single" w:sz="12" w:space="0" w:color="auto"/>
              <w:left w:val="double" w:sz="4" w:space="0" w:color="auto"/>
              <w:right w:val="single" w:sz="6" w:space="0" w:color="auto"/>
            </w:tcBorders>
            <w:noWrap/>
            <w:tcMar>
              <w:left w:w="28" w:type="dxa"/>
              <w:right w:w="28" w:type="dxa"/>
            </w:tcMar>
            <w:vAlign w:val="center"/>
          </w:tcPr>
          <w:p w14:paraId="06F539F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Passenger cars</w:t>
            </w:r>
          </w:p>
        </w:tc>
        <w:tc>
          <w:tcPr>
            <w:tcW w:w="2268" w:type="dxa"/>
            <w:tcBorders>
              <w:top w:val="single" w:sz="12" w:space="0" w:color="auto"/>
              <w:left w:val="single" w:sz="6" w:space="0" w:color="auto"/>
              <w:bottom w:val="single" w:sz="4" w:space="0" w:color="auto"/>
              <w:right w:val="single" w:sz="6" w:space="0" w:color="auto"/>
            </w:tcBorders>
            <w:noWrap/>
            <w:tcMar>
              <w:left w:w="28" w:type="dxa"/>
              <w:right w:w="28" w:type="dxa"/>
            </w:tcMar>
            <w:vAlign w:val="center"/>
          </w:tcPr>
          <w:p w14:paraId="08BE398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Mini</w:t>
            </w:r>
          </w:p>
        </w:tc>
        <w:tc>
          <w:tcPr>
            <w:tcW w:w="1984" w:type="dxa"/>
            <w:tcBorders>
              <w:top w:val="single" w:sz="12" w:space="0" w:color="auto"/>
              <w:left w:val="single" w:sz="6" w:space="0" w:color="auto"/>
              <w:bottom w:val="single" w:sz="4" w:space="0" w:color="auto"/>
              <w:right w:val="single" w:sz="6" w:space="0" w:color="auto"/>
            </w:tcBorders>
            <w:noWrap/>
            <w:tcMar>
              <w:left w:w="28" w:type="dxa"/>
              <w:right w:w="28" w:type="dxa"/>
            </w:tcMar>
            <w:vAlign w:val="center"/>
          </w:tcPr>
          <w:p w14:paraId="04B11C9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single" w:sz="12" w:space="0" w:color="auto"/>
              <w:left w:val="single" w:sz="6" w:space="0" w:color="auto"/>
              <w:bottom w:val="single" w:sz="4" w:space="0" w:color="auto"/>
              <w:right w:val="single" w:sz="6" w:space="0" w:color="auto"/>
            </w:tcBorders>
            <w:vAlign w:val="center"/>
          </w:tcPr>
          <w:p w14:paraId="19A1FFE8"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49</w:t>
            </w:r>
          </w:p>
        </w:tc>
        <w:tc>
          <w:tcPr>
            <w:tcW w:w="1134" w:type="dxa"/>
            <w:tcBorders>
              <w:top w:val="single" w:sz="12" w:space="0" w:color="auto"/>
              <w:left w:val="single" w:sz="6" w:space="0" w:color="auto"/>
              <w:bottom w:val="single" w:sz="4" w:space="0" w:color="auto"/>
              <w:right w:val="double" w:sz="4" w:space="0" w:color="auto"/>
            </w:tcBorders>
            <w:noWrap/>
            <w:tcMar>
              <w:left w:w="28" w:type="dxa"/>
              <w:right w:w="28" w:type="dxa"/>
            </w:tcMar>
            <w:vAlign w:val="bottom"/>
          </w:tcPr>
          <w:p w14:paraId="76E32C3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2.14</w:t>
            </w:r>
          </w:p>
        </w:tc>
      </w:tr>
      <w:tr w:rsidR="002A7C81" w:rsidRPr="00167D6A" w14:paraId="431C4375"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7BA29CA" w14:textId="77777777" w:rsidR="002A7C81" w:rsidRPr="00167D6A" w:rsidRDefault="002A7C81" w:rsidP="009F3B82">
            <w:pPr>
              <w:spacing w:line="160" w:lineRule="atLeast"/>
              <w:rPr>
                <w:sz w:val="14"/>
                <w:szCs w:val="14"/>
                <w:lang w:val="en-GB" w:eastAsia="en-US"/>
              </w:rPr>
            </w:pPr>
          </w:p>
        </w:tc>
        <w:tc>
          <w:tcPr>
            <w:tcW w:w="2268" w:type="dxa"/>
            <w:vMerge w:val="restart"/>
            <w:tcBorders>
              <w:top w:val="single" w:sz="4" w:space="0" w:color="auto"/>
              <w:left w:val="single" w:sz="6" w:space="0" w:color="auto"/>
              <w:right w:val="single" w:sz="6" w:space="0" w:color="auto"/>
            </w:tcBorders>
            <w:noWrap/>
            <w:tcMar>
              <w:left w:w="28" w:type="dxa"/>
              <w:right w:w="28" w:type="dxa"/>
            </w:tcMar>
            <w:vAlign w:val="center"/>
          </w:tcPr>
          <w:p w14:paraId="3BE2308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Small</w:t>
            </w:r>
          </w:p>
        </w:tc>
        <w:tc>
          <w:tcPr>
            <w:tcW w:w="1984" w:type="dxa"/>
            <w:tcBorders>
              <w:top w:val="single" w:sz="4" w:space="0" w:color="auto"/>
              <w:left w:val="single" w:sz="6" w:space="0" w:color="auto"/>
              <w:bottom w:val="single" w:sz="4" w:space="0" w:color="auto"/>
              <w:right w:val="single" w:sz="6" w:space="0" w:color="auto"/>
            </w:tcBorders>
            <w:noWrap/>
            <w:tcMar>
              <w:left w:w="28" w:type="dxa"/>
              <w:right w:w="28" w:type="dxa"/>
            </w:tcMar>
            <w:vAlign w:val="center"/>
          </w:tcPr>
          <w:p w14:paraId="6F6BA418" w14:textId="77777777" w:rsidR="002A7C81" w:rsidRPr="00167D6A" w:rsidRDefault="002A7C81" w:rsidP="009F3B82">
            <w:pPr>
              <w:spacing w:line="160" w:lineRule="atLeast"/>
              <w:rPr>
                <w:sz w:val="14"/>
                <w:szCs w:val="14"/>
                <w:lang w:val="en-GB" w:eastAsia="en-US"/>
              </w:rPr>
            </w:pPr>
            <w:smartTag w:uri="urn:schemas-microsoft-com:office:smarttags" w:element="stockticker">
              <w:r w:rsidRPr="00167D6A">
                <w:rPr>
                  <w:sz w:val="14"/>
                  <w:szCs w:val="14"/>
                  <w:lang w:val="en-GB" w:eastAsia="en-US"/>
                </w:rPr>
                <w:t>PRE</w:t>
              </w:r>
            </w:smartTag>
            <w:r w:rsidRPr="00167D6A">
              <w:rPr>
                <w:sz w:val="14"/>
                <w:szCs w:val="14"/>
                <w:lang w:val="en-GB" w:eastAsia="en-US"/>
              </w:rPr>
              <w:t>-ECE to open loop</w:t>
            </w:r>
          </w:p>
        </w:tc>
        <w:tc>
          <w:tcPr>
            <w:tcW w:w="1134" w:type="dxa"/>
            <w:tcBorders>
              <w:top w:val="single" w:sz="4" w:space="0" w:color="auto"/>
              <w:left w:val="single" w:sz="6" w:space="0" w:color="auto"/>
              <w:bottom w:val="single" w:sz="4" w:space="0" w:color="auto"/>
              <w:right w:val="single" w:sz="6" w:space="0" w:color="auto"/>
            </w:tcBorders>
            <w:vAlign w:val="center"/>
          </w:tcPr>
          <w:p w14:paraId="0F8327C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65</w:t>
            </w:r>
          </w:p>
        </w:tc>
        <w:tc>
          <w:tcPr>
            <w:tcW w:w="1134" w:type="dxa"/>
            <w:tcBorders>
              <w:top w:val="single" w:sz="4" w:space="0" w:color="auto"/>
              <w:left w:val="single" w:sz="6" w:space="0" w:color="auto"/>
              <w:bottom w:val="single" w:sz="4" w:space="0" w:color="auto"/>
              <w:right w:val="double" w:sz="4" w:space="0" w:color="auto"/>
            </w:tcBorders>
            <w:noWrap/>
            <w:tcMar>
              <w:left w:w="28" w:type="dxa"/>
              <w:right w:w="28" w:type="dxa"/>
            </w:tcMar>
            <w:vAlign w:val="bottom"/>
          </w:tcPr>
          <w:p w14:paraId="3598D47B"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2.85</w:t>
            </w:r>
          </w:p>
        </w:tc>
      </w:tr>
      <w:tr w:rsidR="002A7C81" w:rsidRPr="00167D6A" w14:paraId="1804AAF8"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E54B20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23D8352"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CE381B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0EF2E67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77FAC6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2.45</w:t>
            </w:r>
          </w:p>
        </w:tc>
      </w:tr>
      <w:tr w:rsidR="002A7C81" w:rsidRPr="00167D6A" w14:paraId="6C1105E2"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61F9DE3"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05F8C8A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Medium</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43551F8" w14:textId="77777777" w:rsidR="002A7C81" w:rsidRPr="00167D6A" w:rsidRDefault="002A7C81" w:rsidP="009F3B82">
            <w:pPr>
              <w:spacing w:line="160" w:lineRule="atLeast"/>
              <w:rPr>
                <w:sz w:val="14"/>
                <w:szCs w:val="14"/>
                <w:lang w:val="en-GB" w:eastAsia="en-US"/>
              </w:rPr>
            </w:pPr>
            <w:smartTag w:uri="urn:schemas-microsoft-com:office:smarttags" w:element="stockticker">
              <w:r w:rsidRPr="00167D6A">
                <w:rPr>
                  <w:sz w:val="14"/>
                  <w:szCs w:val="14"/>
                  <w:lang w:val="en-GB" w:eastAsia="en-US"/>
                </w:rPr>
                <w:t>PRE</w:t>
              </w:r>
            </w:smartTag>
            <w:r w:rsidRPr="00167D6A">
              <w:rPr>
                <w:sz w:val="14"/>
                <w:szCs w:val="14"/>
                <w:lang w:val="en-GB" w:eastAsia="en-US"/>
              </w:rPr>
              <w:t>-ECE to open loop</w:t>
            </w:r>
          </w:p>
        </w:tc>
        <w:tc>
          <w:tcPr>
            <w:tcW w:w="1134" w:type="dxa"/>
            <w:tcBorders>
              <w:top w:val="nil"/>
              <w:left w:val="single" w:sz="6" w:space="0" w:color="auto"/>
              <w:bottom w:val="single" w:sz="4" w:space="0" w:color="auto"/>
              <w:right w:val="single" w:sz="6" w:space="0" w:color="auto"/>
            </w:tcBorders>
            <w:vAlign w:val="center"/>
          </w:tcPr>
          <w:p w14:paraId="7C965CE3"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F76651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3.37</w:t>
            </w:r>
          </w:p>
        </w:tc>
      </w:tr>
      <w:tr w:rsidR="002A7C81" w:rsidRPr="00167D6A" w14:paraId="3CD722C9"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41BA9D5"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144F3E9A"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F2154D7"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7CC08D1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1F205D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2.89</w:t>
            </w:r>
          </w:p>
        </w:tc>
      </w:tr>
      <w:tr w:rsidR="002A7C81" w:rsidRPr="00167D6A" w14:paraId="08DF9BC3"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45E416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4EFFE8B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Large-SUV-Executive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A901F61" w14:textId="77777777" w:rsidR="002A7C81" w:rsidRPr="00167D6A" w:rsidRDefault="002A7C81" w:rsidP="009F3B82">
            <w:pPr>
              <w:spacing w:line="160" w:lineRule="atLeast"/>
              <w:rPr>
                <w:sz w:val="14"/>
                <w:szCs w:val="14"/>
                <w:lang w:val="en-GB" w:eastAsia="en-US"/>
              </w:rPr>
            </w:pPr>
            <w:smartTag w:uri="urn:schemas-microsoft-com:office:smarttags" w:element="stockticker">
              <w:r w:rsidRPr="00167D6A">
                <w:rPr>
                  <w:sz w:val="14"/>
                  <w:szCs w:val="14"/>
                  <w:lang w:val="en-GB" w:eastAsia="en-US"/>
                </w:rPr>
                <w:t>PRE</w:t>
              </w:r>
            </w:smartTag>
            <w:r w:rsidRPr="00167D6A">
              <w:rPr>
                <w:sz w:val="14"/>
                <w:szCs w:val="14"/>
                <w:lang w:val="en-GB" w:eastAsia="en-US"/>
              </w:rPr>
              <w:t>-ECE to open loop</w:t>
            </w:r>
          </w:p>
        </w:tc>
        <w:tc>
          <w:tcPr>
            <w:tcW w:w="1134" w:type="dxa"/>
            <w:tcBorders>
              <w:top w:val="nil"/>
              <w:left w:val="single" w:sz="6" w:space="0" w:color="auto"/>
              <w:bottom w:val="single" w:sz="4" w:space="0" w:color="auto"/>
              <w:right w:val="single" w:sz="6" w:space="0" w:color="auto"/>
            </w:tcBorders>
            <w:vAlign w:val="center"/>
          </w:tcPr>
          <w:p w14:paraId="1610B717"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95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A4CA195"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4.16</w:t>
            </w:r>
          </w:p>
        </w:tc>
      </w:tr>
      <w:tr w:rsidR="002A7C81" w:rsidRPr="00167D6A" w14:paraId="1DF7DB1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5673806"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63DCE9C9"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D01B94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362DE343"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9744E9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3.76</w:t>
            </w:r>
          </w:p>
        </w:tc>
      </w:tr>
      <w:tr w:rsidR="002A7C81" w:rsidRPr="00167D6A" w14:paraId="0B555F1A"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89D9C5C"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6184516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 Small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C34EB4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nil"/>
              <w:left w:val="single" w:sz="6" w:space="0" w:color="auto"/>
              <w:bottom w:val="single" w:sz="4" w:space="0" w:color="auto"/>
              <w:right w:val="single" w:sz="6" w:space="0" w:color="auto"/>
            </w:tcBorders>
            <w:vAlign w:val="center"/>
          </w:tcPr>
          <w:p w14:paraId="05323E5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38</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38D35C9"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1.62</w:t>
            </w:r>
          </w:p>
        </w:tc>
      </w:tr>
      <w:tr w:rsidR="002A7C81" w:rsidRPr="00167D6A" w14:paraId="58BD7B7E"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52E1E51"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354DFA4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 Medium</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B86F1AD"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2F22DB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FCFFA2E"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2.69</w:t>
            </w:r>
          </w:p>
        </w:tc>
      </w:tr>
      <w:tr w:rsidR="002A7C81" w:rsidRPr="00167D6A" w14:paraId="3742CA9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837873B"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54BE94F"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C422D6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21D3A62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F98E2D4"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2.35</w:t>
            </w:r>
          </w:p>
        </w:tc>
      </w:tr>
      <w:tr w:rsidR="002A7C81" w:rsidRPr="00167D6A" w14:paraId="4785EA3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863BC95"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454667E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 Large-SUV-Executive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90D2FE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49F4B8F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C67DC94"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3.2</w:t>
            </w:r>
          </w:p>
        </w:tc>
      </w:tr>
      <w:tr w:rsidR="002A7C81" w:rsidRPr="00167D6A" w14:paraId="783AEF26"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7780325"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521D8C3D"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299EC48"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760A641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7AFA433"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3.12</w:t>
            </w:r>
          </w:p>
        </w:tc>
      </w:tr>
      <w:tr w:rsidR="002A7C81" w:rsidRPr="00167D6A" w14:paraId="3FCE3E9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7F56E9B"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6DA0F61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LPG</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30CC82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2C66B82A"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59</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BB3E7B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2.75</w:t>
            </w:r>
          </w:p>
        </w:tc>
      </w:tr>
      <w:tr w:rsidR="002A7C81" w:rsidRPr="00167D6A" w14:paraId="3E87D12B"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644D7BD"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7A154B2B"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DF1A4D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5A4D7517"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891DAE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2.65</w:t>
            </w:r>
          </w:p>
        </w:tc>
      </w:tr>
      <w:tr w:rsidR="002A7C81" w:rsidRPr="00167D6A" w14:paraId="32B95DA4"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B70451F"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1D18A2A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525E71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2A20580B"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82</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5DE7849"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3.59</w:t>
            </w:r>
          </w:p>
        </w:tc>
      </w:tr>
      <w:tr w:rsidR="002A7C81" w:rsidRPr="00167D6A" w14:paraId="5F89197F"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C4A1D3F"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1250A40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Hybrid Petrol Small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AB04AA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w:t>
            </w:r>
          </w:p>
        </w:tc>
        <w:tc>
          <w:tcPr>
            <w:tcW w:w="1134" w:type="dxa"/>
            <w:tcBorders>
              <w:top w:val="nil"/>
              <w:left w:val="single" w:sz="6" w:space="0" w:color="auto"/>
              <w:bottom w:val="single" w:sz="4" w:space="0" w:color="auto"/>
              <w:right w:val="single" w:sz="6" w:space="0" w:color="auto"/>
            </w:tcBorders>
            <w:vAlign w:val="center"/>
          </w:tcPr>
          <w:p w14:paraId="182B9F9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34</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C951D1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1.49</w:t>
            </w:r>
          </w:p>
        </w:tc>
      </w:tr>
      <w:tr w:rsidR="002A7C81" w:rsidRPr="00167D6A" w14:paraId="3A6F3737"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9A414CD"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16BEB30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Hybrid Petrol Medium</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CE6A9A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w:t>
            </w:r>
          </w:p>
        </w:tc>
        <w:tc>
          <w:tcPr>
            <w:tcW w:w="1134" w:type="dxa"/>
            <w:tcBorders>
              <w:top w:val="nil"/>
              <w:left w:val="single" w:sz="6" w:space="0" w:color="auto"/>
              <w:bottom w:val="single" w:sz="4" w:space="0" w:color="auto"/>
              <w:right w:val="single" w:sz="6" w:space="0" w:color="auto"/>
            </w:tcBorders>
            <w:vAlign w:val="center"/>
          </w:tcPr>
          <w:p w14:paraId="28070F3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34</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1DE5BA9"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1.49</w:t>
            </w:r>
          </w:p>
        </w:tc>
      </w:tr>
      <w:tr w:rsidR="002A7C81" w:rsidRPr="00167D6A" w14:paraId="265E5FC2"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7A60422"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16F96D5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Hybrid Petrol Large-SUV-Executive</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79E34B2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w:t>
            </w:r>
          </w:p>
        </w:tc>
        <w:tc>
          <w:tcPr>
            <w:tcW w:w="1134" w:type="dxa"/>
            <w:tcBorders>
              <w:top w:val="nil"/>
              <w:left w:val="single" w:sz="6" w:space="0" w:color="auto"/>
              <w:bottom w:val="single" w:sz="4" w:space="0" w:color="auto"/>
              <w:right w:val="single" w:sz="6" w:space="0" w:color="auto"/>
            </w:tcBorders>
            <w:vAlign w:val="center"/>
          </w:tcPr>
          <w:p w14:paraId="1FC841F6"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34</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09745D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1.49</w:t>
            </w:r>
          </w:p>
        </w:tc>
      </w:tr>
      <w:tr w:rsidR="002A7C81" w:rsidRPr="00167D6A" w14:paraId="451A7F42"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D8C607C"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5D5E21B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E85</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7F3FDA1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nil"/>
              <w:left w:val="single" w:sz="6" w:space="0" w:color="auto"/>
              <w:bottom w:val="single" w:sz="4" w:space="0" w:color="auto"/>
              <w:right w:val="single" w:sz="6" w:space="0" w:color="auto"/>
            </w:tcBorders>
            <w:vAlign w:val="center"/>
          </w:tcPr>
          <w:p w14:paraId="4F9FA80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AFE33EB"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3.33</w:t>
            </w:r>
          </w:p>
        </w:tc>
      </w:tr>
      <w:tr w:rsidR="002A7C81" w:rsidRPr="00167D6A" w14:paraId="0927D217"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2490EC5B" w14:textId="77777777" w:rsidR="002A7C81" w:rsidRPr="00167D6A" w:rsidRDefault="002A7C81" w:rsidP="009F3B82">
            <w:pPr>
              <w:spacing w:line="160" w:lineRule="atLeast"/>
              <w:rPr>
                <w:sz w:val="14"/>
                <w:szCs w:val="14"/>
                <w:lang w:val="en-GB" w:eastAsia="en-US"/>
              </w:rPr>
            </w:pP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66C82FA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CNG</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8DA112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4 and later</w:t>
            </w:r>
          </w:p>
        </w:tc>
        <w:tc>
          <w:tcPr>
            <w:tcW w:w="1134" w:type="dxa"/>
            <w:tcBorders>
              <w:top w:val="nil"/>
              <w:left w:val="single" w:sz="6" w:space="0" w:color="auto"/>
              <w:bottom w:val="single" w:sz="4" w:space="0" w:color="auto"/>
              <w:right w:val="single" w:sz="6" w:space="0" w:color="auto"/>
            </w:tcBorders>
            <w:vAlign w:val="center"/>
          </w:tcPr>
          <w:p w14:paraId="50D026E8"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63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C717F2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3.02</w:t>
            </w:r>
          </w:p>
        </w:tc>
      </w:tr>
      <w:tr w:rsidR="002A7C81" w:rsidRPr="00167D6A" w14:paraId="6FA92F7D"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57B3647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Light commercial vehicles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182123B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A63BCB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6F4C33F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9716E8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3.72</w:t>
            </w:r>
          </w:p>
        </w:tc>
      </w:tr>
      <w:tr w:rsidR="002A7C81" w:rsidRPr="00167D6A" w14:paraId="4B9BA2CE"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88FCC7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FA2D29B"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476700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3EB5AA9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70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A5D6294"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3.06</w:t>
            </w:r>
          </w:p>
        </w:tc>
      </w:tr>
      <w:tr w:rsidR="002A7C81" w:rsidRPr="00167D6A" w14:paraId="2C26C301"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CC186EA"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17617CD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Diesel</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1FE7EE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6B56112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89</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5FDC940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3.8</w:t>
            </w:r>
          </w:p>
        </w:tc>
      </w:tr>
      <w:tr w:rsidR="002A7C81" w:rsidRPr="00167D6A" w14:paraId="28C14EBA"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6613D2A1"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21845F74"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E4EAD5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later</w:t>
            </w:r>
          </w:p>
        </w:tc>
        <w:tc>
          <w:tcPr>
            <w:tcW w:w="1134" w:type="dxa"/>
            <w:tcBorders>
              <w:top w:val="nil"/>
              <w:left w:val="single" w:sz="6" w:space="0" w:color="auto"/>
              <w:bottom w:val="single" w:sz="4" w:space="0" w:color="auto"/>
              <w:right w:val="single" w:sz="6" w:space="0" w:color="auto"/>
            </w:tcBorders>
            <w:vAlign w:val="center"/>
          </w:tcPr>
          <w:p w14:paraId="5B5DF33F"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80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E499AB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3.42</w:t>
            </w:r>
          </w:p>
        </w:tc>
      </w:tr>
      <w:tr w:rsidR="002A7C81" w:rsidRPr="00167D6A" w14:paraId="004A9671"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1AF5ECC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Heavy-duty trucks</w:t>
            </w:r>
          </w:p>
        </w:tc>
        <w:tc>
          <w:tcPr>
            <w:tcW w:w="2268" w:type="dxa"/>
            <w:tcBorders>
              <w:top w:val="nil"/>
              <w:left w:val="single" w:sz="6" w:space="0" w:color="auto"/>
              <w:bottom w:val="single" w:sz="4" w:space="0" w:color="auto"/>
              <w:right w:val="single" w:sz="6" w:space="0" w:color="auto"/>
            </w:tcBorders>
            <w:noWrap/>
            <w:tcMar>
              <w:left w:w="28" w:type="dxa"/>
              <w:right w:w="28" w:type="dxa"/>
            </w:tcMar>
            <w:vAlign w:val="center"/>
          </w:tcPr>
          <w:p w14:paraId="6789FC9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Petrol &gt; 3.5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3AB11D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44D7D2F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177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6C575F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7.75</w:t>
            </w:r>
          </w:p>
        </w:tc>
      </w:tr>
      <w:tr w:rsidR="002A7C81" w:rsidRPr="00167D6A" w14:paraId="359B2EE1"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87A1224"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0E16C58D"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&lt;=7.5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AA5654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62A167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7AD1213"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5.34</w:t>
            </w:r>
          </w:p>
        </w:tc>
      </w:tr>
      <w:tr w:rsidR="002A7C81" w:rsidRPr="00167D6A" w14:paraId="0E0D7A3B"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D624E9F"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5F6EFE47" w14:textId="77777777" w:rsidR="002A7C81" w:rsidRPr="00167D6A" w:rsidRDefault="002A7C81" w:rsidP="009F3B82">
            <w:pPr>
              <w:spacing w:line="160" w:lineRule="atLeast"/>
              <w:rPr>
                <w:sz w:val="14"/>
                <w:szCs w:val="14"/>
                <w:lang w:val="en-GB" w:eastAsia="en-US"/>
              </w:rPr>
            </w:pPr>
          </w:p>
        </w:tc>
        <w:tc>
          <w:tcPr>
            <w:tcW w:w="1984" w:type="dxa"/>
            <w:tcBorders>
              <w:top w:val="single" w:sz="4" w:space="0" w:color="auto"/>
              <w:left w:val="single" w:sz="6" w:space="0" w:color="auto"/>
              <w:bottom w:val="single" w:sz="4" w:space="0" w:color="auto"/>
              <w:right w:val="single" w:sz="6" w:space="0" w:color="auto"/>
            </w:tcBorders>
            <w:noWrap/>
            <w:tcMar>
              <w:left w:w="28" w:type="dxa"/>
              <w:right w:w="28" w:type="dxa"/>
            </w:tcMar>
            <w:vAlign w:val="center"/>
          </w:tcPr>
          <w:p w14:paraId="401DE5CD"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single" w:sz="4" w:space="0" w:color="auto"/>
              <w:left w:val="single" w:sz="6" w:space="0" w:color="auto"/>
              <w:bottom w:val="single" w:sz="4" w:space="0" w:color="auto"/>
              <w:right w:val="single" w:sz="6" w:space="0" w:color="auto"/>
            </w:tcBorders>
            <w:vAlign w:val="center"/>
          </w:tcPr>
          <w:p w14:paraId="5605B48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101</w:t>
            </w:r>
          </w:p>
        </w:tc>
        <w:tc>
          <w:tcPr>
            <w:tcW w:w="1134" w:type="dxa"/>
            <w:tcBorders>
              <w:top w:val="single" w:sz="4" w:space="0" w:color="auto"/>
              <w:left w:val="single" w:sz="6" w:space="0" w:color="auto"/>
              <w:bottom w:val="single" w:sz="4" w:space="0" w:color="auto"/>
              <w:right w:val="double" w:sz="4" w:space="0" w:color="auto"/>
            </w:tcBorders>
            <w:noWrap/>
            <w:tcMar>
              <w:left w:w="28" w:type="dxa"/>
              <w:right w:w="28" w:type="dxa"/>
            </w:tcMar>
            <w:vAlign w:val="bottom"/>
          </w:tcPr>
          <w:p w14:paraId="33EC5F3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4.31</w:t>
            </w:r>
          </w:p>
        </w:tc>
      </w:tr>
      <w:tr w:rsidR="002A7C81" w:rsidRPr="00167D6A" w14:paraId="3BC94391"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616D43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24D8375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7.5-16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5CF098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42AC3CA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182</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49ED11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7.77</w:t>
            </w:r>
          </w:p>
        </w:tc>
      </w:tr>
      <w:tr w:rsidR="002A7C81" w:rsidRPr="00167D6A" w14:paraId="70FBA34C"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331D915"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1A61D871"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6B92A6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789CE34B"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5C8BCB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6.62</w:t>
            </w:r>
          </w:p>
        </w:tc>
      </w:tr>
      <w:tr w:rsidR="002A7C81" w:rsidRPr="00167D6A" w14:paraId="32A173B0"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0B48204"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27EC7A0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16-32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612C06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086B1A0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251</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FD3279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10.72</w:t>
            </w:r>
          </w:p>
        </w:tc>
      </w:tr>
      <w:tr w:rsidR="002A7C81" w:rsidRPr="00167D6A" w14:paraId="2E12B008"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6DFFF8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A59C62B"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1140C0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691F43E9"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210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F7D1EC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8.97</w:t>
            </w:r>
          </w:p>
        </w:tc>
      </w:tr>
      <w:tr w:rsidR="002A7C81" w:rsidRPr="00167D6A" w14:paraId="2C2CF102"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DF7E093"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496F2DA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&gt; 32 t</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9387AF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16D19718"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297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19E2CE5"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12.68</w:t>
            </w:r>
          </w:p>
        </w:tc>
      </w:tr>
      <w:tr w:rsidR="002A7C81" w:rsidRPr="00167D6A" w14:paraId="657423B3"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5326ACD3"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0DC0EA7E"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CF098A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751DE176"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251</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65F6A0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10.72</w:t>
            </w:r>
          </w:p>
        </w:tc>
      </w:tr>
      <w:tr w:rsidR="002A7C81" w:rsidRPr="00167D6A" w14:paraId="22765BF6"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338A85F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Buses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6441F27A"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Urban CNG buses</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100106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HD Euro I</w:t>
            </w:r>
          </w:p>
        </w:tc>
        <w:tc>
          <w:tcPr>
            <w:tcW w:w="1134" w:type="dxa"/>
            <w:tcBorders>
              <w:top w:val="nil"/>
              <w:left w:val="single" w:sz="6" w:space="0" w:color="auto"/>
              <w:bottom w:val="single" w:sz="4" w:space="0" w:color="auto"/>
              <w:right w:val="single" w:sz="6" w:space="0" w:color="auto"/>
            </w:tcBorders>
            <w:vAlign w:val="center"/>
          </w:tcPr>
          <w:p w14:paraId="0A832B33"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51CF1D5"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26.64</w:t>
            </w:r>
          </w:p>
        </w:tc>
      </w:tr>
      <w:tr w:rsidR="002A7C81" w:rsidRPr="00167D6A" w14:paraId="03D023CC"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1B2AF34"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2EF838A1"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3A1510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HD Euro II</w:t>
            </w:r>
          </w:p>
        </w:tc>
        <w:tc>
          <w:tcPr>
            <w:tcW w:w="1134" w:type="dxa"/>
            <w:tcBorders>
              <w:top w:val="nil"/>
              <w:left w:val="single" w:sz="6" w:space="0" w:color="auto"/>
              <w:bottom w:val="single" w:sz="4" w:space="0" w:color="auto"/>
              <w:right w:val="single" w:sz="6" w:space="0" w:color="auto"/>
            </w:tcBorders>
            <w:vAlign w:val="center"/>
          </w:tcPr>
          <w:p w14:paraId="5EAF546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515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7452CB1"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24.72</w:t>
            </w:r>
          </w:p>
        </w:tc>
      </w:tr>
      <w:tr w:rsidR="002A7C81" w:rsidRPr="00167D6A" w14:paraId="57C8D39C" w14:textId="77777777" w:rsidTr="002A7C81">
        <w:tc>
          <w:tcPr>
            <w:tcW w:w="1985" w:type="dxa"/>
            <w:vMerge/>
            <w:tcBorders>
              <w:left w:val="double" w:sz="4" w:space="0" w:color="auto"/>
              <w:right w:val="single" w:sz="6" w:space="0" w:color="auto"/>
            </w:tcBorders>
            <w:noWrap/>
            <w:tcMar>
              <w:left w:w="28" w:type="dxa"/>
              <w:right w:w="28" w:type="dxa"/>
            </w:tcMar>
            <w:vAlign w:val="center"/>
          </w:tcPr>
          <w:p w14:paraId="62FA040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2C786B5D"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2BB8FD3" w14:textId="778DC732" w:rsidR="002A7C81" w:rsidRPr="00167D6A" w:rsidRDefault="002A7C81" w:rsidP="009F3B82">
            <w:pPr>
              <w:spacing w:line="160" w:lineRule="atLeast"/>
              <w:rPr>
                <w:sz w:val="14"/>
                <w:szCs w:val="14"/>
                <w:lang w:val="en-GB" w:eastAsia="en-US"/>
              </w:rPr>
            </w:pPr>
            <w:r w:rsidRPr="00167D6A">
              <w:rPr>
                <w:sz w:val="14"/>
                <w:szCs w:val="14"/>
                <w:lang w:val="en-GB" w:eastAsia="en-US"/>
              </w:rPr>
              <w:t xml:space="preserve">HD Euro </w:t>
            </w:r>
            <w:smartTag w:uri="urn:schemas-microsoft-com:office:smarttags" w:element="stockticker">
              <w:r w:rsidRPr="00167D6A">
                <w:rPr>
                  <w:sz w:val="14"/>
                  <w:szCs w:val="14"/>
                  <w:lang w:val="en-GB" w:eastAsia="en-US"/>
                </w:rPr>
                <w:t>III</w:t>
              </w:r>
            </w:smartTag>
          </w:p>
        </w:tc>
        <w:tc>
          <w:tcPr>
            <w:tcW w:w="1134" w:type="dxa"/>
            <w:tcBorders>
              <w:top w:val="nil"/>
              <w:left w:val="single" w:sz="6" w:space="0" w:color="auto"/>
              <w:bottom w:val="single" w:sz="4" w:space="0" w:color="auto"/>
              <w:right w:val="single" w:sz="6" w:space="0" w:color="auto"/>
            </w:tcBorders>
            <w:vAlign w:val="center"/>
          </w:tcPr>
          <w:p w14:paraId="10895E9B"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0FF28B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21.84</w:t>
            </w:r>
          </w:p>
        </w:tc>
      </w:tr>
      <w:tr w:rsidR="002A7C81" w:rsidRPr="00167D6A" w14:paraId="6DF481CA"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E6AE23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75741A8F"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22BD8F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EEV</w:t>
            </w:r>
          </w:p>
        </w:tc>
        <w:tc>
          <w:tcPr>
            <w:tcW w:w="1134" w:type="dxa"/>
            <w:tcBorders>
              <w:top w:val="nil"/>
              <w:left w:val="single" w:sz="6" w:space="0" w:color="auto"/>
              <w:bottom w:val="single" w:sz="4" w:space="0" w:color="auto"/>
              <w:right w:val="single" w:sz="6" w:space="0" w:color="auto"/>
            </w:tcBorders>
            <w:vAlign w:val="center"/>
          </w:tcPr>
          <w:p w14:paraId="672F165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455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47880DE"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21.84</w:t>
            </w:r>
          </w:p>
        </w:tc>
      </w:tr>
      <w:tr w:rsidR="002A7C81" w:rsidRPr="00167D6A" w14:paraId="5B8F4272"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824049D"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78D1D9F7"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Urban buses, standard</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5A3DE4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1A923177"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366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580718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15.63</w:t>
            </w:r>
          </w:p>
        </w:tc>
      </w:tr>
      <w:tr w:rsidR="002A7C81" w:rsidRPr="00167D6A" w14:paraId="7F87EDA1"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1F4EE80"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C6E6B3B"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314A24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09A1801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301</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3BAC799"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12.85</w:t>
            </w:r>
          </w:p>
        </w:tc>
      </w:tr>
      <w:tr w:rsidR="002A7C81" w:rsidRPr="00167D6A" w14:paraId="4704E053"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CB42A68"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46CBA76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Coaches, standard</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DE3040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91E2495"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263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46E5020"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11.23</w:t>
            </w:r>
          </w:p>
        </w:tc>
      </w:tr>
      <w:tr w:rsidR="002A7C81" w:rsidRPr="00167D6A" w14:paraId="54500C1F"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211E9E01"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2EA05BA4"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8E85CC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I and later</w:t>
            </w:r>
          </w:p>
        </w:tc>
        <w:tc>
          <w:tcPr>
            <w:tcW w:w="1134" w:type="dxa"/>
            <w:tcBorders>
              <w:top w:val="nil"/>
              <w:left w:val="single" w:sz="6" w:space="0" w:color="auto"/>
              <w:bottom w:val="single" w:sz="4" w:space="0" w:color="auto"/>
              <w:right w:val="single" w:sz="6" w:space="0" w:color="auto"/>
            </w:tcBorders>
            <w:vAlign w:val="center"/>
          </w:tcPr>
          <w:p w14:paraId="653CDD1E"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247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AFBAE0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10.55</w:t>
            </w:r>
          </w:p>
        </w:tc>
      </w:tr>
      <w:tr w:rsidR="002A7C81" w:rsidRPr="00167D6A" w14:paraId="11D5121D"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1DEDE97D"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Mopeds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4B232D49"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 &lt;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F8D314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06A8FA0B"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B8D2BC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1.09</w:t>
            </w:r>
          </w:p>
        </w:tc>
      </w:tr>
      <w:tr w:rsidR="002A7C81" w:rsidRPr="00167D6A" w14:paraId="76ADC919"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624AB71"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37D1DDC6"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935D8F6"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w:t>
            </w:r>
          </w:p>
        </w:tc>
        <w:tc>
          <w:tcPr>
            <w:tcW w:w="1134" w:type="dxa"/>
            <w:tcBorders>
              <w:top w:val="nil"/>
              <w:left w:val="single" w:sz="6" w:space="0" w:color="auto"/>
              <w:bottom w:val="single" w:sz="4" w:space="0" w:color="auto"/>
              <w:right w:val="single" w:sz="6" w:space="0" w:color="auto"/>
            </w:tcBorders>
            <w:vAlign w:val="center"/>
          </w:tcPr>
          <w:p w14:paraId="71D11BA6"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E1E97A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4A40BE1A"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408AAAA"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5B87E27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 &lt;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0708F87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2</w:t>
            </w:r>
          </w:p>
        </w:tc>
        <w:tc>
          <w:tcPr>
            <w:tcW w:w="1134" w:type="dxa"/>
            <w:tcBorders>
              <w:top w:val="nil"/>
              <w:left w:val="single" w:sz="6" w:space="0" w:color="auto"/>
              <w:bottom w:val="single" w:sz="4" w:space="0" w:color="auto"/>
              <w:right w:val="single" w:sz="6" w:space="0" w:color="auto"/>
            </w:tcBorders>
            <w:vAlign w:val="center"/>
          </w:tcPr>
          <w:p w14:paraId="7E305D9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2082854E"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4D2AC3DC" w14:textId="77777777" w:rsidTr="002A7C81">
        <w:tc>
          <w:tcPr>
            <w:tcW w:w="1985" w:type="dxa"/>
            <w:vMerge/>
            <w:tcBorders>
              <w:left w:val="double" w:sz="4" w:space="0" w:color="auto"/>
              <w:right w:val="single" w:sz="6" w:space="0" w:color="auto"/>
            </w:tcBorders>
            <w:noWrap/>
            <w:tcMar>
              <w:left w:w="28" w:type="dxa"/>
              <w:right w:w="28" w:type="dxa"/>
            </w:tcMar>
            <w:vAlign w:val="center"/>
          </w:tcPr>
          <w:p w14:paraId="30C9D133"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496B5EA1"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71A1CCE"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3 and on</w:t>
            </w:r>
          </w:p>
        </w:tc>
        <w:tc>
          <w:tcPr>
            <w:tcW w:w="1134" w:type="dxa"/>
            <w:tcBorders>
              <w:top w:val="nil"/>
              <w:left w:val="single" w:sz="6" w:space="0" w:color="auto"/>
              <w:bottom w:val="single" w:sz="4" w:space="0" w:color="auto"/>
              <w:right w:val="single" w:sz="6" w:space="0" w:color="auto"/>
            </w:tcBorders>
            <w:vAlign w:val="center"/>
          </w:tcPr>
          <w:p w14:paraId="7FCFEE43"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6F481F7"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42128D9F"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CA8B4AC" w14:textId="77777777" w:rsidR="002A7C81" w:rsidRPr="00167D6A" w:rsidRDefault="002A7C81" w:rsidP="009F3B82">
            <w:pPr>
              <w:spacing w:line="160" w:lineRule="atLeast"/>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6F281DF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&lt;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7111C9A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2728F98"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FFB986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1.09</w:t>
            </w:r>
          </w:p>
        </w:tc>
      </w:tr>
      <w:tr w:rsidR="002A7C81" w:rsidRPr="00167D6A" w14:paraId="3C51212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CCFDD4F"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2D6A03A8"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71B0358"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w:t>
            </w:r>
          </w:p>
        </w:tc>
        <w:tc>
          <w:tcPr>
            <w:tcW w:w="1134" w:type="dxa"/>
            <w:tcBorders>
              <w:top w:val="nil"/>
              <w:left w:val="single" w:sz="6" w:space="0" w:color="auto"/>
              <w:bottom w:val="single" w:sz="4" w:space="0" w:color="auto"/>
              <w:right w:val="single" w:sz="6" w:space="0" w:color="auto"/>
            </w:tcBorders>
            <w:vAlign w:val="center"/>
          </w:tcPr>
          <w:p w14:paraId="425C3377"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662F36AB"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10FC9245"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F729A23"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3A8FDB93"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BE76C58"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2</w:t>
            </w:r>
          </w:p>
        </w:tc>
        <w:tc>
          <w:tcPr>
            <w:tcW w:w="1134" w:type="dxa"/>
            <w:tcBorders>
              <w:top w:val="nil"/>
              <w:left w:val="single" w:sz="6" w:space="0" w:color="auto"/>
              <w:bottom w:val="single" w:sz="4" w:space="0" w:color="auto"/>
              <w:right w:val="single" w:sz="6" w:space="0" w:color="auto"/>
            </w:tcBorders>
            <w:vAlign w:val="center"/>
          </w:tcPr>
          <w:p w14:paraId="383452EC"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A5DF13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5F496A4D" w14:textId="77777777" w:rsidTr="002A7C81">
        <w:tc>
          <w:tcPr>
            <w:tcW w:w="1985" w:type="dxa"/>
            <w:vMerge/>
            <w:tcBorders>
              <w:left w:val="double" w:sz="4" w:space="0" w:color="auto"/>
              <w:bottom w:val="single" w:sz="4" w:space="0" w:color="auto"/>
              <w:right w:val="single" w:sz="6" w:space="0" w:color="auto"/>
            </w:tcBorders>
            <w:noWrap/>
            <w:tcMar>
              <w:left w:w="28" w:type="dxa"/>
              <w:right w:w="28" w:type="dxa"/>
            </w:tcMar>
            <w:vAlign w:val="center"/>
          </w:tcPr>
          <w:p w14:paraId="44842421" w14:textId="77777777" w:rsidR="002A7C81" w:rsidRPr="00167D6A" w:rsidRDefault="002A7C81" w:rsidP="009F3B82">
            <w:pPr>
              <w:spacing w:line="160" w:lineRule="atLeast"/>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1C6ACF45"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489E564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3 and on</w:t>
            </w:r>
          </w:p>
        </w:tc>
        <w:tc>
          <w:tcPr>
            <w:tcW w:w="1134" w:type="dxa"/>
            <w:tcBorders>
              <w:top w:val="nil"/>
              <w:left w:val="single" w:sz="6" w:space="0" w:color="auto"/>
              <w:bottom w:val="single" w:sz="4" w:space="0" w:color="auto"/>
              <w:right w:val="single" w:sz="6" w:space="0" w:color="auto"/>
            </w:tcBorders>
            <w:vAlign w:val="center"/>
          </w:tcPr>
          <w:p w14:paraId="7D60647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20</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5FBFDED"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0.88</w:t>
            </w:r>
          </w:p>
        </w:tc>
      </w:tr>
      <w:tr w:rsidR="002A7C81" w:rsidRPr="00167D6A" w14:paraId="54F68191" w14:textId="77777777" w:rsidTr="002A7C81">
        <w:tc>
          <w:tcPr>
            <w:tcW w:w="1985" w:type="dxa"/>
            <w:vMerge w:val="restart"/>
            <w:tcBorders>
              <w:top w:val="nil"/>
              <w:left w:val="double" w:sz="4" w:space="0" w:color="auto"/>
              <w:right w:val="single" w:sz="6" w:space="0" w:color="auto"/>
            </w:tcBorders>
            <w:noWrap/>
            <w:tcMar>
              <w:left w:w="28" w:type="dxa"/>
              <w:right w:w="28" w:type="dxa"/>
            </w:tcMar>
            <w:vAlign w:val="center"/>
          </w:tcPr>
          <w:p w14:paraId="1E7FF9E5"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Motorcycles</w:t>
            </w:r>
          </w:p>
        </w:tc>
        <w:tc>
          <w:tcPr>
            <w:tcW w:w="2268" w:type="dxa"/>
            <w:vMerge w:val="restart"/>
            <w:tcBorders>
              <w:top w:val="nil"/>
              <w:left w:val="single" w:sz="6" w:space="0" w:color="auto"/>
              <w:right w:val="single" w:sz="6" w:space="0" w:color="auto"/>
            </w:tcBorders>
            <w:noWrap/>
            <w:tcMar>
              <w:left w:w="28" w:type="dxa"/>
              <w:right w:w="28" w:type="dxa"/>
            </w:tcMar>
            <w:vAlign w:val="center"/>
          </w:tcPr>
          <w:p w14:paraId="2EA28B94"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2-stroke &gt; 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CD167E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788B2F00"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E97146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1.44</w:t>
            </w:r>
          </w:p>
        </w:tc>
      </w:tr>
      <w:tr w:rsidR="002A7C81" w:rsidRPr="00167D6A" w14:paraId="45515B98"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FD582D4"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0D08A8C1"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03EAE43"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w:t>
            </w:r>
          </w:p>
        </w:tc>
        <w:tc>
          <w:tcPr>
            <w:tcW w:w="1134" w:type="dxa"/>
            <w:tcBorders>
              <w:top w:val="nil"/>
              <w:left w:val="single" w:sz="6" w:space="0" w:color="auto"/>
              <w:bottom w:val="single" w:sz="4" w:space="0" w:color="auto"/>
              <w:right w:val="single" w:sz="6" w:space="0" w:color="auto"/>
            </w:tcBorders>
            <w:vAlign w:val="center"/>
          </w:tcPr>
          <w:p w14:paraId="1FAFF205"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BE46DB4"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1.09</w:t>
            </w:r>
          </w:p>
        </w:tc>
      </w:tr>
      <w:tr w:rsidR="002A7C81" w:rsidRPr="00167D6A" w14:paraId="1B5EE7B8"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D33C1D0"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right w:val="single" w:sz="6" w:space="0" w:color="auto"/>
            </w:tcBorders>
            <w:noWrap/>
            <w:tcMar>
              <w:left w:w="28" w:type="dxa"/>
              <w:right w:w="28" w:type="dxa"/>
            </w:tcMar>
            <w:vAlign w:val="center"/>
          </w:tcPr>
          <w:p w14:paraId="259F4279"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9C5E3BC"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2</w:t>
            </w:r>
          </w:p>
        </w:tc>
        <w:tc>
          <w:tcPr>
            <w:tcW w:w="1134" w:type="dxa"/>
            <w:tcBorders>
              <w:top w:val="nil"/>
              <w:left w:val="single" w:sz="6" w:space="0" w:color="auto"/>
              <w:bottom w:val="single" w:sz="4" w:space="0" w:color="auto"/>
              <w:right w:val="single" w:sz="6" w:space="0" w:color="auto"/>
            </w:tcBorders>
            <w:vAlign w:val="center"/>
          </w:tcPr>
          <w:p w14:paraId="67BEA3F2"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23</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17A47666"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1.01</w:t>
            </w:r>
          </w:p>
        </w:tc>
      </w:tr>
      <w:tr w:rsidR="002A7C81" w:rsidRPr="00167D6A" w14:paraId="7090FAB5" w14:textId="77777777" w:rsidTr="002A7C81">
        <w:tc>
          <w:tcPr>
            <w:tcW w:w="1985" w:type="dxa"/>
            <w:vMerge/>
            <w:tcBorders>
              <w:left w:val="double" w:sz="4" w:space="0" w:color="auto"/>
              <w:right w:val="single" w:sz="6" w:space="0" w:color="auto"/>
            </w:tcBorders>
            <w:noWrap/>
            <w:tcMar>
              <w:left w:w="28" w:type="dxa"/>
              <w:right w:w="28" w:type="dxa"/>
            </w:tcMar>
            <w:vAlign w:val="center"/>
          </w:tcPr>
          <w:p w14:paraId="22EC4E52"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5E855669"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3C50E3F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3 and on</w:t>
            </w:r>
          </w:p>
        </w:tc>
        <w:tc>
          <w:tcPr>
            <w:tcW w:w="1134" w:type="dxa"/>
            <w:tcBorders>
              <w:top w:val="nil"/>
              <w:left w:val="single" w:sz="6" w:space="0" w:color="auto"/>
              <w:bottom w:val="single" w:sz="4" w:space="0" w:color="auto"/>
              <w:right w:val="single" w:sz="6" w:space="0" w:color="auto"/>
            </w:tcBorders>
            <w:vAlign w:val="center"/>
          </w:tcPr>
          <w:p w14:paraId="064580AD"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17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366247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0.74</w:t>
            </w:r>
          </w:p>
        </w:tc>
      </w:tr>
      <w:tr w:rsidR="002A7C81" w:rsidRPr="00167D6A" w14:paraId="2A2897F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04EEF508" w14:textId="77777777" w:rsidR="002A7C81" w:rsidRPr="00167D6A" w:rsidRDefault="002A7C81" w:rsidP="009F3B82">
            <w:pPr>
              <w:spacing w:line="160" w:lineRule="atLeast"/>
              <w:jc w:val="center"/>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5E3AF05F"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&lt; 250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16245CC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0C0735B4"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32</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0BA3E8DA"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1.4</w:t>
            </w:r>
          </w:p>
        </w:tc>
      </w:tr>
      <w:tr w:rsidR="002A7C81" w:rsidRPr="00167D6A" w14:paraId="3FFC40F9" w14:textId="77777777" w:rsidTr="002A7C81">
        <w:tc>
          <w:tcPr>
            <w:tcW w:w="1985" w:type="dxa"/>
            <w:vMerge/>
            <w:tcBorders>
              <w:left w:val="double" w:sz="4" w:space="0" w:color="auto"/>
              <w:right w:val="single" w:sz="6" w:space="0" w:color="auto"/>
            </w:tcBorders>
            <w:noWrap/>
            <w:tcMar>
              <w:left w:w="28" w:type="dxa"/>
              <w:right w:w="28" w:type="dxa"/>
            </w:tcMar>
            <w:vAlign w:val="center"/>
          </w:tcPr>
          <w:p w14:paraId="725B7F80"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3B37535A"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485754B"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on</w:t>
            </w:r>
          </w:p>
        </w:tc>
        <w:tc>
          <w:tcPr>
            <w:tcW w:w="1134" w:type="dxa"/>
            <w:tcBorders>
              <w:top w:val="nil"/>
              <w:left w:val="single" w:sz="6" w:space="0" w:color="auto"/>
              <w:bottom w:val="single" w:sz="4" w:space="0" w:color="auto"/>
              <w:right w:val="single" w:sz="6" w:space="0" w:color="auto"/>
            </w:tcBorders>
            <w:vAlign w:val="center"/>
          </w:tcPr>
          <w:p w14:paraId="1EF190AB"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3447C278"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1.58</w:t>
            </w:r>
          </w:p>
        </w:tc>
      </w:tr>
      <w:tr w:rsidR="002A7C81" w:rsidRPr="00167D6A" w14:paraId="5A071C59" w14:textId="77777777" w:rsidTr="002A7C81">
        <w:tc>
          <w:tcPr>
            <w:tcW w:w="1985" w:type="dxa"/>
            <w:vMerge/>
            <w:tcBorders>
              <w:left w:val="double" w:sz="4" w:space="0" w:color="auto"/>
              <w:right w:val="single" w:sz="6" w:space="0" w:color="auto"/>
            </w:tcBorders>
            <w:noWrap/>
            <w:tcMar>
              <w:left w:w="28" w:type="dxa"/>
              <w:right w:w="28" w:type="dxa"/>
            </w:tcMar>
            <w:vAlign w:val="center"/>
          </w:tcPr>
          <w:p w14:paraId="4B555FF5" w14:textId="77777777" w:rsidR="002A7C81" w:rsidRPr="00167D6A" w:rsidRDefault="002A7C81" w:rsidP="009F3B82">
            <w:pPr>
              <w:spacing w:line="160" w:lineRule="atLeast"/>
              <w:jc w:val="center"/>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254F092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250</w:t>
            </w:r>
            <w:r w:rsidRPr="00167D6A">
              <w:rPr>
                <w:sz w:val="14"/>
                <w:szCs w:val="14"/>
                <w:lang w:val="en-GB"/>
              </w:rPr>
              <w:t>–</w:t>
            </w:r>
            <w:r w:rsidRPr="00167D6A">
              <w:rPr>
                <w:sz w:val="14"/>
                <w:szCs w:val="14"/>
                <w:lang w:val="en-GB" w:eastAsia="en-US"/>
              </w:rPr>
              <w:t>750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641E09A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6F64731A"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37</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BA091D2"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1.62</w:t>
            </w:r>
          </w:p>
        </w:tc>
      </w:tr>
      <w:tr w:rsidR="002A7C81" w:rsidRPr="00167D6A" w14:paraId="47F4C19D" w14:textId="77777777" w:rsidTr="002A7C81">
        <w:tc>
          <w:tcPr>
            <w:tcW w:w="1985" w:type="dxa"/>
            <w:vMerge/>
            <w:tcBorders>
              <w:left w:val="double" w:sz="4" w:space="0" w:color="auto"/>
              <w:right w:val="single" w:sz="6" w:space="0" w:color="auto"/>
            </w:tcBorders>
            <w:noWrap/>
            <w:tcMar>
              <w:left w:w="28" w:type="dxa"/>
              <w:right w:w="28" w:type="dxa"/>
            </w:tcMar>
            <w:vAlign w:val="center"/>
          </w:tcPr>
          <w:p w14:paraId="5DD7744C"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single" w:sz="4" w:space="0" w:color="auto"/>
              <w:right w:val="single" w:sz="6" w:space="0" w:color="auto"/>
            </w:tcBorders>
            <w:noWrap/>
            <w:tcMar>
              <w:left w:w="28" w:type="dxa"/>
              <w:right w:w="28" w:type="dxa"/>
            </w:tcMar>
            <w:vAlign w:val="center"/>
          </w:tcPr>
          <w:p w14:paraId="2D956C04"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585D9837"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on</w:t>
            </w:r>
          </w:p>
        </w:tc>
        <w:tc>
          <w:tcPr>
            <w:tcW w:w="1134" w:type="dxa"/>
            <w:tcBorders>
              <w:top w:val="nil"/>
              <w:left w:val="single" w:sz="6" w:space="0" w:color="auto"/>
              <w:bottom w:val="single" w:sz="4" w:space="0" w:color="auto"/>
              <w:right w:val="single" w:sz="6" w:space="0" w:color="auto"/>
            </w:tcBorders>
            <w:vAlign w:val="center"/>
          </w:tcPr>
          <w:p w14:paraId="19A549C1"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36</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750B276F"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1.58</w:t>
            </w:r>
          </w:p>
        </w:tc>
      </w:tr>
      <w:tr w:rsidR="002A7C81" w:rsidRPr="00167D6A" w14:paraId="02F871E0" w14:textId="77777777" w:rsidTr="002A7C81">
        <w:tc>
          <w:tcPr>
            <w:tcW w:w="1985" w:type="dxa"/>
            <w:vMerge/>
            <w:tcBorders>
              <w:left w:val="double" w:sz="4" w:space="0" w:color="auto"/>
              <w:right w:val="single" w:sz="6" w:space="0" w:color="auto"/>
            </w:tcBorders>
            <w:noWrap/>
            <w:tcMar>
              <w:left w:w="28" w:type="dxa"/>
              <w:right w:w="28" w:type="dxa"/>
            </w:tcMar>
            <w:vAlign w:val="center"/>
          </w:tcPr>
          <w:p w14:paraId="13B47A48" w14:textId="77777777" w:rsidR="002A7C81" w:rsidRPr="00167D6A" w:rsidRDefault="002A7C81" w:rsidP="009F3B82">
            <w:pPr>
              <w:spacing w:line="160" w:lineRule="atLeast"/>
              <w:jc w:val="center"/>
              <w:rPr>
                <w:sz w:val="14"/>
                <w:szCs w:val="14"/>
                <w:lang w:val="en-GB" w:eastAsia="en-US"/>
              </w:rPr>
            </w:pPr>
          </w:p>
        </w:tc>
        <w:tc>
          <w:tcPr>
            <w:tcW w:w="2268" w:type="dxa"/>
            <w:vMerge w:val="restart"/>
            <w:tcBorders>
              <w:top w:val="nil"/>
              <w:left w:val="single" w:sz="6" w:space="0" w:color="auto"/>
              <w:right w:val="single" w:sz="6" w:space="0" w:color="auto"/>
            </w:tcBorders>
            <w:noWrap/>
            <w:tcMar>
              <w:left w:w="28" w:type="dxa"/>
              <w:right w:w="28" w:type="dxa"/>
            </w:tcMar>
            <w:vAlign w:val="center"/>
          </w:tcPr>
          <w:p w14:paraId="0DC3D242"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4-stroke &gt; 750 cm³</w:t>
            </w:r>
          </w:p>
        </w:tc>
        <w:tc>
          <w:tcPr>
            <w:tcW w:w="1984" w:type="dxa"/>
            <w:tcBorders>
              <w:top w:val="nil"/>
              <w:left w:val="single" w:sz="6" w:space="0" w:color="auto"/>
              <w:bottom w:val="single" w:sz="4" w:space="0" w:color="auto"/>
              <w:right w:val="single" w:sz="6" w:space="0" w:color="auto"/>
            </w:tcBorders>
            <w:noWrap/>
            <w:tcMar>
              <w:left w:w="28" w:type="dxa"/>
              <w:right w:w="28" w:type="dxa"/>
            </w:tcMar>
            <w:vAlign w:val="center"/>
          </w:tcPr>
          <w:p w14:paraId="2C65E700"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Conventional</w:t>
            </w:r>
          </w:p>
        </w:tc>
        <w:tc>
          <w:tcPr>
            <w:tcW w:w="1134" w:type="dxa"/>
            <w:tcBorders>
              <w:top w:val="nil"/>
              <w:left w:val="single" w:sz="6" w:space="0" w:color="auto"/>
              <w:bottom w:val="single" w:sz="4" w:space="0" w:color="auto"/>
              <w:right w:val="single" w:sz="6" w:space="0" w:color="auto"/>
            </w:tcBorders>
            <w:vAlign w:val="center"/>
          </w:tcPr>
          <w:p w14:paraId="5C5BA73E"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45</w:t>
            </w:r>
          </w:p>
        </w:tc>
        <w:tc>
          <w:tcPr>
            <w:tcW w:w="1134" w:type="dxa"/>
            <w:tcBorders>
              <w:top w:val="nil"/>
              <w:left w:val="single" w:sz="6" w:space="0" w:color="auto"/>
              <w:bottom w:val="single" w:sz="4" w:space="0" w:color="auto"/>
              <w:right w:val="double" w:sz="4" w:space="0" w:color="auto"/>
            </w:tcBorders>
            <w:noWrap/>
            <w:tcMar>
              <w:left w:w="28" w:type="dxa"/>
              <w:right w:w="28" w:type="dxa"/>
            </w:tcMar>
            <w:vAlign w:val="bottom"/>
          </w:tcPr>
          <w:p w14:paraId="432BD0DC"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1.97</w:t>
            </w:r>
          </w:p>
        </w:tc>
      </w:tr>
      <w:tr w:rsidR="002A7C81" w:rsidRPr="000855B2" w14:paraId="46C673B1" w14:textId="77777777" w:rsidTr="002A7C81">
        <w:tc>
          <w:tcPr>
            <w:tcW w:w="1985" w:type="dxa"/>
            <w:vMerge/>
            <w:tcBorders>
              <w:left w:val="double" w:sz="4" w:space="0" w:color="auto"/>
              <w:bottom w:val="double" w:sz="4" w:space="0" w:color="auto"/>
              <w:right w:val="single" w:sz="6" w:space="0" w:color="auto"/>
            </w:tcBorders>
            <w:noWrap/>
            <w:tcMar>
              <w:left w:w="28" w:type="dxa"/>
              <w:right w:w="28" w:type="dxa"/>
            </w:tcMar>
            <w:vAlign w:val="center"/>
          </w:tcPr>
          <w:p w14:paraId="10354BB6" w14:textId="77777777" w:rsidR="002A7C81" w:rsidRPr="00167D6A" w:rsidRDefault="002A7C81" w:rsidP="009F3B82">
            <w:pPr>
              <w:spacing w:line="160" w:lineRule="atLeast"/>
              <w:jc w:val="center"/>
              <w:rPr>
                <w:sz w:val="14"/>
                <w:szCs w:val="14"/>
                <w:lang w:val="en-GB" w:eastAsia="en-US"/>
              </w:rPr>
            </w:pPr>
          </w:p>
        </w:tc>
        <w:tc>
          <w:tcPr>
            <w:tcW w:w="2268" w:type="dxa"/>
            <w:vMerge/>
            <w:tcBorders>
              <w:left w:val="single" w:sz="6" w:space="0" w:color="auto"/>
              <w:bottom w:val="double" w:sz="4" w:space="0" w:color="auto"/>
              <w:right w:val="single" w:sz="6" w:space="0" w:color="auto"/>
            </w:tcBorders>
            <w:noWrap/>
            <w:tcMar>
              <w:left w:w="28" w:type="dxa"/>
              <w:right w:w="28" w:type="dxa"/>
            </w:tcMar>
            <w:vAlign w:val="center"/>
          </w:tcPr>
          <w:p w14:paraId="67A63479" w14:textId="77777777" w:rsidR="002A7C81" w:rsidRPr="00167D6A" w:rsidRDefault="002A7C81" w:rsidP="009F3B82">
            <w:pPr>
              <w:spacing w:line="160" w:lineRule="atLeast"/>
              <w:rPr>
                <w:sz w:val="14"/>
                <w:szCs w:val="14"/>
                <w:lang w:val="en-GB" w:eastAsia="en-US"/>
              </w:rPr>
            </w:pPr>
          </w:p>
        </w:tc>
        <w:tc>
          <w:tcPr>
            <w:tcW w:w="1984" w:type="dxa"/>
            <w:tcBorders>
              <w:top w:val="nil"/>
              <w:left w:val="single" w:sz="6" w:space="0" w:color="auto"/>
              <w:bottom w:val="double" w:sz="4" w:space="0" w:color="auto"/>
              <w:right w:val="single" w:sz="6" w:space="0" w:color="auto"/>
            </w:tcBorders>
            <w:noWrap/>
            <w:tcMar>
              <w:left w:w="28" w:type="dxa"/>
              <w:right w:w="28" w:type="dxa"/>
            </w:tcMar>
            <w:vAlign w:val="center"/>
          </w:tcPr>
          <w:p w14:paraId="6E37EF01" w14:textId="77777777" w:rsidR="002A7C81" w:rsidRPr="00167D6A" w:rsidRDefault="002A7C81" w:rsidP="009F3B82">
            <w:pPr>
              <w:spacing w:line="160" w:lineRule="atLeast"/>
              <w:rPr>
                <w:sz w:val="14"/>
                <w:szCs w:val="14"/>
                <w:lang w:val="en-GB" w:eastAsia="en-US"/>
              </w:rPr>
            </w:pPr>
            <w:r w:rsidRPr="00167D6A">
              <w:rPr>
                <w:sz w:val="14"/>
                <w:szCs w:val="14"/>
                <w:lang w:val="en-GB" w:eastAsia="en-US"/>
              </w:rPr>
              <w:t>Euro 1 and on</w:t>
            </w:r>
          </w:p>
        </w:tc>
        <w:tc>
          <w:tcPr>
            <w:tcW w:w="1134" w:type="dxa"/>
            <w:tcBorders>
              <w:top w:val="nil"/>
              <w:left w:val="single" w:sz="6" w:space="0" w:color="auto"/>
              <w:bottom w:val="double" w:sz="4" w:space="0" w:color="auto"/>
              <w:right w:val="single" w:sz="6" w:space="0" w:color="auto"/>
            </w:tcBorders>
            <w:vAlign w:val="center"/>
          </w:tcPr>
          <w:p w14:paraId="72D8EC86" w14:textId="77777777" w:rsidR="002A7C81" w:rsidRPr="00167D6A" w:rsidRDefault="002A7C81" w:rsidP="002A7C81">
            <w:pPr>
              <w:spacing w:line="160" w:lineRule="atLeast"/>
              <w:jc w:val="center"/>
              <w:rPr>
                <w:sz w:val="14"/>
                <w:szCs w:val="14"/>
                <w:lang w:val="en-GB" w:eastAsia="en-US"/>
              </w:rPr>
            </w:pPr>
            <w:r w:rsidRPr="00167D6A">
              <w:rPr>
                <w:sz w:val="14"/>
                <w:szCs w:val="14"/>
                <w:lang w:val="en-GB" w:eastAsia="en-US"/>
              </w:rPr>
              <w:t>46</w:t>
            </w:r>
          </w:p>
        </w:tc>
        <w:tc>
          <w:tcPr>
            <w:tcW w:w="1134" w:type="dxa"/>
            <w:tcBorders>
              <w:top w:val="nil"/>
              <w:left w:val="single" w:sz="6" w:space="0" w:color="auto"/>
              <w:bottom w:val="double" w:sz="4" w:space="0" w:color="auto"/>
              <w:right w:val="double" w:sz="4" w:space="0" w:color="auto"/>
            </w:tcBorders>
            <w:noWrap/>
            <w:tcMar>
              <w:left w:w="28" w:type="dxa"/>
              <w:right w:w="28" w:type="dxa"/>
            </w:tcMar>
            <w:vAlign w:val="bottom"/>
          </w:tcPr>
          <w:p w14:paraId="06F6D7EE" w14:textId="77777777" w:rsidR="002A7C81" w:rsidRPr="00167D6A" w:rsidRDefault="002A7C81" w:rsidP="002A7C81">
            <w:pPr>
              <w:spacing w:line="240" w:lineRule="auto"/>
              <w:jc w:val="center"/>
              <w:rPr>
                <w:rFonts w:cs="Open Sans"/>
                <w:bCs/>
                <w:sz w:val="14"/>
                <w:szCs w:val="14"/>
                <w:lang w:val="en-GB" w:eastAsia="en-US"/>
              </w:rPr>
            </w:pPr>
            <w:r w:rsidRPr="00167D6A">
              <w:rPr>
                <w:rFonts w:cs="Open Sans"/>
                <w:bCs/>
                <w:sz w:val="14"/>
                <w:szCs w:val="14"/>
                <w:lang w:val="en-GB" w:eastAsia="en-US"/>
              </w:rPr>
              <w:t>2.01</w:t>
            </w:r>
          </w:p>
        </w:tc>
      </w:tr>
    </w:tbl>
    <w:bookmarkEnd w:id="100"/>
    <w:p w14:paraId="465129E9" w14:textId="23AF0CC1" w:rsidR="002A7C81" w:rsidRPr="00167D6A" w:rsidRDefault="002A7C81" w:rsidP="002A7C81">
      <w:pPr>
        <w:pStyle w:val="BodyText"/>
      </w:pPr>
      <w:r w:rsidRPr="00167D6A">
        <w:t xml:space="preserve">*based on </w:t>
      </w:r>
      <w:r w:rsidR="008C650D" w:rsidRPr="00167D6A">
        <w:t xml:space="preserve">the default </w:t>
      </w:r>
      <w:r w:rsidRPr="00167D6A">
        <w:t>calorific value</w:t>
      </w:r>
      <w:r w:rsidR="008C650D">
        <w:rPr>
          <w:lang w:val="nl-NL"/>
        </w:rPr>
        <w:t xml:space="preserve">s included in </w:t>
      </w:r>
      <w:r w:rsidR="008C650D">
        <w:rPr>
          <w:lang w:val="nl-NL"/>
        </w:rPr>
        <w:fldChar w:fldCharType="begin"/>
      </w:r>
      <w:r w:rsidR="008C650D">
        <w:rPr>
          <w:lang w:val="nl-NL"/>
        </w:rPr>
        <w:instrText xml:space="preserve"> REF _Ref481616270 \h </w:instrText>
      </w:r>
      <w:r w:rsidR="008C650D">
        <w:rPr>
          <w:lang w:val="nl-NL"/>
        </w:rPr>
      </w:r>
      <w:r w:rsidR="008C650D">
        <w:rPr>
          <w:lang w:val="nl-NL"/>
        </w:rPr>
        <w:fldChar w:fldCharType="separate"/>
      </w:r>
      <w:r w:rsidR="0071604C" w:rsidRPr="000855B2">
        <w:t>Table </w:t>
      </w:r>
      <w:r w:rsidR="0071604C">
        <w:rPr>
          <w:noProof/>
        </w:rPr>
        <w:t>3</w:t>
      </w:r>
      <w:r w:rsidR="0071604C">
        <w:t>.</w:t>
      </w:r>
      <w:r w:rsidR="0071604C">
        <w:rPr>
          <w:noProof/>
        </w:rPr>
        <w:t>28</w:t>
      </w:r>
      <w:r w:rsidR="008C650D">
        <w:rPr>
          <w:lang w:val="nl-NL"/>
        </w:rPr>
        <w:fldChar w:fldCharType="end"/>
      </w:r>
    </w:p>
    <w:p w14:paraId="32C1BCF7" w14:textId="77777777" w:rsidR="001D2587" w:rsidRPr="000855B2" w:rsidRDefault="001D2587" w:rsidP="00AC1E78">
      <w:pPr>
        <w:pStyle w:val="Heading3"/>
      </w:pPr>
      <w:r w:rsidRPr="000855B2">
        <w:t>Activity data</w:t>
      </w:r>
    </w:p>
    <w:p w14:paraId="4D7B2A18" w14:textId="0D89118C" w:rsidR="001D2587" w:rsidRPr="000855B2" w:rsidRDefault="001D2587" w:rsidP="00546C89">
      <w:pPr>
        <w:pStyle w:val="BodyText"/>
      </w:pPr>
      <w:r w:rsidRPr="000855B2">
        <w:t>In principal</w:t>
      </w:r>
      <w:r w:rsidR="00CB72AA" w:rsidRPr="000855B2">
        <w:t>,</w:t>
      </w:r>
      <w:r w:rsidRPr="000855B2">
        <w:t xml:space="preserve"> </w:t>
      </w:r>
      <w:r w:rsidR="00CB72AA" w:rsidRPr="000855B2">
        <w:t>traffic activity</w:t>
      </w:r>
      <w:r w:rsidRPr="000855B2">
        <w:t xml:space="preserve"> </w:t>
      </w:r>
      <w:r w:rsidR="00CB72AA" w:rsidRPr="000855B2">
        <w:t>data</w:t>
      </w:r>
      <w:r w:rsidRPr="000855B2">
        <w:t xml:space="preserve"> are available </w:t>
      </w:r>
      <w:r w:rsidR="00CB72AA" w:rsidRPr="000855B2">
        <w:t>from</w:t>
      </w:r>
      <w:r w:rsidRPr="000855B2">
        <w:t xml:space="preserve"> the national statistics offices of all countries</w:t>
      </w:r>
      <w:r w:rsidR="00CB72AA" w:rsidRPr="000855B2">
        <w:t>,</w:t>
      </w:r>
      <w:r w:rsidRPr="000855B2">
        <w:t xml:space="preserve"> and </w:t>
      </w:r>
      <w:r w:rsidR="00CB72AA" w:rsidRPr="000855B2">
        <w:t>from</w:t>
      </w:r>
      <w:r w:rsidRPr="000855B2">
        <w:t xml:space="preserve"> international statistical organisations and institutes (</w:t>
      </w:r>
      <w:r w:rsidR="00D73F59" w:rsidRPr="000855B2">
        <w:t>e.g</w:t>
      </w:r>
      <w:r w:rsidRPr="000855B2">
        <w:rPr>
          <w:i/>
        </w:rPr>
        <w:t>.</w:t>
      </w:r>
      <w:r w:rsidRPr="000855B2">
        <w:t xml:space="preserve"> </w:t>
      </w:r>
      <w:r w:rsidR="00CC5B0C" w:rsidRPr="00531950">
        <w:t>Eurostat</w:t>
      </w:r>
      <w:r w:rsidRPr="00531950">
        <w:t>, International Road Federation</w:t>
      </w:r>
      <w:r w:rsidR="00CB72AA" w:rsidRPr="00531950">
        <w:t xml:space="preserve"> </w:t>
      </w:r>
      <w:r w:rsidR="00CC5B0C" w:rsidRPr="00531950">
        <w:t>(</w:t>
      </w:r>
      <w:smartTag w:uri="urn:schemas-microsoft-com:office:smarttags" w:element="stockticker">
        <w:r w:rsidRPr="00531950">
          <w:t>IRF</w:t>
        </w:r>
      </w:smartTag>
      <w:r w:rsidR="00CC5B0C" w:rsidRPr="00531950">
        <w:t>)</w:t>
      </w:r>
      <w:r w:rsidRPr="00531950">
        <w:t>). These statistics tend to be vehicle</w:t>
      </w:r>
      <w:r w:rsidR="00CB72AA" w:rsidRPr="00531950">
        <w:t>-</w:t>
      </w:r>
      <w:r w:rsidRPr="00531950">
        <w:t xml:space="preserve">orientated, providing details on fleet composition. </w:t>
      </w:r>
      <w:r w:rsidR="0038472B" w:rsidRPr="00531950">
        <w:t>Detailed data on vehicle stocks for all EU-</w:t>
      </w:r>
      <w:r w:rsidR="00CF5E50" w:rsidRPr="00531950">
        <w:t>2</w:t>
      </w:r>
      <w:r w:rsidR="00CF5E50">
        <w:t>8</w:t>
      </w:r>
      <w:r w:rsidR="00CF5E50" w:rsidRPr="00531950">
        <w:t xml:space="preserve"> </w:t>
      </w:r>
      <w:r w:rsidR="0038472B" w:rsidRPr="00531950">
        <w:t xml:space="preserve">countries and CH, NO, TR can be also found on the </w:t>
      </w:r>
      <w:r w:rsidR="00461783">
        <w:t>COPERT</w:t>
      </w:r>
      <w:r w:rsidR="0038472B" w:rsidRPr="00531950">
        <w:t xml:space="preserve"> website (</w:t>
      </w:r>
      <w:hyperlink r:id="rId16" w:history="1">
        <w:r w:rsidR="0038472B" w:rsidRPr="00531950">
          <w:rPr>
            <w:rStyle w:val="Hyperlink"/>
          </w:rPr>
          <w:t>http://www.emisia.com/copert</w:t>
        </w:r>
      </w:hyperlink>
      <w:r w:rsidR="0038472B" w:rsidRPr="00531950">
        <w:t>). These data have no official status but are a result of a research project (</w:t>
      </w:r>
      <w:r w:rsidR="00461783">
        <w:t xml:space="preserve">TRACCS, </w:t>
      </w:r>
      <w:r w:rsidR="0038472B" w:rsidRPr="00531950">
        <w:t>Ntziachristos</w:t>
      </w:r>
      <w:r w:rsidR="0038472B" w:rsidRPr="00531950">
        <w:rPr>
          <w:i/>
        </w:rPr>
        <w:t xml:space="preserve"> </w:t>
      </w:r>
      <w:r w:rsidR="0038472B" w:rsidRPr="00531950">
        <w:t>et al</w:t>
      </w:r>
      <w:r w:rsidR="0038472B" w:rsidRPr="00531950">
        <w:rPr>
          <w:i/>
        </w:rPr>
        <w:t>.</w:t>
      </w:r>
      <w:r w:rsidR="0038472B" w:rsidRPr="00531950">
        <w:t xml:space="preserve">, </w:t>
      </w:r>
      <w:r w:rsidR="00531950" w:rsidRPr="00531950">
        <w:t>2013</w:t>
      </w:r>
      <w:r w:rsidR="0038472B" w:rsidRPr="00531950">
        <w:t>). However, they can be used as a good guide in the absence of more detailed information.</w:t>
      </w:r>
    </w:p>
    <w:p w14:paraId="090AB6CF" w14:textId="63811D1A" w:rsidR="001D2587" w:rsidRPr="00CF5E50" w:rsidRDefault="001D2587" w:rsidP="00546C89">
      <w:pPr>
        <w:pStyle w:val="BodyText"/>
        <w:rPr>
          <w:lang w:val="en-US"/>
        </w:rPr>
      </w:pPr>
      <w:r w:rsidRPr="000855B2">
        <w:t xml:space="preserve">For the annual distance driven per </w:t>
      </w:r>
      <w:r w:rsidR="00411C7D" w:rsidRPr="000855B2">
        <w:t xml:space="preserve">vehicle </w:t>
      </w:r>
      <w:r w:rsidRPr="000855B2">
        <w:t xml:space="preserve">technology (typical values can be found </w:t>
      </w:r>
      <w:r w:rsidR="00E405A5" w:rsidRPr="000855B2">
        <w:t xml:space="preserve">also on the </w:t>
      </w:r>
      <w:r w:rsidR="00461783">
        <w:t>COPERT</w:t>
      </w:r>
      <w:r w:rsidR="00E405A5" w:rsidRPr="000855B2">
        <w:t xml:space="preserve"> website, as above</w:t>
      </w:r>
      <w:r w:rsidRPr="000855B2">
        <w:t xml:space="preserve">), </w:t>
      </w:r>
      <w:r w:rsidR="00CB72AA" w:rsidRPr="000855B2">
        <w:t>the</w:t>
      </w:r>
      <w:r w:rsidRPr="000855B2">
        <w:t xml:space="preserve"> </w:t>
      </w:r>
      <w:r w:rsidR="00B35E95">
        <w:t>energy</w:t>
      </w:r>
      <w:r w:rsidRPr="000855B2">
        <w:t xml:space="preserve"> consumption </w:t>
      </w:r>
      <w:r w:rsidR="00CB72AA" w:rsidRPr="000855B2">
        <w:t xml:space="preserve">calculated </w:t>
      </w:r>
      <w:r w:rsidRPr="000855B2">
        <w:t xml:space="preserve">on the basis of appropriate assumptions for annual mileage of the different vehicle categories can be balanced </w:t>
      </w:r>
      <w:r w:rsidR="00411C7D" w:rsidRPr="000855B2">
        <w:t xml:space="preserve">with available </w:t>
      </w:r>
      <w:r w:rsidR="00BC4C66">
        <w:t>energy</w:t>
      </w:r>
      <w:r w:rsidR="00411C7D" w:rsidRPr="000855B2">
        <w:t xml:space="preserve"> statistics. Then by </w:t>
      </w:r>
      <w:r w:rsidRPr="000855B2">
        <w:t xml:space="preserve">applying a trial-and-error approach, it is possible to reach </w:t>
      </w:r>
      <w:r w:rsidR="00411C7D" w:rsidRPr="000855B2">
        <w:t xml:space="preserve">a good match between the calculated and the statistical </w:t>
      </w:r>
      <w:r w:rsidR="00B35E95">
        <w:t>energy</w:t>
      </w:r>
      <w:r w:rsidR="00411C7D" w:rsidRPr="000855B2">
        <w:t xml:space="preserve"> consumption per fuel</w:t>
      </w:r>
      <w:r w:rsidRPr="000855B2">
        <w:t>.</w:t>
      </w:r>
      <w:r w:rsidR="00411C7D" w:rsidRPr="000855B2">
        <w:t xml:space="preserve"> This is a good indication that the activity data that have been used to estimate emissions are </w:t>
      </w:r>
      <w:r w:rsidR="00CC5B0C" w:rsidRPr="000855B2">
        <w:t>consistent</w:t>
      </w:r>
      <w:r w:rsidR="00411C7D" w:rsidRPr="000855B2">
        <w:t xml:space="preserve"> with the total energy consumed in the country for road transportation.</w:t>
      </w:r>
    </w:p>
    <w:p w14:paraId="7B13DFBD" w14:textId="77777777" w:rsidR="001D2587" w:rsidRPr="000855B2" w:rsidRDefault="001D2587" w:rsidP="00F516D0">
      <w:pPr>
        <w:pStyle w:val="Heading2"/>
      </w:pPr>
      <w:bookmarkStart w:id="102" w:name="_Toc215046657"/>
      <w:bookmarkStart w:id="103" w:name="_Ref197484292"/>
      <w:bookmarkStart w:id="104" w:name="_Toc200272613"/>
      <w:bookmarkStart w:id="105" w:name="_Toc482003900"/>
      <w:bookmarkEnd w:id="102"/>
      <w:r w:rsidRPr="000855B2">
        <w:t xml:space="preserve">Tier 3 </w:t>
      </w:r>
      <w:bookmarkEnd w:id="101"/>
      <w:r w:rsidRPr="000855B2">
        <w:t>method</w:t>
      </w:r>
      <w:bookmarkEnd w:id="103"/>
      <w:bookmarkEnd w:id="104"/>
      <w:bookmarkEnd w:id="105"/>
    </w:p>
    <w:p w14:paraId="447B4CDF" w14:textId="77777777" w:rsidR="001D2587" w:rsidRPr="000855B2" w:rsidRDefault="001D2587" w:rsidP="00546C89">
      <w:pPr>
        <w:pStyle w:val="BodyText"/>
      </w:pPr>
      <w:r w:rsidRPr="000855B2">
        <w:t>In the Tie</w:t>
      </w:r>
      <w:r w:rsidR="00E0302E" w:rsidRPr="000855B2">
        <w:t>r 3</w:t>
      </w:r>
      <w:r w:rsidRPr="000855B2">
        <w:t xml:space="preserve"> </w:t>
      </w:r>
      <w:r w:rsidR="005D2BB3" w:rsidRPr="000855B2">
        <w:t>method described here,</w:t>
      </w:r>
      <w:r w:rsidRPr="000855B2">
        <w:t xml:space="preserve"> </w:t>
      </w:r>
      <w:r w:rsidR="005D2BB3" w:rsidRPr="000855B2">
        <w:t xml:space="preserve">exhaust </w:t>
      </w:r>
      <w:r w:rsidRPr="000855B2">
        <w:t xml:space="preserve">emissions are calculated </w:t>
      </w:r>
      <w:r w:rsidR="005D2BB3" w:rsidRPr="000855B2">
        <w:t>using</w:t>
      </w:r>
      <w:r w:rsidRPr="000855B2">
        <w:t xml:space="preserve"> a combination of firm technical data (</w:t>
      </w:r>
      <w:r w:rsidR="00D73F59" w:rsidRPr="000855B2">
        <w:t>e.g</w:t>
      </w:r>
      <w:r w:rsidRPr="000855B2">
        <w:rPr>
          <w:i/>
        </w:rPr>
        <w:t>.</w:t>
      </w:r>
      <w:r w:rsidRPr="000855B2">
        <w:t xml:space="preserve"> emission factors) and activity data (</w:t>
      </w:r>
      <w:r w:rsidR="00D73F59" w:rsidRPr="000855B2">
        <w:t>e.g</w:t>
      </w:r>
      <w:r w:rsidRPr="000855B2">
        <w:rPr>
          <w:i/>
        </w:rPr>
        <w:t>.</w:t>
      </w:r>
      <w:r w:rsidRPr="000855B2">
        <w:t xml:space="preserve"> total vehicle km). This approach was entitled </w:t>
      </w:r>
      <w:r w:rsidR="005D2BB3" w:rsidRPr="000855B2">
        <w:t>‘</w:t>
      </w:r>
      <w:r w:rsidRPr="000855B2">
        <w:t>Detailed Methodology</w:t>
      </w:r>
      <w:r w:rsidR="005D2BB3" w:rsidRPr="000855B2">
        <w:t>’</w:t>
      </w:r>
      <w:r w:rsidRPr="000855B2">
        <w:t xml:space="preserve"> in the previous version of the Guidebook</w:t>
      </w:r>
      <w:r w:rsidR="005D2BB3" w:rsidRPr="000855B2">
        <w:t>,</w:t>
      </w:r>
      <w:r w:rsidRPr="000855B2">
        <w:t xml:space="preserve"> and is</w:t>
      </w:r>
      <w:r w:rsidR="005D2BB3" w:rsidRPr="000855B2">
        <w:t xml:space="preserve"> </w:t>
      </w:r>
      <w:r w:rsidRPr="000855B2">
        <w:t xml:space="preserve">implemented in </w:t>
      </w:r>
      <w:r w:rsidR="00461783">
        <w:t>COPERT</w:t>
      </w:r>
      <w:r w:rsidRPr="000855B2">
        <w:t xml:space="preserve">. </w:t>
      </w:r>
      <w:r w:rsidR="005D2BB3" w:rsidRPr="000855B2">
        <w:t>Alternative</w:t>
      </w:r>
      <w:r w:rsidRPr="000855B2">
        <w:t xml:space="preserve"> </w:t>
      </w:r>
      <w:r w:rsidR="004C5668" w:rsidRPr="000855B2">
        <w:t>T</w:t>
      </w:r>
      <w:r w:rsidRPr="000855B2">
        <w:t>ie</w:t>
      </w:r>
      <w:r w:rsidR="00E0302E" w:rsidRPr="000855B2">
        <w:t>r 3</w:t>
      </w:r>
      <w:r w:rsidRPr="000855B2">
        <w:t xml:space="preserve"> methods can be found in tools such as </w:t>
      </w:r>
      <w:r w:rsidR="00CC5B0C" w:rsidRPr="000855B2">
        <w:t>Artemis</w:t>
      </w:r>
      <w:r w:rsidRPr="000855B2">
        <w:t xml:space="preserve">, </w:t>
      </w:r>
      <w:r w:rsidR="005D2BB3" w:rsidRPr="000855B2">
        <w:t>t</w:t>
      </w:r>
      <w:r w:rsidRPr="000855B2">
        <w:t>he DACH</w:t>
      </w:r>
      <w:r w:rsidR="00411C7D" w:rsidRPr="000855B2">
        <w:t>-NL</w:t>
      </w:r>
      <w:r w:rsidRPr="000855B2">
        <w:t xml:space="preserve"> Handbook of </w:t>
      </w:r>
      <w:r w:rsidR="005D2BB3" w:rsidRPr="000855B2">
        <w:t>E</w:t>
      </w:r>
      <w:r w:rsidRPr="000855B2">
        <w:t xml:space="preserve">mission </w:t>
      </w:r>
      <w:r w:rsidR="005D2BB3" w:rsidRPr="000855B2">
        <w:t>F</w:t>
      </w:r>
      <w:r w:rsidRPr="000855B2">
        <w:t xml:space="preserve">actors, and other national models (for example EMV </w:t>
      </w:r>
      <w:r w:rsidR="005D2BB3" w:rsidRPr="000855B2">
        <w:t xml:space="preserve">in </w:t>
      </w:r>
      <w:r w:rsidRPr="000855B2">
        <w:t xml:space="preserve">Sweden, Liipasto </w:t>
      </w:r>
      <w:r w:rsidR="005D2BB3" w:rsidRPr="000855B2">
        <w:t xml:space="preserve">in </w:t>
      </w:r>
      <w:r w:rsidRPr="000855B2">
        <w:t xml:space="preserve">Finland, </w:t>
      </w:r>
      <w:r w:rsidR="005D2BB3" w:rsidRPr="000855B2">
        <w:t xml:space="preserve">and </w:t>
      </w:r>
      <w:r w:rsidRPr="000855B2">
        <w:t>V</w:t>
      </w:r>
      <w:r w:rsidR="00CC5B0C" w:rsidRPr="000855B2">
        <w:t>ersit</w:t>
      </w:r>
      <w:r w:rsidRPr="000855B2">
        <w:t xml:space="preserve">+ </w:t>
      </w:r>
      <w:r w:rsidR="005D2BB3" w:rsidRPr="000855B2">
        <w:t xml:space="preserve">in the </w:t>
      </w:r>
      <w:r w:rsidRPr="000855B2">
        <w:t xml:space="preserve">Netherlands). </w:t>
      </w:r>
    </w:p>
    <w:p w14:paraId="4940E08D" w14:textId="77777777" w:rsidR="001D2587" w:rsidRPr="000855B2" w:rsidRDefault="001D2587" w:rsidP="00AC1E78">
      <w:pPr>
        <w:pStyle w:val="Heading3"/>
      </w:pPr>
      <w:r w:rsidRPr="000855B2">
        <w:t>Algorithm</w:t>
      </w:r>
    </w:p>
    <w:p w14:paraId="58F35D62" w14:textId="77777777" w:rsidR="00B479F8" w:rsidRPr="000855B2" w:rsidRDefault="005D2BB3" w:rsidP="00546C89">
      <w:pPr>
        <w:pStyle w:val="BodyText"/>
      </w:pPr>
      <w:r w:rsidRPr="000855B2">
        <w:t xml:space="preserve">In the </w:t>
      </w:r>
      <w:r w:rsidR="001D2587" w:rsidRPr="000855B2">
        <w:t>following Tie</w:t>
      </w:r>
      <w:r w:rsidR="00E0302E" w:rsidRPr="000855B2">
        <w:t>r 3</w:t>
      </w:r>
      <w:r w:rsidR="001D2587" w:rsidRPr="000855B2">
        <w:t xml:space="preserve"> approach</w:t>
      </w:r>
      <w:r w:rsidRPr="000855B2">
        <w:t xml:space="preserve">, total exhaust </w:t>
      </w:r>
      <w:r w:rsidR="001D2587" w:rsidRPr="000855B2">
        <w:t xml:space="preserve">emissions from road transport </w:t>
      </w:r>
      <w:r w:rsidRPr="000855B2">
        <w:t>are calculated as the</w:t>
      </w:r>
      <w:r w:rsidR="001D2587" w:rsidRPr="000855B2">
        <w:t xml:space="preserve"> sum</w:t>
      </w:r>
      <w:r w:rsidRPr="000855B2">
        <w:t xml:space="preserve"> of</w:t>
      </w:r>
      <w:r w:rsidR="001D2587" w:rsidRPr="000855B2">
        <w:t xml:space="preserve"> hot emissions (when the engine is at its normal operating temperature) and emissions during transient thermal engine operation (</w:t>
      </w:r>
      <w:r w:rsidRPr="000855B2">
        <w:t>termed ‘</w:t>
      </w:r>
      <w:r w:rsidR="001D2587" w:rsidRPr="000855B2">
        <w:t>cold</w:t>
      </w:r>
      <w:r w:rsidRPr="000855B2">
        <w:t>-</w:t>
      </w:r>
      <w:r w:rsidR="001D2587" w:rsidRPr="000855B2">
        <w:t>start</w:t>
      </w:r>
      <w:r w:rsidRPr="000855B2">
        <w:t>’ emissions</w:t>
      </w:r>
      <w:r w:rsidR="001D2587" w:rsidRPr="000855B2">
        <w:t xml:space="preserve">). </w:t>
      </w:r>
      <w:bookmarkStart w:id="106" w:name="_Toc164843781"/>
      <w:bookmarkStart w:id="107" w:name="_Toc164843778"/>
      <w:bookmarkEnd w:id="106"/>
      <w:bookmarkEnd w:id="107"/>
      <w:r w:rsidR="001D2587" w:rsidRPr="000855B2">
        <w:t xml:space="preserve">It </w:t>
      </w:r>
      <w:r w:rsidRPr="000855B2">
        <w:t xml:space="preserve">should be noted </w:t>
      </w:r>
      <w:r w:rsidR="001D2587" w:rsidRPr="000855B2">
        <w:t>that</w:t>
      </w:r>
      <w:r w:rsidRPr="000855B2">
        <w:t>, in this context,</w:t>
      </w:r>
      <w:r w:rsidR="001D2587" w:rsidRPr="000855B2">
        <w:t xml:space="preserve"> the word </w:t>
      </w:r>
      <w:r w:rsidRPr="000855B2">
        <w:t>‘</w:t>
      </w:r>
      <w:r w:rsidR="001D2587" w:rsidRPr="000855B2">
        <w:t>engine</w:t>
      </w:r>
      <w:r w:rsidRPr="000855B2">
        <w:t>’</w:t>
      </w:r>
      <w:r w:rsidR="001D2587" w:rsidRPr="000855B2">
        <w:t xml:space="preserve"> is used </w:t>
      </w:r>
      <w:r w:rsidRPr="000855B2">
        <w:t>as shorthand for</w:t>
      </w:r>
      <w:r w:rsidR="001D2587" w:rsidRPr="000855B2">
        <w:t xml:space="preserve"> </w:t>
      </w:r>
      <w:r w:rsidRPr="000855B2">
        <w:t>‘</w:t>
      </w:r>
      <w:r w:rsidR="001D2587" w:rsidRPr="000855B2">
        <w:t>engine and any exhaust aftertreatment devices</w:t>
      </w:r>
      <w:r w:rsidRPr="000855B2">
        <w:t>’</w:t>
      </w:r>
      <w:r w:rsidR="001D2587" w:rsidRPr="000855B2">
        <w:t xml:space="preserve">. </w:t>
      </w:r>
      <w:r w:rsidRPr="000855B2">
        <w:t>The d</w:t>
      </w:r>
      <w:r w:rsidR="001D2587" w:rsidRPr="000855B2">
        <w:t xml:space="preserve">istinction </w:t>
      </w:r>
      <w:r w:rsidRPr="000855B2">
        <w:t>between</w:t>
      </w:r>
      <w:r w:rsidR="001D2587" w:rsidRPr="000855B2">
        <w:t xml:space="preserve"> emissions during the </w:t>
      </w:r>
      <w:r w:rsidRPr="000855B2">
        <w:t xml:space="preserve">‘hot’ </w:t>
      </w:r>
      <w:r w:rsidR="001D2587" w:rsidRPr="000855B2">
        <w:t xml:space="preserve">stabilised </w:t>
      </w:r>
      <w:r w:rsidRPr="000855B2">
        <w:t xml:space="preserve">phase </w:t>
      </w:r>
      <w:r w:rsidR="001D2587" w:rsidRPr="000855B2">
        <w:t xml:space="preserve">and </w:t>
      </w:r>
      <w:r w:rsidRPr="000855B2">
        <w:t>the transient ‘</w:t>
      </w:r>
      <w:r w:rsidR="001D2587" w:rsidRPr="000855B2">
        <w:t>warming-up</w:t>
      </w:r>
      <w:r w:rsidRPr="000855B2">
        <w:t>’</w:t>
      </w:r>
      <w:r w:rsidR="001D2587" w:rsidRPr="000855B2">
        <w:t xml:space="preserve"> phase is necessary because of the substantial difference in vehicle emission performance during th</w:t>
      </w:r>
      <w:r w:rsidRPr="000855B2">
        <w:t>e</w:t>
      </w:r>
      <w:r w:rsidR="001D2587" w:rsidRPr="000855B2">
        <w:t>se two conditions. Concentrations of</w:t>
      </w:r>
      <w:r w:rsidRPr="000855B2">
        <w:t xml:space="preserve"> some</w:t>
      </w:r>
      <w:r w:rsidR="001D2587" w:rsidRPr="000855B2">
        <w:t xml:space="preserve"> pollutants during the warming-up period are many times higher than during hot operation</w:t>
      </w:r>
      <w:r w:rsidRPr="000855B2">
        <w:t>,</w:t>
      </w:r>
      <w:r w:rsidR="001D2587" w:rsidRPr="000855B2">
        <w:t xml:space="preserve"> and a different methodological approach is required to estimate </w:t>
      </w:r>
      <w:r w:rsidRPr="000855B2">
        <w:t xml:space="preserve">the additional </w:t>
      </w:r>
      <w:r w:rsidR="001D2587" w:rsidRPr="000855B2">
        <w:t xml:space="preserve">emissions during this period. </w:t>
      </w:r>
      <w:r w:rsidRPr="000855B2">
        <w:t>To summarise</w:t>
      </w:r>
      <w:r w:rsidR="001D2587" w:rsidRPr="000855B2">
        <w:t xml:space="preserve">, total emissions can be calculated by means of the </w:t>
      </w:r>
      <w:r w:rsidRPr="000855B2">
        <w:t xml:space="preserve">following </w:t>
      </w:r>
      <w:r w:rsidR="001D2587" w:rsidRPr="000855B2">
        <w:t>equation:</w:t>
      </w:r>
    </w:p>
    <w:p w14:paraId="0B52627B" w14:textId="77777777" w:rsidR="004E65E5" w:rsidRPr="000855B2" w:rsidRDefault="004E65E5" w:rsidP="00546C89">
      <w:pPr>
        <w:pStyle w:val="BodyText"/>
      </w:pPr>
    </w:p>
    <w:tbl>
      <w:tblPr>
        <w:tblW w:w="0" w:type="auto"/>
        <w:tblBorders>
          <w:insideH w:val="single" w:sz="4" w:space="0" w:color="auto"/>
        </w:tblBorders>
        <w:tblLook w:val="01E0" w:firstRow="1" w:lastRow="1" w:firstColumn="1" w:lastColumn="1" w:noHBand="0" w:noVBand="0"/>
      </w:tblPr>
      <w:tblGrid>
        <w:gridCol w:w="7566"/>
        <w:gridCol w:w="741"/>
      </w:tblGrid>
      <w:tr w:rsidR="001D2587" w:rsidRPr="000855B2" w14:paraId="601F2B46" w14:textId="77777777">
        <w:tc>
          <w:tcPr>
            <w:tcW w:w="7566" w:type="dxa"/>
            <w:tcMar>
              <w:left w:w="0" w:type="dxa"/>
              <w:right w:w="0" w:type="dxa"/>
            </w:tcMar>
            <w:vAlign w:val="center"/>
          </w:tcPr>
          <w:p w14:paraId="7298AF0B" w14:textId="77777777" w:rsidR="001D2587" w:rsidRPr="000855B2" w:rsidRDefault="00B479F8" w:rsidP="00546C89">
            <w:pPr>
              <w:pStyle w:val="BodyText"/>
            </w:pPr>
            <w:r w:rsidRPr="000855B2">
              <w:br w:type="page"/>
            </w:r>
            <w:r w:rsidRPr="000855B2">
              <w:rPr>
                <w:szCs w:val="24"/>
                <w:lang w:eastAsia="nl-NL"/>
              </w:rPr>
              <w:br w:type="page"/>
            </w:r>
            <w:r w:rsidRPr="000855B2">
              <w:br w:type="page"/>
            </w:r>
            <w:r w:rsidR="001D2587" w:rsidRPr="000855B2">
              <w:t>E</w:t>
            </w:r>
            <w:r w:rsidR="001D2587" w:rsidRPr="000855B2">
              <w:rPr>
                <w:vertAlign w:val="subscript"/>
              </w:rPr>
              <w:t>TOTAL</w:t>
            </w:r>
            <w:r w:rsidR="001D2587" w:rsidRPr="000855B2">
              <w:t xml:space="preserve"> = E</w:t>
            </w:r>
            <w:r w:rsidR="001D2587" w:rsidRPr="000855B2">
              <w:rPr>
                <w:vertAlign w:val="subscript"/>
              </w:rPr>
              <w:t>HOT</w:t>
            </w:r>
            <w:r w:rsidR="001D2587" w:rsidRPr="000855B2">
              <w:t xml:space="preserve"> + E</w:t>
            </w:r>
            <w:r w:rsidR="001D2587" w:rsidRPr="000855B2">
              <w:rPr>
                <w:vertAlign w:val="subscript"/>
              </w:rPr>
              <w:t>COLD</w:t>
            </w:r>
          </w:p>
        </w:tc>
        <w:tc>
          <w:tcPr>
            <w:tcW w:w="741" w:type="dxa"/>
            <w:tcMar>
              <w:left w:w="0" w:type="dxa"/>
              <w:right w:w="0" w:type="dxa"/>
            </w:tcMar>
            <w:vAlign w:val="center"/>
          </w:tcPr>
          <w:p w14:paraId="66803932" w14:textId="46D9F52A" w:rsidR="001D2587" w:rsidRPr="000855B2" w:rsidRDefault="001D2587" w:rsidP="00546C89">
            <w:pPr>
              <w:pStyle w:val="BodyText"/>
            </w:pPr>
            <w:bookmarkStart w:id="108" w:name="_Ref172107221"/>
            <w:bookmarkStart w:id="109" w:name="_Ref140576472"/>
            <w:r w:rsidRPr="000855B2">
              <w:t>(</w:t>
            </w:r>
            <w:r w:rsidR="00FB454C">
              <w:fldChar w:fldCharType="begin"/>
            </w:r>
            <w:r w:rsidR="00FB454C">
              <w:instrText xml:space="preserve"> SEQ Εξίσωση \* ARABIC </w:instrText>
            </w:r>
            <w:r w:rsidR="00FB454C">
              <w:fldChar w:fldCharType="separate"/>
            </w:r>
            <w:r w:rsidR="0071604C">
              <w:rPr>
                <w:noProof/>
              </w:rPr>
              <w:t>6</w:t>
            </w:r>
            <w:r w:rsidR="00FB454C">
              <w:rPr>
                <w:noProof/>
              </w:rPr>
              <w:fldChar w:fldCharType="end"/>
            </w:r>
            <w:bookmarkEnd w:id="108"/>
            <w:r w:rsidRPr="000855B2">
              <w:t>)</w:t>
            </w:r>
            <w:bookmarkEnd w:id="109"/>
          </w:p>
        </w:tc>
      </w:tr>
    </w:tbl>
    <w:p w14:paraId="26CBFCCA" w14:textId="77777777" w:rsidR="001D2587" w:rsidRPr="000855B2" w:rsidRDefault="001D2587" w:rsidP="00546C89">
      <w:pPr>
        <w:pStyle w:val="BodyText"/>
      </w:pPr>
      <w:r w:rsidRPr="000855B2">
        <w:t>where,</w:t>
      </w:r>
    </w:p>
    <w:p w14:paraId="7AAD9B7C" w14:textId="77777777" w:rsidR="001D2587" w:rsidRPr="000855B2" w:rsidRDefault="001D2587" w:rsidP="00546C89">
      <w:pPr>
        <w:pStyle w:val="BodyText"/>
      </w:pPr>
      <w:r w:rsidRPr="000855B2">
        <w:t>E</w:t>
      </w:r>
      <w:r w:rsidRPr="000855B2">
        <w:rPr>
          <w:vertAlign w:val="subscript"/>
        </w:rPr>
        <w:t>TOTAL</w:t>
      </w:r>
      <w:r w:rsidRPr="000855B2">
        <w:tab/>
      </w:r>
      <w:r w:rsidR="00CA75CF" w:rsidRPr="000855B2">
        <w:t>=</w:t>
      </w:r>
      <w:r w:rsidR="00CA75CF" w:rsidRPr="000855B2">
        <w:tab/>
      </w:r>
      <w:r w:rsidR="00E277FE" w:rsidRPr="000855B2">
        <w:t>t</w:t>
      </w:r>
      <w:r w:rsidRPr="000855B2">
        <w:t xml:space="preserve">otal emissions (g) of any pollutant for the spatial and temporal resolution </w:t>
      </w:r>
      <w:r w:rsidRPr="000855B2">
        <w:br/>
      </w:r>
      <w:r w:rsidRPr="000855B2">
        <w:tab/>
      </w:r>
      <w:r w:rsidRPr="000855B2">
        <w:tab/>
        <w:t>of the application</w:t>
      </w:r>
      <w:r w:rsidR="00E277FE" w:rsidRPr="000855B2">
        <w:t>,</w:t>
      </w:r>
    </w:p>
    <w:p w14:paraId="7132D689" w14:textId="77777777" w:rsidR="001D2587" w:rsidRPr="000855B2" w:rsidRDefault="001D2587" w:rsidP="00546C89">
      <w:pPr>
        <w:pStyle w:val="BodyText"/>
      </w:pPr>
      <w:r w:rsidRPr="000855B2">
        <w:t>E</w:t>
      </w:r>
      <w:r w:rsidRPr="000855B2">
        <w:rPr>
          <w:vertAlign w:val="subscript"/>
        </w:rPr>
        <w:t>HOT</w:t>
      </w:r>
      <w:r w:rsidRPr="000855B2">
        <w:rPr>
          <w:vertAlign w:val="subscript"/>
        </w:rPr>
        <w:tab/>
      </w:r>
      <w:r w:rsidR="00CA75CF" w:rsidRPr="000855B2">
        <w:t>=</w:t>
      </w:r>
      <w:r w:rsidR="00CA75CF" w:rsidRPr="000855B2">
        <w:tab/>
      </w:r>
      <w:r w:rsidR="00E277FE" w:rsidRPr="000855B2">
        <w:t>e</w:t>
      </w:r>
      <w:r w:rsidRPr="000855B2">
        <w:t>missions (g) during stabilised (hot) engine operation</w:t>
      </w:r>
      <w:r w:rsidR="00E277FE" w:rsidRPr="000855B2">
        <w:t>,</w:t>
      </w:r>
    </w:p>
    <w:p w14:paraId="465D3497" w14:textId="77777777" w:rsidR="001D2587" w:rsidRPr="000855B2" w:rsidRDefault="001D2587" w:rsidP="00546C89">
      <w:pPr>
        <w:pStyle w:val="BodyText"/>
      </w:pPr>
      <w:r w:rsidRPr="000855B2">
        <w:t>E</w:t>
      </w:r>
      <w:r w:rsidRPr="000855B2">
        <w:rPr>
          <w:vertAlign w:val="subscript"/>
        </w:rPr>
        <w:t>COLD</w:t>
      </w:r>
      <w:r w:rsidRPr="000855B2">
        <w:tab/>
      </w:r>
      <w:r w:rsidR="00CA75CF" w:rsidRPr="000855B2">
        <w:t>=</w:t>
      </w:r>
      <w:r w:rsidR="00CA75CF" w:rsidRPr="000855B2">
        <w:tab/>
      </w:r>
      <w:r w:rsidR="00E277FE" w:rsidRPr="000855B2">
        <w:t>e</w:t>
      </w:r>
      <w:r w:rsidRPr="000855B2">
        <w:t>missions (g) during transient thermal engine operation (cold start).</w:t>
      </w:r>
    </w:p>
    <w:p w14:paraId="00B75136" w14:textId="77777777" w:rsidR="001D2587" w:rsidRPr="000855B2" w:rsidRDefault="001D2587" w:rsidP="00546C89">
      <w:pPr>
        <w:pStyle w:val="BodyText"/>
      </w:pPr>
      <w:r w:rsidRPr="000855B2">
        <w:t>Vehicle emissions are heavily dependent on the engine operation conditions. Different driving situations impose different engine operation conditions</w:t>
      </w:r>
      <w:r w:rsidR="00CA75CF" w:rsidRPr="000855B2">
        <w:t>,</w:t>
      </w:r>
      <w:r w:rsidRPr="000855B2">
        <w:t xml:space="preserve"> and therefore a distinct emission performance. In th</w:t>
      </w:r>
      <w:r w:rsidR="00CA75CF" w:rsidRPr="000855B2">
        <w:t>is</w:t>
      </w:r>
      <w:r w:rsidRPr="000855B2">
        <w:t xml:space="preserve"> respect, a distinction is made </w:t>
      </w:r>
      <w:r w:rsidR="0069595F" w:rsidRPr="000855B2">
        <w:t>between</w:t>
      </w:r>
      <w:r w:rsidRPr="000855B2">
        <w:t xml:space="preserve"> urban, rural and highway driving. </w:t>
      </w:r>
    </w:p>
    <w:p w14:paraId="13B33B9E" w14:textId="77777777" w:rsidR="001D2587" w:rsidRPr="000855B2" w:rsidRDefault="001D2587" w:rsidP="00546C89">
      <w:pPr>
        <w:pStyle w:val="BodyText"/>
      </w:pPr>
      <w:r w:rsidRPr="000855B2">
        <w:t>As will be demonstrated</w:t>
      </w:r>
      <w:r w:rsidR="00CA75CF" w:rsidRPr="000855B2">
        <w:t xml:space="preserve"> later</w:t>
      </w:r>
      <w:r w:rsidRPr="000855B2">
        <w:t xml:space="preserve">, different activity data and emission factors are attributed to each driving situation. </w:t>
      </w:r>
      <w:r w:rsidR="00CA75CF" w:rsidRPr="000855B2">
        <w:t>C</w:t>
      </w:r>
      <w:r w:rsidRPr="000855B2">
        <w:t>old</w:t>
      </w:r>
      <w:r w:rsidR="00CA75CF" w:rsidRPr="000855B2">
        <w:t>-</w:t>
      </w:r>
      <w:r w:rsidRPr="000855B2">
        <w:t xml:space="preserve">start emissions are attributed </w:t>
      </w:r>
      <w:r w:rsidR="00BA5E00" w:rsidRPr="000855B2">
        <w:t>mainly</w:t>
      </w:r>
      <w:r w:rsidR="00CA75CF" w:rsidRPr="000855B2">
        <w:t xml:space="preserve"> </w:t>
      </w:r>
      <w:r w:rsidRPr="000855B2">
        <w:t>to urban driving</w:t>
      </w:r>
      <w:r w:rsidR="00BA5E00" w:rsidRPr="000855B2">
        <w:t xml:space="preserve"> (and secondarily to rural driving)</w:t>
      </w:r>
      <w:r w:rsidR="00CA75CF" w:rsidRPr="000855B2">
        <w:t>,</w:t>
      </w:r>
      <w:r w:rsidRPr="000855B2">
        <w:t xml:space="preserve"> </w:t>
      </w:r>
      <w:r w:rsidR="00BA5E00" w:rsidRPr="000855B2">
        <w:t>as it is expected that a limited number of trips start at highway conditions</w:t>
      </w:r>
      <w:r w:rsidRPr="000855B2">
        <w:t>. Therefore, as far as driving conditions are concerned, total emissions can be calculated by means of the equation:</w:t>
      </w:r>
    </w:p>
    <w:tbl>
      <w:tblPr>
        <w:tblW w:w="0" w:type="auto"/>
        <w:tblBorders>
          <w:insideH w:val="single" w:sz="4" w:space="0" w:color="auto"/>
        </w:tblBorders>
        <w:tblLook w:val="01E0" w:firstRow="1" w:lastRow="1" w:firstColumn="1" w:lastColumn="1" w:noHBand="0" w:noVBand="0"/>
      </w:tblPr>
      <w:tblGrid>
        <w:gridCol w:w="7569"/>
        <w:gridCol w:w="738"/>
      </w:tblGrid>
      <w:tr w:rsidR="001D2587" w:rsidRPr="000855B2" w14:paraId="350409B6" w14:textId="77777777">
        <w:tc>
          <w:tcPr>
            <w:tcW w:w="7569" w:type="dxa"/>
            <w:tcMar>
              <w:left w:w="0" w:type="dxa"/>
              <w:right w:w="0" w:type="dxa"/>
            </w:tcMar>
            <w:vAlign w:val="center"/>
          </w:tcPr>
          <w:p w14:paraId="5E02DC50" w14:textId="77777777" w:rsidR="001D2587" w:rsidRPr="000855B2" w:rsidRDefault="001D2587" w:rsidP="00546C89">
            <w:pPr>
              <w:pStyle w:val="BodyText"/>
            </w:pPr>
            <w:r w:rsidRPr="000855B2">
              <w:t>E</w:t>
            </w:r>
            <w:r w:rsidRPr="000855B2">
              <w:rPr>
                <w:vertAlign w:val="subscript"/>
              </w:rPr>
              <w:t>TOTAL</w:t>
            </w:r>
            <w:r w:rsidRPr="000855B2">
              <w:t xml:space="preserve"> = E</w:t>
            </w:r>
            <w:r w:rsidRPr="000855B2">
              <w:rPr>
                <w:vertAlign w:val="subscript"/>
              </w:rPr>
              <w:t>URBAN</w:t>
            </w:r>
            <w:r w:rsidRPr="000855B2">
              <w:t xml:space="preserve"> + E</w:t>
            </w:r>
            <w:r w:rsidRPr="000855B2">
              <w:rPr>
                <w:vertAlign w:val="subscript"/>
              </w:rPr>
              <w:t>RURAL</w:t>
            </w:r>
            <w:r w:rsidRPr="000855B2">
              <w:t xml:space="preserve"> + E</w:t>
            </w:r>
            <w:r w:rsidRPr="000855B2">
              <w:rPr>
                <w:vertAlign w:val="subscript"/>
              </w:rPr>
              <w:t>HIGHWAY</w:t>
            </w:r>
          </w:p>
        </w:tc>
        <w:tc>
          <w:tcPr>
            <w:tcW w:w="738" w:type="dxa"/>
            <w:tcMar>
              <w:left w:w="0" w:type="dxa"/>
              <w:right w:w="0" w:type="dxa"/>
            </w:tcMar>
            <w:vAlign w:val="center"/>
          </w:tcPr>
          <w:p w14:paraId="2ECACC15" w14:textId="2EEB4086" w:rsidR="001D2587" w:rsidRPr="000855B2" w:rsidRDefault="001D2587" w:rsidP="00546C89">
            <w:pPr>
              <w:pStyle w:val="BodyText"/>
            </w:pPr>
            <w:bookmarkStart w:id="110" w:name="_Ref140576480"/>
            <w:r w:rsidRPr="000855B2">
              <w:t>(</w:t>
            </w:r>
            <w:r w:rsidR="00FB454C">
              <w:fldChar w:fldCharType="begin"/>
            </w:r>
            <w:r w:rsidR="00FB454C">
              <w:instrText xml:space="preserve"> SEQ Εξίσωση \* ARABIC </w:instrText>
            </w:r>
            <w:r w:rsidR="00FB454C">
              <w:fldChar w:fldCharType="separate"/>
            </w:r>
            <w:r w:rsidR="0071604C">
              <w:rPr>
                <w:noProof/>
              </w:rPr>
              <w:t>7</w:t>
            </w:r>
            <w:r w:rsidR="00FB454C">
              <w:rPr>
                <w:noProof/>
              </w:rPr>
              <w:fldChar w:fldCharType="end"/>
            </w:r>
            <w:r w:rsidRPr="000855B2">
              <w:t>)</w:t>
            </w:r>
            <w:bookmarkEnd w:id="110"/>
          </w:p>
        </w:tc>
      </w:tr>
    </w:tbl>
    <w:p w14:paraId="76F55AEA" w14:textId="77777777" w:rsidR="00ED27AC" w:rsidRPr="000855B2" w:rsidRDefault="00ED27AC" w:rsidP="00546C89">
      <w:pPr>
        <w:pStyle w:val="BodyText"/>
      </w:pPr>
      <w:r w:rsidRPr="000855B2">
        <w:t>where:</w:t>
      </w:r>
    </w:p>
    <w:p w14:paraId="3DADAE02" w14:textId="77777777" w:rsidR="001D2587" w:rsidRPr="000855B2" w:rsidRDefault="001D2587" w:rsidP="00546C89">
      <w:pPr>
        <w:pStyle w:val="BodyText"/>
      </w:pPr>
      <w:r w:rsidRPr="000855B2">
        <w:t>E</w:t>
      </w:r>
      <w:r w:rsidRPr="000855B2">
        <w:rPr>
          <w:vertAlign w:val="subscript"/>
        </w:rPr>
        <w:t>URBAN</w:t>
      </w:r>
      <w:r w:rsidRPr="000855B2">
        <w:t>, E</w:t>
      </w:r>
      <w:r w:rsidRPr="000855B2">
        <w:rPr>
          <w:vertAlign w:val="subscript"/>
        </w:rPr>
        <w:t>RURAL</w:t>
      </w:r>
      <w:r w:rsidR="00CA75CF" w:rsidRPr="000855B2">
        <w:t xml:space="preserve"> and </w:t>
      </w:r>
      <w:r w:rsidRPr="000855B2">
        <w:t>E</w:t>
      </w:r>
      <w:r w:rsidRPr="000855B2">
        <w:rPr>
          <w:vertAlign w:val="subscript"/>
        </w:rPr>
        <w:t>HIGHWAY</w:t>
      </w:r>
      <w:r w:rsidR="00CA75CF" w:rsidRPr="000855B2">
        <w:t xml:space="preserve"> are the </w:t>
      </w:r>
      <w:r w:rsidRPr="000855B2">
        <w:t>total emissions (g) of any pollutant for the respective driving situation</w:t>
      </w:r>
      <w:r w:rsidR="00CA75CF" w:rsidRPr="000855B2">
        <w:t>s</w:t>
      </w:r>
      <w:r w:rsidRPr="000855B2">
        <w:t>.</w:t>
      </w:r>
    </w:p>
    <w:p w14:paraId="6E3D5F79" w14:textId="04C899E7" w:rsidR="00ED27AC" w:rsidRDefault="00CA75CF" w:rsidP="00FA6E73">
      <w:pPr>
        <w:pStyle w:val="BodyText"/>
      </w:pPr>
      <w:r w:rsidRPr="000855B2">
        <w:t>T</w:t>
      </w:r>
      <w:r w:rsidR="001D2587" w:rsidRPr="000855B2">
        <w:t>otal emissions</w:t>
      </w:r>
      <w:r w:rsidRPr="000855B2">
        <w:t xml:space="preserve"> are calculated</w:t>
      </w:r>
      <w:r w:rsidR="001D2587" w:rsidRPr="000855B2">
        <w:t xml:space="preserve"> </w:t>
      </w:r>
      <w:r w:rsidRPr="000855B2">
        <w:t xml:space="preserve">by </w:t>
      </w:r>
      <w:r w:rsidR="001D2587" w:rsidRPr="000855B2">
        <w:t xml:space="preserve">combining activity data for each vehicle category with appropriate emission factors. The emission factors vary according to </w:t>
      </w:r>
      <w:r w:rsidRPr="000855B2">
        <w:t xml:space="preserve">the </w:t>
      </w:r>
      <w:r w:rsidR="001D2587" w:rsidRPr="000855B2">
        <w:t xml:space="preserve">input data (driving situations, climatic conditions). </w:t>
      </w:r>
    </w:p>
    <w:p w14:paraId="43848CCF" w14:textId="77777777" w:rsidR="00873926" w:rsidRDefault="00873926">
      <w:pPr>
        <w:spacing w:line="240" w:lineRule="auto"/>
        <w:jc w:val="left"/>
        <w:rPr>
          <w:b/>
          <w:szCs w:val="20"/>
          <w:lang w:val="en-GB" w:eastAsia="it-IT"/>
        </w:rPr>
      </w:pPr>
      <w:bookmarkStart w:id="111" w:name="_Ref197834917"/>
      <w:bookmarkStart w:id="112" w:name="_Toc457131997"/>
      <w:bookmarkStart w:id="113" w:name="_Toc496265252"/>
      <w:r>
        <w:br w:type="page"/>
      </w:r>
    </w:p>
    <w:p w14:paraId="4F1AB1BF" w14:textId="3EE3AFC1" w:rsidR="007011A7" w:rsidRPr="000855B2" w:rsidRDefault="007011A7" w:rsidP="00E43131">
      <w:pPr>
        <w:pStyle w:val="Caption"/>
      </w:pPr>
      <w:bookmarkStart w:id="114" w:name="_Ref480918261"/>
      <w:r w:rsidRPr="000855B2">
        <w:lastRenderedPageBreak/>
        <w:t>Figure </w:t>
      </w:r>
      <w:r w:rsidR="00E17971" w:rsidRPr="000855B2">
        <w:fldChar w:fldCharType="begin"/>
      </w:r>
      <w:r w:rsidRPr="000855B2">
        <w:instrText xml:space="preserve"> STYLEREF 1 \s </w:instrText>
      </w:r>
      <w:r w:rsidR="00E17971" w:rsidRPr="000855B2">
        <w:fldChar w:fldCharType="separate"/>
      </w:r>
      <w:r w:rsidR="0071604C">
        <w:rPr>
          <w:noProof/>
        </w:rPr>
        <w:t>3</w:t>
      </w:r>
      <w:r w:rsidR="00E17971" w:rsidRPr="000855B2">
        <w:rPr>
          <w:noProof/>
        </w:rPr>
        <w:fldChar w:fldCharType="end"/>
      </w:r>
      <w:r w:rsidRPr="000855B2">
        <w:noBreakHyphen/>
      </w:r>
      <w:r w:rsidR="00E17971" w:rsidRPr="000855B2">
        <w:fldChar w:fldCharType="begin"/>
      </w:r>
      <w:r w:rsidRPr="000855B2">
        <w:instrText xml:space="preserve"> SEQ Figure \* ARABIC \s 1 </w:instrText>
      </w:r>
      <w:r w:rsidR="00E17971" w:rsidRPr="000855B2">
        <w:fldChar w:fldCharType="separate"/>
      </w:r>
      <w:r w:rsidR="0071604C">
        <w:rPr>
          <w:noProof/>
        </w:rPr>
        <w:t>2</w:t>
      </w:r>
      <w:r w:rsidR="00E17971" w:rsidRPr="000855B2">
        <w:rPr>
          <w:noProof/>
        </w:rPr>
        <w:fldChar w:fldCharType="end"/>
      </w:r>
      <w:bookmarkEnd w:id="111"/>
      <w:bookmarkEnd w:id="114"/>
      <w:r w:rsidRPr="000855B2">
        <w:t>: Flow chart of the application of the baseline methodology</w:t>
      </w:r>
      <w:bookmarkEnd w:id="112"/>
      <w:bookmarkEnd w:id="113"/>
    </w:p>
    <w:p w14:paraId="4E21D057" w14:textId="77777777" w:rsidR="001D2587" w:rsidRPr="000855B2" w:rsidRDefault="001D2587" w:rsidP="00ED27AC">
      <w:pPr>
        <w:pStyle w:val="BodyText"/>
      </w:pPr>
    </w:p>
    <w:p w14:paraId="02427F4A" w14:textId="42BF0C04" w:rsidR="001D2587" w:rsidRPr="000855B2" w:rsidRDefault="00741FF2">
      <w:pPr>
        <w:rPr>
          <w:lang w:val="en-GB"/>
        </w:rPr>
      </w:pPr>
      <w:r>
        <w:rPr>
          <w:noProof/>
          <w:lang w:val="en-US" w:eastAsia="en-US"/>
        </w:rPr>
        <mc:AlternateContent>
          <mc:Choice Requires="wps">
            <w:drawing>
              <wp:anchor distT="0" distB="0" distL="114300" distR="114300" simplePos="0" relativeHeight="251666432" behindDoc="0" locked="0" layoutInCell="1" allowOverlap="1" wp14:anchorId="71F89C2F" wp14:editId="295F2945">
                <wp:simplePos x="0" y="0"/>
                <wp:positionH relativeFrom="margin">
                  <wp:posOffset>171450</wp:posOffset>
                </wp:positionH>
                <wp:positionV relativeFrom="paragraph">
                  <wp:posOffset>163830</wp:posOffset>
                </wp:positionV>
                <wp:extent cx="857250" cy="2564130"/>
                <wp:effectExtent l="7620" t="9525" r="11430" b="7620"/>
                <wp:wrapNone/>
                <wp:docPr id="3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64130"/>
                        </a:xfrm>
                        <a:prstGeom prst="rect">
                          <a:avLst/>
                        </a:prstGeom>
                        <a:solidFill>
                          <a:srgbClr val="FFFFFF"/>
                        </a:solidFill>
                        <a:ln w="9525">
                          <a:solidFill>
                            <a:srgbClr val="000000"/>
                          </a:solidFill>
                          <a:miter lim="800000"/>
                          <a:headEnd/>
                          <a:tailEnd/>
                        </a:ln>
                      </wps:spPr>
                      <wps:txbx>
                        <w:txbxContent>
                          <w:p w14:paraId="587ACC7E" w14:textId="77777777" w:rsidR="00185BB9" w:rsidRPr="007011A7" w:rsidRDefault="00185BB9">
                            <w:pPr>
                              <w:spacing w:before="360"/>
                              <w:jc w:val="center"/>
                              <w:rPr>
                                <w:b/>
                                <w:sz w:val="24"/>
                                <w:lang w:val="en-US"/>
                              </w:rPr>
                            </w:pPr>
                            <w:r w:rsidRPr="007011A7">
                              <w:rPr>
                                <w:b/>
                                <w:sz w:val="24"/>
                                <w:lang w:val="en-US"/>
                              </w:rPr>
                              <w:t>INPUT VARIABLES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9C2F" id="Text Box 112" o:spid="_x0000_s1055" type="#_x0000_t202" style="position:absolute;left:0;text-align:left;margin-left:13.5pt;margin-top:12.9pt;width:67.5pt;height:20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">
                <v:textbox style="layout-flow:vertical;mso-layout-flow-alt:bottom-to-top">
                  <w:txbxContent>
                    <w:p w14:paraId="587ACC7E" w14:textId="77777777" w:rsidR="00185BB9" w:rsidRPr="007011A7" w:rsidRDefault="00185BB9">
                      <w:pPr>
                        <w:spacing w:before="360"/>
                        <w:jc w:val="center"/>
                        <w:rPr>
                          <w:b/>
                          <w:sz w:val="24"/>
                          <w:lang w:val="en-US"/>
                        </w:rPr>
                      </w:pPr>
                      <w:r w:rsidRPr="007011A7">
                        <w:rPr>
                          <w:b/>
                          <w:sz w:val="24"/>
                          <w:lang w:val="en-US"/>
                        </w:rPr>
                        <w:t>INPUT VARIABLES</w:t>
                      </w:r>
                    </w:p>
                  </w:txbxContent>
                </v:textbox>
                <w10:wrap anchorx="margin"/>
              </v:shape>
            </w:pict>
          </mc:Fallback>
        </mc:AlternateContent>
      </w:r>
      <w:r>
        <w:rPr>
          <w:noProof/>
          <w:lang w:val="en-US" w:eastAsia="en-US"/>
        </w:rPr>
        <mc:AlternateContent>
          <mc:Choice Requires="wps">
            <w:drawing>
              <wp:anchor distT="0" distB="0" distL="114300" distR="114300" simplePos="0" relativeHeight="251648000" behindDoc="0" locked="0" layoutInCell="0" allowOverlap="1" wp14:anchorId="698CA105" wp14:editId="66EE10EE">
                <wp:simplePos x="0" y="0"/>
                <wp:positionH relativeFrom="margin">
                  <wp:posOffset>1562100</wp:posOffset>
                </wp:positionH>
                <wp:positionV relativeFrom="paragraph">
                  <wp:posOffset>-5715</wp:posOffset>
                </wp:positionV>
                <wp:extent cx="2840990" cy="706755"/>
                <wp:effectExtent l="7620" t="11430" r="8890" b="5715"/>
                <wp:wrapNone/>
                <wp:docPr id="3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706755"/>
                        </a:xfrm>
                        <a:prstGeom prst="rect">
                          <a:avLst/>
                        </a:prstGeom>
                        <a:solidFill>
                          <a:srgbClr val="FFFFFF"/>
                        </a:solidFill>
                        <a:ln w="9525">
                          <a:solidFill>
                            <a:srgbClr val="000000"/>
                          </a:solidFill>
                          <a:miter lim="800000"/>
                          <a:headEnd/>
                          <a:tailEnd/>
                        </a:ln>
                      </wps:spPr>
                      <wps:txbx>
                        <w:txbxContent>
                          <w:p w14:paraId="01CF4410"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Fuel variables</w:t>
                            </w:r>
                          </w:p>
                          <w:p w14:paraId="0772CCFE"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Consumption</w:t>
                            </w:r>
                          </w:p>
                          <w:p w14:paraId="5A2EE213" w14:textId="77777777" w:rsidR="00185BB9" w:rsidRPr="007011A7" w:rsidRDefault="00185BB9">
                            <w:pPr>
                              <w:pStyle w:val="PictureParagraph"/>
                              <w:spacing w:after="120"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Specifications (RVP, content in different species) per fuel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A105" id="Text Box 94" o:spid="_x0000_s1056" type="#_x0000_t202" style="position:absolute;left:0;text-align:left;margin-left:123pt;margin-top:-.45pt;width:223.7pt;height:55.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jkLwIAAFo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" o:allowincell="f">
                <v:textbox>
                  <w:txbxContent>
                    <w:p w14:paraId="01CF4410"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Fuel variables</w:t>
                      </w:r>
                    </w:p>
                    <w:p w14:paraId="0772CCFE"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Consumption</w:t>
                      </w:r>
                    </w:p>
                    <w:p w14:paraId="5A2EE213" w14:textId="77777777" w:rsidR="00185BB9" w:rsidRPr="007011A7" w:rsidRDefault="00185BB9">
                      <w:pPr>
                        <w:pStyle w:val="PictureParagraph"/>
                        <w:spacing w:after="120"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Specifications (RVP, content in different species) per fuel type</w:t>
                      </w:r>
                    </w:p>
                  </w:txbxContent>
                </v:textbox>
                <w10:wrap anchorx="margin"/>
              </v:shape>
            </w:pict>
          </mc:Fallback>
        </mc:AlternateContent>
      </w:r>
      <w:r>
        <w:rPr>
          <w:noProof/>
          <w:lang w:val="en-US" w:eastAsia="en-US"/>
        </w:rPr>
        <mc:AlternateContent>
          <mc:Choice Requires="wps">
            <w:drawing>
              <wp:anchor distT="0" distB="0" distL="114300" distR="114300" simplePos="0" relativeHeight="251656192" behindDoc="0" locked="0" layoutInCell="0" allowOverlap="1" wp14:anchorId="530A3706" wp14:editId="7DE64A11">
                <wp:simplePos x="0" y="0"/>
                <wp:positionH relativeFrom="margin">
                  <wp:posOffset>1257300</wp:posOffset>
                </wp:positionH>
                <wp:positionV relativeFrom="paragraph">
                  <wp:posOffset>-6350</wp:posOffset>
                </wp:positionV>
                <wp:extent cx="0" cy="4654550"/>
                <wp:effectExtent l="64770" t="10795" r="59055" b="20955"/>
                <wp:wrapNone/>
                <wp:docPr id="3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C240" id="Line 10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5pt" to="9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cSKQIAAE4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" o:allowincell="f" strokeweight="1.5pt">
                <v:stroke endarrow="block"/>
                <w10:wrap anchorx="margin"/>
              </v:line>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49EDC4D6" wp14:editId="78149CC1">
                <wp:simplePos x="0" y="0"/>
                <wp:positionH relativeFrom="margin">
                  <wp:posOffset>1257300</wp:posOffset>
                </wp:positionH>
                <wp:positionV relativeFrom="paragraph">
                  <wp:posOffset>0</wp:posOffset>
                </wp:positionV>
                <wp:extent cx="304800" cy="0"/>
                <wp:effectExtent l="17145" t="55245" r="11430" b="59055"/>
                <wp:wrapNone/>
                <wp:docPr id="3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B1BE" id="Line 108"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0" to="1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sX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" o:allowincell="f">
                <v:stroke endarrow="block"/>
                <w10:wrap anchorx="margin"/>
              </v:line>
            </w:pict>
          </mc:Fallback>
        </mc:AlternateContent>
      </w:r>
    </w:p>
    <w:p w14:paraId="4C19D9A7" w14:textId="77777777" w:rsidR="001D2587" w:rsidRPr="000855B2" w:rsidRDefault="001D2587">
      <w:pPr>
        <w:pStyle w:val="PictureParagraph"/>
        <w:rPr>
          <w:rFonts w:ascii="Times New Roman" w:hAnsi="Times New Roman"/>
          <w:noProof w:val="0"/>
          <w:lang w:val="en-GB"/>
        </w:rPr>
      </w:pPr>
    </w:p>
    <w:p w14:paraId="16BFB61D" w14:textId="430FCAB2"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49024" behindDoc="0" locked="0" layoutInCell="0" allowOverlap="1" wp14:anchorId="41A50F8C" wp14:editId="7398AC1D">
                <wp:simplePos x="0" y="0"/>
                <wp:positionH relativeFrom="margin">
                  <wp:posOffset>1562100</wp:posOffset>
                </wp:positionH>
                <wp:positionV relativeFrom="paragraph">
                  <wp:posOffset>165735</wp:posOffset>
                </wp:positionV>
                <wp:extent cx="2840990" cy="809625"/>
                <wp:effectExtent l="7620" t="6350" r="8890" b="12700"/>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809625"/>
                        </a:xfrm>
                        <a:prstGeom prst="rect">
                          <a:avLst/>
                        </a:prstGeom>
                        <a:solidFill>
                          <a:srgbClr val="FFFFFF"/>
                        </a:solidFill>
                        <a:ln w="9525">
                          <a:solidFill>
                            <a:srgbClr val="000000"/>
                          </a:solidFill>
                          <a:miter lim="800000"/>
                          <a:headEnd/>
                          <a:tailEnd/>
                        </a:ln>
                      </wps:spPr>
                      <wps:txbx>
                        <w:txbxContent>
                          <w:p w14:paraId="4E0BE985"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Activity data</w:t>
                            </w:r>
                          </w:p>
                          <w:p w14:paraId="3A0A6BE2"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Number of vehicles per vehicle category</w:t>
                            </w:r>
                          </w:p>
                          <w:p w14:paraId="3CD98B67"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Distribution of the vehicle fleet into different exhaust emission legislation classes</w:t>
                            </w:r>
                          </w:p>
                          <w:p w14:paraId="00C5C125"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vehicle class</w:t>
                            </w:r>
                          </w:p>
                          <w:p w14:paraId="3D8F49EF"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road class</w:t>
                            </w:r>
                          </w:p>
                          <w:p w14:paraId="3D143715" w14:textId="77777777" w:rsidR="00185BB9" w:rsidRPr="007011A7" w:rsidRDefault="00185BB9">
                            <w:pPr>
                              <w:pStyle w:val="PictureParagraph"/>
                              <w:spacing w:line="240" w:lineRule="auto"/>
                              <w:rPr>
                                <w:rFonts w:ascii="Open Sans" w:hAnsi="Open Sans" w:cs="Open Sans"/>
                                <w:noProof w:val="0"/>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50F8C" id="Text Box 95" o:spid="_x0000_s1057" type="#_x0000_t202" style="position:absolute;left:0;text-align:left;margin-left:123pt;margin-top:13.05pt;width:223.7pt;height:63.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" o:allowincell="f">
                <v:textbox>
                  <w:txbxContent>
                    <w:p w14:paraId="4E0BE985"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Activity data</w:t>
                      </w:r>
                    </w:p>
                    <w:p w14:paraId="3A0A6BE2"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Number of vehicles per vehicle category</w:t>
                      </w:r>
                    </w:p>
                    <w:p w14:paraId="3CD98B67"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Distribution of the vehicle fleet into different exhaust emission legislation classes</w:t>
                      </w:r>
                    </w:p>
                    <w:p w14:paraId="00C5C125"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vehicle class</w:t>
                      </w:r>
                    </w:p>
                    <w:p w14:paraId="3D8F49EF"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Mileage per road class</w:t>
                      </w:r>
                    </w:p>
                    <w:p w14:paraId="3D143715" w14:textId="77777777" w:rsidR="00185BB9" w:rsidRPr="007011A7" w:rsidRDefault="00185BB9">
                      <w:pPr>
                        <w:pStyle w:val="PictureParagraph"/>
                        <w:spacing w:line="240" w:lineRule="auto"/>
                        <w:rPr>
                          <w:rFonts w:ascii="Open Sans" w:hAnsi="Open Sans" w:cs="Open Sans"/>
                          <w:noProof w:val="0"/>
                          <w:sz w:val="16"/>
                          <w:szCs w:val="16"/>
                          <w:lang w:val="en-US"/>
                        </w:rPr>
                      </w:pPr>
                    </w:p>
                  </w:txbxContent>
                </v:textbox>
                <w10:wrap anchorx="margin"/>
              </v:shape>
            </w:pict>
          </mc:Fallback>
        </mc:AlternateContent>
      </w:r>
    </w:p>
    <w:p w14:paraId="53BA23DE" w14:textId="77777777" w:rsidR="001D2587" w:rsidRPr="000855B2" w:rsidRDefault="001D2587">
      <w:pPr>
        <w:pStyle w:val="PictureParagraph"/>
        <w:rPr>
          <w:rFonts w:ascii="Times New Roman" w:hAnsi="Times New Roman"/>
          <w:noProof w:val="0"/>
          <w:lang w:val="en-GB"/>
        </w:rPr>
      </w:pPr>
    </w:p>
    <w:p w14:paraId="26FED15E" w14:textId="327F9111"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63360" behindDoc="0" locked="0" layoutInCell="0" allowOverlap="1" wp14:anchorId="74524479" wp14:editId="76B9019B">
                <wp:simplePos x="0" y="0"/>
                <wp:positionH relativeFrom="margin">
                  <wp:posOffset>1247775</wp:posOffset>
                </wp:positionH>
                <wp:positionV relativeFrom="paragraph">
                  <wp:posOffset>55245</wp:posOffset>
                </wp:positionV>
                <wp:extent cx="304800" cy="0"/>
                <wp:effectExtent l="17145" t="53975" r="11430" b="60325"/>
                <wp:wrapNone/>
                <wp:docPr id="2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F370" id="Line 109"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25pt,4.35pt" to="12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" o:allowincell="f">
                <v:stroke endarrow="block"/>
                <w10:wrap anchorx="margin"/>
              </v:line>
            </w:pict>
          </mc:Fallback>
        </mc:AlternateContent>
      </w:r>
    </w:p>
    <w:p w14:paraId="18B2D533" w14:textId="77777777" w:rsidR="001D2587" w:rsidRPr="000855B2" w:rsidRDefault="001D2587">
      <w:pPr>
        <w:pStyle w:val="PictureParagraph"/>
        <w:rPr>
          <w:rFonts w:ascii="Times New Roman" w:hAnsi="Times New Roman"/>
          <w:noProof w:val="0"/>
          <w:lang w:val="en-GB"/>
        </w:rPr>
      </w:pPr>
    </w:p>
    <w:p w14:paraId="1FA9B509" w14:textId="77777777" w:rsidR="001D2587" w:rsidRPr="000855B2" w:rsidRDefault="001D2587">
      <w:pPr>
        <w:pStyle w:val="PictureParagraph"/>
        <w:rPr>
          <w:rFonts w:ascii="Times New Roman" w:hAnsi="Times New Roman"/>
          <w:noProof w:val="0"/>
          <w:lang w:val="en-GB"/>
        </w:rPr>
      </w:pPr>
    </w:p>
    <w:p w14:paraId="4C92D3E4" w14:textId="2C8800E0"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0048" behindDoc="0" locked="0" layoutInCell="0" allowOverlap="1" wp14:anchorId="1319D543" wp14:editId="785D40B3">
                <wp:simplePos x="0" y="0"/>
                <wp:positionH relativeFrom="margin">
                  <wp:posOffset>1562100</wp:posOffset>
                </wp:positionH>
                <wp:positionV relativeFrom="paragraph">
                  <wp:posOffset>-1905</wp:posOffset>
                </wp:positionV>
                <wp:extent cx="2840990" cy="495300"/>
                <wp:effectExtent l="7620" t="10160" r="8890" b="889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495300"/>
                        </a:xfrm>
                        <a:prstGeom prst="rect">
                          <a:avLst/>
                        </a:prstGeom>
                        <a:solidFill>
                          <a:srgbClr val="FFFFFF"/>
                        </a:solidFill>
                        <a:ln w="9525">
                          <a:solidFill>
                            <a:srgbClr val="000000"/>
                          </a:solidFill>
                          <a:miter lim="800000"/>
                          <a:headEnd/>
                          <a:tailEnd/>
                        </a:ln>
                      </wps:spPr>
                      <wps:txbx>
                        <w:txbxContent>
                          <w:p w14:paraId="3AA73ABD"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Driving conditions</w:t>
                            </w:r>
                          </w:p>
                          <w:p w14:paraId="3C854744" w14:textId="77777777" w:rsidR="00185BB9" w:rsidRPr="007011A7" w:rsidRDefault="00185BB9">
                            <w:pPr>
                              <w:pStyle w:val="PictureParagraph"/>
                              <w:spacing w:line="240" w:lineRule="auto"/>
                              <w:rPr>
                                <w:rFonts w:ascii="Open Sans" w:hAnsi="Open Sans" w:cs="Open Sans"/>
                                <w:sz w:val="16"/>
                                <w:szCs w:val="16"/>
                              </w:rPr>
                            </w:pPr>
                            <w:r w:rsidRPr="007011A7">
                              <w:rPr>
                                <w:rFonts w:ascii="Open Sans" w:hAnsi="Open Sans" w:cs="Open Sans"/>
                                <w:noProof w:val="0"/>
                                <w:sz w:val="16"/>
                                <w:szCs w:val="16"/>
                                <w:lang w:val="en-US"/>
                              </w:rPr>
                              <w:t>Average speed per vehicle type and per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D543" id="Text Box 96" o:spid="_x0000_s1058" type="#_x0000_t202" style="position:absolute;left:0;text-align:left;margin-left:123pt;margin-top:-.15pt;width:223.7pt;height:3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" o:allowincell="f">
                <v:textbox>
                  <w:txbxContent>
                    <w:p w14:paraId="3AA73ABD"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Driving conditions</w:t>
                      </w:r>
                    </w:p>
                    <w:p w14:paraId="3C854744" w14:textId="77777777" w:rsidR="00185BB9" w:rsidRPr="007011A7" w:rsidRDefault="00185BB9">
                      <w:pPr>
                        <w:pStyle w:val="PictureParagraph"/>
                        <w:spacing w:line="240" w:lineRule="auto"/>
                        <w:rPr>
                          <w:rFonts w:ascii="Open Sans" w:hAnsi="Open Sans" w:cs="Open Sans"/>
                          <w:sz w:val="16"/>
                          <w:szCs w:val="16"/>
                        </w:rPr>
                      </w:pPr>
                      <w:r w:rsidRPr="007011A7">
                        <w:rPr>
                          <w:rFonts w:ascii="Open Sans" w:hAnsi="Open Sans" w:cs="Open Sans"/>
                          <w:noProof w:val="0"/>
                          <w:sz w:val="16"/>
                          <w:szCs w:val="16"/>
                          <w:lang w:val="en-US"/>
                        </w:rPr>
                        <w:t>Average speed per vehicle type and per road</w:t>
                      </w:r>
                    </w:p>
                  </w:txbxContent>
                </v:textbox>
                <w10:wrap anchorx="margin"/>
              </v:shape>
            </w:pict>
          </mc:Fallback>
        </mc:AlternateContent>
      </w:r>
    </w:p>
    <w:p w14:paraId="37D79F74" w14:textId="172D3FAE"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8240" behindDoc="0" locked="0" layoutInCell="0" allowOverlap="1" wp14:anchorId="61173631" wp14:editId="47A16F07">
                <wp:simplePos x="0" y="0"/>
                <wp:positionH relativeFrom="margin">
                  <wp:posOffset>4403090</wp:posOffset>
                </wp:positionH>
                <wp:positionV relativeFrom="paragraph">
                  <wp:posOffset>24765</wp:posOffset>
                </wp:positionV>
                <wp:extent cx="542290" cy="0"/>
                <wp:effectExtent l="10160" t="53975" r="19050" b="60325"/>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1A0B" id="Line 10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6.7pt,1.95pt" to="38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XN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" o:allowincell="f">
                <v:stroke endarrow="block"/>
                <w10:wrap anchorx="margin"/>
              </v:line>
            </w:pict>
          </mc:Fallback>
        </mc:AlternateContent>
      </w:r>
      <w:r>
        <w:rPr>
          <w:rFonts w:ascii="Times New Roman" w:hAnsi="Times New Roman"/>
          <w:lang w:val="en-US" w:eastAsia="en-US"/>
        </w:rPr>
        <mc:AlternateContent>
          <mc:Choice Requires="wps">
            <w:drawing>
              <wp:anchor distT="0" distB="0" distL="114300" distR="114300" simplePos="0" relativeHeight="251655168" behindDoc="0" locked="0" layoutInCell="0" allowOverlap="1" wp14:anchorId="5286E13F" wp14:editId="11B3D231">
                <wp:simplePos x="0" y="0"/>
                <wp:positionH relativeFrom="margin">
                  <wp:posOffset>4951730</wp:posOffset>
                </wp:positionH>
                <wp:positionV relativeFrom="paragraph">
                  <wp:posOffset>34290</wp:posOffset>
                </wp:positionV>
                <wp:extent cx="0" cy="2235200"/>
                <wp:effectExtent l="15875" t="15875" r="12700" b="15875"/>
                <wp:wrapNone/>
                <wp:docPr id="2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1A27" id="Line 10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9.9pt,2.7pt" to="389.9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" o:allowincell="f" strokeweight="1.5pt">
                <w10:wrap anchorx="margin"/>
              </v:line>
            </w:pict>
          </mc:Fallback>
        </mc:AlternateContent>
      </w:r>
    </w:p>
    <w:p w14:paraId="660D05DF" w14:textId="45FDD14E" w:rsidR="001D2587" w:rsidRPr="000855B2" w:rsidRDefault="00741FF2">
      <w:pPr>
        <w:pStyle w:val="PictureParagraph"/>
        <w:rPr>
          <w:rFonts w:ascii="Times New Roman" w:hAnsi="Times New Roman"/>
          <w:noProof w:val="0"/>
          <w:lang w:val="en-GB"/>
        </w:rPr>
      </w:pPr>
      <w:r>
        <w:rPr>
          <w:rFonts w:ascii="Times New Roman" w:hAnsi="Times New Roman"/>
          <w:color w:val="000000"/>
          <w:lang w:val="en-US" w:eastAsia="en-US"/>
        </w:rPr>
        <mc:AlternateContent>
          <mc:Choice Requires="wps">
            <w:drawing>
              <wp:anchor distT="0" distB="0" distL="114300" distR="114300" simplePos="0" relativeHeight="251652096" behindDoc="0" locked="0" layoutInCell="0" allowOverlap="1" wp14:anchorId="1B7C19DC" wp14:editId="3F7D539F">
                <wp:simplePos x="0" y="0"/>
                <wp:positionH relativeFrom="margin">
                  <wp:posOffset>1558925</wp:posOffset>
                </wp:positionH>
                <wp:positionV relativeFrom="paragraph">
                  <wp:posOffset>156210</wp:posOffset>
                </wp:positionV>
                <wp:extent cx="2844165" cy="666750"/>
                <wp:effectExtent l="13970" t="12065" r="8890" b="6985"/>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66750"/>
                        </a:xfrm>
                        <a:prstGeom prst="rect">
                          <a:avLst/>
                        </a:prstGeom>
                        <a:solidFill>
                          <a:srgbClr val="FFFFFF"/>
                        </a:solidFill>
                        <a:ln w="9525">
                          <a:solidFill>
                            <a:srgbClr val="000000"/>
                          </a:solidFill>
                          <a:miter lim="800000"/>
                          <a:headEnd/>
                          <a:tailEnd/>
                        </a:ln>
                      </wps:spPr>
                      <wps:txbx>
                        <w:txbxContent>
                          <w:p w14:paraId="41458495"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Other variables</w:t>
                            </w:r>
                          </w:p>
                          <w:p w14:paraId="22FC1BD3"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Climatic conditions</w:t>
                            </w:r>
                          </w:p>
                          <w:p w14:paraId="3CC4435F"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Mean trip distance</w:t>
                            </w:r>
                          </w:p>
                          <w:p w14:paraId="5059658F"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Evaporation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19DC" id="Text Box 98" o:spid="_x0000_s1059" type="#_x0000_t202" style="position:absolute;left:0;text-align:left;margin-left:122.75pt;margin-top:12.3pt;width:223.95pt;height: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" o:allowincell="f">
                <v:textbox>
                  <w:txbxContent>
                    <w:p w14:paraId="41458495"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Other variables</w:t>
                      </w:r>
                    </w:p>
                    <w:p w14:paraId="22FC1BD3"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Climatic conditions</w:t>
                      </w:r>
                    </w:p>
                    <w:p w14:paraId="3CC4435F"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Mean trip distance</w:t>
                      </w:r>
                    </w:p>
                    <w:p w14:paraId="5059658F"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Evaporation distribution</w:t>
                      </w:r>
                    </w:p>
                  </w:txbxContent>
                </v:textbox>
                <w10:wrap anchorx="margin"/>
              </v:shape>
            </w:pict>
          </mc:Fallback>
        </mc:AlternateContent>
      </w:r>
    </w:p>
    <w:p w14:paraId="1CA728F6" w14:textId="77777777" w:rsidR="001D2587" w:rsidRPr="000855B2" w:rsidRDefault="001D2587">
      <w:pPr>
        <w:pStyle w:val="PictureParagraph"/>
        <w:rPr>
          <w:rFonts w:ascii="Times New Roman" w:hAnsi="Times New Roman"/>
          <w:noProof w:val="0"/>
          <w:lang w:val="en-GB"/>
        </w:rPr>
      </w:pPr>
    </w:p>
    <w:p w14:paraId="53DB1CE3" w14:textId="2EF40708"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9264" behindDoc="0" locked="0" layoutInCell="0" allowOverlap="1" wp14:anchorId="02F8DCF3" wp14:editId="4FD4BA18">
                <wp:simplePos x="0" y="0"/>
                <wp:positionH relativeFrom="margin">
                  <wp:posOffset>4403090</wp:posOffset>
                </wp:positionH>
                <wp:positionV relativeFrom="paragraph">
                  <wp:posOffset>87630</wp:posOffset>
                </wp:positionV>
                <wp:extent cx="548640" cy="0"/>
                <wp:effectExtent l="10160" t="53975" r="22225" b="60325"/>
                <wp:wrapNone/>
                <wp:docPr id="2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B2BB" id="Line 10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6.7pt,6.9pt" to="38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RV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" o:allowincell="f">
                <v:stroke endarrow="block"/>
                <w10:wrap anchorx="margin"/>
              </v:line>
            </w:pict>
          </mc:Fallback>
        </mc:AlternateContent>
      </w:r>
    </w:p>
    <w:p w14:paraId="17F02129" w14:textId="77777777" w:rsidR="001D2587" w:rsidRPr="000855B2" w:rsidRDefault="001D2587">
      <w:pPr>
        <w:pStyle w:val="PictureParagraph"/>
        <w:rPr>
          <w:rFonts w:ascii="Times New Roman" w:hAnsi="Times New Roman"/>
          <w:noProof w:val="0"/>
          <w:lang w:val="en-GB"/>
        </w:rPr>
      </w:pPr>
    </w:p>
    <w:p w14:paraId="7234DC90" w14:textId="77777777" w:rsidR="001D2587" w:rsidRPr="000855B2" w:rsidRDefault="001D2587">
      <w:pPr>
        <w:pStyle w:val="PictureParagraph"/>
        <w:rPr>
          <w:rFonts w:ascii="Times New Roman" w:hAnsi="Times New Roman"/>
          <w:noProof w:val="0"/>
          <w:lang w:val="en-GB"/>
        </w:rPr>
      </w:pPr>
    </w:p>
    <w:p w14:paraId="70FE62C4" w14:textId="7FD90B08"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3120" behindDoc="0" locked="0" layoutInCell="0" allowOverlap="1" wp14:anchorId="20410975" wp14:editId="18F8120C">
                <wp:simplePos x="0" y="0"/>
                <wp:positionH relativeFrom="margin">
                  <wp:posOffset>1873250</wp:posOffset>
                </wp:positionH>
                <wp:positionV relativeFrom="paragraph">
                  <wp:posOffset>64770</wp:posOffset>
                </wp:positionV>
                <wp:extent cx="2529840" cy="685800"/>
                <wp:effectExtent l="13970" t="6350" r="8890" b="12700"/>
                <wp:wrapNone/>
                <wp:docPr id="2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85800"/>
                        </a:xfrm>
                        <a:prstGeom prst="rect">
                          <a:avLst/>
                        </a:prstGeom>
                        <a:solidFill>
                          <a:srgbClr val="FFFFFF"/>
                        </a:solidFill>
                        <a:ln w="9525">
                          <a:solidFill>
                            <a:srgbClr val="000000"/>
                          </a:solidFill>
                          <a:miter lim="800000"/>
                          <a:headEnd/>
                          <a:tailEnd/>
                        </a:ln>
                      </wps:spPr>
                      <wps:txbx>
                        <w:txbxContent>
                          <w:p w14:paraId="7D51D5E8"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Emission factors</w:t>
                            </w:r>
                          </w:p>
                          <w:p w14:paraId="47881945"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type of emission (hot, cold, evaporation)</w:t>
                            </w:r>
                          </w:p>
                          <w:p w14:paraId="4B3E4CCC"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p w14:paraId="30151B0E"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road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0975" id="Text Box 99" o:spid="_x0000_s1060" type="#_x0000_t202" style="position:absolute;left:0;text-align:left;margin-left:147.5pt;margin-top:5.1pt;width:199.2pt;height:5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" o:allowincell="f">
                <v:textbox>
                  <w:txbxContent>
                    <w:p w14:paraId="7D51D5E8"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Emission factors</w:t>
                      </w:r>
                    </w:p>
                    <w:p w14:paraId="47881945"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type of emission (hot, cold, evaporation)</w:t>
                      </w:r>
                    </w:p>
                    <w:p w14:paraId="4B3E4CCC"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p w14:paraId="30151B0E"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road class</w:t>
                      </w:r>
                    </w:p>
                  </w:txbxContent>
                </v:textbox>
                <w10:wrap anchorx="margin"/>
              </v:shape>
            </w:pict>
          </mc:Fallback>
        </mc:AlternateContent>
      </w:r>
      <w:r>
        <w:rPr>
          <w:rFonts w:ascii="Times New Roman" w:hAnsi="Times New Roman"/>
          <w:lang w:val="en-US" w:eastAsia="en-US"/>
        </w:rPr>
        <mc:AlternateContent>
          <mc:Choice Requires="wps">
            <w:drawing>
              <wp:anchor distT="0" distB="0" distL="114300" distR="114300" simplePos="0" relativeHeight="251665408" behindDoc="0" locked="0" layoutInCell="0" allowOverlap="1" wp14:anchorId="7A14834D" wp14:editId="44DF06CF">
                <wp:simplePos x="0" y="0"/>
                <wp:positionH relativeFrom="margin">
                  <wp:posOffset>171450</wp:posOffset>
                </wp:positionH>
                <wp:positionV relativeFrom="paragraph">
                  <wp:posOffset>55245</wp:posOffset>
                </wp:positionV>
                <wp:extent cx="857250" cy="1295400"/>
                <wp:effectExtent l="7620" t="6350" r="11430" b="12700"/>
                <wp:wrapNone/>
                <wp:docPr id="2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295400"/>
                        </a:xfrm>
                        <a:prstGeom prst="rect">
                          <a:avLst/>
                        </a:prstGeom>
                        <a:solidFill>
                          <a:srgbClr val="FFFFFF"/>
                        </a:solidFill>
                        <a:ln w="9525">
                          <a:solidFill>
                            <a:srgbClr val="000000"/>
                          </a:solidFill>
                          <a:miter lim="800000"/>
                          <a:headEnd/>
                          <a:tailEnd/>
                        </a:ln>
                      </wps:spPr>
                      <wps:txbx>
                        <w:txbxContent>
                          <w:p w14:paraId="22A6ABCA" w14:textId="77777777" w:rsidR="00185BB9" w:rsidRPr="007011A7" w:rsidRDefault="00185BB9">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 xml:space="preserve">INTERMEDIATE </w:t>
                            </w:r>
                          </w:p>
                          <w:p w14:paraId="6F191F0D" w14:textId="77777777" w:rsidR="00185BB9" w:rsidRPr="007011A7" w:rsidRDefault="00185BB9">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CALCULATIONS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834D" id="Text Box 111" o:spid="_x0000_s1061" type="#_x0000_t202" style="position:absolute;left:0;text-align:left;margin-left:13.5pt;margin-top:4.35pt;width:67.5pt;height:1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" o:allowincell="f">
                <v:textbox style="layout-flow:vertical;mso-layout-flow-alt:bottom-to-top">
                  <w:txbxContent>
                    <w:p w14:paraId="22A6ABCA" w14:textId="77777777" w:rsidR="00185BB9" w:rsidRPr="007011A7" w:rsidRDefault="00185BB9">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 xml:space="preserve">INTERMEDIATE </w:t>
                      </w:r>
                    </w:p>
                    <w:p w14:paraId="6F191F0D" w14:textId="77777777" w:rsidR="00185BB9" w:rsidRPr="007011A7" w:rsidRDefault="00185BB9">
                      <w:pPr>
                        <w:pStyle w:val="EquatChar"/>
                        <w:spacing w:line="240" w:lineRule="auto"/>
                        <w:rPr>
                          <w:rFonts w:ascii="Open Sans" w:hAnsi="Open Sans" w:cs="Open Sans"/>
                          <w:noProof w:val="0"/>
                          <w:sz w:val="20"/>
                          <w:lang w:val="en-US"/>
                        </w:rPr>
                      </w:pPr>
                      <w:r w:rsidRPr="007011A7">
                        <w:rPr>
                          <w:rFonts w:ascii="Open Sans" w:hAnsi="Open Sans" w:cs="Open Sans"/>
                          <w:noProof w:val="0"/>
                          <w:sz w:val="20"/>
                          <w:lang w:val="en-US"/>
                        </w:rPr>
                        <w:t>CALCULATIONS</w:t>
                      </w:r>
                    </w:p>
                  </w:txbxContent>
                </v:textbox>
                <w10:wrap anchorx="margin"/>
              </v:shape>
            </w:pict>
          </mc:Fallback>
        </mc:AlternateContent>
      </w:r>
    </w:p>
    <w:p w14:paraId="6A1FED1D" w14:textId="77777777" w:rsidR="001D2587" w:rsidRPr="000855B2" w:rsidRDefault="001D2587">
      <w:pPr>
        <w:pStyle w:val="PictureParagraph"/>
        <w:rPr>
          <w:rFonts w:ascii="Times New Roman" w:hAnsi="Times New Roman"/>
          <w:noProof w:val="0"/>
          <w:lang w:val="en-GB"/>
        </w:rPr>
      </w:pPr>
    </w:p>
    <w:p w14:paraId="65D871BC" w14:textId="7265F79B"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60288" behindDoc="0" locked="0" layoutInCell="0" allowOverlap="1" wp14:anchorId="7FFE21D9" wp14:editId="3362DA85">
                <wp:simplePos x="0" y="0"/>
                <wp:positionH relativeFrom="margin">
                  <wp:posOffset>4399280</wp:posOffset>
                </wp:positionH>
                <wp:positionV relativeFrom="paragraph">
                  <wp:posOffset>11430</wp:posOffset>
                </wp:positionV>
                <wp:extent cx="552450" cy="0"/>
                <wp:effectExtent l="15875" t="53975" r="12700" b="60325"/>
                <wp:wrapNone/>
                <wp:docPr id="2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4D1E" id="Line 106"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6.4pt,.9pt" to="38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OJ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" o:allowincell="f">
                <v:stroke endarrow="block"/>
                <w10:wrap anchorx="margin"/>
              </v:line>
            </w:pict>
          </mc:Fallback>
        </mc:AlternateContent>
      </w:r>
      <w:r>
        <w:rPr>
          <w:rFonts w:ascii="Times New Roman" w:hAnsi="Times New Roman"/>
          <w:lang w:val="en-US" w:eastAsia="en-US"/>
        </w:rPr>
        <mc:AlternateContent>
          <mc:Choice Requires="wps">
            <w:drawing>
              <wp:anchor distT="0" distB="0" distL="114300" distR="114300" simplePos="0" relativeHeight="251657216" behindDoc="0" locked="0" layoutInCell="0" allowOverlap="1" wp14:anchorId="53656BDB" wp14:editId="71B9EB37">
                <wp:simplePos x="0" y="0"/>
                <wp:positionH relativeFrom="margin">
                  <wp:posOffset>1250950</wp:posOffset>
                </wp:positionH>
                <wp:positionV relativeFrom="paragraph">
                  <wp:posOffset>11430</wp:posOffset>
                </wp:positionV>
                <wp:extent cx="606425" cy="0"/>
                <wp:effectExtent l="20320" t="53975" r="11430" b="60325"/>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6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E1B6" id="Line 103"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5pt,.9pt" to="14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" o:allowincell="f">
                <v:stroke endarrow="block"/>
                <w10:wrap anchorx="margin"/>
              </v:line>
            </w:pict>
          </mc:Fallback>
        </mc:AlternateContent>
      </w:r>
    </w:p>
    <w:p w14:paraId="3B903155" w14:textId="77777777" w:rsidR="001D2587" w:rsidRPr="000855B2" w:rsidRDefault="001D2587">
      <w:pPr>
        <w:pStyle w:val="PictureParagraph"/>
        <w:rPr>
          <w:rFonts w:ascii="Times New Roman" w:hAnsi="Times New Roman"/>
          <w:noProof w:val="0"/>
          <w:lang w:val="en-GB"/>
        </w:rPr>
      </w:pPr>
    </w:p>
    <w:p w14:paraId="25C16345" w14:textId="768290F0"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54144" behindDoc="0" locked="0" layoutInCell="0" allowOverlap="1" wp14:anchorId="74E78B4B" wp14:editId="543453E0">
                <wp:simplePos x="0" y="0"/>
                <wp:positionH relativeFrom="margin">
                  <wp:posOffset>1873250</wp:posOffset>
                </wp:positionH>
                <wp:positionV relativeFrom="paragraph">
                  <wp:posOffset>46990</wp:posOffset>
                </wp:positionV>
                <wp:extent cx="2529840" cy="533400"/>
                <wp:effectExtent l="13970" t="9525" r="8890" b="952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533400"/>
                        </a:xfrm>
                        <a:prstGeom prst="rect">
                          <a:avLst/>
                        </a:prstGeom>
                        <a:solidFill>
                          <a:srgbClr val="FFFFFF"/>
                        </a:solidFill>
                        <a:ln w="9525">
                          <a:solidFill>
                            <a:srgbClr val="000000"/>
                          </a:solidFill>
                          <a:miter lim="800000"/>
                          <a:headEnd/>
                          <a:tailEnd/>
                        </a:ln>
                      </wps:spPr>
                      <wps:txbx>
                        <w:txbxContent>
                          <w:p w14:paraId="0AB16A44"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Cold mileage percentage</w:t>
                            </w:r>
                          </w:p>
                          <w:p w14:paraId="5346661A"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month</w:t>
                            </w:r>
                          </w:p>
                          <w:p w14:paraId="4EC7E483"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8B4B" id="Text Box 100" o:spid="_x0000_s1062" type="#_x0000_t202" style="position:absolute;left:0;text-align:left;margin-left:147.5pt;margin-top:3.7pt;width:199.2pt;height: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" o:allowincell="f">
                <v:textbox>
                  <w:txbxContent>
                    <w:p w14:paraId="0AB16A44" w14:textId="77777777" w:rsidR="00185BB9" w:rsidRPr="007011A7" w:rsidRDefault="00185BB9">
                      <w:pPr>
                        <w:pStyle w:val="PictureParagraph"/>
                        <w:spacing w:line="240" w:lineRule="auto"/>
                        <w:rPr>
                          <w:rFonts w:ascii="Open Sans" w:hAnsi="Open Sans" w:cs="Open Sans"/>
                          <w:b/>
                          <w:noProof w:val="0"/>
                          <w:sz w:val="16"/>
                          <w:szCs w:val="16"/>
                          <w:lang w:val="en-US"/>
                        </w:rPr>
                      </w:pPr>
                      <w:r w:rsidRPr="007011A7">
                        <w:rPr>
                          <w:rFonts w:ascii="Open Sans" w:hAnsi="Open Sans" w:cs="Open Sans"/>
                          <w:b/>
                          <w:noProof w:val="0"/>
                          <w:sz w:val="16"/>
                          <w:szCs w:val="16"/>
                          <w:lang w:val="en-US"/>
                        </w:rPr>
                        <w:t>Cold mileage percentage</w:t>
                      </w:r>
                    </w:p>
                    <w:p w14:paraId="5346661A"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month</w:t>
                      </w:r>
                    </w:p>
                    <w:p w14:paraId="4EC7E483" w14:textId="77777777" w:rsidR="00185BB9" w:rsidRPr="007011A7" w:rsidRDefault="00185BB9">
                      <w:pPr>
                        <w:pStyle w:val="PictureParagraph"/>
                        <w:spacing w:line="240" w:lineRule="auto"/>
                        <w:rPr>
                          <w:rFonts w:ascii="Open Sans" w:hAnsi="Open Sans" w:cs="Open Sans"/>
                          <w:noProof w:val="0"/>
                          <w:sz w:val="16"/>
                          <w:szCs w:val="16"/>
                          <w:lang w:val="en-US"/>
                        </w:rPr>
                      </w:pPr>
                      <w:r w:rsidRPr="007011A7">
                        <w:rPr>
                          <w:rFonts w:ascii="Open Sans" w:hAnsi="Open Sans" w:cs="Open Sans"/>
                          <w:noProof w:val="0"/>
                          <w:sz w:val="16"/>
                          <w:szCs w:val="16"/>
                          <w:lang w:val="en-US"/>
                        </w:rPr>
                        <w:t>Per vehicle class</w:t>
                      </w:r>
                    </w:p>
                  </w:txbxContent>
                </v:textbox>
                <w10:wrap anchorx="margin"/>
              </v:shape>
            </w:pict>
          </mc:Fallback>
        </mc:AlternateContent>
      </w:r>
    </w:p>
    <w:p w14:paraId="070A1C4C" w14:textId="40605141" w:rsidR="001D2587" w:rsidRPr="000855B2" w:rsidRDefault="00741FF2">
      <w:pPr>
        <w:pStyle w:val="PictureParagraph"/>
        <w:rPr>
          <w:rFonts w:ascii="Times New Roman" w:hAnsi="Times New Roman"/>
          <w:noProof w:val="0"/>
          <w:lang w:val="en-GB"/>
        </w:rPr>
      </w:pPr>
      <w:r>
        <w:rPr>
          <w:rFonts w:ascii="Times New Roman" w:hAnsi="Times New Roman"/>
          <w:lang w:val="en-US" w:eastAsia="en-US"/>
        </w:rPr>
        <mc:AlternateContent>
          <mc:Choice Requires="wps">
            <w:drawing>
              <wp:anchor distT="0" distB="0" distL="114300" distR="114300" simplePos="0" relativeHeight="251661312" behindDoc="0" locked="0" layoutInCell="0" allowOverlap="1" wp14:anchorId="71D7BB2C" wp14:editId="17AF6FCA">
                <wp:simplePos x="0" y="0"/>
                <wp:positionH relativeFrom="margin">
                  <wp:posOffset>4399280</wp:posOffset>
                </wp:positionH>
                <wp:positionV relativeFrom="paragraph">
                  <wp:posOffset>83820</wp:posOffset>
                </wp:positionV>
                <wp:extent cx="552450" cy="0"/>
                <wp:effectExtent l="15875" t="53975" r="12700" b="60325"/>
                <wp:wrapNone/>
                <wp:docPr id="1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EC70" id="Line 107"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6.4pt,6.6pt" to="389.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VCMQIAAFY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BjMDial&#10;SA8z2gjFUZbeheYMxpUQU6utDeXRk3o0G02/O6R03RG155Hk09lAYhYykjcpYeMMHLEbvmgGMeTg&#10;dezUqbU9aqUwn0NiAIduoFMczfk2Gn7yiMLHopjkBQyQ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" o:allowincell="f">
                <v:stroke endarrow="block"/>
                <w10:wrap anchorx="margin"/>
              </v:line>
            </w:pict>
          </mc:Fallback>
        </mc:AlternateContent>
      </w:r>
      <w:r>
        <w:rPr>
          <w:rFonts w:ascii="Times New Roman" w:hAnsi="Times New Roman"/>
          <w:lang w:val="en-US" w:eastAsia="en-US"/>
        </w:rPr>
        <mc:AlternateContent>
          <mc:Choice Requires="wps">
            <w:drawing>
              <wp:anchor distT="0" distB="0" distL="114300" distR="114300" simplePos="0" relativeHeight="251664384" behindDoc="0" locked="0" layoutInCell="0" allowOverlap="1" wp14:anchorId="7C347BCB" wp14:editId="4420D8DD">
                <wp:simplePos x="0" y="0"/>
                <wp:positionH relativeFrom="margin">
                  <wp:posOffset>1250950</wp:posOffset>
                </wp:positionH>
                <wp:positionV relativeFrom="paragraph">
                  <wp:posOffset>128270</wp:posOffset>
                </wp:positionV>
                <wp:extent cx="615950" cy="0"/>
                <wp:effectExtent l="20320" t="60325" r="11430" b="53975"/>
                <wp:wrapNone/>
                <wp:docPr id="1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E9EC5" id="Line 110" o:spid="_x0000_s1026" style="position:absolute;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" o:allowincell="f">
                <v:stroke endarrow="block"/>
                <w10:wrap anchorx="margin"/>
              </v:line>
            </w:pict>
          </mc:Fallback>
        </mc:AlternateContent>
      </w:r>
    </w:p>
    <w:p w14:paraId="29EC3500" w14:textId="77777777" w:rsidR="001D2587" w:rsidRPr="000855B2" w:rsidRDefault="001D2587">
      <w:pPr>
        <w:pStyle w:val="PictureParagraph"/>
        <w:rPr>
          <w:rFonts w:ascii="Times New Roman" w:hAnsi="Times New Roman"/>
          <w:noProof w:val="0"/>
          <w:lang w:val="en-GB"/>
        </w:rPr>
      </w:pPr>
    </w:p>
    <w:p w14:paraId="65BA0CFA" w14:textId="77777777" w:rsidR="001D2587" w:rsidRPr="000855B2" w:rsidRDefault="001D2587">
      <w:pPr>
        <w:pStyle w:val="PictureParagraph"/>
        <w:rPr>
          <w:rFonts w:ascii="Times New Roman" w:hAnsi="Times New Roman"/>
          <w:noProof w:val="0"/>
          <w:lang w:val="en-GB"/>
        </w:rPr>
      </w:pPr>
    </w:p>
    <w:p w14:paraId="2D90B3B4" w14:textId="77777777" w:rsidR="001D2587" w:rsidRPr="000855B2" w:rsidRDefault="001D2587">
      <w:pPr>
        <w:pStyle w:val="PictureParagraph"/>
        <w:rPr>
          <w:rFonts w:ascii="Times New Roman" w:hAnsi="Times New Roman"/>
          <w:noProof w:val="0"/>
          <w:lang w:val="en-GB"/>
        </w:rPr>
      </w:pPr>
    </w:p>
    <w:p w14:paraId="234AD4E9" w14:textId="7296F805" w:rsidR="001D2587" w:rsidRPr="000855B2" w:rsidRDefault="00741FF2">
      <w:pPr>
        <w:pStyle w:val="PictureParagraph"/>
        <w:rPr>
          <w:rFonts w:ascii="Times New Roman" w:hAnsi="Times New Roman"/>
          <w:noProof w:val="0"/>
          <w:lang w:val="en-GB"/>
        </w:rPr>
      </w:pPr>
      <w:r>
        <w:rPr>
          <w:rFonts w:ascii="Times New Roman" w:hAnsi="Times New Roman"/>
          <w:color w:val="000000"/>
          <w:lang w:val="en-US" w:eastAsia="en-US"/>
        </w:rPr>
        <mc:AlternateContent>
          <mc:Choice Requires="wps">
            <w:drawing>
              <wp:anchor distT="0" distB="0" distL="114300" distR="114300" simplePos="0" relativeHeight="251651072" behindDoc="0" locked="0" layoutInCell="0" allowOverlap="1" wp14:anchorId="047E21D9" wp14:editId="503A95F0">
                <wp:simplePos x="0" y="0"/>
                <wp:positionH relativeFrom="margin">
                  <wp:posOffset>93345</wp:posOffset>
                </wp:positionH>
                <wp:positionV relativeFrom="paragraph">
                  <wp:posOffset>80010</wp:posOffset>
                </wp:positionV>
                <wp:extent cx="4949825" cy="533400"/>
                <wp:effectExtent l="24765" t="23495" r="26035" b="2413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533400"/>
                        </a:xfrm>
                        <a:prstGeom prst="rect">
                          <a:avLst/>
                        </a:prstGeom>
                        <a:solidFill>
                          <a:srgbClr val="FFFFFF"/>
                        </a:solidFill>
                        <a:ln w="38100" cmpd="dbl">
                          <a:solidFill>
                            <a:srgbClr val="000000"/>
                          </a:solidFill>
                          <a:miter lim="800000"/>
                          <a:headEnd/>
                          <a:tailEnd/>
                        </a:ln>
                      </wps:spPr>
                      <wps:txbx>
                        <w:txbxContent>
                          <w:p w14:paraId="52FEDA4C" w14:textId="77777777" w:rsidR="00185BB9" w:rsidRPr="007011A7" w:rsidRDefault="00185BB9">
                            <w:pPr>
                              <w:pStyle w:val="PictureParagraph"/>
                              <w:spacing w:before="120" w:line="240" w:lineRule="auto"/>
                              <w:jc w:val="center"/>
                              <w:rPr>
                                <w:rFonts w:ascii="Open Sans" w:hAnsi="Open Sans" w:cs="Open Sans"/>
                                <w:b/>
                              </w:rPr>
                            </w:pPr>
                            <w:r w:rsidRPr="007011A7">
                              <w:rPr>
                                <w:rFonts w:ascii="Open Sans" w:hAnsi="Open Sans" w:cs="Open Sans"/>
                                <w:b/>
                                <w:noProof w:val="0"/>
                                <w:lang w:val="en-US"/>
                              </w:rPr>
                              <w:t>Calculation of annual emissions of all pollutants for all road traffic source categories at all defined territorial units and road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21D9" id="Text Box 97" o:spid="_x0000_s1063" type="#_x0000_t202" style="position:absolute;left:0;text-align:left;margin-left:7.35pt;margin-top:6.3pt;width:389.75pt;height:4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" o:allowincell="f" strokeweight="3pt">
                <v:stroke linestyle="thinThin"/>
                <v:textbox>
                  <w:txbxContent>
                    <w:p w14:paraId="52FEDA4C" w14:textId="77777777" w:rsidR="00185BB9" w:rsidRPr="007011A7" w:rsidRDefault="00185BB9">
                      <w:pPr>
                        <w:pStyle w:val="PictureParagraph"/>
                        <w:spacing w:before="120" w:line="240" w:lineRule="auto"/>
                        <w:jc w:val="center"/>
                        <w:rPr>
                          <w:rFonts w:ascii="Open Sans" w:hAnsi="Open Sans" w:cs="Open Sans"/>
                          <w:b/>
                        </w:rPr>
                      </w:pPr>
                      <w:r w:rsidRPr="007011A7">
                        <w:rPr>
                          <w:rFonts w:ascii="Open Sans" w:hAnsi="Open Sans" w:cs="Open Sans"/>
                          <w:b/>
                          <w:noProof w:val="0"/>
                          <w:lang w:val="en-US"/>
                        </w:rPr>
                        <w:t>Calculation of annual emissions of all pollutants for all road traffic source categories at all defined territorial units and road classes</w:t>
                      </w:r>
                    </w:p>
                  </w:txbxContent>
                </v:textbox>
                <w10:wrap anchorx="margin"/>
              </v:shape>
            </w:pict>
          </mc:Fallback>
        </mc:AlternateContent>
      </w:r>
    </w:p>
    <w:p w14:paraId="08D6C44B" w14:textId="77777777" w:rsidR="001D2587" w:rsidRPr="000855B2" w:rsidRDefault="001D2587">
      <w:pPr>
        <w:pStyle w:val="PictureParagraph"/>
        <w:rPr>
          <w:rFonts w:ascii="Times New Roman" w:hAnsi="Times New Roman"/>
          <w:noProof w:val="0"/>
          <w:lang w:val="en-GB"/>
        </w:rPr>
      </w:pPr>
    </w:p>
    <w:p w14:paraId="323515F6" w14:textId="77777777" w:rsidR="001D2587" w:rsidRPr="000855B2" w:rsidRDefault="001D2587">
      <w:pPr>
        <w:pStyle w:val="PictureParagraph"/>
        <w:rPr>
          <w:rFonts w:ascii="Times New Roman" w:hAnsi="Times New Roman"/>
          <w:noProof w:val="0"/>
          <w:lang w:val="en-GB"/>
        </w:rPr>
      </w:pPr>
    </w:p>
    <w:p w14:paraId="3998585B" w14:textId="77777777" w:rsidR="001D2587" w:rsidRPr="000855B2" w:rsidRDefault="001D2587">
      <w:pPr>
        <w:pStyle w:val="PictureParagraph"/>
        <w:rPr>
          <w:rFonts w:ascii="Times New Roman" w:hAnsi="Times New Roman"/>
          <w:noProof w:val="0"/>
          <w:lang w:val="en-GB"/>
        </w:rPr>
      </w:pPr>
    </w:p>
    <w:p w14:paraId="24827AAB" w14:textId="77777777" w:rsidR="001D2587" w:rsidRPr="000855B2" w:rsidRDefault="001D2587" w:rsidP="00B019EC">
      <w:pPr>
        <w:pStyle w:val="Heading4"/>
      </w:pPr>
      <w:bookmarkStart w:id="115" w:name="_Toc388192341"/>
      <w:bookmarkStart w:id="116" w:name="_Toc402634753"/>
      <w:bookmarkStart w:id="117" w:name="_Toc457131582"/>
      <w:bookmarkStart w:id="118" w:name="_Toc496264314"/>
      <w:bookmarkStart w:id="119" w:name="_Ref247619288"/>
      <w:bookmarkStart w:id="120" w:name="_Ref248822485"/>
      <w:bookmarkStart w:id="121" w:name="_Ref291856553"/>
      <w:bookmarkStart w:id="122" w:name="_Ref291856845"/>
      <w:r w:rsidRPr="000855B2">
        <w:t>Hot emissions</w:t>
      </w:r>
      <w:bookmarkEnd w:id="115"/>
      <w:bookmarkEnd w:id="116"/>
      <w:bookmarkEnd w:id="117"/>
      <w:bookmarkEnd w:id="118"/>
      <w:bookmarkEnd w:id="119"/>
      <w:bookmarkEnd w:id="120"/>
      <w:bookmarkEnd w:id="121"/>
      <w:bookmarkEnd w:id="122"/>
    </w:p>
    <w:p w14:paraId="3CA8C345" w14:textId="77777777" w:rsidR="001D2587" w:rsidRPr="000855B2" w:rsidRDefault="001D2587" w:rsidP="00546C89">
      <w:pPr>
        <w:pStyle w:val="BodyText"/>
      </w:pPr>
      <w:r w:rsidRPr="000855B2">
        <w:t xml:space="preserve">Hot </w:t>
      </w:r>
      <w:r w:rsidR="00F26224" w:rsidRPr="000855B2">
        <w:t>exhaust e</w:t>
      </w:r>
      <w:r w:rsidRPr="000855B2">
        <w:t xml:space="preserve">missions depend </w:t>
      </w:r>
      <w:r w:rsidR="00F26224" w:rsidRPr="000855B2">
        <w:t>up</w:t>
      </w:r>
      <w:r w:rsidRPr="000855B2">
        <w:t>on a variety of factors</w:t>
      </w:r>
      <w:r w:rsidR="00F26224" w:rsidRPr="000855B2">
        <w:t>,</w:t>
      </w:r>
      <w:r w:rsidRPr="000855B2">
        <w:t xml:space="preserve"> including the distance that each vehicle travels, its speed (or road type), its age, </w:t>
      </w:r>
      <w:r w:rsidR="00F26224" w:rsidRPr="000855B2">
        <w:t xml:space="preserve">its </w:t>
      </w:r>
      <w:r w:rsidRPr="000855B2">
        <w:t xml:space="preserve">engine size and </w:t>
      </w:r>
      <w:r w:rsidR="00F26224" w:rsidRPr="000855B2">
        <w:t xml:space="preserve">its </w:t>
      </w:r>
      <w:r w:rsidRPr="000855B2">
        <w:t>weight. As will be explained</w:t>
      </w:r>
      <w:r w:rsidR="00F26224" w:rsidRPr="000855B2">
        <w:t xml:space="preserve"> later</w:t>
      </w:r>
      <w:r w:rsidRPr="000855B2">
        <w:t xml:space="preserve">, many countries do not have </w:t>
      </w:r>
      <w:r w:rsidR="00F26224" w:rsidRPr="000855B2">
        <w:t>robust</w:t>
      </w:r>
      <w:r w:rsidRPr="000855B2">
        <w:t xml:space="preserve"> </w:t>
      </w:r>
      <w:r w:rsidR="00F26224" w:rsidRPr="000855B2">
        <w:t>data</w:t>
      </w:r>
      <w:r w:rsidRPr="000855B2">
        <w:t xml:space="preserve"> </w:t>
      </w:r>
      <w:r w:rsidR="00F26224" w:rsidRPr="000855B2">
        <w:t>for</w:t>
      </w:r>
      <w:r w:rsidRPr="000855B2">
        <w:t xml:space="preserve"> these </w:t>
      </w:r>
      <w:r w:rsidR="00F26224" w:rsidRPr="000855B2">
        <w:t>parameters</w:t>
      </w:r>
      <w:r w:rsidRPr="000855B2">
        <w:t>. Therefore</w:t>
      </w:r>
      <w:r w:rsidR="00F26224" w:rsidRPr="000855B2">
        <w:t>,</w:t>
      </w:r>
      <w:r w:rsidRPr="000855B2">
        <w:t xml:space="preserve"> a method to estimate emissions from </w:t>
      </w:r>
      <w:r w:rsidR="00F26224" w:rsidRPr="000855B2">
        <w:t xml:space="preserve">the </w:t>
      </w:r>
      <w:r w:rsidRPr="000855B2">
        <w:t>available data has been proposed. However, it is important that each country uses the best data available</w:t>
      </w:r>
      <w:r w:rsidR="00F26224" w:rsidRPr="000855B2">
        <w:t>; t</w:t>
      </w:r>
      <w:r w:rsidRPr="000855B2">
        <w:t>his is an issue to be resolved by each individual country.</w:t>
      </w:r>
    </w:p>
    <w:p w14:paraId="3157FD0B" w14:textId="77777777" w:rsidR="001D2587" w:rsidRPr="000855B2" w:rsidRDefault="001D2587" w:rsidP="00546C89">
      <w:pPr>
        <w:pStyle w:val="BodyText"/>
      </w:pPr>
      <w:r w:rsidRPr="000855B2">
        <w:t>The basic formula for estimating hot emissions</w:t>
      </w:r>
      <w:r w:rsidR="00F26224" w:rsidRPr="000855B2">
        <w:t xml:space="preserve"> for a given time period</w:t>
      </w:r>
      <w:r w:rsidRPr="000855B2">
        <w:t xml:space="preserve">, </w:t>
      </w:r>
      <w:r w:rsidR="00F26224" w:rsidRPr="000855B2">
        <w:t xml:space="preserve">and </w:t>
      </w:r>
      <w:r w:rsidRPr="000855B2">
        <w:t>using experimentally obtained emission factors</w:t>
      </w:r>
      <w:r w:rsidR="00F26224" w:rsidRPr="000855B2">
        <w:t>,</w:t>
      </w:r>
      <w:r w:rsidRPr="000855B2">
        <w:t xml:space="preserve"> is:</w:t>
      </w:r>
    </w:p>
    <w:p w14:paraId="179353B5" w14:textId="77777777" w:rsidR="001D2587" w:rsidRPr="000855B2" w:rsidRDefault="00F26224" w:rsidP="00546C89">
      <w:pPr>
        <w:pStyle w:val="EquatChar"/>
        <w:tabs>
          <w:tab w:val="left" w:pos="1440"/>
          <w:tab w:val="left" w:pos="1800"/>
        </w:tabs>
        <w:ind w:left="1800" w:hanging="1620"/>
        <w:jc w:val="both"/>
        <w:rPr>
          <w:rFonts w:ascii="Open Sans" w:hAnsi="Open Sans" w:cs="Open Sans"/>
          <w:noProof w:val="0"/>
          <w:sz w:val="18"/>
          <w:lang w:val="en-GB"/>
        </w:rPr>
      </w:pPr>
      <w:r w:rsidRPr="000855B2">
        <w:rPr>
          <w:rFonts w:ascii="Open Sans" w:hAnsi="Open Sans" w:cs="Open Sans"/>
          <w:noProof w:val="0"/>
          <w:sz w:val="18"/>
          <w:lang w:val="en-GB"/>
        </w:rPr>
        <w:t>e</w:t>
      </w:r>
      <w:r w:rsidR="001D2587" w:rsidRPr="000855B2">
        <w:rPr>
          <w:rFonts w:ascii="Open Sans" w:hAnsi="Open Sans" w:cs="Open Sans"/>
          <w:noProof w:val="0"/>
          <w:sz w:val="18"/>
          <w:lang w:val="en-GB"/>
        </w:rPr>
        <w:t>mission [g]</w:t>
      </w:r>
      <w:r w:rsidRPr="000855B2">
        <w:rPr>
          <w:rFonts w:ascii="Open Sans" w:hAnsi="Open Sans" w:cs="Open Sans"/>
          <w:noProof w:val="0"/>
          <w:sz w:val="18"/>
          <w:lang w:val="en-GB"/>
        </w:rPr>
        <w:tab/>
      </w:r>
      <w:r w:rsidR="001D2587" w:rsidRPr="000855B2">
        <w:rPr>
          <w:rFonts w:ascii="Open Sans" w:hAnsi="Open Sans" w:cs="Open Sans"/>
          <w:noProof w:val="0"/>
          <w:sz w:val="18"/>
          <w:lang w:val="en-GB"/>
        </w:rPr>
        <w:t>=</w:t>
      </w:r>
      <w:r w:rsidRPr="000855B2">
        <w:rPr>
          <w:rFonts w:ascii="Open Sans" w:hAnsi="Open Sans" w:cs="Open Sans"/>
          <w:noProof w:val="0"/>
          <w:sz w:val="18"/>
          <w:lang w:val="en-GB"/>
        </w:rPr>
        <w:tab/>
        <w:t>e</w:t>
      </w:r>
      <w:r w:rsidR="001D2587" w:rsidRPr="000855B2">
        <w:rPr>
          <w:rFonts w:ascii="Open Sans" w:hAnsi="Open Sans" w:cs="Open Sans"/>
          <w:noProof w:val="0"/>
          <w:sz w:val="18"/>
          <w:lang w:val="en-GB"/>
        </w:rPr>
        <w:t xml:space="preserve">mission </w:t>
      </w:r>
      <w:r w:rsidRPr="000855B2">
        <w:rPr>
          <w:rFonts w:ascii="Open Sans" w:hAnsi="Open Sans" w:cs="Open Sans"/>
          <w:noProof w:val="0"/>
          <w:sz w:val="18"/>
          <w:lang w:val="en-GB"/>
        </w:rPr>
        <w:t>f</w:t>
      </w:r>
      <w:r w:rsidR="001D2587" w:rsidRPr="000855B2">
        <w:rPr>
          <w:rFonts w:ascii="Open Sans" w:hAnsi="Open Sans" w:cs="Open Sans"/>
          <w:noProof w:val="0"/>
          <w:sz w:val="18"/>
          <w:lang w:val="en-GB"/>
        </w:rPr>
        <w:t xml:space="preserve">actor [g/km] × </w:t>
      </w:r>
      <w:r w:rsidRPr="000855B2">
        <w:rPr>
          <w:rFonts w:ascii="Open Sans" w:hAnsi="Open Sans" w:cs="Open Sans"/>
          <w:noProof w:val="0"/>
          <w:sz w:val="18"/>
          <w:lang w:val="en-GB"/>
        </w:rPr>
        <w:t>n</w:t>
      </w:r>
      <w:r w:rsidR="001D2587" w:rsidRPr="000855B2">
        <w:rPr>
          <w:rFonts w:ascii="Open Sans" w:hAnsi="Open Sans" w:cs="Open Sans"/>
          <w:noProof w:val="0"/>
          <w:sz w:val="18"/>
          <w:lang w:val="en-GB"/>
        </w:rPr>
        <w:t xml:space="preserve">umber of </w:t>
      </w:r>
      <w:r w:rsidRPr="000855B2">
        <w:rPr>
          <w:rFonts w:ascii="Open Sans" w:hAnsi="Open Sans" w:cs="Open Sans"/>
          <w:noProof w:val="0"/>
          <w:sz w:val="18"/>
          <w:lang w:val="en-GB"/>
        </w:rPr>
        <w:t>v</w:t>
      </w:r>
      <w:r w:rsidR="001D2587" w:rsidRPr="000855B2">
        <w:rPr>
          <w:rFonts w:ascii="Open Sans" w:hAnsi="Open Sans" w:cs="Open Sans"/>
          <w:noProof w:val="0"/>
          <w:sz w:val="18"/>
          <w:lang w:val="en-GB"/>
        </w:rPr>
        <w:t>ehicles [veh]</w:t>
      </w:r>
      <w:r w:rsidR="00946B1F">
        <w:rPr>
          <w:rFonts w:ascii="Open Sans" w:hAnsi="Open Sans" w:cs="Open Sans"/>
          <w:noProof w:val="0"/>
          <w:sz w:val="18"/>
          <w:lang w:val="en-GB"/>
        </w:rPr>
        <w:t xml:space="preserve"> </w:t>
      </w:r>
      <w:r w:rsidR="001D2587" w:rsidRPr="000855B2">
        <w:rPr>
          <w:rFonts w:ascii="Open Sans" w:hAnsi="Open Sans" w:cs="Open Sans"/>
          <w:noProof w:val="0"/>
          <w:sz w:val="18"/>
          <w:lang w:val="en-GB"/>
        </w:rPr>
        <w:t xml:space="preserve">× </w:t>
      </w:r>
      <w:r w:rsidRPr="000855B2">
        <w:rPr>
          <w:rFonts w:ascii="Open Sans" w:hAnsi="Open Sans" w:cs="Open Sans"/>
          <w:noProof w:val="0"/>
          <w:sz w:val="18"/>
          <w:lang w:val="en-GB"/>
        </w:rPr>
        <w:t>m</w:t>
      </w:r>
      <w:r w:rsidR="001D2587" w:rsidRPr="000855B2">
        <w:rPr>
          <w:rFonts w:ascii="Open Sans" w:hAnsi="Open Sans" w:cs="Open Sans"/>
          <w:noProof w:val="0"/>
          <w:sz w:val="18"/>
          <w:lang w:val="en-GB"/>
        </w:rPr>
        <w:t xml:space="preserve">ileage per </w:t>
      </w:r>
      <w:r w:rsidRPr="000855B2">
        <w:rPr>
          <w:rFonts w:ascii="Open Sans" w:hAnsi="Open Sans" w:cs="Open Sans"/>
          <w:noProof w:val="0"/>
          <w:sz w:val="18"/>
          <w:lang w:val="en-GB"/>
        </w:rPr>
        <w:t>v</w:t>
      </w:r>
      <w:r w:rsidR="001D2587" w:rsidRPr="000855B2">
        <w:rPr>
          <w:rFonts w:ascii="Open Sans" w:hAnsi="Open Sans" w:cs="Open Sans"/>
          <w:noProof w:val="0"/>
          <w:sz w:val="18"/>
          <w:lang w:val="en-GB"/>
        </w:rPr>
        <w:t>ehicle [km/veh]</w:t>
      </w:r>
    </w:p>
    <w:p w14:paraId="09FF0FE3" w14:textId="77777777" w:rsidR="001D2587" w:rsidRPr="000855B2" w:rsidRDefault="001D2587" w:rsidP="00546C89">
      <w:pPr>
        <w:pStyle w:val="BodyText"/>
      </w:pPr>
      <w:r w:rsidRPr="000855B2">
        <w:t>Different emission factors, number</w:t>
      </w:r>
      <w:r w:rsidR="00F26224" w:rsidRPr="000855B2">
        <w:t>s</w:t>
      </w:r>
      <w:r w:rsidRPr="000855B2">
        <w:t xml:space="preserve"> of vehicles and mileage</w:t>
      </w:r>
      <w:r w:rsidR="00F26224" w:rsidRPr="000855B2">
        <w:t>s</w:t>
      </w:r>
      <w:r w:rsidRPr="000855B2">
        <w:t xml:space="preserve"> per vehicle need to be </w:t>
      </w:r>
      <w:r w:rsidR="00F26224" w:rsidRPr="000855B2">
        <w:t>us</w:t>
      </w:r>
      <w:r w:rsidRPr="000855B2">
        <w:t xml:space="preserve">ed for each vehicle category and class. The </w:t>
      </w:r>
      <w:r w:rsidR="0045365E" w:rsidRPr="000855B2">
        <w:t xml:space="preserve">time </w:t>
      </w:r>
      <w:r w:rsidRPr="000855B2">
        <w:t xml:space="preserve">period </w:t>
      </w:r>
      <w:r w:rsidR="0045365E" w:rsidRPr="000855B2">
        <w:t xml:space="preserve">(month, year, </w:t>
      </w:r>
      <w:r w:rsidR="00D73F59" w:rsidRPr="000855B2">
        <w:t>etc</w:t>
      </w:r>
      <w:r w:rsidR="0045365E" w:rsidRPr="000855B2">
        <w:rPr>
          <w:i/>
        </w:rPr>
        <w:t>.</w:t>
      </w:r>
      <w:r w:rsidR="0045365E" w:rsidRPr="000855B2">
        <w:t xml:space="preserve">) </w:t>
      </w:r>
      <w:r w:rsidRPr="000855B2">
        <w:t xml:space="preserve">depends </w:t>
      </w:r>
      <w:r w:rsidR="0045365E" w:rsidRPr="000855B2">
        <w:t>up</w:t>
      </w:r>
      <w:r w:rsidRPr="000855B2">
        <w:t>on the application</w:t>
      </w:r>
      <w:r w:rsidR="0045365E" w:rsidRPr="000855B2">
        <w:t>.</w:t>
      </w:r>
    </w:p>
    <w:p w14:paraId="191135BC" w14:textId="77777777" w:rsidR="001D2587" w:rsidRPr="000855B2" w:rsidRDefault="001D2587" w:rsidP="00546C89">
      <w:pPr>
        <w:pStyle w:val="BodyText"/>
      </w:pPr>
      <w:r w:rsidRPr="000855B2">
        <w:lastRenderedPageBreak/>
        <w:t>Therefore, the formula to be applied for the calculation of hot emissions of pollutants in Groups 1 and 3</w:t>
      </w:r>
      <w:r w:rsidR="009D0749" w:rsidRPr="000855B2">
        <w:t>,</w:t>
      </w:r>
      <w:r w:rsidRPr="000855B2">
        <w:t xml:space="preserve"> and in the case of an annual emission estimation, yields</w:t>
      </w:r>
      <w:r w:rsidR="009D0749" w:rsidRPr="000855B2">
        <w:t>:</w:t>
      </w:r>
    </w:p>
    <w:tbl>
      <w:tblPr>
        <w:tblW w:w="0" w:type="auto"/>
        <w:tblBorders>
          <w:insideH w:val="single" w:sz="4" w:space="0" w:color="auto"/>
        </w:tblBorders>
        <w:tblLook w:val="01E0" w:firstRow="1" w:lastRow="1" w:firstColumn="1" w:lastColumn="1" w:noHBand="0" w:noVBand="0"/>
      </w:tblPr>
      <w:tblGrid>
        <w:gridCol w:w="7567"/>
        <w:gridCol w:w="740"/>
      </w:tblGrid>
      <w:tr w:rsidR="001D2587" w:rsidRPr="000855B2" w14:paraId="489F7781" w14:textId="77777777">
        <w:tc>
          <w:tcPr>
            <w:tcW w:w="7567" w:type="dxa"/>
            <w:tcMar>
              <w:left w:w="0" w:type="dxa"/>
              <w:right w:w="0" w:type="dxa"/>
            </w:tcMar>
            <w:vAlign w:val="center"/>
          </w:tcPr>
          <w:p w14:paraId="44471E9A" w14:textId="77777777" w:rsidR="001D2587" w:rsidRPr="000855B2" w:rsidRDefault="001D2587" w:rsidP="00546C89">
            <w:pPr>
              <w:pStyle w:val="BodyText"/>
            </w:pPr>
            <w:r w:rsidRPr="000855B2">
              <w:t>E</w:t>
            </w:r>
            <w:r w:rsidR="0000601A" w:rsidRPr="000855B2">
              <w:rPr>
                <w:vertAlign w:val="subscript"/>
              </w:rPr>
              <w:t>HOT; i, k, r</w:t>
            </w:r>
            <w:r w:rsidRPr="000855B2">
              <w:t xml:space="preserve"> = N</w:t>
            </w:r>
            <w:r w:rsidR="0000601A" w:rsidRPr="000855B2">
              <w:rPr>
                <w:vertAlign w:val="subscript"/>
              </w:rPr>
              <w:t>k</w:t>
            </w:r>
            <w:r w:rsidRPr="000855B2">
              <w:t xml:space="preserve"> × M</w:t>
            </w:r>
            <w:r w:rsidR="0000601A" w:rsidRPr="000855B2">
              <w:rPr>
                <w:vertAlign w:val="subscript"/>
              </w:rPr>
              <w:t>k,r</w:t>
            </w:r>
            <w:r w:rsidRPr="000855B2">
              <w:t xml:space="preserve"> × e</w:t>
            </w:r>
            <w:r w:rsidR="0000601A" w:rsidRPr="000855B2">
              <w:rPr>
                <w:vertAlign w:val="subscript"/>
              </w:rPr>
              <w:t>HOT; i, k</w:t>
            </w:r>
            <w:r w:rsidRPr="000855B2">
              <w:rPr>
                <w:vertAlign w:val="subscript"/>
              </w:rPr>
              <w:t xml:space="preserve">, </w:t>
            </w:r>
            <w:r w:rsidR="0000601A" w:rsidRPr="000855B2">
              <w:rPr>
                <w:vertAlign w:val="subscript"/>
              </w:rPr>
              <w:t>r</w:t>
            </w:r>
          </w:p>
        </w:tc>
        <w:tc>
          <w:tcPr>
            <w:tcW w:w="740" w:type="dxa"/>
            <w:tcMar>
              <w:left w:w="0" w:type="dxa"/>
              <w:right w:w="0" w:type="dxa"/>
            </w:tcMar>
            <w:vAlign w:val="center"/>
          </w:tcPr>
          <w:p w14:paraId="776DC159" w14:textId="67AA1102" w:rsidR="001D2587" w:rsidRPr="000855B2" w:rsidRDefault="001D2587" w:rsidP="00546C89">
            <w:pPr>
              <w:pStyle w:val="BodyText"/>
            </w:pPr>
            <w:bookmarkStart w:id="123" w:name="_Ref140576510"/>
            <w:r w:rsidRPr="000855B2">
              <w:t>(</w:t>
            </w:r>
            <w:r w:rsidR="00FB454C">
              <w:fldChar w:fldCharType="begin"/>
            </w:r>
            <w:r w:rsidR="00FB454C">
              <w:instrText xml:space="preserve"> SEQ Εξίσωση \* ARABIC </w:instrText>
            </w:r>
            <w:r w:rsidR="00FB454C">
              <w:fldChar w:fldCharType="separate"/>
            </w:r>
            <w:r w:rsidR="0071604C">
              <w:rPr>
                <w:noProof/>
              </w:rPr>
              <w:t>8</w:t>
            </w:r>
            <w:r w:rsidR="00FB454C">
              <w:rPr>
                <w:noProof/>
              </w:rPr>
              <w:fldChar w:fldCharType="end"/>
            </w:r>
            <w:r w:rsidRPr="000855B2">
              <w:t>)</w:t>
            </w:r>
            <w:bookmarkEnd w:id="123"/>
          </w:p>
        </w:tc>
      </w:tr>
    </w:tbl>
    <w:p w14:paraId="28B87997" w14:textId="77777777" w:rsidR="001D2587" w:rsidRPr="000855B2" w:rsidRDefault="001D2587" w:rsidP="00546C89">
      <w:pPr>
        <w:pStyle w:val="BodyText"/>
      </w:pPr>
      <w:r w:rsidRPr="000855B2">
        <w:t>where,</w:t>
      </w:r>
      <w:r w:rsidR="00E277FE" w:rsidRPr="000855B2">
        <w:t xml:space="preserve"> </w:t>
      </w:r>
    </w:p>
    <w:p w14:paraId="481D54A5" w14:textId="77777777" w:rsidR="001D2587" w:rsidRPr="000855B2" w:rsidRDefault="001D2587" w:rsidP="00546C89">
      <w:pPr>
        <w:pStyle w:val="BodyText"/>
        <w:tabs>
          <w:tab w:val="left" w:pos="900"/>
          <w:tab w:val="left" w:pos="1260"/>
        </w:tabs>
        <w:ind w:left="1260" w:hanging="1260"/>
      </w:pPr>
      <w:r w:rsidRPr="000855B2">
        <w:t>E</w:t>
      </w:r>
      <w:r w:rsidR="0000601A" w:rsidRPr="000855B2">
        <w:rPr>
          <w:vertAlign w:val="subscript"/>
        </w:rPr>
        <w:t>HOT; i, k, r</w:t>
      </w:r>
      <w:r w:rsidRPr="000855B2">
        <w:tab/>
      </w:r>
      <w:r w:rsidR="009D0749" w:rsidRPr="000855B2">
        <w:t>=</w:t>
      </w:r>
      <w:r w:rsidR="009D0749" w:rsidRPr="000855B2">
        <w:tab/>
      </w:r>
      <w:r w:rsidR="00E277FE" w:rsidRPr="000855B2">
        <w:t>h</w:t>
      </w:r>
      <w:r w:rsidR="009D0749" w:rsidRPr="000855B2">
        <w:t xml:space="preserve">ot exhaust </w:t>
      </w:r>
      <w:r w:rsidRPr="000855B2">
        <w:t xml:space="preserve">emissions of the pollutant i [g], produced in </w:t>
      </w:r>
      <w:r w:rsidR="0000601A" w:rsidRPr="000855B2">
        <w:t xml:space="preserve">the period concerned </w:t>
      </w:r>
      <w:r w:rsidR="009D0749" w:rsidRPr="000855B2">
        <w:t xml:space="preserve">by </w:t>
      </w:r>
      <w:r w:rsidR="0000601A" w:rsidRPr="000855B2">
        <w:t>vehicles of technology k driven on roads of type r</w:t>
      </w:r>
      <w:r w:rsidR="00E277FE" w:rsidRPr="000855B2">
        <w:t>,</w:t>
      </w:r>
    </w:p>
    <w:p w14:paraId="28452006" w14:textId="77777777" w:rsidR="001D2587" w:rsidRPr="000855B2" w:rsidRDefault="001D2587" w:rsidP="00546C89">
      <w:pPr>
        <w:pStyle w:val="BodyText"/>
        <w:tabs>
          <w:tab w:val="left" w:pos="900"/>
          <w:tab w:val="left" w:pos="1260"/>
        </w:tabs>
        <w:ind w:left="1260" w:hanging="1260"/>
      </w:pPr>
      <w:r w:rsidRPr="000855B2">
        <w:t>N</w:t>
      </w:r>
      <w:r w:rsidR="0000601A" w:rsidRPr="000855B2">
        <w:rPr>
          <w:vertAlign w:val="subscript"/>
        </w:rPr>
        <w:t>k</w:t>
      </w:r>
      <w:r w:rsidRPr="000855B2">
        <w:tab/>
      </w:r>
      <w:r w:rsidR="009D0749" w:rsidRPr="000855B2">
        <w:t>=</w:t>
      </w:r>
      <w:r w:rsidR="009D0749" w:rsidRPr="000855B2">
        <w:tab/>
      </w:r>
      <w:r w:rsidR="00E277FE" w:rsidRPr="000855B2">
        <w:t>n</w:t>
      </w:r>
      <w:r w:rsidRPr="000855B2">
        <w:t xml:space="preserve">umber of vehicles [veh] </w:t>
      </w:r>
      <w:r w:rsidR="00E405A5" w:rsidRPr="000855B2">
        <w:t>of</w:t>
      </w:r>
      <w:r w:rsidR="0000601A" w:rsidRPr="000855B2">
        <w:t xml:space="preserve"> technology k</w:t>
      </w:r>
      <w:r w:rsidR="00E405A5" w:rsidRPr="000855B2">
        <w:t xml:space="preserve"> in operation</w:t>
      </w:r>
      <w:r w:rsidRPr="000855B2">
        <w:t xml:space="preserve"> </w:t>
      </w:r>
      <w:r w:rsidR="009D0749" w:rsidRPr="000855B2">
        <w:t>in</w:t>
      </w:r>
      <w:r w:rsidR="00E405A5" w:rsidRPr="000855B2">
        <w:t xml:space="preserve"> the period concerned</w:t>
      </w:r>
      <w:r w:rsidR="00E277FE" w:rsidRPr="000855B2">
        <w:t>,</w:t>
      </w:r>
    </w:p>
    <w:p w14:paraId="7EEA5719" w14:textId="77777777" w:rsidR="001D2587" w:rsidRPr="000855B2" w:rsidRDefault="001D2587" w:rsidP="00546C89">
      <w:pPr>
        <w:pStyle w:val="BodyText"/>
        <w:tabs>
          <w:tab w:val="left" w:pos="900"/>
          <w:tab w:val="left" w:pos="1260"/>
        </w:tabs>
        <w:ind w:left="1260" w:hanging="1260"/>
      </w:pPr>
      <w:r w:rsidRPr="000855B2">
        <w:t>M</w:t>
      </w:r>
      <w:r w:rsidR="0000601A" w:rsidRPr="000855B2">
        <w:rPr>
          <w:vertAlign w:val="subscript"/>
        </w:rPr>
        <w:t>k,r</w:t>
      </w:r>
      <w:r w:rsidRPr="000855B2">
        <w:tab/>
      </w:r>
      <w:r w:rsidR="009D0749" w:rsidRPr="000855B2">
        <w:t>=</w:t>
      </w:r>
      <w:r w:rsidR="009D0749" w:rsidRPr="000855B2">
        <w:tab/>
      </w:r>
      <w:r w:rsidR="00E277FE" w:rsidRPr="000855B2">
        <w:t>m</w:t>
      </w:r>
      <w:r w:rsidRPr="000855B2">
        <w:t>ileage per vehicle [km/veh</w:t>
      </w:r>
      <w:r w:rsidR="0000601A" w:rsidRPr="000855B2">
        <w:t>] driven on roads of type r</w:t>
      </w:r>
      <w:r w:rsidRPr="000855B2">
        <w:t xml:space="preserve"> by vehicles </w:t>
      </w:r>
      <w:r w:rsidR="00E405A5" w:rsidRPr="000855B2">
        <w:t>of</w:t>
      </w:r>
      <w:r w:rsidR="005542D8" w:rsidRPr="000855B2">
        <w:t xml:space="preserve"> </w:t>
      </w:r>
      <w:r w:rsidR="005542D8" w:rsidRPr="000855B2">
        <w:br/>
      </w:r>
      <w:r w:rsidR="0000601A" w:rsidRPr="000855B2">
        <w:t>technology k</w:t>
      </w:r>
      <w:r w:rsidR="00E277FE" w:rsidRPr="000855B2">
        <w:t>,</w:t>
      </w:r>
    </w:p>
    <w:p w14:paraId="7F1C60E0" w14:textId="77777777" w:rsidR="001D2587" w:rsidRPr="000855B2" w:rsidRDefault="001D2587" w:rsidP="00546C89">
      <w:pPr>
        <w:pStyle w:val="BodyText"/>
        <w:tabs>
          <w:tab w:val="left" w:pos="900"/>
          <w:tab w:val="left" w:pos="1260"/>
        </w:tabs>
        <w:ind w:left="1260" w:hanging="1260"/>
      </w:pPr>
      <w:r w:rsidRPr="000855B2">
        <w:t>e</w:t>
      </w:r>
      <w:r w:rsidRPr="000855B2">
        <w:rPr>
          <w:vertAlign w:val="subscript"/>
        </w:rPr>
        <w:t>HOT</w:t>
      </w:r>
      <w:r w:rsidR="0000601A" w:rsidRPr="000855B2">
        <w:rPr>
          <w:vertAlign w:val="subscript"/>
        </w:rPr>
        <w:t>; i, k, r</w:t>
      </w:r>
      <w:r w:rsidRPr="000855B2">
        <w:tab/>
      </w:r>
      <w:r w:rsidR="009D0749" w:rsidRPr="000855B2">
        <w:t>=</w:t>
      </w:r>
      <w:r w:rsidR="009D0749" w:rsidRPr="000855B2">
        <w:tab/>
      </w:r>
      <w:r w:rsidR="00E277FE" w:rsidRPr="000855B2">
        <w:t>e</w:t>
      </w:r>
      <w:r w:rsidRPr="000855B2">
        <w:t>missi</w:t>
      </w:r>
      <w:r w:rsidR="00284A11" w:rsidRPr="000855B2">
        <w:t xml:space="preserve">on factor in [g/km] for </w:t>
      </w:r>
      <w:r w:rsidRPr="000855B2">
        <w:t>pollutant i</w:t>
      </w:r>
      <w:r w:rsidR="00B74EBE" w:rsidRPr="000855B2">
        <w:t>, relevant for the vehicle technology k,</w:t>
      </w:r>
      <w:r w:rsidR="005542D8" w:rsidRPr="000855B2">
        <w:t xml:space="preserve"> </w:t>
      </w:r>
      <w:r w:rsidR="00B74EBE" w:rsidRPr="000855B2">
        <w:t>operated on roads of type r</w:t>
      </w:r>
      <w:r w:rsidR="009D0749" w:rsidRPr="000855B2">
        <w:t>.</w:t>
      </w:r>
      <w:r w:rsidR="00284A11" w:rsidRPr="000855B2">
        <w:t xml:space="preserve"> </w:t>
      </w:r>
    </w:p>
    <w:p w14:paraId="7EBD68E2" w14:textId="77777777" w:rsidR="00284A11" w:rsidRPr="000855B2" w:rsidRDefault="00284A11" w:rsidP="00546C89">
      <w:pPr>
        <w:pStyle w:val="BodyText"/>
        <w:ind w:left="-45"/>
      </w:pPr>
    </w:p>
    <w:p w14:paraId="436D9B84" w14:textId="77777777" w:rsidR="009D0749" w:rsidRPr="000855B2" w:rsidRDefault="009D0749" w:rsidP="00546C89">
      <w:pPr>
        <w:pStyle w:val="BodyText"/>
      </w:pPr>
      <w:r w:rsidRPr="000855B2">
        <w:t>The pollutants, vehicle classes and road classes are as follows:</w:t>
      </w:r>
    </w:p>
    <w:p w14:paraId="5EF3E2B4" w14:textId="77777777" w:rsidR="001D2587" w:rsidRPr="000855B2" w:rsidRDefault="00284A11" w:rsidP="00546C89">
      <w:pPr>
        <w:pStyle w:val="BodyText"/>
        <w:tabs>
          <w:tab w:val="left" w:pos="540"/>
        </w:tabs>
      </w:pPr>
      <w:r w:rsidRPr="000855B2">
        <w:t>i</w:t>
      </w:r>
      <w:r w:rsidRPr="000855B2">
        <w:tab/>
      </w:r>
      <w:r w:rsidR="001D2587" w:rsidRPr="000855B2">
        <w:t xml:space="preserve">pollutants </w:t>
      </w:r>
      <w:r w:rsidR="009D0749" w:rsidRPr="000855B2">
        <w:t>in</w:t>
      </w:r>
      <w:r w:rsidR="001D2587" w:rsidRPr="000855B2">
        <w:t xml:space="preserve"> Group 1 and Group 3</w:t>
      </w:r>
      <w:r w:rsidR="00E277FE" w:rsidRPr="000855B2">
        <w:t>,</w:t>
      </w:r>
    </w:p>
    <w:p w14:paraId="4D4D05BB" w14:textId="618C8A2D" w:rsidR="001D2587" w:rsidRPr="00EB2127" w:rsidRDefault="00B74EBE" w:rsidP="00EB2127">
      <w:pPr>
        <w:pStyle w:val="BodyText"/>
        <w:tabs>
          <w:tab w:val="left" w:pos="540"/>
        </w:tabs>
      </w:pPr>
      <w:r w:rsidRPr="000855B2">
        <w:t>k</w:t>
      </w:r>
      <w:r w:rsidR="001D2587" w:rsidRPr="000855B2">
        <w:tab/>
      </w:r>
      <w:r w:rsidR="00284A11" w:rsidRPr="000855B2">
        <w:t xml:space="preserve">vehicle </w:t>
      </w:r>
      <w:r w:rsidR="00E277FE" w:rsidRPr="00EB2127">
        <w:t>technologies</w:t>
      </w:r>
      <w:r w:rsidR="001D2587" w:rsidRPr="00EB2127">
        <w:t xml:space="preserve"> </w:t>
      </w:r>
      <w:r w:rsidR="00284A11" w:rsidRPr="00EB2127">
        <w:t>in</w:t>
      </w:r>
      <w:r w:rsidR="001D2587" w:rsidRPr="00EB2127">
        <w:t xml:space="preserve"> </w:t>
      </w:r>
      <w:r w:rsidR="00FB454C">
        <w:fldChar w:fldCharType="begin"/>
      </w:r>
      <w:r w:rsidR="00FB454C">
        <w:instrText xml:space="preserve"> REF _Ref140399439 \h  \* MERGEFORMAT </w:instrText>
      </w:r>
      <w:r w:rsidR="00FB454C">
        <w:fldChar w:fldCharType="separate"/>
      </w:r>
      <w:r w:rsidR="0071604C" w:rsidRPr="001843DE">
        <w:t>Table </w:t>
      </w:r>
      <w:r w:rsidR="0071604C">
        <w:t>2.2</w:t>
      </w:r>
      <w:r w:rsidR="00FB454C">
        <w:fldChar w:fldCharType="end"/>
      </w:r>
      <w:r w:rsidR="00E277FE" w:rsidRPr="00EB2127">
        <w:t>,</w:t>
      </w:r>
    </w:p>
    <w:p w14:paraId="1EE1B7D1" w14:textId="77777777" w:rsidR="005542D8" w:rsidRPr="00EB2127" w:rsidRDefault="00EB2127" w:rsidP="00546C89">
      <w:pPr>
        <w:pStyle w:val="BodyText"/>
        <w:tabs>
          <w:tab w:val="left" w:pos="540"/>
        </w:tabs>
      </w:pPr>
      <w:r>
        <w:t>r</w:t>
      </w:r>
      <w:r w:rsidR="009D0749" w:rsidRPr="00EB2127">
        <w:tab/>
      </w:r>
      <w:r w:rsidR="0038472B" w:rsidRPr="00EB2127">
        <w:t>road class (‘urban’, ‘rural’, and ‘highway’).</w:t>
      </w:r>
      <w:bookmarkStart w:id="124" w:name="_Toc388192342"/>
      <w:bookmarkStart w:id="125" w:name="_Toc402634754"/>
    </w:p>
    <w:p w14:paraId="5455A172" w14:textId="724F9062" w:rsidR="009D0749" w:rsidRPr="000855B2" w:rsidRDefault="009D0749" w:rsidP="00546C89">
      <w:pPr>
        <w:pStyle w:val="BodyText"/>
      </w:pPr>
      <w:r w:rsidRPr="00EB2127">
        <w:t>Note: the same formula</w:t>
      </w:r>
      <w:r w:rsidRPr="000855B2">
        <w:t xml:space="preserve"> is also applied for the calculation of the total </w:t>
      </w:r>
      <w:r w:rsidR="00C02BA0">
        <w:t>energy</w:t>
      </w:r>
      <w:r w:rsidR="00C02BA0" w:rsidRPr="000855B2">
        <w:t xml:space="preserve"> </w:t>
      </w:r>
      <w:r w:rsidRPr="000855B2">
        <w:t xml:space="preserve">consumed by vehicles of the specific class. However, in the case of </w:t>
      </w:r>
      <w:r w:rsidR="00B35E95">
        <w:t>energy</w:t>
      </w:r>
      <w:r w:rsidRPr="000855B2">
        <w:t xml:space="preserve"> consumption, an additional distinction needs to be made for different fuel types.</w:t>
      </w:r>
    </w:p>
    <w:bookmarkEnd w:id="124"/>
    <w:bookmarkEnd w:id="125"/>
    <w:p w14:paraId="741F680E" w14:textId="77777777" w:rsidR="001D2587" w:rsidRPr="000855B2" w:rsidRDefault="001D2587" w:rsidP="00546C89">
      <w:pPr>
        <w:pStyle w:val="BodyText"/>
      </w:pPr>
      <w:r w:rsidRPr="000855B2">
        <w:t xml:space="preserve">Vehicle speed, which is introduced into the calculation via </w:t>
      </w:r>
      <w:r w:rsidRPr="00EB2127">
        <w:t xml:space="preserve">the </w:t>
      </w:r>
      <w:r w:rsidR="00EB2127" w:rsidRPr="00EB2127">
        <w:t>different</w:t>
      </w:r>
      <w:r w:rsidR="0038472B" w:rsidRPr="00EB2127">
        <w:t xml:space="preserve"> driving modes</w:t>
      </w:r>
      <w:r w:rsidRPr="00EB2127">
        <w:t xml:space="preserve">, has a major influence on </w:t>
      </w:r>
      <w:r w:rsidR="009D0749" w:rsidRPr="00EB2127">
        <w:t>exhaust</w:t>
      </w:r>
      <w:r w:rsidRPr="00EB2127">
        <w:t xml:space="preserve"> emissions</w:t>
      </w:r>
      <w:r w:rsidR="009D0749" w:rsidRPr="00EB2127">
        <w:t>, and</w:t>
      </w:r>
      <w:r w:rsidRPr="00EB2127">
        <w:t xml:space="preserve"> </w:t>
      </w:r>
      <w:r w:rsidR="009D0749" w:rsidRPr="00EB2127">
        <w:t>d</w:t>
      </w:r>
      <w:r w:rsidRPr="00EB2127">
        <w:t>ifferent approaches have</w:t>
      </w:r>
      <w:r w:rsidRPr="000855B2">
        <w:t xml:space="preserve"> been developed to take </w:t>
      </w:r>
      <w:r w:rsidR="009D0749" w:rsidRPr="000855B2">
        <w:t xml:space="preserve">this </w:t>
      </w:r>
      <w:r w:rsidRPr="000855B2">
        <w:t>into accoun</w:t>
      </w:r>
      <w:r w:rsidR="009D0749" w:rsidRPr="000855B2">
        <w:t>t</w:t>
      </w:r>
      <w:r w:rsidRPr="000855B2">
        <w:t xml:space="preserve">. </w:t>
      </w:r>
      <w:r w:rsidR="009D0749" w:rsidRPr="000855B2">
        <w:t>For</w:t>
      </w:r>
      <w:r w:rsidRPr="000855B2">
        <w:t xml:space="preserve"> the emission factors presented in this chapter, two alternative methods can be used:</w:t>
      </w:r>
    </w:p>
    <w:p w14:paraId="73E7D286" w14:textId="2B161CED" w:rsidR="001D2587" w:rsidRPr="000855B2" w:rsidRDefault="004A3634" w:rsidP="00546C89">
      <w:pPr>
        <w:pStyle w:val="ListBullet"/>
      </w:pPr>
      <w:r w:rsidRPr="000855B2">
        <w:t>t</w:t>
      </w:r>
      <w:r w:rsidR="001D2587" w:rsidRPr="000855B2">
        <w:t xml:space="preserve">o select </w:t>
      </w:r>
      <w:r w:rsidR="005B710F" w:rsidRPr="000855B2">
        <w:t>a</w:t>
      </w:r>
      <w:r w:rsidR="001D2587" w:rsidRPr="000855B2">
        <w:t xml:space="preserve"> single average speed</w:t>
      </w:r>
      <w:r w:rsidR="005B710F" w:rsidRPr="000855B2">
        <w:t xml:space="preserve"> which</w:t>
      </w:r>
      <w:r w:rsidR="001D2587" w:rsidRPr="000855B2">
        <w:t xml:space="preserve"> representative of each of the road </w:t>
      </w:r>
      <w:r w:rsidR="001D2587" w:rsidRPr="00EB2127">
        <w:t xml:space="preserve">types </w:t>
      </w:r>
      <w:r w:rsidR="005B710F" w:rsidRPr="00EB2127">
        <w:t>‘</w:t>
      </w:r>
      <w:r w:rsidR="0038472B" w:rsidRPr="00EB2127">
        <w:t>urban’, ‘rural’ and ‘highway’ (</w:t>
      </w:r>
      <w:r w:rsidR="00D73F59" w:rsidRPr="00EB2127">
        <w:t>e.g</w:t>
      </w:r>
      <w:r w:rsidR="001D2587" w:rsidRPr="00EB2127">
        <w:rPr>
          <w:i/>
        </w:rPr>
        <w:t>.</w:t>
      </w:r>
      <w:r w:rsidR="001D2587" w:rsidRPr="00EB2127">
        <w:t xml:space="preserve"> 20</w:t>
      </w:r>
      <w:r w:rsidRPr="00EB2127">
        <w:t> </w:t>
      </w:r>
      <w:r w:rsidR="001D2587" w:rsidRPr="00EB2127">
        <w:t>km/h, 60</w:t>
      </w:r>
      <w:r w:rsidRPr="00EB2127">
        <w:t> </w:t>
      </w:r>
      <w:r w:rsidR="001D2587" w:rsidRPr="00EB2127">
        <w:t>km/h and 100</w:t>
      </w:r>
      <w:r w:rsidRPr="00EB2127">
        <w:t> </w:t>
      </w:r>
      <w:r w:rsidR="001D2587" w:rsidRPr="00EB2127">
        <w:t>km/h, respectively)</w:t>
      </w:r>
      <w:r w:rsidR="005B710F" w:rsidRPr="00EB2127">
        <w:t>,</w:t>
      </w:r>
      <w:r w:rsidR="001D2587" w:rsidRPr="00EB2127">
        <w:t xml:space="preserve"> a</w:t>
      </w:r>
      <w:r w:rsidR="00C37495" w:rsidRPr="00EB2127">
        <w:t>nd to apply th</w:t>
      </w:r>
      <w:r w:rsidR="00C37495" w:rsidRPr="000855B2">
        <w:t>e emission factor values</w:t>
      </w:r>
      <w:r w:rsidR="001D2587" w:rsidRPr="000855B2">
        <w:t xml:space="preserve"> </w:t>
      </w:r>
      <w:r w:rsidR="00C37495" w:rsidRPr="000855B2">
        <w:t xml:space="preserve">presented in </w:t>
      </w:r>
      <w:r w:rsidRPr="000855B2">
        <w:t>sub</w:t>
      </w:r>
      <w:r w:rsidR="00C37495" w:rsidRPr="000855B2">
        <w:t xml:space="preserve">section </w:t>
      </w:r>
      <w:r w:rsidR="00FB454C">
        <w:fldChar w:fldCharType="begin"/>
      </w:r>
      <w:r w:rsidR="00FB454C">
        <w:instrText xml:space="preserve"> REF _Ref144978860 \r \h  \* MERGEFORMAT </w:instrText>
      </w:r>
      <w:r w:rsidR="00FB454C">
        <w:fldChar w:fldCharType="separate"/>
      </w:r>
      <w:r w:rsidR="0071604C">
        <w:t>3.4.3</w:t>
      </w:r>
      <w:r w:rsidR="00FB454C">
        <w:fldChar w:fldCharType="end"/>
      </w:r>
      <w:r w:rsidRPr="000855B2">
        <w:t>;</w:t>
      </w:r>
    </w:p>
    <w:p w14:paraId="1F845F2F" w14:textId="77777777" w:rsidR="001D2587" w:rsidRPr="000855B2" w:rsidRDefault="004A3634" w:rsidP="00546C89">
      <w:pPr>
        <w:pStyle w:val="ListBullet"/>
      </w:pPr>
      <w:r w:rsidRPr="000855B2">
        <w:t>t</w:t>
      </w:r>
      <w:r w:rsidR="001D2587" w:rsidRPr="000855B2">
        <w:t>o define mean speed distribution curves f</w:t>
      </w:r>
      <w:r w:rsidR="001D2587" w:rsidRPr="000855B2">
        <w:rPr>
          <w:vertAlign w:val="subscript"/>
        </w:rPr>
        <w:t xml:space="preserve">j, k </w:t>
      </w:r>
      <w:r w:rsidR="001D2587" w:rsidRPr="000855B2">
        <w:t xml:space="preserve">(V) and to integrate over the emission curves, </w:t>
      </w:r>
      <w:r w:rsidR="00D205E2" w:rsidRPr="000855B2">
        <w:t>i.e</w:t>
      </w:r>
      <w:r w:rsidR="001D2587" w:rsidRPr="000855B2">
        <w:rPr>
          <w:i/>
        </w:rPr>
        <w:t>.</w:t>
      </w:r>
      <w:r w:rsidRPr="000855B2">
        <w:t>:</w:t>
      </w:r>
    </w:p>
    <w:tbl>
      <w:tblPr>
        <w:tblW w:w="0" w:type="auto"/>
        <w:tblBorders>
          <w:insideH w:val="single" w:sz="4" w:space="0" w:color="auto"/>
        </w:tblBorders>
        <w:tblLook w:val="01E0" w:firstRow="1" w:lastRow="1" w:firstColumn="1" w:lastColumn="1" w:noHBand="0" w:noVBand="0"/>
      </w:tblPr>
      <w:tblGrid>
        <w:gridCol w:w="7714"/>
        <w:gridCol w:w="749"/>
      </w:tblGrid>
      <w:tr w:rsidR="001D2587" w:rsidRPr="000855B2" w14:paraId="25A150B8" w14:textId="77777777">
        <w:tc>
          <w:tcPr>
            <w:tcW w:w="8240" w:type="dxa"/>
            <w:tcMar>
              <w:left w:w="0" w:type="dxa"/>
              <w:right w:w="0" w:type="dxa"/>
            </w:tcMar>
            <w:vAlign w:val="center"/>
          </w:tcPr>
          <w:p w14:paraId="34445555" w14:textId="77777777" w:rsidR="001D2587" w:rsidRPr="00765ABC" w:rsidRDefault="001D2587" w:rsidP="00546C89">
            <w:pPr>
              <w:numPr>
                <w:ilvl w:val="12"/>
                <w:numId w:val="0"/>
              </w:numPr>
              <w:rPr>
                <w:lang w:val="en-GB"/>
              </w:rPr>
            </w:pPr>
            <w:r w:rsidRPr="00765ABC">
              <w:rPr>
                <w:lang w:val="en-GB"/>
              </w:rPr>
              <w:t>e</w:t>
            </w:r>
            <w:r w:rsidR="00BA5E00" w:rsidRPr="00765ABC">
              <w:rPr>
                <w:vertAlign w:val="subscript"/>
                <w:lang w:val="en-GB"/>
              </w:rPr>
              <w:t>HOT; i, k, r</w:t>
            </w:r>
            <w:r w:rsidRPr="00765ABC">
              <w:rPr>
                <w:lang w:val="en-GB"/>
              </w:rPr>
              <w:t xml:space="preserve">  = </w:t>
            </w:r>
            <w:r w:rsidRPr="000855B2">
              <w:rPr>
                <w:i/>
                <w:sz w:val="52"/>
                <w:vertAlign w:val="subscript"/>
                <w:lang w:val="en-GB"/>
              </w:rPr>
              <w:sym w:font="Symbol" w:char="F0F2"/>
            </w:r>
            <w:r w:rsidRPr="00765ABC">
              <w:rPr>
                <w:position w:val="6"/>
                <w:sz w:val="44"/>
                <w:lang w:val="en-GB"/>
              </w:rPr>
              <w:t xml:space="preserve"> </w:t>
            </w:r>
            <w:r w:rsidRPr="00765ABC">
              <w:rPr>
                <w:lang w:val="en-GB"/>
              </w:rPr>
              <w:t>[e(V) × f</w:t>
            </w:r>
            <w:r w:rsidR="00BA5E00" w:rsidRPr="00765ABC">
              <w:rPr>
                <w:vertAlign w:val="subscript"/>
                <w:lang w:val="en-GB"/>
              </w:rPr>
              <w:t>k, r</w:t>
            </w:r>
            <w:r w:rsidRPr="00765ABC">
              <w:rPr>
                <w:vertAlign w:val="subscript"/>
                <w:lang w:val="en-GB"/>
              </w:rPr>
              <w:t xml:space="preserve"> </w:t>
            </w:r>
            <w:r w:rsidRPr="00765ABC">
              <w:rPr>
                <w:lang w:val="en-GB"/>
              </w:rPr>
              <w:t>(V)] dV</w:t>
            </w:r>
          </w:p>
        </w:tc>
        <w:tc>
          <w:tcPr>
            <w:tcW w:w="787" w:type="dxa"/>
            <w:tcMar>
              <w:left w:w="0" w:type="dxa"/>
              <w:right w:w="0" w:type="dxa"/>
            </w:tcMar>
            <w:vAlign w:val="center"/>
          </w:tcPr>
          <w:p w14:paraId="3C8A6DC1" w14:textId="3E6F72F2" w:rsidR="001D2587" w:rsidRPr="000855B2" w:rsidRDefault="001D2587" w:rsidP="00546C89">
            <w:pPr>
              <w:numPr>
                <w:ilvl w:val="12"/>
                <w:numId w:val="0"/>
              </w:numPr>
              <w:rPr>
                <w:lang w:val="en-GB"/>
              </w:rPr>
            </w:pPr>
            <w:bookmarkStart w:id="126" w:name="_Ref140576555"/>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9</w:t>
            </w:r>
            <w:r w:rsidR="00E17971">
              <w:rPr>
                <w:lang w:val="en-GB"/>
              </w:rPr>
              <w:fldChar w:fldCharType="end"/>
            </w:r>
            <w:r w:rsidRPr="000855B2">
              <w:rPr>
                <w:lang w:val="en-GB"/>
              </w:rPr>
              <w:t>)</w:t>
            </w:r>
            <w:bookmarkEnd w:id="126"/>
          </w:p>
        </w:tc>
      </w:tr>
    </w:tbl>
    <w:p w14:paraId="38A260E3" w14:textId="77777777" w:rsidR="001D2587" w:rsidRPr="000855B2" w:rsidRDefault="001D2587" w:rsidP="00546C89">
      <w:pPr>
        <w:pStyle w:val="BodyText"/>
      </w:pPr>
      <w:r w:rsidRPr="000855B2">
        <w:t>where,</w:t>
      </w:r>
    </w:p>
    <w:p w14:paraId="486BA73A" w14:textId="77777777" w:rsidR="001D2587" w:rsidRPr="000855B2" w:rsidRDefault="001D2587" w:rsidP="00546C89">
      <w:pPr>
        <w:pStyle w:val="BodyText"/>
        <w:tabs>
          <w:tab w:val="left" w:pos="900"/>
          <w:tab w:val="left" w:pos="1260"/>
        </w:tabs>
        <w:ind w:left="1260" w:hanging="1260"/>
      </w:pPr>
      <w:r w:rsidRPr="000855B2">
        <w:t>V</w:t>
      </w:r>
      <w:r w:rsidR="00146003" w:rsidRPr="000855B2">
        <w:tab/>
        <w:t>=</w:t>
      </w:r>
      <w:r w:rsidR="00146003" w:rsidRPr="000855B2">
        <w:tab/>
      </w:r>
      <w:r w:rsidR="004A3634" w:rsidRPr="000855B2">
        <w:t>s</w:t>
      </w:r>
      <w:r w:rsidRPr="000855B2">
        <w:t xml:space="preserve">peed of vehicles on </w:t>
      </w:r>
      <w:r w:rsidR="00146003" w:rsidRPr="000855B2">
        <w:t xml:space="preserve">the </w:t>
      </w:r>
      <w:r w:rsidR="00EB2127">
        <w:t xml:space="preserve">different </w:t>
      </w:r>
      <w:r w:rsidRPr="000855B2">
        <w:t xml:space="preserve">road </w:t>
      </w:r>
      <w:r w:rsidR="0038472B" w:rsidRPr="00EB2127">
        <w:t>classes,</w:t>
      </w:r>
    </w:p>
    <w:p w14:paraId="64FB2FD7" w14:textId="77777777" w:rsidR="001D2587" w:rsidRPr="000855B2" w:rsidRDefault="001D2587" w:rsidP="00546C89">
      <w:pPr>
        <w:pStyle w:val="BodyText"/>
        <w:tabs>
          <w:tab w:val="left" w:pos="900"/>
          <w:tab w:val="left" w:pos="1260"/>
        </w:tabs>
        <w:ind w:left="1260" w:hanging="1260"/>
      </w:pPr>
      <w:r w:rsidRPr="000855B2">
        <w:t>e(V)</w:t>
      </w:r>
      <w:r w:rsidR="00146003" w:rsidRPr="000855B2">
        <w:tab/>
        <w:t>=</w:t>
      </w:r>
      <w:r w:rsidR="00146003" w:rsidRPr="000855B2">
        <w:tab/>
      </w:r>
      <w:r w:rsidR="004A3634" w:rsidRPr="000855B2">
        <w:t>e</w:t>
      </w:r>
      <w:r w:rsidRPr="000855B2">
        <w:t>xpression of the speed-dependency of e</w:t>
      </w:r>
      <w:r w:rsidR="00C37495" w:rsidRPr="000855B2">
        <w:t>HOT; i, k, r</w:t>
      </w:r>
      <w:r w:rsidR="004A3634" w:rsidRPr="000855B2">
        <w:t>,</w:t>
      </w:r>
    </w:p>
    <w:p w14:paraId="136727CB" w14:textId="77777777" w:rsidR="001D2587" w:rsidRPr="000855B2" w:rsidRDefault="001D2587" w:rsidP="00546C89">
      <w:pPr>
        <w:pStyle w:val="BodyText"/>
        <w:tabs>
          <w:tab w:val="left" w:pos="900"/>
          <w:tab w:val="left" w:pos="1260"/>
        </w:tabs>
        <w:ind w:left="1260" w:hanging="1260"/>
      </w:pPr>
      <w:r w:rsidRPr="000855B2">
        <w:t>f</w:t>
      </w:r>
      <w:r w:rsidR="00BA5E00" w:rsidRPr="000855B2">
        <w:rPr>
          <w:vertAlign w:val="subscript"/>
        </w:rPr>
        <w:t>k, r</w:t>
      </w:r>
      <w:r w:rsidRPr="000855B2">
        <w:rPr>
          <w:vertAlign w:val="subscript"/>
        </w:rPr>
        <w:t xml:space="preserve"> </w:t>
      </w:r>
      <w:r w:rsidRPr="000855B2">
        <w:t>(V)</w:t>
      </w:r>
      <w:r w:rsidR="00146003" w:rsidRPr="000855B2">
        <w:tab/>
        <w:t>=</w:t>
      </w:r>
      <w:r w:rsidR="00146003" w:rsidRPr="000855B2">
        <w:tab/>
      </w:r>
      <w:r w:rsidR="004A3634" w:rsidRPr="000855B2">
        <w:t>e</w:t>
      </w:r>
      <w:r w:rsidRPr="000855B2">
        <w:t>quation (</w:t>
      </w:r>
      <w:r w:rsidR="00D73F59" w:rsidRPr="000855B2">
        <w:t>e.g</w:t>
      </w:r>
      <w:r w:rsidRPr="000855B2">
        <w:t xml:space="preserve">. formula of </w:t>
      </w:r>
      <w:r w:rsidR="00146003" w:rsidRPr="000855B2">
        <w:t>‘</w:t>
      </w:r>
      <w:r w:rsidRPr="000855B2">
        <w:t>best fit</w:t>
      </w:r>
      <w:r w:rsidR="00146003" w:rsidRPr="000855B2">
        <w:t>’</w:t>
      </w:r>
      <w:r w:rsidRPr="000855B2">
        <w:t xml:space="preserve"> curve)</w:t>
      </w:r>
      <w:r w:rsidR="00146003" w:rsidRPr="000855B2">
        <w:t xml:space="preserve"> describing</w:t>
      </w:r>
      <w:r w:rsidRPr="000855B2">
        <w:t xml:space="preserve"> the frequency distribution of the mean speeds which corresponds to the driving patterns of vehicles on road classes </w:t>
      </w:r>
      <w:r w:rsidR="00146003" w:rsidRPr="000855B2">
        <w:t>‘</w:t>
      </w:r>
      <w:r w:rsidRPr="000855B2">
        <w:t>rural</w:t>
      </w:r>
      <w:r w:rsidR="00146003" w:rsidRPr="000855B2">
        <w:t>’</w:t>
      </w:r>
      <w:r w:rsidRPr="000855B2">
        <w:t xml:space="preserve">, </w:t>
      </w:r>
      <w:r w:rsidR="00146003" w:rsidRPr="000855B2">
        <w:t>‘</w:t>
      </w:r>
      <w:r w:rsidRPr="000855B2">
        <w:t>urban</w:t>
      </w:r>
      <w:r w:rsidR="00146003" w:rsidRPr="000855B2">
        <w:t>’</w:t>
      </w:r>
      <w:r w:rsidRPr="000855B2">
        <w:t xml:space="preserve"> and </w:t>
      </w:r>
      <w:r w:rsidR="00146003" w:rsidRPr="000855B2">
        <w:t>‘</w:t>
      </w:r>
      <w:r w:rsidRPr="000855B2">
        <w:t>highway</w:t>
      </w:r>
      <w:r w:rsidR="00146003" w:rsidRPr="000855B2">
        <w:t>’</w:t>
      </w:r>
      <w:r w:rsidRPr="000855B2">
        <w:t>.</w:t>
      </w:r>
      <w:r w:rsidR="00146003" w:rsidRPr="000855B2">
        <w:t xml:space="preserve"> The term</w:t>
      </w:r>
      <w:r w:rsidRPr="000855B2">
        <w:t xml:space="preserve"> f</w:t>
      </w:r>
      <w:r w:rsidR="00BA5E00" w:rsidRPr="000855B2">
        <w:t>k,r</w:t>
      </w:r>
      <w:r w:rsidRPr="000855B2">
        <w:t xml:space="preserve">(V) </w:t>
      </w:r>
      <w:r w:rsidR="00146003" w:rsidRPr="000855B2">
        <w:t>is a function of</w:t>
      </w:r>
      <w:r w:rsidR="00BA5E00" w:rsidRPr="000855B2">
        <w:t xml:space="preserve"> vehicle technology k and road type r</w:t>
      </w:r>
      <w:r w:rsidRPr="000855B2">
        <w:t>.</w:t>
      </w:r>
    </w:p>
    <w:p w14:paraId="776E64AB" w14:textId="77777777" w:rsidR="001D2587" w:rsidRPr="000855B2" w:rsidRDefault="001D2587" w:rsidP="00546C89">
      <w:pPr>
        <w:pStyle w:val="BodyText"/>
      </w:pPr>
      <w:r w:rsidRPr="000855B2">
        <w:lastRenderedPageBreak/>
        <w:t>It is evident that the first approach mentioned above is much easier</w:t>
      </w:r>
      <w:r w:rsidR="00146003" w:rsidRPr="000855B2">
        <w:t>,</w:t>
      </w:r>
      <w:r w:rsidRPr="000855B2">
        <w:t xml:space="preserve"> and </w:t>
      </w:r>
      <w:r w:rsidR="00146003" w:rsidRPr="000855B2">
        <w:t>is l</w:t>
      </w:r>
      <w:r w:rsidRPr="000855B2">
        <w:t xml:space="preserve">ikely </w:t>
      </w:r>
      <w:r w:rsidR="00146003" w:rsidRPr="000855B2">
        <w:t xml:space="preserve">to be </w:t>
      </w:r>
      <w:r w:rsidRPr="000855B2">
        <w:t>the one</w:t>
      </w:r>
      <w:r w:rsidR="00146003" w:rsidRPr="000855B2">
        <w:t xml:space="preserve"> </w:t>
      </w:r>
      <w:r w:rsidRPr="000855B2">
        <w:t xml:space="preserve">chosen by most countries. Additionally, given the uncertainty in the estimation of the emission factors, the improvement brought </w:t>
      </w:r>
      <w:r w:rsidR="00146003" w:rsidRPr="000855B2">
        <w:t xml:space="preserve">about </w:t>
      </w:r>
      <w:r w:rsidRPr="000855B2">
        <w:t>by the second approach cannot really be substantiated.</w:t>
      </w:r>
    </w:p>
    <w:p w14:paraId="6118F0BA" w14:textId="250B16B7" w:rsidR="001D2587" w:rsidRPr="000855B2" w:rsidRDefault="001D2587" w:rsidP="00167D6A">
      <w:pPr>
        <w:pStyle w:val="Heading4"/>
        <w:rPr>
          <w:lang w:eastAsia="it-IT"/>
        </w:rPr>
      </w:pPr>
      <w:bookmarkStart w:id="127" w:name="_Toc388192344"/>
      <w:bookmarkStart w:id="128" w:name="_Toc402634756"/>
      <w:bookmarkStart w:id="129" w:name="_Toc457131583"/>
      <w:bookmarkStart w:id="130" w:name="_Toc496264315"/>
      <w:r w:rsidRPr="000855B2">
        <w:rPr>
          <w:lang w:eastAsia="it-IT"/>
        </w:rPr>
        <w:t>Cold</w:t>
      </w:r>
      <w:r w:rsidR="00750572" w:rsidRPr="000855B2">
        <w:rPr>
          <w:lang w:eastAsia="it-IT"/>
        </w:rPr>
        <w:t>-</w:t>
      </w:r>
      <w:r w:rsidRPr="000855B2">
        <w:rPr>
          <w:lang w:eastAsia="it-IT"/>
        </w:rPr>
        <w:t>start emissions</w:t>
      </w:r>
      <w:bookmarkEnd w:id="127"/>
      <w:bookmarkEnd w:id="128"/>
      <w:bookmarkEnd w:id="129"/>
      <w:bookmarkEnd w:id="130"/>
    </w:p>
    <w:p w14:paraId="14D7EC1C" w14:textId="77777777" w:rsidR="001D2587" w:rsidRPr="000855B2" w:rsidRDefault="001D2587" w:rsidP="00546C89">
      <w:pPr>
        <w:pStyle w:val="BodyText"/>
      </w:pPr>
      <w:r w:rsidRPr="000855B2">
        <w:t xml:space="preserve">Cold starts result in additional </w:t>
      </w:r>
      <w:r w:rsidR="00750572" w:rsidRPr="000855B2">
        <w:t xml:space="preserve">exhaust </w:t>
      </w:r>
      <w:r w:rsidRPr="000855B2">
        <w:t>emissions. They take place under all driving conditions</w:t>
      </w:r>
      <w:r w:rsidR="00750572" w:rsidRPr="000855B2">
        <w:t>.</w:t>
      </w:r>
      <w:r w:rsidRPr="000855B2">
        <w:t xml:space="preserve"> </w:t>
      </w:r>
      <w:r w:rsidR="00750572" w:rsidRPr="000855B2">
        <w:t>H</w:t>
      </w:r>
      <w:r w:rsidRPr="000855B2">
        <w:t xml:space="preserve">owever, they seem to be most likely for urban </w:t>
      </w:r>
      <w:r w:rsidR="00BA5E00" w:rsidRPr="000855B2">
        <w:t xml:space="preserve">and rural </w:t>
      </w:r>
      <w:r w:rsidRPr="000855B2">
        <w:t>driving</w:t>
      </w:r>
      <w:r w:rsidR="00BA5E00" w:rsidRPr="000855B2">
        <w:t>, as the number of starts in highway conditions is relatively limited (in principle starts from parking lots next to highways)</w:t>
      </w:r>
      <w:r w:rsidRPr="000855B2">
        <w:t xml:space="preserve">. </w:t>
      </w:r>
      <w:r w:rsidR="000B4582">
        <w:t>T</w:t>
      </w:r>
      <w:r w:rsidRPr="000855B2">
        <w:t xml:space="preserve">hey occur for all vehicle categories, </w:t>
      </w:r>
      <w:r w:rsidR="00750572" w:rsidRPr="000855B2">
        <w:t xml:space="preserve">but </w:t>
      </w:r>
      <w:r w:rsidRPr="000855B2">
        <w:t>emission factors are only available</w:t>
      </w:r>
      <w:r w:rsidR="00750572" w:rsidRPr="000855B2">
        <w:t xml:space="preserve">, </w:t>
      </w:r>
      <w:r w:rsidRPr="000855B2">
        <w:t>or can be reasonably estimated</w:t>
      </w:r>
      <w:r w:rsidR="00750572" w:rsidRPr="000855B2">
        <w:t xml:space="preserve">, </w:t>
      </w:r>
      <w:r w:rsidRPr="000855B2">
        <w:t xml:space="preserve">for </w:t>
      </w:r>
      <w:r w:rsidR="005E4DC4">
        <w:t>petrol</w:t>
      </w:r>
      <w:r w:rsidRPr="000855B2">
        <w:t xml:space="preserve">, diesel and LPG cars and </w:t>
      </w:r>
      <w:r w:rsidR="004A3634" w:rsidRPr="000855B2">
        <w:t>—</w:t>
      </w:r>
      <w:r w:rsidRPr="000855B2">
        <w:t xml:space="preserve"> assuming that these vehicles behave like passenger cars</w:t>
      </w:r>
      <w:r w:rsidR="00750572" w:rsidRPr="000855B2">
        <w:t xml:space="preserve"> </w:t>
      </w:r>
      <w:r w:rsidR="004A3634" w:rsidRPr="000855B2">
        <w:t>—</w:t>
      </w:r>
      <w:r w:rsidRPr="000855B2">
        <w:t xml:space="preserve"> </w:t>
      </w:r>
      <w:r w:rsidR="00CF67A4" w:rsidRPr="000855B2">
        <w:t>light commercial</w:t>
      </w:r>
      <w:r w:rsidRPr="000855B2">
        <w:t xml:space="preserve"> vehicles, so that </w:t>
      </w:r>
      <w:r w:rsidR="00750572" w:rsidRPr="000855B2">
        <w:t>only</w:t>
      </w:r>
      <w:r w:rsidRPr="000855B2">
        <w:t xml:space="preserve"> these categories are covered by the methodology. Moreover, they are </w:t>
      </w:r>
      <w:r w:rsidR="00750572" w:rsidRPr="000855B2">
        <w:t xml:space="preserve">not </w:t>
      </w:r>
      <w:r w:rsidRPr="000855B2">
        <w:t>considered to be a function of vehicle age.</w:t>
      </w:r>
    </w:p>
    <w:p w14:paraId="3A89AE29" w14:textId="77777777" w:rsidR="001D2587" w:rsidRPr="000855B2" w:rsidRDefault="00750572" w:rsidP="00546C89">
      <w:pPr>
        <w:pStyle w:val="BodyText"/>
      </w:pPr>
      <w:r w:rsidRPr="000855B2">
        <w:t>Cold-start</w:t>
      </w:r>
      <w:r w:rsidR="001D2587" w:rsidRPr="000855B2">
        <w:t xml:space="preserve"> emissions are calculated as an extra emission over the emissions that would be expected if all vehicles were only operated with hot engines and warmed-up catalysts. A relevant factor, corresponding to the ratio of cold over hot emissions, is applied to the fraction of kilometres driven with </w:t>
      </w:r>
      <w:r w:rsidRPr="000855B2">
        <w:t xml:space="preserve">a </w:t>
      </w:r>
      <w:r w:rsidR="001D2587" w:rsidRPr="000855B2">
        <w:t>cold engine. This factor varies from country to country. Driving behaviour (varying trip lengths)</w:t>
      </w:r>
      <w:r w:rsidRPr="000855B2">
        <w:t xml:space="preserve"> and</w:t>
      </w:r>
      <w:r w:rsidR="001D2587" w:rsidRPr="000855B2">
        <w:t xml:space="preserve"> clima</w:t>
      </w:r>
      <w:r w:rsidRPr="000855B2">
        <w:t>tic</w:t>
      </w:r>
      <w:r w:rsidR="001D2587" w:rsidRPr="000855B2">
        <w:t xml:space="preserve"> conditions affect the time required to warm up the engine and/or the catalyst</w:t>
      </w:r>
      <w:r w:rsidRPr="000855B2">
        <w:t>,</w:t>
      </w:r>
      <w:r w:rsidR="001D2587" w:rsidRPr="000855B2">
        <w:t xml:space="preserve"> and hence the fraction of a trip driven with</w:t>
      </w:r>
      <w:r w:rsidRPr="000855B2">
        <w:t xml:space="preserve"> a</w:t>
      </w:r>
      <w:r w:rsidR="001D2587" w:rsidRPr="000855B2">
        <w:t xml:space="preserve"> cold engine. </w:t>
      </w:r>
    </w:p>
    <w:p w14:paraId="4EEB3961" w14:textId="77777777" w:rsidR="001D2587" w:rsidRPr="000855B2" w:rsidRDefault="00750572" w:rsidP="00546C89">
      <w:pPr>
        <w:pStyle w:val="BodyText"/>
      </w:pPr>
      <w:r w:rsidRPr="000855B2">
        <w:t>C</w:t>
      </w:r>
      <w:r w:rsidR="001D2587" w:rsidRPr="000855B2">
        <w:t>old</w:t>
      </w:r>
      <w:r w:rsidRPr="000855B2">
        <w:t>-start</w:t>
      </w:r>
      <w:r w:rsidR="001D2587" w:rsidRPr="000855B2">
        <w:t xml:space="preserve"> emissions are introduced into the calculation as additional emissions per km using the following formula:</w:t>
      </w:r>
    </w:p>
    <w:tbl>
      <w:tblPr>
        <w:tblW w:w="0" w:type="auto"/>
        <w:tblBorders>
          <w:insideH w:val="single" w:sz="4" w:space="0" w:color="auto"/>
        </w:tblBorders>
        <w:tblLook w:val="01E0" w:firstRow="1" w:lastRow="1" w:firstColumn="1" w:lastColumn="1" w:noHBand="0" w:noVBand="0"/>
      </w:tblPr>
      <w:tblGrid>
        <w:gridCol w:w="7559"/>
        <w:gridCol w:w="748"/>
      </w:tblGrid>
      <w:tr w:rsidR="001D2587" w:rsidRPr="000855B2" w14:paraId="35678FD8" w14:textId="77777777">
        <w:tc>
          <w:tcPr>
            <w:tcW w:w="7559" w:type="dxa"/>
            <w:tcMar>
              <w:left w:w="0" w:type="dxa"/>
              <w:right w:w="0" w:type="dxa"/>
            </w:tcMar>
            <w:vAlign w:val="center"/>
          </w:tcPr>
          <w:p w14:paraId="310519F4" w14:textId="77777777" w:rsidR="001D2587" w:rsidRPr="000855B2" w:rsidRDefault="001D2587" w:rsidP="00546C89">
            <w:pPr>
              <w:pStyle w:val="BodyText"/>
            </w:pPr>
            <w:r w:rsidRPr="000855B2">
              <w:t>E</w:t>
            </w:r>
            <w:r w:rsidRPr="000855B2">
              <w:rPr>
                <w:vertAlign w:val="subscript"/>
              </w:rPr>
              <w:t>COLD; i, j</w:t>
            </w:r>
            <w:r w:rsidRPr="000855B2">
              <w:t xml:space="preserve"> = </w:t>
            </w:r>
            <w:r w:rsidRPr="000855B2">
              <w:sym w:font="Symbol" w:char="F062"/>
            </w:r>
            <w:r w:rsidRPr="000855B2">
              <w:rPr>
                <w:vertAlign w:val="subscript"/>
              </w:rPr>
              <w:t>i</w:t>
            </w:r>
            <w:r w:rsidRPr="000855B2">
              <w:t xml:space="preserve">, </w:t>
            </w:r>
            <w:r w:rsidR="00AB46D5" w:rsidRPr="000855B2">
              <w:rPr>
                <w:vertAlign w:val="subscript"/>
              </w:rPr>
              <w:t>k</w:t>
            </w:r>
            <w:r w:rsidRPr="000855B2">
              <w:t xml:space="preserve"> × N</w:t>
            </w:r>
            <w:r w:rsidR="00AB46D5" w:rsidRPr="000855B2">
              <w:rPr>
                <w:vertAlign w:val="subscript"/>
              </w:rPr>
              <w:t>k</w:t>
            </w:r>
            <w:r w:rsidRPr="000855B2">
              <w:t xml:space="preserve"> × M</w:t>
            </w:r>
            <w:r w:rsidR="00AB46D5" w:rsidRPr="000855B2">
              <w:rPr>
                <w:vertAlign w:val="subscript"/>
              </w:rPr>
              <w:t>k</w:t>
            </w:r>
            <w:r w:rsidRPr="000855B2">
              <w:t xml:space="preserve"> ×</w:t>
            </w:r>
            <w:r w:rsidRPr="000855B2">
              <w:rPr>
                <w:position w:val="6"/>
              </w:rPr>
              <w:t xml:space="preserve"> </w:t>
            </w:r>
            <w:r w:rsidRPr="000855B2">
              <w:t>e</w:t>
            </w:r>
            <w:r w:rsidR="00AB46D5" w:rsidRPr="000855B2">
              <w:rPr>
                <w:vertAlign w:val="subscript"/>
              </w:rPr>
              <w:t>HOT; i, k</w:t>
            </w:r>
            <w:r w:rsidRPr="000855B2">
              <w:rPr>
                <w:vertAlign w:val="subscript"/>
              </w:rPr>
              <w:t xml:space="preserve"> </w:t>
            </w:r>
            <w:r w:rsidRPr="000855B2">
              <w:t xml:space="preserve"> × (e</w:t>
            </w:r>
            <w:r w:rsidRPr="000855B2">
              <w:rPr>
                <w:vertAlign w:val="superscript"/>
              </w:rPr>
              <w:t>COLD</w:t>
            </w:r>
            <w:r w:rsidRPr="000855B2">
              <w:t xml:space="preserve"> / e</w:t>
            </w:r>
            <w:r w:rsidRPr="000855B2">
              <w:rPr>
                <w:vertAlign w:val="superscript"/>
              </w:rPr>
              <w:t>HOT</w:t>
            </w:r>
            <w:r w:rsidRPr="000855B2">
              <w:t>|</w:t>
            </w:r>
            <w:r w:rsidR="00AB46D5" w:rsidRPr="000855B2">
              <w:rPr>
                <w:vertAlign w:val="subscript"/>
              </w:rPr>
              <w:t>i,k</w:t>
            </w:r>
            <w:r w:rsidRPr="000855B2">
              <w:rPr>
                <w:position w:val="6"/>
              </w:rPr>
              <w:t xml:space="preserve"> </w:t>
            </w:r>
            <w:r w:rsidRPr="000855B2">
              <w:t>- 1)</w:t>
            </w:r>
          </w:p>
        </w:tc>
        <w:tc>
          <w:tcPr>
            <w:tcW w:w="748" w:type="dxa"/>
            <w:tcMar>
              <w:left w:w="0" w:type="dxa"/>
              <w:right w:w="0" w:type="dxa"/>
            </w:tcMar>
            <w:vAlign w:val="center"/>
          </w:tcPr>
          <w:p w14:paraId="2BC165B5" w14:textId="724D1B03" w:rsidR="001D2587" w:rsidRPr="000855B2" w:rsidRDefault="001D2587" w:rsidP="00546C89">
            <w:pPr>
              <w:pStyle w:val="BodyText"/>
            </w:pPr>
            <w:bookmarkStart w:id="131" w:name="_Ref140576425"/>
            <w:r w:rsidRPr="000855B2">
              <w:t>(</w:t>
            </w:r>
            <w:r w:rsidR="00FB454C">
              <w:fldChar w:fldCharType="begin"/>
            </w:r>
            <w:r w:rsidR="00FB454C">
              <w:instrText xml:space="preserve"> SEQ Εξίσωση \* ARABIC </w:instrText>
            </w:r>
            <w:r w:rsidR="00FB454C">
              <w:fldChar w:fldCharType="separate"/>
            </w:r>
            <w:r w:rsidR="0071604C">
              <w:rPr>
                <w:noProof/>
              </w:rPr>
              <w:t>10</w:t>
            </w:r>
            <w:r w:rsidR="00FB454C">
              <w:rPr>
                <w:noProof/>
              </w:rPr>
              <w:fldChar w:fldCharType="end"/>
            </w:r>
            <w:r w:rsidRPr="000855B2">
              <w:t>)</w:t>
            </w:r>
            <w:bookmarkEnd w:id="131"/>
          </w:p>
        </w:tc>
      </w:tr>
    </w:tbl>
    <w:p w14:paraId="6106290F" w14:textId="77777777" w:rsidR="001D2587" w:rsidRPr="000855B2" w:rsidRDefault="001D2587" w:rsidP="00546C89">
      <w:pPr>
        <w:pStyle w:val="BodyText"/>
      </w:pPr>
      <w:r w:rsidRPr="000855B2">
        <w:t>where,</w:t>
      </w:r>
      <w:r w:rsidR="004A3634" w:rsidRPr="000855B2">
        <w:t xml:space="preserve"> </w:t>
      </w:r>
    </w:p>
    <w:p w14:paraId="44620B40" w14:textId="77777777" w:rsidR="001D2587" w:rsidRPr="000855B2" w:rsidRDefault="001D2587" w:rsidP="00546C89">
      <w:pPr>
        <w:pStyle w:val="BodyText"/>
        <w:tabs>
          <w:tab w:val="left" w:pos="1440"/>
          <w:tab w:val="left" w:pos="1800"/>
        </w:tabs>
        <w:ind w:left="1800" w:hanging="1800"/>
      </w:pPr>
      <w:r w:rsidRPr="000855B2">
        <w:t>E</w:t>
      </w:r>
      <w:r w:rsidRPr="000855B2">
        <w:rPr>
          <w:vertAlign w:val="subscript"/>
        </w:rPr>
        <w:t xml:space="preserve">COLD; i, </w:t>
      </w:r>
      <w:r w:rsidR="00AB46D5" w:rsidRPr="000855B2">
        <w:rPr>
          <w:vertAlign w:val="subscript"/>
        </w:rPr>
        <w:t>k</w:t>
      </w:r>
      <w:r w:rsidR="00206879" w:rsidRPr="000855B2">
        <w:tab/>
        <w:t>=</w:t>
      </w:r>
      <w:r w:rsidR="00206879" w:rsidRPr="000855B2">
        <w:tab/>
      </w:r>
      <w:r w:rsidR="004A3634" w:rsidRPr="000855B2">
        <w:t>c</w:t>
      </w:r>
      <w:r w:rsidRPr="000855B2">
        <w:t>old</w:t>
      </w:r>
      <w:r w:rsidR="00206879" w:rsidRPr="000855B2">
        <w:t>-</w:t>
      </w:r>
      <w:r w:rsidRPr="000855B2">
        <w:t xml:space="preserve">start emissions of pollutant </w:t>
      </w:r>
      <w:r w:rsidRPr="000855B2">
        <w:rPr>
          <w:i/>
        </w:rPr>
        <w:t>i</w:t>
      </w:r>
      <w:r w:rsidRPr="000855B2">
        <w:t xml:space="preserve"> (for the r</w:t>
      </w:r>
      <w:r w:rsidR="005542D8" w:rsidRPr="000855B2">
        <w:t xml:space="preserve">eference year), produced by </w:t>
      </w:r>
      <w:r w:rsidR="005542D8" w:rsidRPr="000855B2">
        <w:br/>
      </w:r>
      <w:r w:rsidRPr="000855B2">
        <w:t>vehi</w:t>
      </w:r>
      <w:r w:rsidR="00AB46D5" w:rsidRPr="000855B2">
        <w:t>cle technology</w:t>
      </w:r>
      <w:r w:rsidRPr="000855B2">
        <w:t xml:space="preserve"> </w:t>
      </w:r>
      <w:r w:rsidR="00AB46D5" w:rsidRPr="000855B2">
        <w:rPr>
          <w:i/>
        </w:rPr>
        <w:t>k</w:t>
      </w:r>
      <w:r w:rsidR="004A3634" w:rsidRPr="000855B2">
        <w:t>,</w:t>
      </w:r>
    </w:p>
    <w:p w14:paraId="0056782F" w14:textId="77777777" w:rsidR="001D2587" w:rsidRPr="000855B2" w:rsidRDefault="001D2587" w:rsidP="00546C89">
      <w:pPr>
        <w:pStyle w:val="BodyText"/>
        <w:tabs>
          <w:tab w:val="left" w:pos="1440"/>
          <w:tab w:val="left" w:pos="1800"/>
        </w:tabs>
        <w:ind w:left="1800" w:hanging="1800"/>
      </w:pPr>
      <w:r w:rsidRPr="000855B2">
        <w:sym w:font="Symbol" w:char="F062"/>
      </w:r>
      <w:r w:rsidRPr="000855B2">
        <w:rPr>
          <w:vertAlign w:val="subscript"/>
        </w:rPr>
        <w:t>i</w:t>
      </w:r>
      <w:r w:rsidRPr="000855B2">
        <w:t xml:space="preserve">, </w:t>
      </w:r>
      <w:r w:rsidR="00AB46D5" w:rsidRPr="000855B2">
        <w:rPr>
          <w:vertAlign w:val="subscript"/>
        </w:rPr>
        <w:t>k</w:t>
      </w:r>
      <w:r w:rsidR="00206879" w:rsidRPr="000855B2">
        <w:rPr>
          <w:vertAlign w:val="subscript"/>
        </w:rPr>
        <w:tab/>
      </w:r>
      <w:r w:rsidR="00206879" w:rsidRPr="000855B2">
        <w:t>=</w:t>
      </w:r>
      <w:r w:rsidR="00206879" w:rsidRPr="000855B2">
        <w:tab/>
      </w:r>
      <w:r w:rsidR="004A3634" w:rsidRPr="000855B2">
        <w:t>f</w:t>
      </w:r>
      <w:r w:rsidRPr="000855B2">
        <w:t>raction of mileage driven with</w:t>
      </w:r>
      <w:r w:rsidR="00206879" w:rsidRPr="000855B2">
        <w:t xml:space="preserve"> a</w:t>
      </w:r>
      <w:r w:rsidRPr="000855B2">
        <w:t xml:space="preserve"> cold engine</w:t>
      </w:r>
      <w:r w:rsidRPr="000855B2">
        <w:rPr>
          <w:position w:val="6"/>
        </w:rPr>
        <w:t xml:space="preserve"> </w:t>
      </w:r>
      <w:r w:rsidRPr="000855B2">
        <w:t xml:space="preserve">or </w:t>
      </w:r>
      <w:r w:rsidR="00206879" w:rsidRPr="000855B2">
        <w:t xml:space="preserve">the </w:t>
      </w:r>
      <w:r w:rsidRPr="000855B2">
        <w:t xml:space="preserve">catalyst operated below the light-off temperature for pollutant </w:t>
      </w:r>
      <w:r w:rsidRPr="000855B2">
        <w:rPr>
          <w:i/>
        </w:rPr>
        <w:t>i</w:t>
      </w:r>
      <w:r w:rsidR="00AB46D5" w:rsidRPr="000855B2">
        <w:t xml:space="preserve"> and vehicle technology</w:t>
      </w:r>
      <w:r w:rsidRPr="000855B2">
        <w:t xml:space="preserve"> </w:t>
      </w:r>
      <w:r w:rsidR="00AB46D5" w:rsidRPr="000855B2">
        <w:rPr>
          <w:i/>
        </w:rPr>
        <w:t>k</w:t>
      </w:r>
      <w:r w:rsidR="004A3634" w:rsidRPr="000855B2">
        <w:t>,</w:t>
      </w:r>
    </w:p>
    <w:p w14:paraId="104D6610" w14:textId="77777777" w:rsidR="001D2587" w:rsidRPr="000855B2" w:rsidRDefault="001D2587" w:rsidP="00546C89">
      <w:pPr>
        <w:pStyle w:val="BodyText"/>
        <w:tabs>
          <w:tab w:val="left" w:pos="1440"/>
          <w:tab w:val="left" w:pos="1800"/>
        </w:tabs>
        <w:ind w:left="1800" w:hanging="1800"/>
      </w:pPr>
      <w:r w:rsidRPr="000855B2">
        <w:t>N</w:t>
      </w:r>
      <w:r w:rsidR="00AB46D5" w:rsidRPr="000855B2">
        <w:rPr>
          <w:vertAlign w:val="subscript"/>
        </w:rPr>
        <w:t>k</w:t>
      </w:r>
      <w:r w:rsidR="00206879" w:rsidRPr="000855B2">
        <w:rPr>
          <w:vertAlign w:val="subscript"/>
        </w:rPr>
        <w:tab/>
      </w:r>
      <w:r w:rsidR="00206879" w:rsidRPr="000855B2">
        <w:t>=</w:t>
      </w:r>
      <w:r w:rsidR="00206879" w:rsidRPr="000855B2">
        <w:tab/>
      </w:r>
      <w:r w:rsidR="004A3634" w:rsidRPr="000855B2">
        <w:t>n</w:t>
      </w:r>
      <w:r w:rsidRPr="000855B2">
        <w:t>umber of vehicles [veh</w:t>
      </w:r>
      <w:r w:rsidR="00AB46D5" w:rsidRPr="000855B2">
        <w:t xml:space="preserve">] of technology </w:t>
      </w:r>
      <w:r w:rsidR="00AB46D5" w:rsidRPr="000855B2">
        <w:rPr>
          <w:i/>
        </w:rPr>
        <w:t>k</w:t>
      </w:r>
      <w:r w:rsidR="00AB46D5" w:rsidRPr="000855B2">
        <w:t xml:space="preserve"> </w:t>
      </w:r>
      <w:r w:rsidRPr="000855B2">
        <w:t>in circulation</w:t>
      </w:r>
      <w:r w:rsidR="004A3634" w:rsidRPr="000855B2">
        <w:t>,</w:t>
      </w:r>
    </w:p>
    <w:p w14:paraId="04513621" w14:textId="77777777" w:rsidR="001D2587" w:rsidRDefault="001D2587" w:rsidP="00546C89">
      <w:pPr>
        <w:pStyle w:val="BodyText"/>
        <w:tabs>
          <w:tab w:val="left" w:pos="1440"/>
          <w:tab w:val="left" w:pos="1800"/>
        </w:tabs>
        <w:ind w:left="1800" w:hanging="1800"/>
      </w:pPr>
      <w:r w:rsidRPr="000855B2">
        <w:t>M</w:t>
      </w:r>
      <w:r w:rsidR="00AB46D5" w:rsidRPr="000855B2">
        <w:rPr>
          <w:vertAlign w:val="subscript"/>
        </w:rPr>
        <w:t>k</w:t>
      </w:r>
      <w:r w:rsidR="00206879" w:rsidRPr="000855B2">
        <w:rPr>
          <w:vertAlign w:val="subscript"/>
        </w:rPr>
        <w:tab/>
      </w:r>
      <w:r w:rsidR="00206879" w:rsidRPr="000855B2">
        <w:t>=</w:t>
      </w:r>
      <w:r w:rsidR="00206879" w:rsidRPr="000855B2">
        <w:tab/>
      </w:r>
      <w:r w:rsidR="004A3634" w:rsidRPr="000855B2">
        <w:t>t</w:t>
      </w:r>
      <w:r w:rsidRPr="000855B2">
        <w:t>otal mileage per vehicle [km/veh] in ve</w:t>
      </w:r>
      <w:r w:rsidR="00AB46D5" w:rsidRPr="000855B2">
        <w:t>hicle technology</w:t>
      </w:r>
      <w:r w:rsidRPr="000855B2">
        <w:t xml:space="preserve"> </w:t>
      </w:r>
      <w:r w:rsidR="00AB46D5" w:rsidRPr="000855B2">
        <w:rPr>
          <w:i/>
        </w:rPr>
        <w:t>k</w:t>
      </w:r>
      <w:r w:rsidR="004A3634" w:rsidRPr="000855B2">
        <w:t>,</w:t>
      </w:r>
    </w:p>
    <w:p w14:paraId="3A964851" w14:textId="77777777" w:rsidR="00727425" w:rsidRPr="00727425" w:rsidRDefault="00727425" w:rsidP="00546C89">
      <w:pPr>
        <w:pStyle w:val="BodyText"/>
        <w:tabs>
          <w:tab w:val="left" w:pos="1440"/>
          <w:tab w:val="left" w:pos="1800"/>
        </w:tabs>
        <w:ind w:left="1800" w:hanging="1800"/>
      </w:pPr>
      <w:r w:rsidRPr="000855B2">
        <w:t>e</w:t>
      </w:r>
      <w:r w:rsidRPr="000855B2">
        <w:rPr>
          <w:vertAlign w:val="subscript"/>
        </w:rPr>
        <w:t>HOT; i, k</w:t>
      </w:r>
      <w:r>
        <w:tab/>
        <w:t>=</w:t>
      </w:r>
      <w:r>
        <w:tab/>
        <w:t xml:space="preserve">hot emission factor </w:t>
      </w:r>
      <w:r w:rsidRPr="000855B2">
        <w:t xml:space="preserve">for pollutant </w:t>
      </w:r>
      <w:r w:rsidRPr="000855B2">
        <w:rPr>
          <w:i/>
        </w:rPr>
        <w:t>i</w:t>
      </w:r>
      <w:r w:rsidRPr="000855B2">
        <w:t xml:space="preserve"> and vehicles of </w:t>
      </w:r>
      <w:r w:rsidRPr="000855B2">
        <w:rPr>
          <w:i/>
        </w:rPr>
        <w:t xml:space="preserve">k </w:t>
      </w:r>
      <w:r w:rsidRPr="000855B2">
        <w:t>technology</w:t>
      </w:r>
      <w:r>
        <w:t>,</w:t>
      </w:r>
    </w:p>
    <w:p w14:paraId="32611D88" w14:textId="77777777" w:rsidR="001D2587" w:rsidRPr="000855B2" w:rsidRDefault="001D2587" w:rsidP="00546C89">
      <w:pPr>
        <w:pStyle w:val="BodyText"/>
        <w:tabs>
          <w:tab w:val="left" w:pos="1440"/>
          <w:tab w:val="left" w:pos="1800"/>
        </w:tabs>
        <w:ind w:left="1800" w:hanging="1800"/>
      </w:pPr>
      <w:r w:rsidRPr="000855B2">
        <w:t>e</w:t>
      </w:r>
      <w:r w:rsidRPr="000855B2">
        <w:rPr>
          <w:vertAlign w:val="superscript"/>
        </w:rPr>
        <w:t>COLD</w:t>
      </w:r>
      <w:r w:rsidRPr="000855B2">
        <w:t xml:space="preserve"> / e</w:t>
      </w:r>
      <w:r w:rsidRPr="000855B2">
        <w:rPr>
          <w:vertAlign w:val="superscript"/>
        </w:rPr>
        <w:t>HOT</w:t>
      </w:r>
      <w:r w:rsidRPr="000855B2">
        <w:t>|</w:t>
      </w:r>
      <w:r w:rsidR="00AB46D5" w:rsidRPr="000855B2">
        <w:rPr>
          <w:vertAlign w:val="subscript"/>
        </w:rPr>
        <w:t>i,k</w:t>
      </w:r>
      <w:r w:rsidR="00206879" w:rsidRPr="000855B2">
        <w:rPr>
          <w:vertAlign w:val="subscript"/>
        </w:rPr>
        <w:tab/>
      </w:r>
      <w:r w:rsidR="00206879" w:rsidRPr="000855B2">
        <w:t>=</w:t>
      </w:r>
      <w:r w:rsidR="00206879" w:rsidRPr="000855B2">
        <w:tab/>
      </w:r>
      <w:r w:rsidR="004A3634" w:rsidRPr="000855B2">
        <w:t>c</w:t>
      </w:r>
      <w:r w:rsidRPr="000855B2">
        <w:t>old</w:t>
      </w:r>
      <w:r w:rsidR="00206879" w:rsidRPr="000855B2">
        <w:t>/</w:t>
      </w:r>
      <w:r w:rsidRPr="000855B2">
        <w:t xml:space="preserve">hot </w:t>
      </w:r>
      <w:r w:rsidR="00206879" w:rsidRPr="000855B2">
        <w:t>emission quotient</w:t>
      </w:r>
      <w:r w:rsidR="00AB46D5" w:rsidRPr="000855B2">
        <w:t xml:space="preserve"> for pollutant </w:t>
      </w:r>
      <w:r w:rsidR="00AB46D5" w:rsidRPr="000855B2">
        <w:rPr>
          <w:i/>
        </w:rPr>
        <w:t>i</w:t>
      </w:r>
      <w:r w:rsidR="00206879" w:rsidRPr="000855B2">
        <w:t xml:space="preserve"> and </w:t>
      </w:r>
      <w:r w:rsidRPr="000855B2">
        <w:t xml:space="preserve">vehicles </w:t>
      </w:r>
      <w:r w:rsidR="00AB46D5" w:rsidRPr="000855B2">
        <w:t>of</w:t>
      </w:r>
      <w:r w:rsidRPr="000855B2">
        <w:t xml:space="preserve"> </w:t>
      </w:r>
      <w:r w:rsidR="00AB46D5" w:rsidRPr="000855B2">
        <w:rPr>
          <w:i/>
        </w:rPr>
        <w:t xml:space="preserve">k </w:t>
      </w:r>
      <w:r w:rsidR="00AB46D5" w:rsidRPr="000855B2">
        <w:t>technology</w:t>
      </w:r>
      <w:r w:rsidRPr="000855B2">
        <w:t>.</w:t>
      </w:r>
    </w:p>
    <w:p w14:paraId="52B6A8BF" w14:textId="49CE81EE" w:rsidR="001D2587" w:rsidRPr="000855B2" w:rsidRDefault="001D2587" w:rsidP="00546C89">
      <w:pPr>
        <w:pStyle w:val="BodyText"/>
        <w:rPr>
          <w:color w:val="000000"/>
        </w:rPr>
      </w:pPr>
      <w:r w:rsidRPr="000855B2">
        <w:t xml:space="preserve">The </w:t>
      </w:r>
      <w:r w:rsidRPr="000855B2">
        <w:sym w:font="Symbol" w:char="F062"/>
      </w:r>
      <w:r w:rsidRPr="000855B2">
        <w:t xml:space="preserve">-parameter depends </w:t>
      </w:r>
      <w:r w:rsidR="008E0B8B" w:rsidRPr="000855B2">
        <w:t>up</w:t>
      </w:r>
      <w:r w:rsidRPr="000855B2">
        <w:t xml:space="preserve">on ambient temperature </w:t>
      </w:r>
      <w:r w:rsidRPr="000855B2">
        <w:rPr>
          <w:i/>
        </w:rPr>
        <w:t>t</w:t>
      </w:r>
      <w:r w:rsidRPr="000855B2">
        <w:rPr>
          <w:i/>
          <w:vertAlign w:val="subscript"/>
        </w:rPr>
        <w:t>a</w:t>
      </w:r>
      <w:r w:rsidRPr="000855B2">
        <w:t xml:space="preserve"> (for practical reasons the average monthly temperature </w:t>
      </w:r>
      <w:r w:rsidR="008E0B8B" w:rsidRPr="000855B2">
        <w:t>can</w:t>
      </w:r>
      <w:r w:rsidRPr="000855B2">
        <w:t xml:space="preserve"> be used)</w:t>
      </w:r>
      <w:r w:rsidR="008E0B8B" w:rsidRPr="000855B2">
        <w:t>,</w:t>
      </w:r>
      <w:r w:rsidRPr="000855B2">
        <w:t xml:space="preserve"> and </w:t>
      </w:r>
      <w:r w:rsidR="008E0B8B" w:rsidRPr="000855B2">
        <w:t xml:space="preserve">the </w:t>
      </w:r>
      <w:r w:rsidRPr="000855B2">
        <w:t>pattern of vehicle use</w:t>
      </w:r>
      <w:r w:rsidR="000F3E28" w:rsidRPr="000855B2">
        <w:t xml:space="preserve"> — </w:t>
      </w:r>
      <w:r w:rsidRPr="000855B2">
        <w:t xml:space="preserve">in particular the average trip length </w:t>
      </w:r>
      <w:r w:rsidRPr="000855B2">
        <w:rPr>
          <w:i/>
        </w:rPr>
        <w:t>l</w:t>
      </w:r>
      <w:r w:rsidRPr="000855B2">
        <w:rPr>
          <w:i/>
          <w:vertAlign w:val="subscript"/>
        </w:rPr>
        <w:t>trip</w:t>
      </w:r>
      <w:r w:rsidRPr="000855B2">
        <w:t xml:space="preserve">. However, since information on </w:t>
      </w:r>
      <w:r w:rsidRPr="000855B2">
        <w:rPr>
          <w:i/>
        </w:rPr>
        <w:t>l</w:t>
      </w:r>
      <w:r w:rsidRPr="000855B2">
        <w:rPr>
          <w:i/>
          <w:vertAlign w:val="subscript"/>
        </w:rPr>
        <w:t>trip</w:t>
      </w:r>
      <w:r w:rsidRPr="000855B2">
        <w:t xml:space="preserve"> is not available in many countries for all vehicle classes, simplifications have been introduced for some vehicle categories. According to </w:t>
      </w:r>
      <w:r w:rsidR="008E0B8B" w:rsidRPr="000855B2">
        <w:t xml:space="preserve">the </w:t>
      </w:r>
      <w:r w:rsidRPr="000855B2">
        <w:t xml:space="preserve">available statistical data (André </w:t>
      </w:r>
      <w:r w:rsidR="00D73F59" w:rsidRPr="000855B2">
        <w:t>et al</w:t>
      </w:r>
      <w:r w:rsidRPr="000855B2">
        <w:t>., 1998)</w:t>
      </w:r>
      <w:r w:rsidR="008E0B8B" w:rsidRPr="000855B2">
        <w:t>,</w:t>
      </w:r>
      <w:r w:rsidRPr="000855B2">
        <w:t xml:space="preserve"> a European value of 12.4</w:t>
      </w:r>
      <w:r w:rsidR="004A3634" w:rsidRPr="000855B2">
        <w:t> </w:t>
      </w:r>
      <w:r w:rsidRPr="000855B2">
        <w:t xml:space="preserve">km has been established for the </w:t>
      </w:r>
      <w:r w:rsidRPr="000855B2">
        <w:rPr>
          <w:i/>
        </w:rPr>
        <w:t>l</w:t>
      </w:r>
      <w:r w:rsidRPr="000855B2">
        <w:rPr>
          <w:i/>
          <w:vertAlign w:val="subscript"/>
        </w:rPr>
        <w:t>trip</w:t>
      </w:r>
      <w:r w:rsidRPr="000855B2">
        <w:t xml:space="preserve"> value. Moreover, the value of </w:t>
      </w:r>
      <w:r w:rsidRPr="000855B2">
        <w:rPr>
          <w:i/>
        </w:rPr>
        <w:t>l</w:t>
      </w:r>
      <w:r w:rsidRPr="000855B2">
        <w:rPr>
          <w:i/>
          <w:vertAlign w:val="subscript"/>
        </w:rPr>
        <w:t>trip</w:t>
      </w:r>
      <w:r w:rsidRPr="000855B2">
        <w:t xml:space="preserve"> should be </w:t>
      </w:r>
      <w:r w:rsidR="008E0B8B" w:rsidRPr="000855B2">
        <w:t>between</w:t>
      </w:r>
      <w:r w:rsidRPr="000855B2">
        <w:t xml:space="preserve"> 8</w:t>
      </w:r>
      <w:r w:rsidR="004A3634" w:rsidRPr="000855B2">
        <w:t> km</w:t>
      </w:r>
      <w:r w:rsidR="008E0B8B" w:rsidRPr="000855B2">
        <w:t xml:space="preserve"> and</w:t>
      </w:r>
      <w:r w:rsidRPr="000855B2">
        <w:t xml:space="preserve"> 15</w:t>
      </w:r>
      <w:r w:rsidR="004A3634" w:rsidRPr="000855B2">
        <w:t> km</w:t>
      </w:r>
      <w:r w:rsidRPr="000855B2">
        <w:t>. Therefore</w:t>
      </w:r>
      <w:r w:rsidR="008E0B8B" w:rsidRPr="000855B2">
        <w:t>,</w:t>
      </w:r>
      <w:r w:rsidRPr="000855B2">
        <w:t xml:space="preserve"> it is proposed </w:t>
      </w:r>
      <w:r w:rsidR="008E0B8B" w:rsidRPr="000855B2">
        <w:t>that</w:t>
      </w:r>
      <w:r w:rsidRPr="000855B2">
        <w:t xml:space="preserve"> </w:t>
      </w:r>
      <w:r w:rsidR="008E0B8B" w:rsidRPr="000855B2">
        <w:t>a</w:t>
      </w:r>
      <w:r w:rsidRPr="000855B2">
        <w:t xml:space="preserve"> value of 12.4</w:t>
      </w:r>
      <w:r w:rsidR="004A3634" w:rsidRPr="000855B2">
        <w:t> km</w:t>
      </w:r>
      <w:r w:rsidRPr="000855B2">
        <w:t xml:space="preserve"> </w:t>
      </w:r>
      <w:r w:rsidR="008E0B8B" w:rsidRPr="000855B2">
        <w:t xml:space="preserve">can be used </w:t>
      </w:r>
      <w:r w:rsidRPr="000855B2">
        <w:t xml:space="preserve">unless </w:t>
      </w:r>
      <w:r w:rsidR="008E0B8B" w:rsidRPr="000855B2">
        <w:t xml:space="preserve">a </w:t>
      </w:r>
      <w:r w:rsidRPr="000855B2">
        <w:t xml:space="preserve">firm national estimate </w:t>
      </w:r>
      <w:r w:rsidR="008E0B8B" w:rsidRPr="000855B2">
        <w:t>is</w:t>
      </w:r>
      <w:r w:rsidRPr="000855B2">
        <w:t xml:space="preserve"> </w:t>
      </w:r>
      <w:r w:rsidRPr="000855B2">
        <w:rPr>
          <w:color w:val="000000"/>
        </w:rPr>
        <w:t xml:space="preserve">available. </w:t>
      </w:r>
      <w:r w:rsidR="00FB454C">
        <w:fldChar w:fldCharType="begin"/>
      </w:r>
      <w:r w:rsidR="00FB454C">
        <w:instrText xml:space="preserve"> REF _Ref200258416 \h  \* MERGEFORMAT </w:instrText>
      </w:r>
      <w:r w:rsidR="00FB454C">
        <w:fldChar w:fldCharType="separate"/>
      </w:r>
      <w:r w:rsidR="0071604C" w:rsidRPr="000855B2">
        <w:t>Table </w:t>
      </w:r>
      <w:r w:rsidR="0071604C">
        <w:t>3.34</w:t>
      </w:r>
      <w:r w:rsidR="00FB454C">
        <w:fldChar w:fldCharType="end"/>
      </w:r>
      <w:r w:rsidRPr="000855B2">
        <w:rPr>
          <w:color w:val="000000"/>
        </w:rPr>
        <w:t xml:space="preserve"> presents the </w:t>
      </w:r>
      <w:r w:rsidRPr="000855B2">
        <w:rPr>
          <w:i/>
          <w:color w:val="000000"/>
        </w:rPr>
        <w:t>l</w:t>
      </w:r>
      <w:r w:rsidRPr="000855B2">
        <w:rPr>
          <w:i/>
          <w:color w:val="000000"/>
          <w:vertAlign w:val="subscript"/>
        </w:rPr>
        <w:t>trip</w:t>
      </w:r>
      <w:r w:rsidRPr="000855B2">
        <w:rPr>
          <w:color w:val="000000"/>
        </w:rPr>
        <w:t xml:space="preserve"> values used in the </w:t>
      </w:r>
      <w:r w:rsidR="00461783">
        <w:rPr>
          <w:color w:val="000000"/>
        </w:rPr>
        <w:t>COPERT</w:t>
      </w:r>
      <w:r w:rsidRPr="000855B2">
        <w:rPr>
          <w:color w:val="000000"/>
        </w:rPr>
        <w:t xml:space="preserve"> 1990 inventories by different </w:t>
      </w:r>
      <w:r w:rsidR="005575E8" w:rsidRPr="000855B2">
        <w:rPr>
          <w:color w:val="000000"/>
        </w:rPr>
        <w:t>Member State</w:t>
      </w:r>
      <w:r w:rsidRPr="000855B2">
        <w:rPr>
          <w:color w:val="000000"/>
        </w:rPr>
        <w:t>s.</w:t>
      </w:r>
    </w:p>
    <w:p w14:paraId="44748605" w14:textId="52F799BC" w:rsidR="00BC3FDC" w:rsidRPr="000855B2" w:rsidRDefault="00741FF2" w:rsidP="00ED27AC">
      <w:pPr>
        <w:pStyle w:val="BodyText"/>
        <w:rPr>
          <w:color w:val="000000"/>
        </w:rPr>
      </w:pPr>
      <w:r>
        <w:rPr>
          <w:noProof/>
          <w:lang w:val="en-US" w:eastAsia="en-US"/>
        </w:rPr>
        <w:lastRenderedPageBreak/>
        <mc:AlternateContent>
          <mc:Choice Requires="wps">
            <w:drawing>
              <wp:inline distT="0" distB="0" distL="0" distR="0" wp14:anchorId="725B0A7A" wp14:editId="070481E3">
                <wp:extent cx="5383530" cy="3390265"/>
                <wp:effectExtent l="7620" t="7620" r="9525" b="12065"/>
                <wp:docPr id="1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339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17012B0" w14:textId="77777777" w:rsidR="00185BB9" w:rsidRPr="007011A7" w:rsidRDefault="00185BB9" w:rsidP="00546C89">
                            <w:pPr>
                              <w:pStyle w:val="BodyText"/>
                              <w:rPr>
                                <w:b/>
                                <w:bCs/>
                              </w:rPr>
                            </w:pPr>
                            <w:r w:rsidRPr="007011A7">
                              <w:rPr>
                                <w:b/>
                                <w:bCs/>
                              </w:rPr>
                              <w:t>Note</w:t>
                            </w:r>
                          </w:p>
                          <w:p w14:paraId="4389A295" w14:textId="77777777" w:rsidR="00185BB9" w:rsidRPr="007570C2" w:rsidRDefault="00185BB9" w:rsidP="00546C89">
                            <w:pPr>
                              <w:pStyle w:val="BodyText"/>
                              <w:rPr>
                                <w:bCs/>
                              </w:rPr>
                            </w:pPr>
                            <w:r w:rsidRPr="00203F11">
                              <w:rPr>
                                <w:bCs/>
                              </w:rPr>
                              <w:t>l</w:t>
                            </w:r>
                            <w:r w:rsidRPr="00203F11">
                              <w:rPr>
                                <w:bCs/>
                                <w:vertAlign w:val="subscript"/>
                              </w:rPr>
                              <w:t>trip</w:t>
                            </w:r>
                            <w:r w:rsidRPr="00203F11">
                              <w:rPr>
                                <w:bCs/>
                              </w:rPr>
                              <w:t xml:space="preserve"> is the mean trip distance in km. The definition of a “trip” and a “journey” are not always unequivocal. A trip is sometimes referred to as a small journey, with a journey having the meaning of a complete sequence of events with different destinations, different segments, etc. However, in calculating emissions, a “trip” should be seen as the travel segment defined </w:t>
                            </w:r>
                            <w:r>
                              <w:rPr>
                                <w:bCs/>
                              </w:rPr>
                              <w:t>between a key</w:t>
                            </w:r>
                            <w:r w:rsidRPr="00203F11">
                              <w:rPr>
                                <w:bCs/>
                              </w:rPr>
                              <w:t>-on</w:t>
                            </w:r>
                            <w:r>
                              <w:rPr>
                                <w:bCs/>
                              </w:rPr>
                              <w:t xml:space="preserve"> and a key</w:t>
                            </w:r>
                            <w:r w:rsidRPr="00203F11">
                              <w:rPr>
                                <w:bCs/>
                              </w:rPr>
                              <w:t>-off event. For example travelling between office and home with an intermediate stop to buy grocery. The first trip is this between office (</w:t>
                            </w:r>
                            <w:r>
                              <w:rPr>
                                <w:bCs/>
                              </w:rPr>
                              <w:t>key</w:t>
                            </w:r>
                            <w:r w:rsidRPr="00203F11">
                              <w:rPr>
                                <w:bCs/>
                              </w:rPr>
                              <w:t>-on) and the grocery store</w:t>
                            </w:r>
                            <w:r>
                              <w:rPr>
                                <w:bCs/>
                              </w:rPr>
                              <w:t xml:space="preserve"> (key</w:t>
                            </w:r>
                            <w:r w:rsidRPr="00203F11">
                              <w:rPr>
                                <w:bCs/>
                              </w:rPr>
                              <w:t>-off). The second trip is between the store</w:t>
                            </w:r>
                            <w:r>
                              <w:rPr>
                                <w:bCs/>
                              </w:rPr>
                              <w:t xml:space="preserve"> (second key</w:t>
                            </w:r>
                            <w:r w:rsidRPr="00203F11">
                              <w:rPr>
                                <w:bCs/>
                              </w:rPr>
                              <w:t xml:space="preserve">-on) and </w:t>
                            </w:r>
                            <w:r>
                              <w:rPr>
                                <w:bCs/>
                              </w:rPr>
                              <w:t>home (second key</w:t>
                            </w:r>
                            <w:r w:rsidRPr="00203F11">
                              <w:rPr>
                                <w:bCs/>
                              </w:rPr>
                              <w:t xml:space="preserve">-off). However, a travel between home and office with an intermediate stop to drop-off kids at school is a single trip, as only on engine-on/engine-off sequence is taking place. Trips for passenger cars can occur at any distance between a few meters (local commuting) to several hundred kilometres (interurban trips). The probability distribution of trips is a skewed one with a long tail of low frequency for long trips. According to research and national statistics, the average trip for a passenger car is in the order of ~12 km. National statistics of citizens’ mobility can provide more robust values. The cold-start methodology included in this Guidebook is applicable only on passenger cars and light commercial vehicles. Care should be therefore given to take into account the mean distance of trips travelled with such vehicles only and not other means of transport. </w:t>
                            </w:r>
                          </w:p>
                        </w:txbxContent>
                      </wps:txbx>
                      <wps:bodyPr rot="0" vert="horz" wrap="none" lIns="91440" tIns="45720" rIns="91440" bIns="45720" anchor="t" anchorCtr="0" upright="1">
                        <a:spAutoFit/>
                      </wps:bodyPr>
                    </wps:wsp>
                  </a:graphicData>
                </a:graphic>
              </wp:inline>
            </w:drawing>
          </mc:Choice>
          <mc:Fallback>
            <w:pict>
              <v:shape w14:anchorId="725B0A7A" id="Text Box 421" o:spid="_x0000_s1064" type="#_x0000_t202" style="width:423.9pt;height:266.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" filled="f" fillcolor="silver">
                <v:textbox style="mso-fit-shape-to-text:t">
                  <w:txbxContent>
                    <w:p w14:paraId="017012B0" w14:textId="77777777" w:rsidR="00185BB9" w:rsidRPr="007011A7" w:rsidRDefault="00185BB9" w:rsidP="00546C89">
                      <w:pPr>
                        <w:pStyle w:val="BodyText"/>
                        <w:rPr>
                          <w:b/>
                          <w:bCs/>
                        </w:rPr>
                      </w:pPr>
                      <w:r w:rsidRPr="007011A7">
                        <w:rPr>
                          <w:b/>
                          <w:bCs/>
                        </w:rPr>
                        <w:t>Note</w:t>
                      </w:r>
                    </w:p>
                    <w:p w14:paraId="4389A295" w14:textId="77777777" w:rsidR="00185BB9" w:rsidRPr="007570C2" w:rsidRDefault="00185BB9" w:rsidP="00546C89">
                      <w:pPr>
                        <w:pStyle w:val="BodyText"/>
                        <w:rPr>
                          <w:bCs/>
                        </w:rPr>
                      </w:pPr>
                      <w:r w:rsidRPr="00203F11">
                        <w:rPr>
                          <w:bCs/>
                        </w:rPr>
                        <w:t>l</w:t>
                      </w:r>
                      <w:r w:rsidRPr="00203F11">
                        <w:rPr>
                          <w:bCs/>
                          <w:vertAlign w:val="subscript"/>
                        </w:rPr>
                        <w:t>trip</w:t>
                      </w:r>
                      <w:r w:rsidRPr="00203F11">
                        <w:rPr>
                          <w:bCs/>
                        </w:rPr>
                        <w:t xml:space="preserve"> is the mean trip distance in km. The definition of a “trip” and a “journey” are not always unequivocal. A trip is sometimes referred to as a small journey, with a journey having the meaning of a complete sequence of events with different destinations, different segments, etc. However, in calculating emissions, a “trip” should be seen as the travel segment defined </w:t>
                      </w:r>
                      <w:r>
                        <w:rPr>
                          <w:bCs/>
                        </w:rPr>
                        <w:t>between a key</w:t>
                      </w:r>
                      <w:r w:rsidRPr="00203F11">
                        <w:rPr>
                          <w:bCs/>
                        </w:rPr>
                        <w:t>-on</w:t>
                      </w:r>
                      <w:r>
                        <w:rPr>
                          <w:bCs/>
                        </w:rPr>
                        <w:t xml:space="preserve"> and a key</w:t>
                      </w:r>
                      <w:r w:rsidRPr="00203F11">
                        <w:rPr>
                          <w:bCs/>
                        </w:rPr>
                        <w:t>-off event. For example travelling between office and home with an intermediate stop to buy grocery. The first trip is this between office (</w:t>
                      </w:r>
                      <w:r>
                        <w:rPr>
                          <w:bCs/>
                        </w:rPr>
                        <w:t>key</w:t>
                      </w:r>
                      <w:r w:rsidRPr="00203F11">
                        <w:rPr>
                          <w:bCs/>
                        </w:rPr>
                        <w:t>-on) and the grocery store</w:t>
                      </w:r>
                      <w:r>
                        <w:rPr>
                          <w:bCs/>
                        </w:rPr>
                        <w:t xml:space="preserve"> (key</w:t>
                      </w:r>
                      <w:r w:rsidRPr="00203F11">
                        <w:rPr>
                          <w:bCs/>
                        </w:rPr>
                        <w:t>-off). The second trip is between the store</w:t>
                      </w:r>
                      <w:r>
                        <w:rPr>
                          <w:bCs/>
                        </w:rPr>
                        <w:t xml:space="preserve"> (second key</w:t>
                      </w:r>
                      <w:r w:rsidRPr="00203F11">
                        <w:rPr>
                          <w:bCs/>
                        </w:rPr>
                        <w:t xml:space="preserve">-on) and </w:t>
                      </w:r>
                      <w:r>
                        <w:rPr>
                          <w:bCs/>
                        </w:rPr>
                        <w:t>home (second key</w:t>
                      </w:r>
                      <w:r w:rsidRPr="00203F11">
                        <w:rPr>
                          <w:bCs/>
                        </w:rPr>
                        <w:t xml:space="preserve">-off). However, a travel between home and office with an intermediate stop to drop-off kids at school is a single trip, as only on engine-on/engine-off sequence is taking place. Trips for passenger cars can occur at any distance between a few meters (local commuting) to several hundred kilometres (interurban trips). The probability distribution of trips is a skewed one with a long tail of low frequency for long trips. According to research and national statistics, the average trip for a passenger car is in the order of ~12 km. National statistics of citizens’ mobility can provide more robust values. The cold-start methodology included in this Guidebook is applicable only on passenger cars and light commercial vehicles. Care should be therefore given to take into account the mean distance of trips travelled with such vehicles only and not other means of transport. </w:t>
                      </w:r>
                    </w:p>
                  </w:txbxContent>
                </v:textbox>
                <w10:anchorlock/>
              </v:shape>
            </w:pict>
          </mc:Fallback>
        </mc:AlternateContent>
      </w:r>
    </w:p>
    <w:p w14:paraId="45465777" w14:textId="125B5384" w:rsidR="008E0B8B" w:rsidRPr="000855B2" w:rsidRDefault="0038472B" w:rsidP="00546C89">
      <w:pPr>
        <w:pStyle w:val="BodyText"/>
      </w:pPr>
      <w:r w:rsidRPr="00E42038">
        <w:t xml:space="preserve">Detailed numbers of vehicles and mileage per technology can be found on the following website: </w:t>
      </w:r>
      <w:hyperlink r:id="rId17" w:history="1">
        <w:r w:rsidRPr="00E42038">
          <w:rPr>
            <w:rStyle w:val="Hyperlink"/>
          </w:rPr>
          <w:t>http://www.emisia.com/copert</w:t>
        </w:r>
      </w:hyperlink>
      <w:r w:rsidR="00E42038">
        <w:t>.</w:t>
      </w:r>
    </w:p>
    <w:p w14:paraId="36964E6B" w14:textId="4A646935" w:rsidR="001D2587" w:rsidRPr="000855B2" w:rsidRDefault="001D2587" w:rsidP="00546C89">
      <w:pPr>
        <w:pStyle w:val="BodyText"/>
      </w:pPr>
      <w:r w:rsidRPr="000855B2">
        <w:t xml:space="preserve">The introduction of more stringent emission standards for catalyst </w:t>
      </w:r>
      <w:r w:rsidR="005E4DC4">
        <w:t>petrol</w:t>
      </w:r>
      <w:r w:rsidRPr="000855B2">
        <w:t xml:space="preserve"> vehicles has imposed shorter periods for the catalyst to reach the light-off temperature. This is reflected </w:t>
      </w:r>
      <w:r w:rsidR="00C82F8C" w:rsidRPr="000855B2">
        <w:t>in the</w:t>
      </w:r>
      <w:r w:rsidRPr="000855B2">
        <w:t xml:space="preserve"> l</w:t>
      </w:r>
      <w:r w:rsidR="00C82F8C" w:rsidRPr="000855B2">
        <w:t>ower</w:t>
      </w:r>
      <w:r w:rsidRPr="000855B2">
        <w:t xml:space="preserve"> mileage driven under </w:t>
      </w:r>
      <w:r w:rsidR="00C82F8C" w:rsidRPr="000855B2">
        <w:t>cold-start</w:t>
      </w:r>
      <w:r w:rsidRPr="000855B2">
        <w:t xml:space="preserve"> conditions. Therefore, the </w:t>
      </w:r>
      <w:r w:rsidRPr="000855B2">
        <w:sym w:font="Symbol" w:char="F062"/>
      </w:r>
      <w:r w:rsidRPr="000855B2">
        <w:t xml:space="preserve">-parameter is also a function of the level of </w:t>
      </w:r>
      <w:r w:rsidR="00C82F8C" w:rsidRPr="000855B2">
        <w:t xml:space="preserve">emission-control </w:t>
      </w:r>
      <w:r w:rsidRPr="000855B2">
        <w:t xml:space="preserve">legislation for </w:t>
      </w:r>
      <w:r w:rsidR="005E4DC4">
        <w:t>petrol</w:t>
      </w:r>
      <w:r w:rsidRPr="000855B2">
        <w:t xml:space="preserve"> catalyst vehicles. </w:t>
      </w:r>
      <w:r w:rsidR="00FB454C">
        <w:fldChar w:fldCharType="begin"/>
      </w:r>
      <w:r w:rsidR="00FB454C">
        <w:instrText xml:space="preserve"> REF _Ref140400450 \h  \* MERGEFORMAT </w:instrText>
      </w:r>
      <w:r w:rsidR="00FB454C">
        <w:fldChar w:fldCharType="separate"/>
      </w:r>
      <w:r w:rsidR="0071604C" w:rsidRPr="000855B2">
        <w:t>Table </w:t>
      </w:r>
      <w:r w:rsidR="0071604C">
        <w:t>3.40</w:t>
      </w:r>
      <w:r w:rsidR="00FB454C">
        <w:fldChar w:fldCharType="end"/>
      </w:r>
      <w:r w:rsidRPr="000855B2">
        <w:t xml:space="preserve"> presents </w:t>
      </w:r>
      <w:r w:rsidR="00C82F8C" w:rsidRPr="000855B2">
        <w:t>factors to be used for calculating</w:t>
      </w:r>
      <w:r w:rsidRPr="000855B2">
        <w:t xml:space="preserve"> </w:t>
      </w:r>
      <w:r w:rsidR="00C82F8C" w:rsidRPr="000855B2">
        <w:t>the reduction in the</w:t>
      </w:r>
      <w:r w:rsidRPr="000855B2">
        <w:t xml:space="preserve"> </w:t>
      </w:r>
      <w:r w:rsidRPr="000855B2">
        <w:sym w:font="Symbol" w:char="F062"/>
      </w:r>
      <w:r w:rsidRPr="000855B2">
        <w:t>-parameter</w:t>
      </w:r>
      <w:r w:rsidR="00C82F8C" w:rsidRPr="000855B2">
        <w:t xml:space="preserve"> </w:t>
      </w:r>
      <w:r w:rsidRPr="000855B2">
        <w:t xml:space="preserve">for current and future catalyst vehicles </w:t>
      </w:r>
      <w:r w:rsidR="00172BF0" w:rsidRPr="000855B2">
        <w:t>per</w:t>
      </w:r>
      <w:r w:rsidRPr="000855B2">
        <w:t xml:space="preserve"> pollutant.</w:t>
      </w:r>
    </w:p>
    <w:p w14:paraId="3F4B1EB6" w14:textId="77777777" w:rsidR="001D2587" w:rsidRPr="000855B2" w:rsidRDefault="001D2587" w:rsidP="00546C89">
      <w:pPr>
        <w:pStyle w:val="BodyText"/>
      </w:pPr>
      <w:r w:rsidRPr="000855B2">
        <w:t xml:space="preserve">The </w:t>
      </w:r>
      <w:r w:rsidR="00C82F8C" w:rsidRPr="000855B2">
        <w:t xml:space="preserve">cold/hot </w:t>
      </w:r>
      <w:r w:rsidRPr="000855B2">
        <w:t xml:space="preserve">emission </w:t>
      </w:r>
      <w:r w:rsidR="00C82F8C" w:rsidRPr="000855B2">
        <w:t>quotient</w:t>
      </w:r>
      <w:r w:rsidRPr="000855B2">
        <w:t xml:space="preserve"> e</w:t>
      </w:r>
      <w:r w:rsidRPr="000855B2">
        <w:rPr>
          <w:vertAlign w:val="superscript"/>
        </w:rPr>
        <w:t>COLD</w:t>
      </w:r>
      <w:r w:rsidRPr="000855B2">
        <w:t>/e</w:t>
      </w:r>
      <w:r w:rsidRPr="000855B2">
        <w:rPr>
          <w:vertAlign w:val="superscript"/>
        </w:rPr>
        <w:t>HOT</w:t>
      </w:r>
      <w:r w:rsidRPr="000855B2">
        <w:t xml:space="preserve"> also depends on the ambient temperature and </w:t>
      </w:r>
      <w:r w:rsidR="00C82F8C" w:rsidRPr="000855B2">
        <w:t xml:space="preserve">the </w:t>
      </w:r>
      <w:r w:rsidRPr="000855B2">
        <w:t xml:space="preserve">pollutant </w:t>
      </w:r>
      <w:r w:rsidR="00C82F8C" w:rsidRPr="000855B2">
        <w:t xml:space="preserve">being </w:t>
      </w:r>
      <w:r w:rsidRPr="000855B2">
        <w:t>considered. Although the model introduced in the initial version of this methodology is still used for the calculation of emissions during the cold</w:t>
      </w:r>
      <w:r w:rsidR="00C82F8C" w:rsidRPr="000855B2">
        <w:t>-</w:t>
      </w:r>
      <w:r w:rsidRPr="000855B2">
        <w:t xml:space="preserve">start phase, updated </w:t>
      </w:r>
      <w:r w:rsidR="00C82F8C" w:rsidRPr="000855B2">
        <w:t>quotients</w:t>
      </w:r>
      <w:r w:rsidRPr="000855B2">
        <w:t xml:space="preserve"> were introduced for catalyst</w:t>
      </w:r>
      <w:r w:rsidR="00C82F8C" w:rsidRPr="000855B2">
        <w:t>-</w:t>
      </w:r>
      <w:r w:rsidRPr="000855B2">
        <w:t xml:space="preserve">equipped </w:t>
      </w:r>
      <w:r w:rsidR="005E4DC4">
        <w:t>petrol</w:t>
      </w:r>
      <w:r w:rsidRPr="000855B2">
        <w:t xml:space="preserve"> vehicles in previous update</w:t>
      </w:r>
      <w:r w:rsidR="000B4582">
        <w:t>s</w:t>
      </w:r>
      <w:r w:rsidRPr="000855B2">
        <w:t xml:space="preserve"> of this chapter. These </w:t>
      </w:r>
      <w:r w:rsidR="00C82F8C" w:rsidRPr="000855B2">
        <w:t>quotients</w:t>
      </w:r>
      <w:r w:rsidRPr="000855B2">
        <w:t xml:space="preserve"> were based on the Methodologies to Estimate Emissions from Transport</w:t>
      </w:r>
      <w:r w:rsidR="0041054C" w:rsidRPr="000855B2">
        <w:t xml:space="preserve"> (MEET)</w:t>
      </w:r>
      <w:r w:rsidRPr="000855B2">
        <w:t xml:space="preserve"> project (MEET, 1999). However, the proposed approach still cannot fully describe the cold-start emission behaviour of recent vehicle technologies</w:t>
      </w:r>
      <w:r w:rsidR="00C82F8C" w:rsidRPr="000855B2">
        <w:t>,</w:t>
      </w:r>
      <w:r w:rsidRPr="000855B2">
        <w:t xml:space="preserve"> and a </w:t>
      </w:r>
      <w:r w:rsidR="00C82F8C" w:rsidRPr="000855B2">
        <w:t xml:space="preserve">further </w:t>
      </w:r>
      <w:r w:rsidRPr="000855B2">
        <w:t>revision is scheduled for the next update of this chapter.</w:t>
      </w:r>
    </w:p>
    <w:p w14:paraId="3FE5FCAA" w14:textId="528B3EB8" w:rsidR="001D2587" w:rsidRPr="000855B2" w:rsidRDefault="001D2587" w:rsidP="00546C89">
      <w:pPr>
        <w:pStyle w:val="BodyText"/>
      </w:pPr>
      <w:r w:rsidRPr="000855B2">
        <w:t>As has already been discussed, cold start emission</w:t>
      </w:r>
      <w:r w:rsidR="00C82F8C" w:rsidRPr="000855B2">
        <w:t>s</w:t>
      </w:r>
      <w:r w:rsidRPr="000855B2">
        <w:t xml:space="preserve"> </w:t>
      </w:r>
      <w:r w:rsidR="00C82F8C" w:rsidRPr="000855B2">
        <w:t>are</w:t>
      </w:r>
      <w:r w:rsidRPr="000855B2">
        <w:t xml:space="preserve"> </w:t>
      </w:r>
      <w:r w:rsidR="00C82F8C" w:rsidRPr="000855B2">
        <w:t xml:space="preserve">normally only </w:t>
      </w:r>
      <w:r w:rsidRPr="000855B2">
        <w:t xml:space="preserve">attributed to urban driving. However, a portion of cold </w:t>
      </w:r>
      <w:r w:rsidR="0038472B" w:rsidRPr="00E42038">
        <w:t>start emissions may also be attributed to rural driving in cases where the mileage fraction driven under non-thermally stabilised engine conditions (</w:t>
      </w:r>
      <w:r w:rsidR="0038472B" w:rsidRPr="00E42038">
        <w:sym w:font="Symbol" w:char="F062"/>
      </w:r>
      <w:r w:rsidR="0038472B" w:rsidRPr="00E42038">
        <w:t>-parameter</w:t>
      </w:r>
      <w:r w:rsidR="0038472B" w:rsidRPr="00E42038">
        <w:rPr>
          <w:sz w:val="20"/>
        </w:rPr>
        <w:t xml:space="preserve">) </w:t>
      </w:r>
      <w:r w:rsidR="0038472B" w:rsidRPr="00E42038">
        <w:t>exceeds the mileage share attributed to urban conditions (S</w:t>
      </w:r>
      <w:r w:rsidR="0038472B" w:rsidRPr="00E42038">
        <w:rPr>
          <w:vertAlign w:val="subscript"/>
        </w:rPr>
        <w:t>URBAN</w:t>
      </w:r>
      <w:r w:rsidR="0038472B" w:rsidRPr="00E42038">
        <w:t xml:space="preserve">). This requires a transformation of equation </w:t>
      </w:r>
      <w:r w:rsidR="00FB454C">
        <w:fldChar w:fldCharType="begin"/>
      </w:r>
      <w:r w:rsidR="00FB454C">
        <w:instrText xml:space="preserve"> REF _Ref140576425 \h  \* MERGEFORMAT </w:instrText>
      </w:r>
      <w:r w:rsidR="00FB454C">
        <w:fldChar w:fldCharType="separate"/>
      </w:r>
      <w:r w:rsidR="0071604C" w:rsidRPr="000855B2">
        <w:t>(</w:t>
      </w:r>
      <w:r w:rsidR="0071604C">
        <w:t>10</w:t>
      </w:r>
      <w:r w:rsidR="0071604C" w:rsidRPr="000855B2">
        <w:t>)</w:t>
      </w:r>
      <w:r w:rsidR="00FB454C">
        <w:fldChar w:fldCharType="end"/>
      </w:r>
      <w:r w:rsidR="0038472B" w:rsidRPr="00E42038">
        <w:t>, which yields the following:</w:t>
      </w:r>
    </w:p>
    <w:p w14:paraId="751AE9B6" w14:textId="77777777" w:rsidR="001D2587" w:rsidRPr="000855B2" w:rsidRDefault="001D2587" w:rsidP="00546C89">
      <w:pPr>
        <w:pStyle w:val="BodyText"/>
      </w:pPr>
      <w:r w:rsidRPr="000855B2">
        <w:t xml:space="preserve">If </w:t>
      </w:r>
      <w:r w:rsidRPr="000855B2">
        <w:sym w:font="Symbol" w:char="F062"/>
      </w:r>
      <w:r w:rsidR="00643FE9" w:rsidRPr="000855B2">
        <w:rPr>
          <w:vertAlign w:val="subscript"/>
        </w:rPr>
        <w:t>i,k</w:t>
      </w:r>
      <w:r w:rsidRPr="000855B2">
        <w:t xml:space="preserve"> &gt; S</w:t>
      </w:r>
      <w:r w:rsidRPr="000855B2">
        <w:rPr>
          <w:vertAlign w:val="subscript"/>
        </w:rPr>
        <w:t>URBAN</w:t>
      </w:r>
    </w:p>
    <w:tbl>
      <w:tblPr>
        <w:tblW w:w="0" w:type="auto"/>
        <w:jc w:val="center"/>
        <w:tblLook w:val="01E0" w:firstRow="1" w:lastRow="1" w:firstColumn="1" w:lastColumn="1" w:noHBand="0" w:noVBand="0"/>
      </w:tblPr>
      <w:tblGrid>
        <w:gridCol w:w="7670"/>
        <w:gridCol w:w="745"/>
      </w:tblGrid>
      <w:tr w:rsidR="001D2587" w:rsidRPr="000855B2" w14:paraId="0FF36651" w14:textId="77777777">
        <w:trPr>
          <w:trHeight w:val="573"/>
          <w:jc w:val="center"/>
        </w:trPr>
        <w:tc>
          <w:tcPr>
            <w:tcW w:w="7670" w:type="dxa"/>
            <w:vAlign w:val="center"/>
          </w:tcPr>
          <w:p w14:paraId="2484D0CC" w14:textId="77777777" w:rsidR="001D2587" w:rsidRPr="000855B2" w:rsidRDefault="001D2587" w:rsidP="00546C89">
            <w:pPr>
              <w:pStyle w:val="BodyText"/>
            </w:pPr>
            <w:r w:rsidRPr="000855B2">
              <w:t>E</w:t>
            </w:r>
            <w:r w:rsidRPr="000855B2">
              <w:rPr>
                <w:vertAlign w:val="subscript"/>
              </w:rPr>
              <w:t>COLD URBAN; i,</w:t>
            </w:r>
            <w:r w:rsidR="00FD7041" w:rsidRPr="000855B2">
              <w:rPr>
                <w:vertAlign w:val="subscript"/>
              </w:rPr>
              <w:t>k</w:t>
            </w:r>
            <w:r w:rsidRPr="000855B2">
              <w:rPr>
                <w:vertAlign w:val="subscript"/>
              </w:rPr>
              <w:t xml:space="preserve"> </w:t>
            </w:r>
            <w:r w:rsidRPr="000855B2">
              <w:t>= S</w:t>
            </w:r>
            <w:r w:rsidR="00643FE9" w:rsidRPr="000855B2">
              <w:rPr>
                <w:vertAlign w:val="subscript"/>
              </w:rPr>
              <w:t xml:space="preserve">URBAN; </w:t>
            </w:r>
            <w:r w:rsidR="00FD7041" w:rsidRPr="000855B2">
              <w:rPr>
                <w:vertAlign w:val="subscript"/>
              </w:rPr>
              <w:t>k</w:t>
            </w:r>
            <w:r w:rsidRPr="000855B2">
              <w:t xml:space="preserve"> × N</w:t>
            </w:r>
            <w:r w:rsidR="00FD7041" w:rsidRPr="000855B2">
              <w:rPr>
                <w:vertAlign w:val="subscript"/>
              </w:rPr>
              <w:t>k</w:t>
            </w:r>
            <w:r w:rsidRPr="000855B2">
              <w:t xml:space="preserve"> × M</w:t>
            </w:r>
            <w:r w:rsidR="00FD7041" w:rsidRPr="000855B2">
              <w:rPr>
                <w:vertAlign w:val="subscript"/>
              </w:rPr>
              <w:t>k</w:t>
            </w:r>
            <w:r w:rsidRPr="000855B2">
              <w:t xml:space="preserve"> ×</w:t>
            </w:r>
            <w:r w:rsidRPr="000855B2">
              <w:rPr>
                <w:position w:val="6"/>
              </w:rPr>
              <w:t xml:space="preserve"> </w:t>
            </w:r>
            <w:r w:rsidRPr="000855B2">
              <w:t>e</w:t>
            </w:r>
            <w:r w:rsidR="00FD7041" w:rsidRPr="000855B2">
              <w:rPr>
                <w:vertAlign w:val="subscript"/>
              </w:rPr>
              <w:t>HOT URBAN; i,k</w:t>
            </w:r>
            <w:r w:rsidRPr="000855B2">
              <w:t xml:space="preserve"> × (e</w:t>
            </w:r>
            <w:r w:rsidRPr="000855B2">
              <w:rPr>
                <w:vertAlign w:val="superscript"/>
              </w:rPr>
              <w:t>COLD</w:t>
            </w:r>
            <w:r w:rsidRPr="000855B2">
              <w:t xml:space="preserve"> / e</w:t>
            </w:r>
            <w:r w:rsidRPr="000855B2">
              <w:rPr>
                <w:vertAlign w:val="superscript"/>
              </w:rPr>
              <w:t>HOT</w:t>
            </w:r>
            <w:r w:rsidRPr="000855B2">
              <w:t>|</w:t>
            </w:r>
            <w:r w:rsidR="00FD7041" w:rsidRPr="000855B2">
              <w:rPr>
                <w:vertAlign w:val="subscript"/>
              </w:rPr>
              <w:t>i,k</w:t>
            </w:r>
            <w:r w:rsidRPr="000855B2">
              <w:rPr>
                <w:position w:val="6"/>
              </w:rPr>
              <w:t xml:space="preserve"> </w:t>
            </w:r>
            <w:r w:rsidRPr="000855B2">
              <w:t>- 1)</w:t>
            </w:r>
          </w:p>
          <w:p w14:paraId="164AE852" w14:textId="77777777" w:rsidR="001D2587" w:rsidRPr="000855B2" w:rsidRDefault="001D2587" w:rsidP="00546C89">
            <w:pPr>
              <w:pStyle w:val="BodyText"/>
            </w:pPr>
            <w:r w:rsidRPr="000855B2">
              <w:t>E</w:t>
            </w:r>
            <w:r w:rsidR="00FD7041" w:rsidRPr="000855B2">
              <w:rPr>
                <w:vertAlign w:val="subscript"/>
              </w:rPr>
              <w:t xml:space="preserve">COLD RURAL; </w:t>
            </w:r>
            <w:r w:rsidR="00643FE9" w:rsidRPr="000855B2">
              <w:rPr>
                <w:vertAlign w:val="subscript"/>
              </w:rPr>
              <w:t>i,</w:t>
            </w:r>
            <w:r w:rsidR="00FD7041" w:rsidRPr="000855B2">
              <w:rPr>
                <w:vertAlign w:val="subscript"/>
              </w:rPr>
              <w:t>k</w:t>
            </w:r>
            <w:r w:rsidRPr="000855B2">
              <w:rPr>
                <w:vertAlign w:val="subscript"/>
              </w:rPr>
              <w:t xml:space="preserve"> </w:t>
            </w:r>
            <w:r w:rsidRPr="000855B2">
              <w:t>= (</w:t>
            </w:r>
            <w:r w:rsidRPr="000855B2">
              <w:sym w:font="Symbol" w:char="F062"/>
            </w:r>
            <w:r w:rsidRPr="000855B2">
              <w:rPr>
                <w:vertAlign w:val="subscript"/>
              </w:rPr>
              <w:t>i</w:t>
            </w:r>
            <w:r w:rsidRPr="000855B2">
              <w:t>,</w:t>
            </w:r>
            <w:r w:rsidR="00FD7041" w:rsidRPr="000855B2">
              <w:rPr>
                <w:vertAlign w:val="subscript"/>
              </w:rPr>
              <w:t>k</w:t>
            </w:r>
            <w:r w:rsidRPr="000855B2">
              <w:t xml:space="preserve"> - S</w:t>
            </w:r>
            <w:r w:rsidR="00643FE9" w:rsidRPr="000855B2">
              <w:rPr>
                <w:vertAlign w:val="subscript"/>
              </w:rPr>
              <w:t xml:space="preserve">URBAN; </w:t>
            </w:r>
            <w:r w:rsidR="00FD7041" w:rsidRPr="000855B2">
              <w:rPr>
                <w:vertAlign w:val="subscript"/>
              </w:rPr>
              <w:t>k</w:t>
            </w:r>
            <w:r w:rsidRPr="000855B2">
              <w:t>) × N</w:t>
            </w:r>
            <w:r w:rsidR="00FD7041" w:rsidRPr="000855B2">
              <w:rPr>
                <w:vertAlign w:val="subscript"/>
              </w:rPr>
              <w:t>k</w:t>
            </w:r>
            <w:r w:rsidRPr="000855B2">
              <w:t xml:space="preserve"> × M</w:t>
            </w:r>
            <w:r w:rsidR="00FD7041" w:rsidRPr="000855B2">
              <w:rPr>
                <w:vertAlign w:val="subscript"/>
              </w:rPr>
              <w:t>k</w:t>
            </w:r>
            <w:r w:rsidRPr="000855B2">
              <w:t xml:space="preserve"> ×</w:t>
            </w:r>
            <w:r w:rsidRPr="000855B2">
              <w:rPr>
                <w:position w:val="6"/>
              </w:rPr>
              <w:t xml:space="preserve"> </w:t>
            </w:r>
            <w:r w:rsidRPr="000855B2">
              <w:t>e</w:t>
            </w:r>
            <w:r w:rsidR="00FD7041" w:rsidRPr="000855B2">
              <w:rPr>
                <w:vertAlign w:val="subscript"/>
              </w:rPr>
              <w:t>HOT URBAN; i, k</w:t>
            </w:r>
            <w:r w:rsidRPr="000855B2">
              <w:rPr>
                <w:vertAlign w:val="subscript"/>
              </w:rPr>
              <w:t xml:space="preserve"> </w:t>
            </w:r>
            <w:r w:rsidRPr="000855B2">
              <w:t xml:space="preserve"> × (e</w:t>
            </w:r>
            <w:r w:rsidRPr="000855B2">
              <w:rPr>
                <w:vertAlign w:val="superscript"/>
              </w:rPr>
              <w:t>COLD</w:t>
            </w:r>
            <w:r w:rsidRPr="000855B2">
              <w:t xml:space="preserve"> / e</w:t>
            </w:r>
            <w:r w:rsidRPr="000855B2">
              <w:rPr>
                <w:vertAlign w:val="superscript"/>
              </w:rPr>
              <w:t>HOT</w:t>
            </w:r>
            <w:r w:rsidRPr="000855B2">
              <w:t>|</w:t>
            </w:r>
            <w:r w:rsidR="00FD7041" w:rsidRPr="000855B2">
              <w:rPr>
                <w:vertAlign w:val="subscript"/>
              </w:rPr>
              <w:t>i,k</w:t>
            </w:r>
            <w:r w:rsidRPr="000855B2">
              <w:rPr>
                <w:position w:val="6"/>
              </w:rPr>
              <w:t xml:space="preserve"> </w:t>
            </w:r>
            <w:r w:rsidRPr="000855B2">
              <w:t>- 1)</w:t>
            </w:r>
          </w:p>
        </w:tc>
        <w:tc>
          <w:tcPr>
            <w:tcW w:w="745" w:type="dxa"/>
            <w:tcMar>
              <w:left w:w="0" w:type="dxa"/>
              <w:right w:w="0" w:type="dxa"/>
            </w:tcMar>
            <w:vAlign w:val="center"/>
          </w:tcPr>
          <w:p w14:paraId="52BF4CD5" w14:textId="52FEB030" w:rsidR="001D2587" w:rsidRPr="000855B2" w:rsidRDefault="001D2587" w:rsidP="00546C89">
            <w:pPr>
              <w:pStyle w:val="BodyText"/>
            </w:pPr>
            <w:bookmarkStart w:id="132" w:name="_Ref140576437"/>
            <w:r w:rsidRPr="000855B2">
              <w:t>(</w:t>
            </w:r>
            <w:r w:rsidR="00FB454C">
              <w:fldChar w:fldCharType="begin"/>
            </w:r>
            <w:r w:rsidR="00FB454C">
              <w:instrText xml:space="preserve"> SEQ Εξίσωση \* ARABIC </w:instrText>
            </w:r>
            <w:r w:rsidR="00FB454C">
              <w:fldChar w:fldCharType="separate"/>
            </w:r>
            <w:r w:rsidR="0071604C">
              <w:rPr>
                <w:noProof/>
              </w:rPr>
              <w:t>11</w:t>
            </w:r>
            <w:r w:rsidR="00FB454C">
              <w:rPr>
                <w:noProof/>
              </w:rPr>
              <w:fldChar w:fldCharType="end"/>
            </w:r>
            <w:r w:rsidRPr="000855B2">
              <w:t>)</w:t>
            </w:r>
            <w:bookmarkEnd w:id="132"/>
          </w:p>
        </w:tc>
      </w:tr>
    </w:tbl>
    <w:p w14:paraId="07A8EA3A" w14:textId="2A6215F3" w:rsidR="001D2587" w:rsidRPr="000855B2" w:rsidRDefault="001D2587" w:rsidP="00546C89">
      <w:pPr>
        <w:pStyle w:val="BodyText"/>
      </w:pPr>
      <w:r w:rsidRPr="000855B2">
        <w:t xml:space="preserve">In this case, it is considered that the total mileage driven under urban conditions corresponds to warm-up conditions, while the remaining </w:t>
      </w:r>
      <w:r w:rsidR="00951B96" w:rsidRPr="000855B2">
        <w:t xml:space="preserve">excess </w:t>
      </w:r>
      <w:r w:rsidRPr="000855B2">
        <w:t>e</w:t>
      </w:r>
      <w:r w:rsidR="00FD7041" w:rsidRPr="000855B2">
        <w:t>missions are attributed to rural</w:t>
      </w:r>
      <w:r w:rsidRPr="000855B2">
        <w:t xml:space="preserve"> </w:t>
      </w:r>
      <w:r w:rsidR="00951B96" w:rsidRPr="000855B2">
        <w:t>driving</w:t>
      </w:r>
      <w:r w:rsidRPr="000855B2">
        <w:t xml:space="preserve">. The case demonstrated by equation </w:t>
      </w:r>
      <w:r w:rsidR="00FB454C">
        <w:fldChar w:fldCharType="begin"/>
      </w:r>
      <w:r w:rsidR="00FB454C">
        <w:instrText xml:space="preserve"> REF _Ref140576437 \h  \* MERGEFORMAT </w:instrText>
      </w:r>
      <w:r w:rsidR="00FB454C">
        <w:fldChar w:fldCharType="separate"/>
      </w:r>
      <w:r w:rsidR="0071604C" w:rsidRPr="000855B2">
        <w:t>(</w:t>
      </w:r>
      <w:r w:rsidR="0071604C">
        <w:t>11</w:t>
      </w:r>
      <w:r w:rsidR="0071604C" w:rsidRPr="000855B2">
        <w:t>)</w:t>
      </w:r>
      <w:r w:rsidR="00FB454C">
        <w:fldChar w:fldCharType="end"/>
      </w:r>
      <w:r w:rsidRPr="000855B2">
        <w:t xml:space="preserve"> is rather extreme for a national inventory</w:t>
      </w:r>
      <w:r w:rsidR="00951B96" w:rsidRPr="000855B2">
        <w:t>,</w:t>
      </w:r>
      <w:r w:rsidRPr="000855B2">
        <w:t xml:space="preserve"> and can only happen in cases where a very small </w:t>
      </w:r>
      <w:r w:rsidRPr="000855B2">
        <w:lastRenderedPageBreak/>
        <w:t xml:space="preserve">value has been provided for </w:t>
      </w:r>
      <w:r w:rsidRPr="000855B2">
        <w:rPr>
          <w:i/>
        </w:rPr>
        <w:t>l</w:t>
      </w:r>
      <w:r w:rsidRPr="000855B2">
        <w:rPr>
          <w:i/>
          <w:vertAlign w:val="subscript"/>
        </w:rPr>
        <w:t>trip</w:t>
      </w:r>
      <w:r w:rsidRPr="000855B2">
        <w:t xml:space="preserve">. Note also that the urban hot emission factor is used in both forms of equation </w:t>
      </w:r>
      <w:r w:rsidR="00FB454C">
        <w:fldChar w:fldCharType="begin"/>
      </w:r>
      <w:r w:rsidR="00FB454C">
        <w:instrText xml:space="preserve"> REF _Ref140576437 \h  \* MERGEFORMAT </w:instrText>
      </w:r>
      <w:r w:rsidR="00FB454C">
        <w:fldChar w:fldCharType="separate"/>
      </w:r>
      <w:r w:rsidR="0071604C" w:rsidRPr="000855B2">
        <w:t>(</w:t>
      </w:r>
      <w:r w:rsidR="0071604C">
        <w:t>11</w:t>
      </w:r>
      <w:r w:rsidR="0071604C" w:rsidRPr="000855B2">
        <w:t>)</w:t>
      </w:r>
      <w:r w:rsidR="00FB454C">
        <w:fldChar w:fldCharType="end"/>
      </w:r>
      <w:r w:rsidRPr="000855B2">
        <w:t>. This is because total cold</w:t>
      </w:r>
      <w:r w:rsidR="00951B96" w:rsidRPr="000855B2">
        <w:t>-</w:t>
      </w:r>
      <w:r w:rsidRPr="000855B2">
        <w:t>start emissions should not be differentiated according to place of emission.</w:t>
      </w:r>
    </w:p>
    <w:p w14:paraId="762E5A68" w14:textId="77777777" w:rsidR="001D2587" w:rsidRPr="000855B2" w:rsidRDefault="001D2587" w:rsidP="00546C89">
      <w:pPr>
        <w:pStyle w:val="BodyText"/>
      </w:pPr>
      <w:r w:rsidRPr="000855B2">
        <w:t>The calculation of N</w:t>
      </w:r>
      <w:r w:rsidRPr="000855B2">
        <w:rPr>
          <w:vertAlign w:val="subscript"/>
        </w:rPr>
        <w:t>2</w:t>
      </w:r>
      <w:r w:rsidRPr="000855B2">
        <w:t>O, NH</w:t>
      </w:r>
      <w:r w:rsidRPr="000855B2">
        <w:rPr>
          <w:vertAlign w:val="subscript"/>
        </w:rPr>
        <w:t>3</w:t>
      </w:r>
      <w:r w:rsidRPr="000855B2">
        <w:t xml:space="preserve"> and CH</w:t>
      </w:r>
      <w:r w:rsidRPr="000855B2">
        <w:rPr>
          <w:vertAlign w:val="subscript"/>
        </w:rPr>
        <w:t>4</w:t>
      </w:r>
      <w:r w:rsidRPr="000855B2">
        <w:t xml:space="preserve"> emissions is based on </w:t>
      </w:r>
      <w:r w:rsidR="00951B96" w:rsidRPr="000855B2">
        <w:t>‘</w:t>
      </w:r>
      <w:r w:rsidRPr="000855B2">
        <w:t>cold urban</w:t>
      </w:r>
      <w:r w:rsidR="00951B96" w:rsidRPr="000855B2">
        <w:t>’</w:t>
      </w:r>
      <w:r w:rsidRPr="000855B2">
        <w:t xml:space="preserve">, </w:t>
      </w:r>
      <w:r w:rsidR="00951B96" w:rsidRPr="000855B2">
        <w:t>‘</w:t>
      </w:r>
      <w:r w:rsidRPr="000855B2">
        <w:t>hot urban</w:t>
      </w:r>
      <w:r w:rsidR="00951B96" w:rsidRPr="000855B2">
        <w:t>’</w:t>
      </w:r>
      <w:r w:rsidRPr="000855B2">
        <w:t xml:space="preserve">, </w:t>
      </w:r>
      <w:r w:rsidR="00951B96" w:rsidRPr="000855B2">
        <w:t>‘</w:t>
      </w:r>
      <w:r w:rsidRPr="000855B2">
        <w:t>rural</w:t>
      </w:r>
      <w:r w:rsidR="00951B96" w:rsidRPr="000855B2">
        <w:t>’</w:t>
      </w:r>
      <w:r w:rsidRPr="000855B2">
        <w:t xml:space="preserve"> and </w:t>
      </w:r>
      <w:r w:rsidR="00951B96" w:rsidRPr="000855B2">
        <w:t>‘</w:t>
      </w:r>
      <w:r w:rsidRPr="000855B2">
        <w:t>highway</w:t>
      </w:r>
      <w:r w:rsidR="00951B96" w:rsidRPr="000855B2">
        <w:t>’</w:t>
      </w:r>
      <w:r w:rsidRPr="000855B2">
        <w:t xml:space="preserve"> </w:t>
      </w:r>
      <w:r w:rsidR="00951B96" w:rsidRPr="000855B2">
        <w:t>driving conditions</w:t>
      </w:r>
      <w:r w:rsidRPr="000855B2">
        <w:t>. The following paragraphs present the calculation algorithm that is used in order to calculate the emissions</w:t>
      </w:r>
      <w:r w:rsidR="00951B96" w:rsidRPr="000855B2">
        <w:t xml:space="preserve"> of these pollutants</w:t>
      </w:r>
      <w:r w:rsidRPr="000855B2">
        <w:t>. In particular</w:t>
      </w:r>
      <w:r w:rsidR="00951B96" w:rsidRPr="000855B2">
        <w:t>,</w:t>
      </w:r>
      <w:r w:rsidRPr="000855B2">
        <w:t xml:space="preserve"> for methane</w:t>
      </w:r>
      <w:r w:rsidR="00AF044F">
        <w:t xml:space="preserve"> (CH</w:t>
      </w:r>
      <w:r w:rsidR="00AF044F" w:rsidRPr="00AF044F">
        <w:rPr>
          <w:vertAlign w:val="subscript"/>
        </w:rPr>
        <w:t>4</w:t>
      </w:r>
      <w:r w:rsidR="00AF044F">
        <w:t>)</w:t>
      </w:r>
      <w:r w:rsidRPr="000855B2">
        <w:t xml:space="preserve"> the estimation is of importance because NMVOC emissions are calculated as the difference between VOC</w:t>
      </w:r>
      <w:r w:rsidR="00951B96" w:rsidRPr="000855B2">
        <w:t>s</w:t>
      </w:r>
      <w:r w:rsidRPr="000855B2">
        <w:t xml:space="preserve"> and CH</w:t>
      </w:r>
      <w:r w:rsidRPr="000855B2">
        <w:rPr>
          <w:vertAlign w:val="subscript"/>
        </w:rPr>
        <w:t>4</w:t>
      </w:r>
      <w:r w:rsidRPr="000855B2">
        <w:t xml:space="preserve">. </w:t>
      </w:r>
    </w:p>
    <w:p w14:paraId="6B4F2F7B" w14:textId="77777777" w:rsidR="001D2587" w:rsidRPr="000855B2" w:rsidRDefault="001D2587" w:rsidP="00546C89">
      <w:pPr>
        <w:pStyle w:val="BodyText"/>
      </w:pPr>
      <w:r w:rsidRPr="000855B2">
        <w:t>First</w:t>
      </w:r>
      <w:r w:rsidR="00951B96" w:rsidRPr="000855B2">
        <w:t>ly,</w:t>
      </w:r>
      <w:r w:rsidRPr="000855B2">
        <w:t xml:space="preserve"> one needs to check whether the mileage fraction driven </w:t>
      </w:r>
      <w:r w:rsidR="00951B96" w:rsidRPr="000855B2">
        <w:t>under</w:t>
      </w:r>
      <w:r w:rsidRPr="000855B2">
        <w:t xml:space="preserve"> thermally non-stabilised engine condition</w:t>
      </w:r>
      <w:r w:rsidR="00951B96" w:rsidRPr="000855B2">
        <w:t>s</w:t>
      </w:r>
      <w:r w:rsidRPr="000855B2">
        <w:t xml:space="preserve"> (</w:t>
      </w:r>
      <w:r w:rsidRPr="000855B2">
        <w:rPr>
          <w:i/>
        </w:rPr>
        <w:t>β</w:t>
      </w:r>
      <w:r w:rsidR="00643FE9" w:rsidRPr="000855B2">
        <w:t> </w:t>
      </w:r>
      <w:r w:rsidRPr="000855B2">
        <w:t>-</w:t>
      </w:r>
      <w:r w:rsidR="00643FE9" w:rsidRPr="000855B2">
        <w:t> </w:t>
      </w:r>
      <w:r w:rsidRPr="000855B2">
        <w:t>parameter) exceeds the mileage share attributed to urban conditions (</w:t>
      </w:r>
      <w:r w:rsidRPr="000855B2">
        <w:rPr>
          <w:i/>
        </w:rPr>
        <w:t>S</w:t>
      </w:r>
      <w:r w:rsidRPr="000855B2">
        <w:rPr>
          <w:i/>
          <w:vertAlign w:val="subscript"/>
        </w:rPr>
        <w:t>URBAN</w:t>
      </w:r>
      <w:r w:rsidRPr="000855B2">
        <w:t xml:space="preserve">). For each vehicle category </w:t>
      </w:r>
      <w:r w:rsidRPr="000855B2">
        <w:rPr>
          <w:i/>
        </w:rPr>
        <w:t>j</w:t>
      </w:r>
      <w:r w:rsidRPr="000855B2">
        <w:t xml:space="preserve"> and pollutant (</w:t>
      </w:r>
      <w:r w:rsidR="00643FE9" w:rsidRPr="000855B2">
        <w:rPr>
          <w:i/>
        </w:rPr>
        <w:t>i</w:t>
      </w:r>
      <w:r w:rsidR="00643FE9" w:rsidRPr="000855B2">
        <w:t> = </w:t>
      </w:r>
      <w:r w:rsidRPr="000855B2">
        <w:t>CH</w:t>
      </w:r>
      <w:r w:rsidRPr="000855B2">
        <w:rPr>
          <w:vertAlign w:val="subscript"/>
        </w:rPr>
        <w:t>4</w:t>
      </w:r>
      <w:r w:rsidRPr="000855B2">
        <w:t>, N</w:t>
      </w:r>
      <w:r w:rsidRPr="000855B2">
        <w:rPr>
          <w:vertAlign w:val="subscript"/>
        </w:rPr>
        <w:t>2</w:t>
      </w:r>
      <w:r w:rsidRPr="000855B2">
        <w:t>O, NH</w:t>
      </w:r>
      <w:r w:rsidRPr="000855B2">
        <w:rPr>
          <w:vertAlign w:val="subscript"/>
        </w:rPr>
        <w:t>3</w:t>
      </w:r>
      <w:r w:rsidRPr="000855B2">
        <w:t>) the calculation takes the form:</w:t>
      </w:r>
    </w:p>
    <w:tbl>
      <w:tblPr>
        <w:tblW w:w="0" w:type="auto"/>
        <w:jc w:val="center"/>
        <w:tblLook w:val="01E0" w:firstRow="1" w:lastRow="1" w:firstColumn="1" w:lastColumn="1" w:noHBand="0" w:noVBand="0"/>
      </w:tblPr>
      <w:tblGrid>
        <w:gridCol w:w="7664"/>
        <w:gridCol w:w="751"/>
      </w:tblGrid>
      <w:tr w:rsidR="001D2587" w:rsidRPr="000855B2" w14:paraId="4D32F116" w14:textId="77777777">
        <w:trPr>
          <w:trHeight w:val="573"/>
          <w:jc w:val="center"/>
        </w:trPr>
        <w:tc>
          <w:tcPr>
            <w:tcW w:w="7664" w:type="dxa"/>
            <w:vAlign w:val="center"/>
          </w:tcPr>
          <w:p w14:paraId="57DD6A82" w14:textId="77777777" w:rsidR="001D2587" w:rsidRPr="000855B2" w:rsidRDefault="0041054C" w:rsidP="00546C89">
            <w:pPr>
              <w:numPr>
                <w:ilvl w:val="12"/>
                <w:numId w:val="0"/>
              </w:numPr>
              <w:spacing w:before="40" w:after="40"/>
              <w:rPr>
                <w:lang w:val="en-GB"/>
              </w:rPr>
            </w:pPr>
            <w:r w:rsidRPr="000855B2">
              <w:rPr>
                <w:lang w:val="en-GB"/>
              </w:rPr>
              <w:t>i</w:t>
            </w:r>
            <w:r w:rsidR="001D2587" w:rsidRPr="000855B2">
              <w:rPr>
                <w:lang w:val="en-GB"/>
              </w:rPr>
              <w:t>f β</w:t>
            </w:r>
            <w:r w:rsidR="001D2587" w:rsidRPr="000855B2">
              <w:rPr>
                <w:vertAlign w:val="subscript"/>
                <w:lang w:val="en-GB"/>
              </w:rPr>
              <w:t xml:space="preserve">i, </w:t>
            </w:r>
            <w:r w:rsidR="00FD7041" w:rsidRPr="000855B2">
              <w:rPr>
                <w:vertAlign w:val="subscript"/>
                <w:lang w:val="en-GB"/>
              </w:rPr>
              <w:t>k</w:t>
            </w:r>
            <w:r w:rsidR="001D2587" w:rsidRPr="000855B2">
              <w:rPr>
                <w:lang w:val="en-GB"/>
              </w:rPr>
              <w:t xml:space="preserve"> &gt; S</w:t>
            </w:r>
            <w:r w:rsidR="001D2587" w:rsidRPr="000855B2">
              <w:rPr>
                <w:vertAlign w:val="subscript"/>
                <w:lang w:val="en-GB"/>
              </w:rPr>
              <w:t>URBAN;</w:t>
            </w:r>
            <w:r w:rsidR="001D2587" w:rsidRPr="000855B2">
              <w:rPr>
                <w:lang w:val="en-GB"/>
              </w:rPr>
              <w:t xml:space="preserve"> </w:t>
            </w:r>
            <w:r w:rsidR="00FD7041" w:rsidRPr="000855B2">
              <w:rPr>
                <w:vertAlign w:val="subscript"/>
                <w:lang w:val="en-GB"/>
              </w:rPr>
              <w:t>k</w:t>
            </w:r>
          </w:p>
        </w:tc>
        <w:tc>
          <w:tcPr>
            <w:tcW w:w="751" w:type="dxa"/>
            <w:tcMar>
              <w:left w:w="0" w:type="dxa"/>
              <w:right w:w="0" w:type="dxa"/>
            </w:tcMar>
            <w:vAlign w:val="center"/>
          </w:tcPr>
          <w:p w14:paraId="644BDB8F" w14:textId="78403B10" w:rsidR="001D2587" w:rsidRPr="000855B2" w:rsidRDefault="001D2587" w:rsidP="00546C89">
            <w:pPr>
              <w:numPr>
                <w:ilvl w:val="12"/>
                <w:numId w:val="0"/>
              </w:numPr>
              <w:spacing w:before="40" w:after="40"/>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12</w:t>
            </w:r>
            <w:r w:rsidR="00E17971">
              <w:rPr>
                <w:lang w:val="en-GB"/>
              </w:rPr>
              <w:fldChar w:fldCharType="end"/>
            </w:r>
            <w:r w:rsidRPr="000855B2">
              <w:rPr>
                <w:lang w:val="en-GB"/>
              </w:rPr>
              <w:t>)</w:t>
            </w:r>
          </w:p>
        </w:tc>
      </w:tr>
      <w:tr w:rsidR="001D2587" w:rsidRPr="000855B2" w14:paraId="161934B8" w14:textId="77777777">
        <w:trPr>
          <w:trHeight w:val="480"/>
          <w:jc w:val="center"/>
        </w:trPr>
        <w:tc>
          <w:tcPr>
            <w:tcW w:w="7664" w:type="dxa"/>
            <w:vAlign w:val="center"/>
          </w:tcPr>
          <w:p w14:paraId="3657C7AA"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COLD URBAN; i, </w:t>
            </w:r>
            <w:r w:rsidR="00FD7041" w:rsidRPr="000855B2">
              <w:rPr>
                <w:vertAlign w:val="subscript"/>
                <w:lang w:val="en-GB"/>
              </w:rPr>
              <w:t>k</w:t>
            </w:r>
            <w:r w:rsidRPr="000855B2">
              <w:rPr>
                <w:lang w:val="en-GB"/>
              </w:rPr>
              <w:t xml:space="preserve">= </w:t>
            </w:r>
            <w:r w:rsidRPr="000855B2">
              <w:rPr>
                <w:lang w:val="en-GB"/>
              </w:rPr>
              <w:sym w:font="Symbol" w:char="F062"/>
            </w:r>
            <w:r w:rsidRPr="000855B2">
              <w:rPr>
                <w:vertAlign w:val="subscript"/>
                <w:lang w:val="en-GB"/>
              </w:rPr>
              <w:t>i,</w:t>
            </w:r>
            <w:r w:rsidR="00FD7041" w:rsidRPr="000855B2">
              <w:rPr>
                <w:vertAlign w:val="subscript"/>
                <w:lang w:val="en-GB"/>
              </w:rPr>
              <w:t>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COLD URBAN; i, </w:t>
            </w:r>
            <w:r w:rsidR="00FD7041" w:rsidRPr="000855B2">
              <w:rPr>
                <w:vertAlign w:val="subscript"/>
                <w:lang w:val="en-GB"/>
              </w:rPr>
              <w:t>k</w:t>
            </w:r>
            <w:r w:rsidRPr="000855B2">
              <w:rPr>
                <w:vertAlign w:val="subscript"/>
                <w:lang w:val="en-GB"/>
              </w:rPr>
              <w:t xml:space="preserve"> </w:t>
            </w:r>
          </w:p>
        </w:tc>
        <w:tc>
          <w:tcPr>
            <w:tcW w:w="751" w:type="dxa"/>
            <w:tcMar>
              <w:left w:w="0" w:type="dxa"/>
              <w:right w:w="0" w:type="dxa"/>
            </w:tcMar>
            <w:vAlign w:val="center"/>
          </w:tcPr>
          <w:p w14:paraId="60938319" w14:textId="77777777" w:rsidR="001D2587" w:rsidRPr="000855B2" w:rsidRDefault="001D2587" w:rsidP="00546C89">
            <w:pPr>
              <w:numPr>
                <w:ilvl w:val="12"/>
                <w:numId w:val="0"/>
              </w:numPr>
              <w:spacing w:before="40" w:after="40"/>
              <w:rPr>
                <w:lang w:val="en-GB"/>
              </w:rPr>
            </w:pPr>
            <w:r w:rsidRPr="000855B2">
              <w:rPr>
                <w:lang w:val="en-GB"/>
              </w:rPr>
              <w:t>(a)</w:t>
            </w:r>
          </w:p>
        </w:tc>
      </w:tr>
      <w:tr w:rsidR="001D2587" w:rsidRPr="000855B2" w14:paraId="54B39830" w14:textId="77777777">
        <w:trPr>
          <w:trHeight w:val="480"/>
          <w:jc w:val="center"/>
        </w:trPr>
        <w:tc>
          <w:tcPr>
            <w:tcW w:w="7664" w:type="dxa"/>
            <w:vAlign w:val="center"/>
          </w:tcPr>
          <w:p w14:paraId="60083A21"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COLD RURAL; i, </w:t>
            </w:r>
            <w:r w:rsidR="00FD7041" w:rsidRPr="000855B2">
              <w:rPr>
                <w:vertAlign w:val="subscript"/>
                <w:lang w:val="en-GB"/>
              </w:rPr>
              <w:t>k</w:t>
            </w:r>
            <w:r w:rsidRPr="000855B2">
              <w:rPr>
                <w:vertAlign w:val="subscript"/>
                <w:lang w:val="en-GB"/>
              </w:rPr>
              <w:t xml:space="preserve"> </w:t>
            </w:r>
            <w:r w:rsidRPr="000855B2">
              <w:rPr>
                <w:lang w:val="en-GB"/>
              </w:rPr>
              <w:t>= 0</w:t>
            </w:r>
          </w:p>
        </w:tc>
        <w:tc>
          <w:tcPr>
            <w:tcW w:w="751" w:type="dxa"/>
            <w:tcMar>
              <w:left w:w="0" w:type="dxa"/>
              <w:right w:w="0" w:type="dxa"/>
            </w:tcMar>
            <w:vAlign w:val="center"/>
          </w:tcPr>
          <w:p w14:paraId="36AAE22D" w14:textId="77777777" w:rsidR="001D2587" w:rsidRPr="000855B2" w:rsidRDefault="001D2587" w:rsidP="00546C89">
            <w:pPr>
              <w:numPr>
                <w:ilvl w:val="12"/>
                <w:numId w:val="0"/>
              </w:numPr>
              <w:spacing w:before="40" w:after="40"/>
              <w:rPr>
                <w:lang w:val="en-GB"/>
              </w:rPr>
            </w:pPr>
            <w:r w:rsidRPr="000855B2">
              <w:rPr>
                <w:lang w:val="en-GB"/>
              </w:rPr>
              <w:t>(b)</w:t>
            </w:r>
          </w:p>
        </w:tc>
      </w:tr>
      <w:tr w:rsidR="001D2587" w:rsidRPr="000855B2" w14:paraId="0604802E" w14:textId="77777777">
        <w:trPr>
          <w:trHeight w:val="480"/>
          <w:jc w:val="center"/>
        </w:trPr>
        <w:tc>
          <w:tcPr>
            <w:tcW w:w="7664" w:type="dxa"/>
            <w:vAlign w:val="center"/>
          </w:tcPr>
          <w:p w14:paraId="08E239FD"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HOT URBAN; i, </w:t>
            </w:r>
            <w:r w:rsidR="00FD7041" w:rsidRPr="000855B2">
              <w:rPr>
                <w:vertAlign w:val="subscript"/>
                <w:lang w:val="en-GB"/>
              </w:rPr>
              <w:t>k</w:t>
            </w:r>
            <w:r w:rsidRPr="000855B2">
              <w:rPr>
                <w:vertAlign w:val="subscript"/>
                <w:lang w:val="en-GB"/>
              </w:rPr>
              <w:t xml:space="preserve"> </w:t>
            </w:r>
            <w:r w:rsidRPr="000855B2">
              <w:rPr>
                <w:lang w:val="en-GB"/>
              </w:rPr>
              <w:t>= 0</w:t>
            </w:r>
          </w:p>
        </w:tc>
        <w:tc>
          <w:tcPr>
            <w:tcW w:w="751" w:type="dxa"/>
            <w:tcMar>
              <w:left w:w="0" w:type="dxa"/>
              <w:right w:w="0" w:type="dxa"/>
            </w:tcMar>
            <w:vAlign w:val="center"/>
          </w:tcPr>
          <w:p w14:paraId="69D75C80" w14:textId="77777777" w:rsidR="001D2587" w:rsidRPr="000855B2" w:rsidRDefault="001D2587" w:rsidP="00546C89">
            <w:pPr>
              <w:numPr>
                <w:ilvl w:val="12"/>
                <w:numId w:val="0"/>
              </w:numPr>
              <w:spacing w:before="40" w:after="40"/>
              <w:rPr>
                <w:lang w:val="en-GB"/>
              </w:rPr>
            </w:pPr>
            <w:r w:rsidRPr="000855B2">
              <w:rPr>
                <w:lang w:val="en-GB"/>
              </w:rPr>
              <w:t>(c)</w:t>
            </w:r>
          </w:p>
        </w:tc>
      </w:tr>
      <w:tr w:rsidR="001D2587" w:rsidRPr="000855B2" w14:paraId="6FF5F969" w14:textId="77777777">
        <w:trPr>
          <w:trHeight w:val="480"/>
          <w:jc w:val="center"/>
        </w:trPr>
        <w:tc>
          <w:tcPr>
            <w:tcW w:w="7664" w:type="dxa"/>
            <w:vAlign w:val="center"/>
          </w:tcPr>
          <w:p w14:paraId="75B62AD7"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 xml:space="preserve">HOT RURAL; i, </w:t>
            </w:r>
            <w:r w:rsidR="00FD7041" w:rsidRPr="000855B2">
              <w:rPr>
                <w:vertAlign w:val="subscript"/>
                <w:lang w:val="en-GB"/>
              </w:rPr>
              <w:t>k</w:t>
            </w:r>
            <w:r w:rsidRPr="000855B2">
              <w:rPr>
                <w:lang w:val="en-GB"/>
              </w:rPr>
              <w:t xml:space="preserve"> = [S</w:t>
            </w:r>
            <w:r w:rsidRPr="000855B2">
              <w:rPr>
                <w:vertAlign w:val="subscript"/>
                <w:lang w:val="en-GB"/>
              </w:rPr>
              <w:t>RURAL;</w:t>
            </w:r>
            <w:r w:rsidRPr="000855B2">
              <w:rPr>
                <w:lang w:val="en-GB"/>
              </w:rPr>
              <w:t xml:space="preserve"> </w:t>
            </w:r>
            <w:r w:rsidR="00FD7041" w:rsidRPr="000855B2">
              <w:rPr>
                <w:vertAlign w:val="subscript"/>
                <w:lang w:val="en-GB"/>
              </w:rPr>
              <w:t>k</w:t>
            </w:r>
            <w:r w:rsidRPr="000855B2">
              <w:rPr>
                <w:lang w:val="en-GB"/>
              </w:rPr>
              <w:t xml:space="preserve"> – (</w:t>
            </w:r>
            <w:r w:rsidRPr="000855B2">
              <w:rPr>
                <w:lang w:val="en-GB"/>
              </w:rPr>
              <w:sym w:font="Symbol" w:char="F062"/>
            </w:r>
            <w:r w:rsidR="00FD7041" w:rsidRPr="000855B2">
              <w:rPr>
                <w:vertAlign w:val="subscript"/>
                <w:lang w:val="en-GB"/>
              </w:rPr>
              <w:t>i,k</w:t>
            </w:r>
            <w:r w:rsidRPr="000855B2">
              <w:rPr>
                <w:lang w:val="en-GB"/>
              </w:rPr>
              <w:t xml:space="preserve"> – S</w:t>
            </w:r>
            <w:r w:rsidRPr="000855B2">
              <w:rPr>
                <w:vertAlign w:val="subscript"/>
                <w:lang w:val="en-GB"/>
              </w:rPr>
              <w:t>URBAN;</w:t>
            </w:r>
            <w:r w:rsidRPr="000855B2">
              <w:rPr>
                <w:lang w:val="en-GB"/>
              </w:rPr>
              <w:t xml:space="preserve"> </w:t>
            </w:r>
            <w:r w:rsidR="00FD7041" w:rsidRPr="000855B2">
              <w:rPr>
                <w:vertAlign w:val="subscript"/>
                <w:lang w:val="en-GB"/>
              </w:rPr>
              <w:t>k</w:t>
            </w:r>
            <w:r w:rsidRPr="000855B2">
              <w:rPr>
                <w:lang w:val="en-GB"/>
              </w:rPr>
              <w:t>)]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HOT RURAL; i, </w:t>
            </w:r>
            <w:r w:rsidR="00FD7041" w:rsidRPr="000855B2">
              <w:rPr>
                <w:vertAlign w:val="subscript"/>
                <w:lang w:val="en-GB"/>
              </w:rPr>
              <w:t>k</w:t>
            </w:r>
          </w:p>
        </w:tc>
        <w:tc>
          <w:tcPr>
            <w:tcW w:w="751" w:type="dxa"/>
            <w:tcMar>
              <w:left w:w="0" w:type="dxa"/>
              <w:right w:w="0" w:type="dxa"/>
            </w:tcMar>
            <w:vAlign w:val="center"/>
          </w:tcPr>
          <w:p w14:paraId="68967AE8" w14:textId="77777777" w:rsidR="001D2587" w:rsidRPr="000855B2" w:rsidRDefault="001D2587" w:rsidP="00546C89">
            <w:pPr>
              <w:numPr>
                <w:ilvl w:val="12"/>
                <w:numId w:val="0"/>
              </w:numPr>
              <w:spacing w:before="40" w:after="40"/>
              <w:rPr>
                <w:lang w:val="en-GB"/>
              </w:rPr>
            </w:pPr>
            <w:r w:rsidRPr="000855B2">
              <w:rPr>
                <w:lang w:val="en-GB"/>
              </w:rPr>
              <w:t>(d)</w:t>
            </w:r>
          </w:p>
        </w:tc>
      </w:tr>
      <w:tr w:rsidR="001D2587" w:rsidRPr="000855B2" w14:paraId="201CBD18" w14:textId="77777777">
        <w:trPr>
          <w:trHeight w:val="480"/>
          <w:jc w:val="center"/>
        </w:trPr>
        <w:tc>
          <w:tcPr>
            <w:tcW w:w="7664" w:type="dxa"/>
            <w:vAlign w:val="center"/>
          </w:tcPr>
          <w:p w14:paraId="4A6E16E6"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HOT HIGHWAY</w:t>
            </w:r>
            <w:r w:rsidR="00FD7041" w:rsidRPr="000855B2">
              <w:rPr>
                <w:vertAlign w:val="subscript"/>
                <w:lang w:val="en-GB"/>
              </w:rPr>
              <w:t>; i, k</w:t>
            </w:r>
            <w:r w:rsidRPr="000855B2">
              <w:rPr>
                <w:vertAlign w:val="subscript"/>
                <w:lang w:val="en-GB"/>
              </w:rPr>
              <w:t xml:space="preserve"> </w:t>
            </w:r>
            <w:r w:rsidRPr="000855B2">
              <w:rPr>
                <w:lang w:val="en-GB"/>
              </w:rPr>
              <w:t>= S</w:t>
            </w:r>
            <w:r w:rsidRPr="000855B2">
              <w:rPr>
                <w:vertAlign w:val="subscript"/>
                <w:lang w:val="en-GB"/>
              </w:rPr>
              <w:t>HIGHWAY</w:t>
            </w:r>
            <w:r w:rsidR="00FD7041" w:rsidRPr="000855B2">
              <w:rPr>
                <w:vertAlign w:val="subscript"/>
                <w:lang w:val="en-GB"/>
              </w:rPr>
              <w:t>; 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HOT HIGHWAY; i, </w:t>
            </w:r>
            <w:r w:rsidR="00FD7041" w:rsidRPr="000855B2">
              <w:rPr>
                <w:vertAlign w:val="subscript"/>
                <w:lang w:val="en-GB"/>
              </w:rPr>
              <w:t>k</w:t>
            </w:r>
          </w:p>
        </w:tc>
        <w:tc>
          <w:tcPr>
            <w:tcW w:w="751" w:type="dxa"/>
            <w:tcMar>
              <w:left w:w="0" w:type="dxa"/>
              <w:right w:w="0" w:type="dxa"/>
            </w:tcMar>
            <w:vAlign w:val="center"/>
          </w:tcPr>
          <w:p w14:paraId="7C7142CD" w14:textId="77777777" w:rsidR="001D2587" w:rsidRPr="000855B2" w:rsidRDefault="001D2587" w:rsidP="00546C89">
            <w:pPr>
              <w:numPr>
                <w:ilvl w:val="12"/>
                <w:numId w:val="0"/>
              </w:numPr>
              <w:spacing w:before="40" w:after="40"/>
              <w:rPr>
                <w:lang w:val="en-GB"/>
              </w:rPr>
            </w:pPr>
            <w:r w:rsidRPr="000855B2">
              <w:rPr>
                <w:lang w:val="en-GB"/>
              </w:rPr>
              <w:t>(e)</w:t>
            </w:r>
          </w:p>
        </w:tc>
      </w:tr>
      <w:tr w:rsidR="001D2587" w:rsidRPr="000855B2" w14:paraId="69E740F1" w14:textId="77777777">
        <w:trPr>
          <w:trHeight w:val="480"/>
          <w:jc w:val="center"/>
        </w:trPr>
        <w:tc>
          <w:tcPr>
            <w:tcW w:w="7664" w:type="dxa"/>
            <w:vAlign w:val="center"/>
          </w:tcPr>
          <w:p w14:paraId="098EF6B2" w14:textId="77777777" w:rsidR="001D2587" w:rsidRPr="000855B2" w:rsidRDefault="0041054C" w:rsidP="00546C89">
            <w:pPr>
              <w:numPr>
                <w:ilvl w:val="12"/>
                <w:numId w:val="0"/>
              </w:numPr>
              <w:spacing w:before="40" w:after="40"/>
              <w:rPr>
                <w:lang w:val="en-GB"/>
              </w:rPr>
            </w:pPr>
            <w:r w:rsidRPr="000855B2">
              <w:rPr>
                <w:lang w:val="en-GB"/>
              </w:rPr>
              <w:t>e</w:t>
            </w:r>
            <w:r w:rsidR="001D2587" w:rsidRPr="000855B2">
              <w:rPr>
                <w:lang w:val="en-GB"/>
              </w:rPr>
              <w:t>lse if β</w:t>
            </w:r>
            <w:r w:rsidR="00FD7041" w:rsidRPr="000855B2">
              <w:rPr>
                <w:vertAlign w:val="subscript"/>
                <w:lang w:val="en-GB"/>
              </w:rPr>
              <w:t>i, k</w:t>
            </w:r>
            <w:r w:rsidR="001D2587" w:rsidRPr="000855B2">
              <w:rPr>
                <w:lang w:val="en-GB"/>
              </w:rPr>
              <w:t xml:space="preserve"> &lt;= S</w:t>
            </w:r>
            <w:r w:rsidR="001D2587" w:rsidRPr="000855B2">
              <w:rPr>
                <w:vertAlign w:val="subscript"/>
                <w:lang w:val="en-GB"/>
              </w:rPr>
              <w:t xml:space="preserve">URBAN; </w:t>
            </w:r>
            <w:r w:rsidR="00FD7041" w:rsidRPr="000855B2">
              <w:rPr>
                <w:vertAlign w:val="subscript"/>
                <w:lang w:val="en-GB"/>
              </w:rPr>
              <w:t>k</w:t>
            </w:r>
          </w:p>
        </w:tc>
        <w:tc>
          <w:tcPr>
            <w:tcW w:w="751" w:type="dxa"/>
            <w:tcMar>
              <w:left w:w="0" w:type="dxa"/>
              <w:right w:w="0" w:type="dxa"/>
            </w:tcMar>
            <w:vAlign w:val="center"/>
          </w:tcPr>
          <w:p w14:paraId="4C9ACE40" w14:textId="5D2DD1A3" w:rsidR="001D2587" w:rsidRPr="000855B2" w:rsidRDefault="001D2587" w:rsidP="00546C89">
            <w:pPr>
              <w:numPr>
                <w:ilvl w:val="12"/>
                <w:numId w:val="0"/>
              </w:numPr>
              <w:spacing w:before="40" w:after="40"/>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13</w:t>
            </w:r>
            <w:r w:rsidR="00E17971">
              <w:rPr>
                <w:lang w:val="en-GB"/>
              </w:rPr>
              <w:fldChar w:fldCharType="end"/>
            </w:r>
            <w:r w:rsidRPr="000855B2">
              <w:rPr>
                <w:lang w:val="en-GB"/>
              </w:rPr>
              <w:t>)</w:t>
            </w:r>
          </w:p>
        </w:tc>
      </w:tr>
      <w:tr w:rsidR="001D2587" w:rsidRPr="000855B2" w14:paraId="34BEE66C" w14:textId="77777777">
        <w:trPr>
          <w:trHeight w:val="480"/>
          <w:jc w:val="center"/>
        </w:trPr>
        <w:tc>
          <w:tcPr>
            <w:tcW w:w="7664" w:type="dxa"/>
            <w:vAlign w:val="center"/>
          </w:tcPr>
          <w:p w14:paraId="67B359A1"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COLD URBAN; i, k</w:t>
            </w:r>
            <w:r w:rsidRPr="000855B2">
              <w:rPr>
                <w:vertAlign w:val="subscript"/>
                <w:lang w:val="en-GB"/>
              </w:rPr>
              <w:t xml:space="preserve"> </w:t>
            </w:r>
            <w:r w:rsidRPr="000855B2">
              <w:rPr>
                <w:lang w:val="en-GB"/>
              </w:rPr>
              <w:t xml:space="preserve">= </w:t>
            </w:r>
            <w:r w:rsidRPr="000855B2">
              <w:rPr>
                <w:lang w:val="en-GB"/>
              </w:rPr>
              <w:sym w:font="Symbol" w:char="F062"/>
            </w:r>
            <w:r w:rsidR="00FD7041" w:rsidRPr="000855B2">
              <w:rPr>
                <w:vertAlign w:val="subscript"/>
                <w:lang w:val="en-GB"/>
              </w:rPr>
              <w:t>i,k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00FD7041" w:rsidRPr="000855B2">
              <w:rPr>
                <w:vertAlign w:val="subscript"/>
                <w:lang w:val="en-GB"/>
              </w:rPr>
              <w:t>COLD URBAN; i, k</w:t>
            </w:r>
          </w:p>
        </w:tc>
        <w:tc>
          <w:tcPr>
            <w:tcW w:w="751" w:type="dxa"/>
            <w:tcMar>
              <w:left w:w="0" w:type="dxa"/>
              <w:right w:w="0" w:type="dxa"/>
            </w:tcMar>
            <w:vAlign w:val="center"/>
          </w:tcPr>
          <w:p w14:paraId="66826DE5" w14:textId="77777777" w:rsidR="001D2587" w:rsidRPr="000855B2" w:rsidRDefault="001D2587" w:rsidP="00546C89">
            <w:pPr>
              <w:numPr>
                <w:ilvl w:val="12"/>
                <w:numId w:val="0"/>
              </w:numPr>
              <w:spacing w:before="40" w:after="40"/>
              <w:rPr>
                <w:lang w:val="en-GB"/>
              </w:rPr>
            </w:pPr>
            <w:r w:rsidRPr="000855B2">
              <w:rPr>
                <w:lang w:val="en-GB"/>
              </w:rPr>
              <w:t>(a)</w:t>
            </w:r>
          </w:p>
        </w:tc>
      </w:tr>
      <w:tr w:rsidR="001D2587" w:rsidRPr="000855B2" w14:paraId="43791CD4" w14:textId="77777777">
        <w:trPr>
          <w:trHeight w:val="480"/>
          <w:jc w:val="center"/>
        </w:trPr>
        <w:tc>
          <w:tcPr>
            <w:tcW w:w="7664" w:type="dxa"/>
            <w:vAlign w:val="center"/>
          </w:tcPr>
          <w:p w14:paraId="1A9A9D38"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COLD RURAL; i, k</w:t>
            </w:r>
            <w:r w:rsidRPr="000855B2">
              <w:rPr>
                <w:vertAlign w:val="subscript"/>
                <w:lang w:val="en-GB"/>
              </w:rPr>
              <w:t xml:space="preserve"> </w:t>
            </w:r>
            <w:r w:rsidRPr="000855B2">
              <w:rPr>
                <w:lang w:val="en-GB"/>
              </w:rPr>
              <w:t>= 0</w:t>
            </w:r>
          </w:p>
        </w:tc>
        <w:tc>
          <w:tcPr>
            <w:tcW w:w="751" w:type="dxa"/>
            <w:tcMar>
              <w:left w:w="0" w:type="dxa"/>
              <w:right w:w="0" w:type="dxa"/>
            </w:tcMar>
            <w:vAlign w:val="center"/>
          </w:tcPr>
          <w:p w14:paraId="388E3AF8" w14:textId="77777777" w:rsidR="001D2587" w:rsidRPr="000855B2" w:rsidRDefault="001D2587" w:rsidP="00546C89">
            <w:pPr>
              <w:numPr>
                <w:ilvl w:val="12"/>
                <w:numId w:val="0"/>
              </w:numPr>
              <w:spacing w:before="40" w:after="40"/>
              <w:rPr>
                <w:lang w:val="en-GB"/>
              </w:rPr>
            </w:pPr>
            <w:r w:rsidRPr="000855B2">
              <w:rPr>
                <w:lang w:val="en-GB"/>
              </w:rPr>
              <w:t>(b)</w:t>
            </w:r>
          </w:p>
        </w:tc>
      </w:tr>
      <w:tr w:rsidR="001D2587" w:rsidRPr="000855B2" w14:paraId="381733EC" w14:textId="77777777">
        <w:trPr>
          <w:trHeight w:val="480"/>
          <w:jc w:val="center"/>
        </w:trPr>
        <w:tc>
          <w:tcPr>
            <w:tcW w:w="7664" w:type="dxa"/>
            <w:vAlign w:val="center"/>
          </w:tcPr>
          <w:p w14:paraId="1853B79A"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HOT URBAN; i, k</w:t>
            </w:r>
            <w:r w:rsidRPr="000855B2">
              <w:rPr>
                <w:vertAlign w:val="subscript"/>
                <w:lang w:val="en-GB"/>
              </w:rPr>
              <w:t xml:space="preserve"> </w:t>
            </w:r>
            <w:r w:rsidRPr="000855B2">
              <w:rPr>
                <w:lang w:val="en-GB"/>
              </w:rPr>
              <w:t>= (S</w:t>
            </w:r>
            <w:r w:rsidRPr="000855B2">
              <w:rPr>
                <w:vertAlign w:val="subscript"/>
                <w:lang w:val="en-GB"/>
              </w:rPr>
              <w:t>URBAN;</w:t>
            </w:r>
            <w:r w:rsidRPr="000855B2">
              <w:rPr>
                <w:lang w:val="en-GB"/>
              </w:rPr>
              <w:t xml:space="preserve"> </w:t>
            </w:r>
            <w:r w:rsidR="00FD7041" w:rsidRPr="000855B2">
              <w:rPr>
                <w:vertAlign w:val="subscript"/>
                <w:lang w:val="en-GB"/>
              </w:rPr>
              <w:t>k</w:t>
            </w:r>
            <w:r w:rsidRPr="000855B2">
              <w:rPr>
                <w:lang w:val="en-GB"/>
              </w:rPr>
              <w:t xml:space="preserve"> – </w:t>
            </w:r>
            <w:r w:rsidRPr="000855B2">
              <w:rPr>
                <w:lang w:val="en-GB"/>
              </w:rPr>
              <w:sym w:font="Symbol" w:char="F062"/>
            </w:r>
            <w:r w:rsidRPr="000855B2">
              <w:rPr>
                <w:vertAlign w:val="subscript"/>
                <w:lang w:val="en-GB"/>
              </w:rPr>
              <w:t>i</w:t>
            </w:r>
            <w:r w:rsidRPr="000855B2">
              <w:rPr>
                <w:lang w:val="en-GB"/>
              </w:rPr>
              <w:t>,</w:t>
            </w:r>
            <w:r w:rsidR="00FD7041" w:rsidRPr="000855B2">
              <w:rPr>
                <w:vertAlign w:val="subscript"/>
                <w:lang w:val="en-GB"/>
              </w:rPr>
              <w:t>k</w:t>
            </w:r>
            <w:r w:rsidRPr="000855B2">
              <w:rPr>
                <w:lang w:val="en-GB"/>
              </w:rPr>
              <w:t>)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Pr="000855B2">
              <w:rPr>
                <w:vertAlign w:val="subscript"/>
                <w:lang w:val="en-GB"/>
              </w:rPr>
              <w:t xml:space="preserve">HOT URBAN; i, </w:t>
            </w:r>
            <w:r w:rsidR="00FD7041" w:rsidRPr="000855B2">
              <w:rPr>
                <w:vertAlign w:val="subscript"/>
                <w:lang w:val="en-GB"/>
              </w:rPr>
              <w:t>k</w:t>
            </w:r>
          </w:p>
        </w:tc>
        <w:tc>
          <w:tcPr>
            <w:tcW w:w="751" w:type="dxa"/>
            <w:tcMar>
              <w:left w:w="0" w:type="dxa"/>
              <w:right w:w="0" w:type="dxa"/>
            </w:tcMar>
            <w:vAlign w:val="center"/>
          </w:tcPr>
          <w:p w14:paraId="5EB74677" w14:textId="77777777" w:rsidR="001D2587" w:rsidRPr="000855B2" w:rsidRDefault="001D2587" w:rsidP="00546C89">
            <w:pPr>
              <w:numPr>
                <w:ilvl w:val="12"/>
                <w:numId w:val="0"/>
              </w:numPr>
              <w:spacing w:before="40" w:after="40"/>
              <w:rPr>
                <w:lang w:val="en-GB"/>
              </w:rPr>
            </w:pPr>
            <w:r w:rsidRPr="000855B2">
              <w:rPr>
                <w:lang w:val="en-GB"/>
              </w:rPr>
              <w:t>(c)</w:t>
            </w:r>
          </w:p>
        </w:tc>
      </w:tr>
      <w:tr w:rsidR="001D2587" w:rsidRPr="000855B2" w14:paraId="39186AF2" w14:textId="77777777">
        <w:trPr>
          <w:trHeight w:val="480"/>
          <w:jc w:val="center"/>
        </w:trPr>
        <w:tc>
          <w:tcPr>
            <w:tcW w:w="7664" w:type="dxa"/>
            <w:vAlign w:val="center"/>
          </w:tcPr>
          <w:p w14:paraId="6D2FC5C4" w14:textId="77777777" w:rsidR="001D2587" w:rsidRPr="000855B2" w:rsidRDefault="001D2587" w:rsidP="00546C89">
            <w:pPr>
              <w:numPr>
                <w:ilvl w:val="12"/>
                <w:numId w:val="0"/>
              </w:numPr>
              <w:spacing w:before="40" w:after="40"/>
              <w:rPr>
                <w:lang w:val="en-GB"/>
              </w:rPr>
            </w:pPr>
            <w:r w:rsidRPr="000855B2">
              <w:rPr>
                <w:lang w:val="en-GB"/>
              </w:rPr>
              <w:t xml:space="preserve">           E</w:t>
            </w:r>
            <w:r w:rsidR="00FD7041" w:rsidRPr="000855B2">
              <w:rPr>
                <w:vertAlign w:val="subscript"/>
                <w:lang w:val="en-GB"/>
              </w:rPr>
              <w:t>HOT RURAL; i, k</w:t>
            </w:r>
            <w:r w:rsidRPr="000855B2">
              <w:rPr>
                <w:vertAlign w:val="subscript"/>
                <w:lang w:val="en-GB"/>
              </w:rPr>
              <w:t xml:space="preserve"> </w:t>
            </w:r>
            <w:r w:rsidRPr="000855B2">
              <w:rPr>
                <w:lang w:val="en-GB"/>
              </w:rPr>
              <w:t>= S</w:t>
            </w:r>
            <w:r w:rsidRPr="000855B2">
              <w:rPr>
                <w:vertAlign w:val="subscript"/>
                <w:lang w:val="en-GB"/>
              </w:rPr>
              <w:t>RURAL;</w:t>
            </w:r>
            <w:r w:rsidRPr="000855B2">
              <w:rPr>
                <w:lang w:val="en-GB"/>
              </w:rPr>
              <w:t xml:space="preserve"> </w:t>
            </w:r>
            <w:r w:rsidR="00FD7041" w:rsidRPr="000855B2">
              <w:rPr>
                <w:vertAlign w:val="subscript"/>
                <w:lang w:val="en-GB"/>
              </w:rPr>
              <w:t>k</w:t>
            </w:r>
            <w:r w:rsidRPr="000855B2">
              <w:rPr>
                <w:vertAlign w:val="subscript"/>
                <w:lang w:val="en-GB"/>
              </w:rPr>
              <w:t xml:space="preserve"> </w:t>
            </w:r>
            <w:r w:rsidRPr="000855B2">
              <w:rPr>
                <w:lang w:val="en-GB"/>
              </w:rPr>
              <w:t>× N</w:t>
            </w:r>
            <w:r w:rsidR="00643FE9"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00FD7041" w:rsidRPr="000855B2">
              <w:rPr>
                <w:vertAlign w:val="subscript"/>
                <w:lang w:val="en-GB"/>
              </w:rPr>
              <w:t>HOT RURAL; i,k</w:t>
            </w:r>
          </w:p>
        </w:tc>
        <w:tc>
          <w:tcPr>
            <w:tcW w:w="751" w:type="dxa"/>
            <w:tcMar>
              <w:left w:w="0" w:type="dxa"/>
              <w:right w:w="0" w:type="dxa"/>
            </w:tcMar>
            <w:vAlign w:val="center"/>
          </w:tcPr>
          <w:p w14:paraId="5CC2D2A8" w14:textId="77777777" w:rsidR="001D2587" w:rsidRPr="000855B2" w:rsidRDefault="001D2587" w:rsidP="00546C89">
            <w:pPr>
              <w:numPr>
                <w:ilvl w:val="12"/>
                <w:numId w:val="0"/>
              </w:numPr>
              <w:spacing w:before="40" w:after="40"/>
              <w:rPr>
                <w:lang w:val="en-GB"/>
              </w:rPr>
            </w:pPr>
            <w:r w:rsidRPr="000855B2">
              <w:rPr>
                <w:lang w:val="en-GB"/>
              </w:rPr>
              <w:t>(d)</w:t>
            </w:r>
          </w:p>
        </w:tc>
      </w:tr>
      <w:tr w:rsidR="001D2587" w:rsidRPr="000855B2" w14:paraId="0A5F0E99" w14:textId="77777777">
        <w:trPr>
          <w:trHeight w:val="480"/>
          <w:jc w:val="center"/>
        </w:trPr>
        <w:tc>
          <w:tcPr>
            <w:tcW w:w="7664" w:type="dxa"/>
            <w:vAlign w:val="center"/>
          </w:tcPr>
          <w:p w14:paraId="78CB9FAD" w14:textId="77777777" w:rsidR="001D2587" w:rsidRPr="000855B2" w:rsidRDefault="001D2587" w:rsidP="00546C89">
            <w:pPr>
              <w:numPr>
                <w:ilvl w:val="12"/>
                <w:numId w:val="0"/>
              </w:numPr>
              <w:spacing w:before="40" w:after="40"/>
              <w:rPr>
                <w:lang w:val="en-GB"/>
              </w:rPr>
            </w:pPr>
            <w:r w:rsidRPr="000855B2">
              <w:rPr>
                <w:lang w:val="en-GB"/>
              </w:rPr>
              <w:t xml:space="preserve">           E</w:t>
            </w:r>
            <w:r w:rsidRPr="000855B2">
              <w:rPr>
                <w:vertAlign w:val="subscript"/>
                <w:lang w:val="en-GB"/>
              </w:rPr>
              <w:t>HOT HIGHWAY</w:t>
            </w:r>
            <w:r w:rsidR="00FD7041" w:rsidRPr="000855B2">
              <w:rPr>
                <w:vertAlign w:val="subscript"/>
                <w:lang w:val="en-GB"/>
              </w:rPr>
              <w:t>; i, k</w:t>
            </w:r>
            <w:r w:rsidRPr="000855B2">
              <w:rPr>
                <w:vertAlign w:val="subscript"/>
                <w:lang w:val="en-GB"/>
              </w:rPr>
              <w:t xml:space="preserve"> </w:t>
            </w:r>
            <w:r w:rsidRPr="000855B2">
              <w:rPr>
                <w:lang w:val="en-GB"/>
              </w:rPr>
              <w:t>= S</w:t>
            </w:r>
            <w:r w:rsidRPr="000855B2">
              <w:rPr>
                <w:vertAlign w:val="subscript"/>
                <w:lang w:val="en-GB"/>
              </w:rPr>
              <w:t xml:space="preserve">HIGHWAY; </w:t>
            </w:r>
            <w:r w:rsidR="00FD7041" w:rsidRPr="000855B2">
              <w:rPr>
                <w:vertAlign w:val="subscript"/>
                <w:lang w:val="en-GB"/>
              </w:rPr>
              <w:t>k</w:t>
            </w:r>
            <w:r w:rsidRPr="000855B2">
              <w:rPr>
                <w:lang w:val="en-GB"/>
              </w:rPr>
              <w:t xml:space="preserve"> × N</w:t>
            </w:r>
            <w:r w:rsidR="00FD7041" w:rsidRPr="000855B2">
              <w:rPr>
                <w:vertAlign w:val="subscript"/>
                <w:lang w:val="en-GB"/>
              </w:rPr>
              <w:t>k</w:t>
            </w:r>
            <w:r w:rsidRPr="000855B2">
              <w:rPr>
                <w:lang w:val="en-GB"/>
              </w:rPr>
              <w:t xml:space="preserve"> × M</w:t>
            </w:r>
            <w:r w:rsidR="00FD7041" w:rsidRPr="000855B2">
              <w:rPr>
                <w:vertAlign w:val="subscript"/>
                <w:lang w:val="en-GB"/>
              </w:rPr>
              <w:t>k</w:t>
            </w:r>
            <w:r w:rsidRPr="000855B2">
              <w:rPr>
                <w:lang w:val="en-GB"/>
              </w:rPr>
              <w:t xml:space="preserve"> ×</w:t>
            </w:r>
            <w:r w:rsidRPr="000855B2">
              <w:rPr>
                <w:position w:val="6"/>
                <w:lang w:val="en-GB"/>
              </w:rPr>
              <w:t xml:space="preserve"> </w:t>
            </w:r>
            <w:r w:rsidRPr="000855B2">
              <w:rPr>
                <w:lang w:val="en-GB"/>
              </w:rPr>
              <w:t>e</w:t>
            </w:r>
            <w:r w:rsidR="00FD7041" w:rsidRPr="000855B2">
              <w:rPr>
                <w:vertAlign w:val="subscript"/>
                <w:lang w:val="en-GB"/>
              </w:rPr>
              <w:t>HOT HIGHWAY; i, k</w:t>
            </w:r>
          </w:p>
        </w:tc>
        <w:tc>
          <w:tcPr>
            <w:tcW w:w="751" w:type="dxa"/>
            <w:tcMar>
              <w:left w:w="0" w:type="dxa"/>
              <w:right w:w="0" w:type="dxa"/>
            </w:tcMar>
            <w:vAlign w:val="center"/>
          </w:tcPr>
          <w:p w14:paraId="36B9A0EA" w14:textId="77777777" w:rsidR="001D2587" w:rsidRPr="000855B2" w:rsidRDefault="001D2587" w:rsidP="00546C89">
            <w:pPr>
              <w:numPr>
                <w:ilvl w:val="12"/>
                <w:numId w:val="0"/>
              </w:numPr>
              <w:spacing w:before="40" w:after="40"/>
              <w:rPr>
                <w:lang w:val="en-GB"/>
              </w:rPr>
            </w:pPr>
            <w:r w:rsidRPr="000855B2">
              <w:rPr>
                <w:lang w:val="en-GB"/>
              </w:rPr>
              <w:t>(e)</w:t>
            </w:r>
          </w:p>
        </w:tc>
      </w:tr>
    </w:tbl>
    <w:p w14:paraId="7BBFB209" w14:textId="77777777" w:rsidR="001D2587" w:rsidRPr="000855B2" w:rsidRDefault="001D2587" w:rsidP="00546C89">
      <w:pPr>
        <w:pStyle w:val="BodyText"/>
      </w:pPr>
      <w:r w:rsidRPr="000855B2">
        <w:t>where,</w:t>
      </w:r>
    </w:p>
    <w:p w14:paraId="041DF4CA" w14:textId="77777777" w:rsidR="001D2587" w:rsidRPr="000855B2" w:rsidRDefault="001D2587" w:rsidP="00546C89">
      <w:pPr>
        <w:pStyle w:val="BodyText"/>
        <w:tabs>
          <w:tab w:val="left" w:pos="1440"/>
          <w:tab w:val="left" w:pos="1800"/>
        </w:tabs>
        <w:ind w:left="1800" w:hanging="1845"/>
      </w:pPr>
      <w:r w:rsidRPr="000855B2">
        <w:t>S</w:t>
      </w:r>
      <w:r w:rsidR="00FD7041" w:rsidRPr="000855B2">
        <w:rPr>
          <w:vertAlign w:val="subscript"/>
        </w:rPr>
        <w:t>URBAN; k</w:t>
      </w:r>
      <w:r w:rsidR="00BF176C" w:rsidRPr="000855B2">
        <w:tab/>
        <w:t>=</w:t>
      </w:r>
      <w:r w:rsidR="00BF176C" w:rsidRPr="000855B2">
        <w:tab/>
      </w:r>
      <w:r w:rsidR="0041054C" w:rsidRPr="000855B2">
        <w:t>m</w:t>
      </w:r>
      <w:r w:rsidRPr="000855B2">
        <w:t>ileage share attributed to urban conditions for vehi</w:t>
      </w:r>
      <w:r w:rsidR="00BF176C" w:rsidRPr="000855B2">
        <w:t>cle technology</w:t>
      </w:r>
      <w:r w:rsidRPr="000855B2">
        <w:t xml:space="preserve"> </w:t>
      </w:r>
      <w:r w:rsidR="00FD7041" w:rsidRPr="000855B2">
        <w:rPr>
          <w:i/>
        </w:rPr>
        <w:t>k</w:t>
      </w:r>
      <w:r w:rsidR="0041054C" w:rsidRPr="000855B2">
        <w:rPr>
          <w:i/>
        </w:rPr>
        <w:t>,</w:t>
      </w:r>
      <w:r w:rsidR="005E3510" w:rsidRPr="000855B2">
        <w:rPr>
          <w:i/>
        </w:rPr>
        <w:t>.</w:t>
      </w:r>
    </w:p>
    <w:p w14:paraId="0C44A40E" w14:textId="77777777" w:rsidR="001D2587" w:rsidRPr="000855B2" w:rsidRDefault="001D2587" w:rsidP="00546C89">
      <w:pPr>
        <w:pStyle w:val="BodyText"/>
        <w:tabs>
          <w:tab w:val="left" w:pos="1440"/>
          <w:tab w:val="left" w:pos="1800"/>
        </w:tabs>
        <w:ind w:left="1800" w:hanging="1845"/>
      </w:pPr>
      <w:r w:rsidRPr="000855B2">
        <w:t>S</w:t>
      </w:r>
      <w:r w:rsidR="00FD7041" w:rsidRPr="000855B2">
        <w:rPr>
          <w:vertAlign w:val="subscript"/>
        </w:rPr>
        <w:t>RURAL; k</w:t>
      </w:r>
      <w:r w:rsidR="005E3510" w:rsidRPr="000855B2">
        <w:rPr>
          <w:vertAlign w:val="subscript"/>
        </w:rPr>
        <w:tab/>
      </w:r>
      <w:r w:rsidR="00BF176C" w:rsidRPr="000855B2">
        <w:t>=</w:t>
      </w:r>
      <w:r w:rsidR="00BF176C" w:rsidRPr="000855B2">
        <w:tab/>
      </w:r>
      <w:r w:rsidR="0041054C" w:rsidRPr="000855B2">
        <w:t>m</w:t>
      </w:r>
      <w:r w:rsidRPr="000855B2">
        <w:t>ileage share attributed to rural conditions for vehi</w:t>
      </w:r>
      <w:r w:rsidR="00BF176C" w:rsidRPr="000855B2">
        <w:t>cle technology</w:t>
      </w:r>
      <w:r w:rsidRPr="000855B2">
        <w:t xml:space="preserve"> </w:t>
      </w:r>
      <w:r w:rsidR="00FD7041" w:rsidRPr="000855B2">
        <w:rPr>
          <w:i/>
        </w:rPr>
        <w:t>k</w:t>
      </w:r>
      <w:r w:rsidR="0041054C" w:rsidRPr="000855B2">
        <w:rPr>
          <w:i/>
        </w:rPr>
        <w:t>,</w:t>
      </w:r>
    </w:p>
    <w:p w14:paraId="4056692E" w14:textId="77777777" w:rsidR="001D2587" w:rsidRPr="000855B2" w:rsidRDefault="001D2587" w:rsidP="00546C89">
      <w:pPr>
        <w:pStyle w:val="BodyText"/>
        <w:tabs>
          <w:tab w:val="left" w:pos="1440"/>
          <w:tab w:val="left" w:pos="1800"/>
        </w:tabs>
        <w:ind w:left="1800" w:hanging="1845"/>
      </w:pPr>
      <w:r w:rsidRPr="000855B2">
        <w:t>S</w:t>
      </w:r>
      <w:r w:rsidRPr="000855B2">
        <w:rPr>
          <w:vertAlign w:val="subscript"/>
        </w:rPr>
        <w:t xml:space="preserve">HIGHWAY; </w:t>
      </w:r>
      <w:r w:rsidR="00FD7041" w:rsidRPr="000855B2">
        <w:rPr>
          <w:vertAlign w:val="subscript"/>
        </w:rPr>
        <w:t>k</w:t>
      </w:r>
      <w:r w:rsidR="005E3510" w:rsidRPr="000855B2">
        <w:rPr>
          <w:vertAlign w:val="subscript"/>
        </w:rPr>
        <w:tab/>
      </w:r>
      <w:r w:rsidR="00BF176C" w:rsidRPr="000855B2">
        <w:t>=</w:t>
      </w:r>
      <w:r w:rsidR="00BF176C" w:rsidRPr="000855B2">
        <w:tab/>
      </w:r>
      <w:r w:rsidR="0041054C" w:rsidRPr="000855B2">
        <w:t>m</w:t>
      </w:r>
      <w:r w:rsidRPr="000855B2">
        <w:t>ileage share attributed to highway conditions for vehi</w:t>
      </w:r>
      <w:r w:rsidR="00BF176C" w:rsidRPr="000855B2">
        <w:t>cle technology</w:t>
      </w:r>
      <w:r w:rsidRPr="000855B2">
        <w:t xml:space="preserve"> </w:t>
      </w:r>
      <w:r w:rsidR="00BF176C" w:rsidRPr="000855B2">
        <w:rPr>
          <w:i/>
        </w:rPr>
        <w:t>k</w:t>
      </w:r>
      <w:r w:rsidR="0041054C" w:rsidRPr="000855B2">
        <w:rPr>
          <w:i/>
        </w:rPr>
        <w:t>,</w:t>
      </w:r>
    </w:p>
    <w:p w14:paraId="4E0DD71D"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COLD URBAN; i, k</w:t>
      </w:r>
      <w:r w:rsidRPr="000855B2">
        <w:rPr>
          <w:vertAlign w:val="subscript"/>
        </w:rPr>
        <w:t xml:space="preserve"> </w:t>
      </w:r>
      <w:r w:rsidR="005E3510" w:rsidRPr="000855B2">
        <w:rPr>
          <w:vertAlign w:val="subscript"/>
        </w:rPr>
        <w:tab/>
      </w:r>
      <w:r w:rsidR="005E3510" w:rsidRPr="000855B2">
        <w:t>=</w:t>
      </w:r>
      <w:r w:rsidR="005E3510" w:rsidRPr="000855B2">
        <w:tab/>
      </w:r>
      <w:r w:rsidR="0041054C" w:rsidRPr="000855B2">
        <w:t>u</w:t>
      </w:r>
      <w:r w:rsidR="00BF176C" w:rsidRPr="000855B2">
        <w:t>rban c</w:t>
      </w:r>
      <w:r w:rsidRPr="000855B2">
        <w:t>old</w:t>
      </w:r>
      <w:r w:rsidR="005E3510" w:rsidRPr="000855B2">
        <w:t>-</w:t>
      </w:r>
      <w:r w:rsidR="00BF176C" w:rsidRPr="000855B2">
        <w:t>start emission factor for</w:t>
      </w:r>
      <w:r w:rsidRPr="000855B2">
        <w:t xml:space="preserve"> pollutant </w:t>
      </w:r>
      <w:r w:rsidR="00BF176C" w:rsidRPr="000855B2">
        <w:rPr>
          <w:i/>
        </w:rPr>
        <w:t>i</w:t>
      </w:r>
      <w:r w:rsidR="00BF176C" w:rsidRPr="000855B2">
        <w:t>,</w:t>
      </w:r>
      <w:r w:rsidRPr="000855B2">
        <w:t xml:space="preserve"> </w:t>
      </w:r>
      <w:r w:rsidR="00BF176C" w:rsidRPr="000855B2">
        <w:t>by</w:t>
      </w:r>
      <w:r w:rsidRPr="000855B2">
        <w:t xml:space="preserve"> vehi</w:t>
      </w:r>
      <w:r w:rsidR="00BF176C" w:rsidRPr="000855B2">
        <w:t>cle technology</w:t>
      </w:r>
      <w:r w:rsidRPr="000855B2">
        <w:t xml:space="preserve"> </w:t>
      </w:r>
      <w:r w:rsidR="00FD7041" w:rsidRPr="000855B2">
        <w:rPr>
          <w:i/>
        </w:rPr>
        <w:t>k</w:t>
      </w:r>
      <w:r w:rsidR="0041054C" w:rsidRPr="000855B2">
        <w:t>,</w:t>
      </w:r>
    </w:p>
    <w:p w14:paraId="04023F5E"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HOT URBAN; i, k</w:t>
      </w:r>
      <w:r w:rsidRPr="000855B2">
        <w:rPr>
          <w:vertAlign w:val="subscript"/>
        </w:rPr>
        <w:t xml:space="preserve"> </w:t>
      </w:r>
      <w:r w:rsidR="005E3510" w:rsidRPr="000855B2">
        <w:rPr>
          <w:vertAlign w:val="subscript"/>
        </w:rPr>
        <w:tab/>
      </w:r>
      <w:r w:rsidR="005E3510" w:rsidRPr="000855B2">
        <w:t>=</w:t>
      </w:r>
      <w:r w:rsidR="005E3510" w:rsidRPr="000855B2">
        <w:tab/>
      </w:r>
      <w:r w:rsidR="0041054C" w:rsidRPr="000855B2">
        <w:t>u</w:t>
      </w:r>
      <w:r w:rsidR="00BF176C" w:rsidRPr="000855B2">
        <w:t>rban hot emission factor for</w:t>
      </w:r>
      <w:r w:rsidRPr="000855B2">
        <w:t xml:space="preserve"> pollutant </w:t>
      </w:r>
      <w:r w:rsidRPr="000855B2">
        <w:rPr>
          <w:i/>
        </w:rPr>
        <w:t>i</w:t>
      </w:r>
      <w:r w:rsidRPr="000855B2">
        <w:t xml:space="preserve">, </w:t>
      </w:r>
      <w:r w:rsidR="00BF176C" w:rsidRPr="000855B2">
        <w:t xml:space="preserve">by vehicle technology </w:t>
      </w:r>
      <w:r w:rsidR="00BF176C" w:rsidRPr="000855B2">
        <w:rPr>
          <w:i/>
        </w:rPr>
        <w:t>k</w:t>
      </w:r>
      <w:r w:rsidR="0041054C" w:rsidRPr="000855B2">
        <w:t>,</w:t>
      </w:r>
    </w:p>
    <w:p w14:paraId="6545A5BB"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HOT RURAL; i, k</w:t>
      </w:r>
      <w:r w:rsidRPr="000855B2">
        <w:rPr>
          <w:vertAlign w:val="subscript"/>
        </w:rPr>
        <w:t xml:space="preserve"> </w:t>
      </w:r>
      <w:r w:rsidR="005E3510" w:rsidRPr="000855B2">
        <w:rPr>
          <w:vertAlign w:val="subscript"/>
        </w:rPr>
        <w:tab/>
      </w:r>
      <w:r w:rsidR="005E3510" w:rsidRPr="000855B2">
        <w:t>=</w:t>
      </w:r>
      <w:r w:rsidR="005E3510" w:rsidRPr="000855B2">
        <w:tab/>
      </w:r>
      <w:r w:rsidR="0041054C" w:rsidRPr="000855B2">
        <w:t>r</w:t>
      </w:r>
      <w:r w:rsidR="00BF176C" w:rsidRPr="000855B2">
        <w:t>ural hot emission factor for</w:t>
      </w:r>
      <w:r w:rsidRPr="000855B2">
        <w:t xml:space="preserve"> pollutant</w:t>
      </w:r>
      <w:r w:rsidR="00BF176C" w:rsidRPr="000855B2">
        <w:t xml:space="preserve"> </w:t>
      </w:r>
      <w:r w:rsidR="00BF176C" w:rsidRPr="000855B2">
        <w:rPr>
          <w:i/>
        </w:rPr>
        <w:t>i,</w:t>
      </w:r>
      <w:r w:rsidRPr="000855B2">
        <w:t xml:space="preserve"> </w:t>
      </w:r>
      <w:r w:rsidR="00BF176C" w:rsidRPr="000855B2">
        <w:t>by vehicle technology</w:t>
      </w:r>
      <w:r w:rsidRPr="000855B2">
        <w:t xml:space="preserve"> </w:t>
      </w:r>
      <w:r w:rsidR="00BF176C" w:rsidRPr="000855B2">
        <w:rPr>
          <w:i/>
        </w:rPr>
        <w:t>k</w:t>
      </w:r>
      <w:r w:rsidR="0041054C" w:rsidRPr="000855B2">
        <w:rPr>
          <w:i/>
        </w:rPr>
        <w:t>,</w:t>
      </w:r>
    </w:p>
    <w:p w14:paraId="3BF3D3B2" w14:textId="77777777" w:rsidR="001D2587" w:rsidRPr="000855B2" w:rsidRDefault="001D2587" w:rsidP="00546C89">
      <w:pPr>
        <w:pStyle w:val="BodyText"/>
        <w:tabs>
          <w:tab w:val="left" w:pos="1440"/>
          <w:tab w:val="left" w:pos="1800"/>
        </w:tabs>
        <w:ind w:left="1800" w:hanging="1845"/>
      </w:pPr>
      <w:r w:rsidRPr="000855B2">
        <w:t>e</w:t>
      </w:r>
      <w:r w:rsidR="00FD7041" w:rsidRPr="000855B2">
        <w:rPr>
          <w:vertAlign w:val="subscript"/>
        </w:rPr>
        <w:t>HOT HIGHWAY; i, k</w:t>
      </w:r>
      <w:r w:rsidR="005E3510" w:rsidRPr="000855B2">
        <w:rPr>
          <w:vertAlign w:val="subscript"/>
        </w:rPr>
        <w:tab/>
      </w:r>
      <w:r w:rsidR="005E3510" w:rsidRPr="000855B2">
        <w:t>=</w:t>
      </w:r>
      <w:r w:rsidR="005E3510" w:rsidRPr="000855B2">
        <w:tab/>
      </w:r>
      <w:r w:rsidR="0041054C" w:rsidRPr="000855B2">
        <w:t>h</w:t>
      </w:r>
      <w:r w:rsidR="00BF176C" w:rsidRPr="000855B2">
        <w:t>ighway hot emission factor for</w:t>
      </w:r>
      <w:r w:rsidRPr="000855B2">
        <w:t xml:space="preserve"> pollutant </w:t>
      </w:r>
      <w:r w:rsidRPr="000855B2">
        <w:rPr>
          <w:i/>
        </w:rPr>
        <w:t>i</w:t>
      </w:r>
      <w:r w:rsidR="00BF176C" w:rsidRPr="000855B2">
        <w:t xml:space="preserve">, </w:t>
      </w:r>
      <w:r w:rsidRPr="000855B2">
        <w:t xml:space="preserve">by vehicle </w:t>
      </w:r>
      <w:r w:rsidR="00BF176C" w:rsidRPr="000855B2">
        <w:t>technology</w:t>
      </w:r>
      <w:r w:rsidRPr="000855B2">
        <w:t xml:space="preserve"> </w:t>
      </w:r>
      <w:r w:rsidR="00BF176C" w:rsidRPr="000855B2">
        <w:rPr>
          <w:i/>
        </w:rPr>
        <w:t>k</w:t>
      </w:r>
      <w:r w:rsidRPr="000855B2">
        <w:t>.</w:t>
      </w:r>
    </w:p>
    <w:p w14:paraId="140D2890" w14:textId="21133A85" w:rsidR="000D493C" w:rsidRPr="000855B2" w:rsidRDefault="00741FF2" w:rsidP="005542D8">
      <w:pPr>
        <w:pStyle w:val="BodyText"/>
        <w:tabs>
          <w:tab w:val="left" w:pos="1440"/>
          <w:tab w:val="left" w:pos="1800"/>
        </w:tabs>
        <w:ind w:left="1800" w:hanging="1845"/>
      </w:pPr>
      <w:r>
        <w:rPr>
          <w:noProof/>
          <w:lang w:val="en-US" w:eastAsia="en-US"/>
        </w:rPr>
        <w:lastRenderedPageBreak/>
        <mc:AlternateContent>
          <mc:Choice Requires="wps">
            <w:drawing>
              <wp:inline distT="0" distB="0" distL="0" distR="0" wp14:anchorId="31B1AE20" wp14:editId="30B0AA9E">
                <wp:extent cx="5383530" cy="975995"/>
                <wp:effectExtent l="0" t="0" r="27305" b="14605"/>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975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328FD05" w14:textId="77777777" w:rsidR="00185BB9" w:rsidRPr="007011A7" w:rsidRDefault="00185BB9" w:rsidP="00546C89">
                            <w:pPr>
                              <w:pStyle w:val="BodyText"/>
                              <w:rPr>
                                <w:b/>
                                <w:bCs/>
                              </w:rPr>
                            </w:pPr>
                            <w:r w:rsidRPr="007011A7">
                              <w:rPr>
                                <w:b/>
                                <w:bCs/>
                              </w:rPr>
                              <w:t>Note</w:t>
                            </w:r>
                          </w:p>
                          <w:p w14:paraId="467F88E0" w14:textId="14904792" w:rsidR="00185BB9" w:rsidRPr="00772665" w:rsidRDefault="00185BB9" w:rsidP="00546C89">
                            <w:pPr>
                              <w:pStyle w:val="BodyText"/>
                              <w:rPr>
                                <w:bCs/>
                              </w:rPr>
                            </w:pPr>
                            <w:r w:rsidRPr="00772665">
                              <w:rPr>
                                <w:bCs/>
                              </w:rPr>
                              <w:t>When compiling an urban inventory, the urban share (S</w:t>
                            </w:r>
                            <w:r w:rsidRPr="00772665">
                              <w:rPr>
                                <w:bCs/>
                                <w:vertAlign w:val="subscript"/>
                              </w:rPr>
                              <w:t>URBAN</w:t>
                            </w:r>
                            <w:r w:rsidRPr="00772665">
                              <w:rPr>
                                <w:bCs/>
                              </w:rPr>
                              <w:t>) should be set equal to 100%, whereas both rural (S</w:t>
                            </w:r>
                            <w:r w:rsidRPr="00772665">
                              <w:rPr>
                                <w:bCs/>
                                <w:vertAlign w:val="subscript"/>
                              </w:rPr>
                              <w:t>RURAL</w:t>
                            </w:r>
                            <w:r w:rsidRPr="00772665">
                              <w:rPr>
                                <w:bCs/>
                              </w:rPr>
                              <w:t>) and highway (S</w:t>
                            </w:r>
                            <w:r w:rsidRPr="00772665">
                              <w:rPr>
                                <w:bCs/>
                                <w:vertAlign w:val="subscript"/>
                              </w:rPr>
                              <w:t>HIGHWAY</w:t>
                            </w:r>
                            <w:r w:rsidRPr="00772665">
                              <w:rPr>
                                <w:bCs/>
                              </w:rPr>
                              <w:t>) shares should be set equal to zero. In any case, the sum of the three shares should always equal 100%, otherwise an error is introduced in the calculations</w:t>
                            </w:r>
                            <w:r>
                              <w:rPr>
                                <w:bCs/>
                              </w:rPr>
                              <w:t>.</w:t>
                            </w:r>
                          </w:p>
                        </w:txbxContent>
                      </wps:txbx>
                      <wps:bodyPr rot="0" vert="horz" wrap="none" lIns="91440" tIns="45720" rIns="91440" bIns="45720" anchor="t" anchorCtr="0" upright="1">
                        <a:noAutofit/>
                      </wps:bodyPr>
                    </wps:wsp>
                  </a:graphicData>
                </a:graphic>
              </wp:inline>
            </w:drawing>
          </mc:Choice>
          <mc:Fallback>
            <w:pict>
              <v:shape w14:anchorId="31B1AE20" id="Text Box 151" o:spid="_x0000_s1065" type="#_x0000_t202" style="width:423.9pt;height:76.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" filled="f" fillcolor="silver">
                <v:textbox>
                  <w:txbxContent>
                    <w:p w14:paraId="3328FD05" w14:textId="77777777" w:rsidR="00185BB9" w:rsidRPr="007011A7" w:rsidRDefault="00185BB9" w:rsidP="00546C89">
                      <w:pPr>
                        <w:pStyle w:val="BodyText"/>
                        <w:rPr>
                          <w:b/>
                          <w:bCs/>
                        </w:rPr>
                      </w:pPr>
                      <w:r w:rsidRPr="007011A7">
                        <w:rPr>
                          <w:b/>
                          <w:bCs/>
                        </w:rPr>
                        <w:t>Note</w:t>
                      </w:r>
                    </w:p>
                    <w:p w14:paraId="467F88E0" w14:textId="14904792" w:rsidR="00185BB9" w:rsidRPr="00772665" w:rsidRDefault="00185BB9" w:rsidP="00546C89">
                      <w:pPr>
                        <w:pStyle w:val="BodyText"/>
                        <w:rPr>
                          <w:bCs/>
                        </w:rPr>
                      </w:pPr>
                      <w:r w:rsidRPr="00772665">
                        <w:rPr>
                          <w:bCs/>
                        </w:rPr>
                        <w:t>When compiling an urban inventory, the urban share (S</w:t>
                      </w:r>
                      <w:r w:rsidRPr="00772665">
                        <w:rPr>
                          <w:bCs/>
                          <w:vertAlign w:val="subscript"/>
                        </w:rPr>
                        <w:t>URBAN</w:t>
                      </w:r>
                      <w:r w:rsidRPr="00772665">
                        <w:rPr>
                          <w:bCs/>
                        </w:rPr>
                        <w:t>) should be set equal to 100%, whereas both rural (S</w:t>
                      </w:r>
                      <w:r w:rsidRPr="00772665">
                        <w:rPr>
                          <w:bCs/>
                          <w:vertAlign w:val="subscript"/>
                        </w:rPr>
                        <w:t>RURAL</w:t>
                      </w:r>
                      <w:r w:rsidRPr="00772665">
                        <w:rPr>
                          <w:bCs/>
                        </w:rPr>
                        <w:t>) and highway (S</w:t>
                      </w:r>
                      <w:r w:rsidRPr="00772665">
                        <w:rPr>
                          <w:bCs/>
                          <w:vertAlign w:val="subscript"/>
                        </w:rPr>
                        <w:t>HIGHWAY</w:t>
                      </w:r>
                      <w:r w:rsidRPr="00772665">
                        <w:rPr>
                          <w:bCs/>
                        </w:rPr>
                        <w:t>) shares should be set equal to zero. In any case, the sum of the three shares should always equal 100%, otherwise an error is introduced in the calculations</w:t>
                      </w:r>
                      <w:r>
                        <w:rPr>
                          <w:bCs/>
                        </w:rPr>
                        <w:t>.</w:t>
                      </w:r>
                    </w:p>
                  </w:txbxContent>
                </v:textbox>
                <w10:anchorlock/>
              </v:shape>
            </w:pict>
          </mc:Fallback>
        </mc:AlternateContent>
      </w:r>
    </w:p>
    <w:p w14:paraId="57D9C812" w14:textId="3D6F6C4D" w:rsidR="000D493C" w:rsidRDefault="000D493C" w:rsidP="005542D8">
      <w:pPr>
        <w:pStyle w:val="BodyText"/>
        <w:tabs>
          <w:tab w:val="left" w:pos="1440"/>
          <w:tab w:val="left" w:pos="1800"/>
        </w:tabs>
        <w:ind w:left="1800" w:hanging="1845"/>
      </w:pPr>
    </w:p>
    <w:p w14:paraId="39A239BD" w14:textId="77777777" w:rsidR="00B35E95" w:rsidRDefault="00B35E95" w:rsidP="00B35E95">
      <w:pPr>
        <w:pStyle w:val="Heading4"/>
      </w:pPr>
      <w:r>
        <w:t>E</w:t>
      </w:r>
      <w:r w:rsidR="00F54075">
        <w:t>nergy Balance</w:t>
      </w:r>
    </w:p>
    <w:p w14:paraId="71D09FB8" w14:textId="25BCD891" w:rsidR="00A245B4" w:rsidRDefault="00206FE6" w:rsidP="00A245B4">
      <w:pPr>
        <w:pStyle w:val="BodyText"/>
      </w:pPr>
      <w:r>
        <w:t xml:space="preserve">In </w:t>
      </w:r>
      <w:r w:rsidR="00630534">
        <w:rPr>
          <w:lang w:val="en-US"/>
        </w:rPr>
        <w:t xml:space="preserve">previous versions of this chapter it was suggested to carry out a fuel balance in </w:t>
      </w:r>
      <w:r>
        <w:t>order to ensure that all st</w:t>
      </w:r>
      <w:r w:rsidR="00991728">
        <w:t>atistical fuel sold wa</w:t>
      </w:r>
      <w:r>
        <w:t>s accounted for in the calculations</w:t>
      </w:r>
      <w:r w:rsidR="003A15CA">
        <w:t xml:space="preserve">. </w:t>
      </w:r>
      <w:r w:rsidR="00991728">
        <w:t>However, since vehicles are using blends of fuels with different energy content (e.g. E5, B7, etc.), an energy balance is more appropriate</w:t>
      </w:r>
      <w:r w:rsidR="00985228">
        <w:t>, as the calorific value of the fuel available to the user may significantly differ per country</w:t>
      </w:r>
      <w:r w:rsidR="00991728">
        <w:t xml:space="preserve">. </w:t>
      </w:r>
      <w:r w:rsidR="00985228">
        <w:t>When performing the energy balance, the activity data is most frequently modified so that calculated energy consumption meets the statistical one reported by the country. Most often, t</w:t>
      </w:r>
      <w:r w:rsidR="003A15CA">
        <w:t>his can be achieved by adjusting the annual kilometres travelled.</w:t>
      </w:r>
    </w:p>
    <w:p w14:paraId="1F4A919C" w14:textId="73B13F27" w:rsidR="00B35E95" w:rsidRDefault="00A245B4" w:rsidP="00A245B4">
      <w:pPr>
        <w:pStyle w:val="BodyText"/>
        <w:rPr>
          <w:b/>
        </w:rPr>
      </w:pPr>
      <w:r w:rsidRPr="00A61858">
        <w:t>When calculating the vehicle fleet energy consumption a mileage correction factor (MCF) is applied to the mean activity to balance the statistical and calculated energy consumption. For the calculation of air pollutant emissions the adjusted mean activity values are used.</w:t>
      </w:r>
      <w:r>
        <w:t xml:space="preserve"> The following figure presents the adjustment algorithm.</w:t>
      </w:r>
    </w:p>
    <w:p w14:paraId="0AC0BFA7" w14:textId="67697026" w:rsidR="00B35E95" w:rsidRPr="000855B2" w:rsidRDefault="00B35E95" w:rsidP="00B35E95">
      <w:pPr>
        <w:pStyle w:val="Caption"/>
      </w:pPr>
      <w:r w:rsidRPr="000855B2">
        <w:t>Figure </w:t>
      </w:r>
      <w:r>
        <w:fldChar w:fldCharType="begin"/>
      </w:r>
      <w:r>
        <w:instrText xml:space="preserve"> STYLEREF 1 \s </w:instrText>
      </w:r>
      <w:r>
        <w:fldChar w:fldCharType="separate"/>
      </w:r>
      <w:r w:rsidR="0071604C">
        <w:rPr>
          <w:noProof/>
        </w:rPr>
        <w:t>3</w:t>
      </w:r>
      <w:r>
        <w:fldChar w:fldCharType="end"/>
      </w:r>
      <w:r w:rsidRPr="000855B2">
        <w:noBreakHyphen/>
      </w:r>
      <w:r>
        <w:fldChar w:fldCharType="begin"/>
      </w:r>
      <w:r>
        <w:instrText xml:space="preserve"> SEQ Figure \* ARABIC \s 1 </w:instrText>
      </w:r>
      <w:r>
        <w:fldChar w:fldCharType="separate"/>
      </w:r>
      <w:r w:rsidR="0071604C">
        <w:rPr>
          <w:noProof/>
        </w:rPr>
        <w:t>3</w:t>
      </w:r>
      <w:r>
        <w:fldChar w:fldCharType="end"/>
      </w:r>
      <w:r w:rsidRPr="000855B2">
        <w:t xml:space="preserve">: Flow chart of the </w:t>
      </w:r>
      <w:r>
        <w:t>f</w:t>
      </w:r>
      <w:r w:rsidR="00985228">
        <w:t>uel energy</w:t>
      </w:r>
      <w:r w:rsidR="007E7836">
        <w:t xml:space="preserve"> balance algorithm</w:t>
      </w:r>
    </w:p>
    <w:p w14:paraId="1F852311" w14:textId="3C3B35DA" w:rsidR="00B35E95" w:rsidRDefault="00185BB9" w:rsidP="00B35E95">
      <w:pPr>
        <w:pStyle w:val="BodyText"/>
        <w:jc w:val="center"/>
      </w:pPr>
      <w:r>
        <w:rPr>
          <w:noProof/>
          <w:lang w:val="en-US" w:eastAsia="en-US"/>
        </w:rPr>
        <w:object w:dxaOrig="1440" w:dyaOrig="1440" w14:anchorId="0C5E445D">
          <v:shape id="_x0000_s1419" type="#_x0000_t75" style="position:absolute;left:0;text-align:left;margin-left:122.15pt;margin-top:168.55pt;width:155.35pt;height:26.85pt;z-index:251673600;mso-position-horizontal-relative:text;mso-position-vertical-relative:text" filled="t" stroked="t">
            <v:imagedata r:id="rId18" o:title=""/>
          </v:shape>
          <o:OLEObject Type="Embed" ProgID="Equation.3" ShapeID="_x0000_s1419" DrawAspect="Content" ObjectID="_1555746407" r:id="rId19"/>
        </w:object>
      </w:r>
      <w:r w:rsidR="00974C5D" w:rsidRPr="00974C5D">
        <w:rPr>
          <w:noProof/>
          <w:lang w:val="en-US" w:eastAsia="en-US"/>
        </w:rPr>
        <mc:AlternateContent>
          <mc:Choice Requires="wpg">
            <w:drawing>
              <wp:inline distT="0" distB="0" distL="0" distR="0" wp14:anchorId="0DFFF263" wp14:editId="79C52D16">
                <wp:extent cx="3394364" cy="4474871"/>
                <wp:effectExtent l="0" t="0" r="15875" b="20955"/>
                <wp:docPr id="64" name="Group 64"/>
                <wp:cNvGraphicFramePr/>
                <a:graphic xmlns:a="http://schemas.openxmlformats.org/drawingml/2006/main">
                  <a:graphicData uri="http://schemas.microsoft.com/office/word/2010/wordprocessingGroup">
                    <wpg:wgp>
                      <wpg:cNvGrpSpPr/>
                      <wpg:grpSpPr>
                        <a:xfrm>
                          <a:off x="0" y="0"/>
                          <a:ext cx="3394364" cy="4474871"/>
                          <a:chOff x="0" y="0"/>
                          <a:chExt cx="4038600" cy="4952837"/>
                        </a:xfrm>
                      </wpg:grpSpPr>
                      <wps:wsp>
                        <wps:cNvPr id="81" name="Rectangle 81"/>
                        <wps:cNvSpPr/>
                        <wps:spPr>
                          <a:xfrm>
                            <a:off x="2276282" y="123823"/>
                            <a:ext cx="1069162" cy="6773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9DD5EC"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Activity Data</w:t>
                              </w:r>
                            </w:p>
                            <w:p w14:paraId="3D24883D" w14:textId="50B33BCE"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tlCol="0" anchor="ctr"/>
                      </wps:wsp>
                      <wps:wsp>
                        <wps:cNvPr id="82" name="Rectangle 82"/>
                        <wps:cNvSpPr/>
                        <wps:spPr>
                          <a:xfrm>
                            <a:off x="0" y="0"/>
                            <a:ext cx="1419225" cy="820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809D45"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Energy consumption factor</w:t>
                              </w:r>
                            </w:p>
                            <w:p w14:paraId="381E2F91" w14:textId="50A795AA"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(MJ/veh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tlCol="0" anchor="ctr"/>
                      </wps:wsp>
                      <wps:wsp>
                        <wps:cNvPr id="83" name="Rectangle 83"/>
                        <wps:cNvSpPr/>
                        <wps:spPr>
                          <a:xfrm>
                            <a:off x="1200150" y="1009650"/>
                            <a:ext cx="12573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B40D" w14:textId="60524F2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Calculated energy consumption</w:t>
                              </w:r>
                            </w:p>
                          </w:txbxContent>
                        </wps:txbx>
                        <wps:bodyPr rtlCol="0" anchor="ctr"/>
                      </wps:wsp>
                      <wps:wsp>
                        <wps:cNvPr id="84" name="Rectangle 84"/>
                        <wps:cNvSpPr/>
                        <wps:spPr>
                          <a:xfrm>
                            <a:off x="2781300" y="1019175"/>
                            <a:ext cx="12573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0C14F0"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Statistical energy consumption</w:t>
                              </w:r>
                            </w:p>
                          </w:txbxContent>
                        </wps:txbx>
                        <wps:bodyPr rtlCol="0" anchor="ctr"/>
                      </wps:wsp>
                      <wps:wsp>
                        <wps:cNvPr id="85" name="Straight Arrow Connector 85"/>
                        <wps:cNvCnPr>
                          <a:stCxn id="81" idx="1"/>
                          <a:endCxn id="83" idx="0"/>
                        </wps:cNvCnPr>
                        <wps:spPr>
                          <a:xfrm flipH="1">
                            <a:off x="1828801" y="462522"/>
                            <a:ext cx="447481" cy="5471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82" idx="3"/>
                          <a:endCxn id="83" idx="0"/>
                        </wps:cNvCnPr>
                        <wps:spPr>
                          <a:xfrm>
                            <a:off x="1419225" y="410194"/>
                            <a:ext cx="409575" cy="5994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409574" y="2181225"/>
                            <a:ext cx="284797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Rectangle 88"/>
                        <wps:cNvSpPr/>
                        <wps:spPr>
                          <a:xfrm>
                            <a:off x="1900236" y="3143251"/>
                            <a:ext cx="1409700" cy="4857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B00F14"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New Activity Data</w:t>
                              </w:r>
                            </w:p>
                            <w:p w14:paraId="173F5061" w14:textId="78110B85"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tlCol="0" anchor="ctr"/>
                      </wps:wsp>
                      <wps:wsp>
                        <wps:cNvPr id="89" name="Rectangle 89"/>
                        <wps:cNvSpPr/>
                        <wps:spPr>
                          <a:xfrm>
                            <a:off x="366711" y="3076575"/>
                            <a:ext cx="12573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560184" w14:textId="76E229D5"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 factor (g/veh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wps:txbx>
                        <wps:bodyPr rtlCol="0" anchor="ctr"/>
                      </wps:wsp>
                      <wps:wsp>
                        <wps:cNvPr id="90" name="Rectangle 90"/>
                        <wps:cNvSpPr/>
                        <wps:spPr>
                          <a:xfrm>
                            <a:off x="1401148" y="4238462"/>
                            <a:ext cx="898188"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8D79D8"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Emissions</w:t>
                              </w:r>
                            </w:p>
                          </w:txbxContent>
                        </wps:txbx>
                        <wps:bodyPr rtlCol="0" anchor="ctr"/>
                      </wps:wsp>
                      <wps:wsp>
                        <wps:cNvPr id="91" name="Straight Arrow Connector 91"/>
                        <wps:cNvCnPr>
                          <a:stCxn id="83" idx="2"/>
                          <a:endCxn id="87" idx="0"/>
                        </wps:cNvCnPr>
                        <wps:spPr>
                          <a:xfrm rot="16200000" flipH="1">
                            <a:off x="1588294" y="1935956"/>
                            <a:ext cx="485775" cy="4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a:stCxn id="84" idx="2"/>
                          <a:endCxn id="87" idx="0"/>
                        </wps:cNvCnPr>
                        <wps:spPr>
                          <a:xfrm rot="5400000">
                            <a:off x="2383631" y="1154906"/>
                            <a:ext cx="476250" cy="15763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a:stCxn id="87" idx="2"/>
                          <a:endCxn id="88" idx="0"/>
                        </wps:cNvCnPr>
                        <wps:spPr>
                          <a:xfrm rot="16200000" flipH="1">
                            <a:off x="2081211" y="2619376"/>
                            <a:ext cx="276226" cy="771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a:stCxn id="88" idx="2"/>
                          <a:endCxn id="90" idx="0"/>
                        </wps:cNvCnPr>
                        <wps:spPr>
                          <a:xfrm flipH="1">
                            <a:off x="1850242" y="3629024"/>
                            <a:ext cx="754845" cy="6094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a:stCxn id="89" idx="2"/>
                        </wps:cNvCnPr>
                        <wps:spPr>
                          <a:xfrm rot="16200000" flipH="1">
                            <a:off x="1178719" y="3579017"/>
                            <a:ext cx="476249" cy="8429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DFFF263" id="Group 64" o:spid="_x0000_s1066" style="width:267.25pt;height:352.35pt;mso-position-horizontal-relative:char;mso-position-vertical-relative:line" coordsize="40386,4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">
                <v:rect id="Rectangle 81" o:spid="_x0000_s1067" style="position:absolute;left:22762;top:1238;width:10692;height:6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" filled="f" strokecolor="#1f4d78 [1604]" strokeweight="1pt">
                  <v:textbox>
                    <w:txbxContent>
                      <w:p w14:paraId="379DD5EC"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Activity Data</w:t>
                        </w:r>
                      </w:p>
                      <w:p w14:paraId="3D24883D" w14:textId="50B33BCE"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82" o:spid="_x0000_s1068" style="position:absolute;width:14192;height:8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" filled="f" strokecolor="#1f4d78 [1604]" strokeweight="1pt">
                  <v:textbox>
                    <w:txbxContent>
                      <w:p w14:paraId="43809D45"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Energy consumption factor</w:t>
                        </w:r>
                      </w:p>
                      <w:p w14:paraId="381E2F91" w14:textId="50A795AA"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(MJ/veh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83" o:spid="_x0000_s1069" style="position:absolute;left:12001;top:10096;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" filled="f" strokecolor="#1f4d78 [1604]" strokeweight="1pt">
                  <v:textbox>
                    <w:txbxContent>
                      <w:p w14:paraId="789CB40D" w14:textId="60524F2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Calculated energy consumption</w:t>
                        </w:r>
                      </w:p>
                    </w:txbxContent>
                  </v:textbox>
                </v:rect>
                <v:rect id="Rectangle 84" o:spid="_x0000_s1070" style="position:absolute;left:27813;top:10191;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" filled="f" strokecolor="#1f4d78 [1604]" strokeweight="1pt">
                  <v:textbox>
                    <w:txbxContent>
                      <w:p w14:paraId="6F0C14F0"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Statistical energy consumption</w:t>
                        </w:r>
                      </w:p>
                    </w:txbxContent>
                  </v:textbox>
                </v:rect>
                <v:shapetype id="_x0000_t32" coordsize="21600,21600" o:spt="32" o:oned="t" path="m,l21600,21600e" filled="f">
                  <v:path arrowok="t" fillok="f" o:connecttype="none"/>
                  <o:lock v:ext="edit" shapetype="t"/>
                </v:shapetype>
                <v:shape id="Straight Arrow Connector 85" o:spid="_x0000_s1071" type="#_x0000_t32" style="position:absolute;left:18288;top:4625;width:4474;height:54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" strokecolor="#5b9bd5 [3204]" strokeweight=".5pt">
                  <v:stroke endarrow="open" joinstyle="miter"/>
                </v:shape>
                <v:shape id="Straight Arrow Connector 86" o:spid="_x0000_s1072" type="#_x0000_t32" style="position:absolute;left:14192;top:4101;width:4096;height:5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" strokecolor="#5b9bd5 [3204]" strokeweight=".5pt">
                  <v:stroke endarrow="open" joinstyle="miter"/>
                </v:shape>
                <v:rect id="Rectangle 87" o:spid="_x0000_s1073" style="position:absolute;left:4095;top:21812;width:2848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" filled="f" strokecolor="#1f4d78 [1604]" strokeweight="1pt"/>
                <v:rect id="Rectangle 88" o:spid="_x0000_s1074" style="position:absolute;left:19002;top:31432;width:1409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" filled="f" strokecolor="#1f4d78 [1604]" strokeweight="1pt">
                  <v:textbox>
                    <w:txbxContent>
                      <w:p w14:paraId="62B00F14"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New Activity Data</w:t>
                        </w:r>
                      </w:p>
                      <w:p w14:paraId="173F5061" w14:textId="78110B85"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89" o:spid="_x0000_s1075" style="position:absolute;left:3667;top:30765;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" filled="f" strokecolor="#1f4d78 [1604]" strokeweight="1pt">
                  <v:textbox>
                    <w:txbxContent>
                      <w:p w14:paraId="25560184" w14:textId="76E229D5"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 factor (g/veh</w:t>
                        </w:r>
                        <w:r>
                          <w:rPr>
                            <w:rFonts w:asciiTheme="minorHAnsi" w:hAnsi="Calibri" w:cstheme="minorBidi"/>
                            <w:color w:val="000000"/>
                            <w:sz w:val="20"/>
                            <w:szCs w:val="20"/>
                            <w:lang w:val="en-US"/>
                          </w:rPr>
                          <w:t>-</w:t>
                        </w:r>
                        <w:r w:rsidRPr="00A61858">
                          <w:rPr>
                            <w:rFonts w:asciiTheme="minorHAnsi" w:hAnsi="Calibri" w:cstheme="minorBidi"/>
                            <w:color w:val="000000"/>
                            <w:sz w:val="20"/>
                            <w:szCs w:val="20"/>
                            <w:lang w:val="en-US"/>
                          </w:rPr>
                          <w:t>km)</w:t>
                        </w:r>
                      </w:p>
                    </w:txbxContent>
                  </v:textbox>
                </v:rect>
                <v:rect id="Rectangle 90" o:spid="_x0000_s1076" style="position:absolute;left:14011;top:42384;width:8982;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" filled="f" strokecolor="#1f4d78 [1604]" strokeweight="1pt">
                  <v:textbox>
                    <w:txbxContent>
                      <w:p w14:paraId="338D79D8" w14:textId="77777777" w:rsidR="00185BB9" w:rsidRPr="00A61858" w:rsidRDefault="00185BB9" w:rsidP="00741FF2">
                        <w:pPr>
                          <w:pStyle w:val="NormalWeb"/>
                          <w:spacing w:before="0" w:beforeAutospacing="0" w:after="0" w:afterAutospacing="0"/>
                          <w:jc w:val="center"/>
                          <w:rPr>
                            <w:sz w:val="20"/>
                            <w:szCs w:val="20"/>
                          </w:rPr>
                        </w:pPr>
                        <w:r w:rsidRPr="00A61858">
                          <w:rPr>
                            <w:rFonts w:asciiTheme="minorHAnsi" w:hAnsi="Calibri" w:cstheme="minorBidi"/>
                            <w:color w:val="000000"/>
                            <w:sz w:val="20"/>
                            <w:szCs w:val="20"/>
                            <w:lang w:val="en-US"/>
                          </w:rPr>
                          <w:t>Emissions</w:t>
                        </w:r>
                      </w:p>
                    </w:txbxContent>
                  </v:textbox>
                </v:rect>
                <v:shape id="Straight Arrow Connector 91" o:spid="_x0000_s1077" type="#_x0000_t32" style="position:absolute;left:15883;top:19359;width:4858;height:47;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" strokecolor="#5b9bd5 [3204]" strokeweight=".5pt">
                  <v:stroke endarrow="open" joinstyle="miter"/>
                </v:shape>
                <v:shape id="Straight Arrow Connector 92" o:spid="_x0000_s1078" type="#_x0000_t32" style="position:absolute;left:23835;top:11549;width:4763;height:1576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" strokecolor="#5b9bd5 [3204]" strokeweight=".5pt">
                  <v:stroke endarrow="open" joinstyle="miter"/>
                </v:shape>
                <v:shape id="Straight Arrow Connector 93" o:spid="_x0000_s1079" type="#_x0000_t32" style="position:absolute;left:20812;top:26193;width:2762;height:771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" strokecolor="#5b9bd5 [3204]" strokeweight=".5pt">
                  <v:stroke endarrow="open" joinstyle="miter"/>
                </v:shape>
                <v:shape id="Straight Arrow Connector 94" o:spid="_x0000_s1080" type="#_x0000_t32" style="position:absolute;left:18502;top:36290;width:7548;height:60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" strokecolor="#5b9bd5 [3204]" strokeweight=".5pt">
                  <v:stroke endarrow="open" joinstyle="miter"/>
                </v:shape>
                <v:shape id="Straight Arrow Connector 95" o:spid="_x0000_s1081" type="#_x0000_t32" style="position:absolute;left:11786;top:35790;width:4763;height:843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" strokecolor="#5b9bd5 [3204]" strokeweight=".5pt">
                  <v:stroke endarrow="open" joinstyle="miter"/>
                </v:shape>
                <w10:anchorlock/>
              </v:group>
            </w:pict>
          </mc:Fallback>
        </mc:AlternateContent>
      </w:r>
    </w:p>
    <w:p w14:paraId="005470C8" w14:textId="7F84858F" w:rsidR="00A245B4" w:rsidRDefault="00A245B4" w:rsidP="00A245B4">
      <w:pPr>
        <w:pStyle w:val="BodyText"/>
      </w:pPr>
      <w:r w:rsidRPr="000855B2">
        <w:lastRenderedPageBreak/>
        <w:t>A summary of the variables required — and the intermediate calculated values — is given in the flow chart of</w:t>
      </w:r>
      <w:r>
        <w:t xml:space="preserve"> </w:t>
      </w:r>
      <w:r>
        <w:fldChar w:fldCharType="begin"/>
      </w:r>
      <w:r>
        <w:instrText xml:space="preserve"> REF _Ref480918261 \h </w:instrText>
      </w:r>
      <w:r>
        <w:fldChar w:fldCharType="separate"/>
      </w:r>
      <w:r w:rsidR="0071604C" w:rsidRPr="000855B2">
        <w:t>Figure </w:t>
      </w:r>
      <w:r w:rsidR="0071604C">
        <w:rPr>
          <w:noProof/>
        </w:rPr>
        <w:t>3</w:t>
      </w:r>
      <w:r w:rsidR="0071604C" w:rsidRPr="000855B2">
        <w:noBreakHyphen/>
      </w:r>
      <w:r w:rsidR="0071604C">
        <w:rPr>
          <w:noProof/>
        </w:rPr>
        <w:t>2</w:t>
      </w:r>
      <w:r>
        <w:fldChar w:fldCharType="end"/>
      </w:r>
      <w:r>
        <w:t>.</w:t>
      </w:r>
    </w:p>
    <w:p w14:paraId="5B326D49" w14:textId="0687324C" w:rsidR="006040E5" w:rsidRDefault="00A245B4" w:rsidP="00B35E95">
      <w:pPr>
        <w:pStyle w:val="BodyText"/>
      </w:pPr>
      <w:r>
        <w:t xml:space="preserve">To facilitate the energy balance, energy consumption factors are introduced to replace the previously used fuel (mass) consumption factors. The conversion has been realised by using default calorific values for the fuel types presented in </w:t>
      </w:r>
      <w:r>
        <w:fldChar w:fldCharType="begin"/>
      </w:r>
      <w:r>
        <w:instrText xml:space="preserve"> REF _Ref481616270 \h </w:instrText>
      </w:r>
      <w:r>
        <w:fldChar w:fldCharType="separate"/>
      </w:r>
      <w:r w:rsidR="0071604C" w:rsidRPr="000855B2">
        <w:t>Table </w:t>
      </w:r>
      <w:r w:rsidR="0071604C">
        <w:rPr>
          <w:noProof/>
        </w:rPr>
        <w:t>3</w:t>
      </w:r>
      <w:r w:rsidR="0071604C">
        <w:t>.</w:t>
      </w:r>
      <w:r w:rsidR="0071604C">
        <w:rPr>
          <w:noProof/>
        </w:rPr>
        <w:t>28</w:t>
      </w:r>
      <w:r>
        <w:fldChar w:fldCharType="end"/>
      </w:r>
      <w:r>
        <w:t xml:space="preserve">. These values refer to primary fuels, i.e. fuels </w:t>
      </w:r>
      <w:r w:rsidRPr="00C3257C">
        <w:t xml:space="preserve">produced at </w:t>
      </w:r>
      <w:r>
        <w:t>the</w:t>
      </w:r>
      <w:r w:rsidRPr="00C3257C">
        <w:t xml:space="preserve"> refinery</w:t>
      </w:r>
      <w:r>
        <w:t xml:space="preserve"> and which can subsequently be blended with othe</w:t>
      </w:r>
      <w:r w:rsidR="000010D7">
        <w:t>r fuels to produce the end fuel</w:t>
      </w:r>
      <w:r>
        <w:t xml:space="preserve"> (e.g. E5, E85, B7, etc.).</w:t>
      </w:r>
    </w:p>
    <w:p w14:paraId="38977558" w14:textId="4C932157" w:rsidR="006040E5" w:rsidRPr="000855B2" w:rsidRDefault="006040E5" w:rsidP="006040E5">
      <w:pPr>
        <w:pStyle w:val="Caption"/>
        <w:rPr>
          <w:u w:val="single"/>
        </w:rPr>
      </w:pPr>
      <w:bookmarkStart w:id="133" w:name="_Ref481616270"/>
      <w:r w:rsidRPr="000855B2">
        <w:t>Table </w:t>
      </w:r>
      <w:r>
        <w:fldChar w:fldCharType="begin"/>
      </w:r>
      <w:r>
        <w:instrText xml:space="preserve"> STYLEREF 1 \s </w:instrText>
      </w:r>
      <w:r>
        <w:fldChar w:fldCharType="separate"/>
      </w:r>
      <w:r w:rsidR="0071604C">
        <w:rPr>
          <w:noProof/>
        </w:rPr>
        <w:t>3</w:t>
      </w:r>
      <w:r>
        <w:fldChar w:fldCharType="end"/>
      </w:r>
      <w:r>
        <w:t>.</w:t>
      </w:r>
      <w:r>
        <w:fldChar w:fldCharType="begin"/>
      </w:r>
      <w:r>
        <w:instrText xml:space="preserve"> SEQ Table \* ARABIC \s 1 </w:instrText>
      </w:r>
      <w:r>
        <w:fldChar w:fldCharType="separate"/>
      </w:r>
      <w:r w:rsidR="0071604C">
        <w:rPr>
          <w:noProof/>
        </w:rPr>
        <w:t>28</w:t>
      </w:r>
      <w:r>
        <w:fldChar w:fldCharType="end"/>
      </w:r>
      <w:bookmarkEnd w:id="133"/>
      <w:r w:rsidRPr="000855B2">
        <w:t xml:space="preserve">: </w:t>
      </w:r>
      <w:r>
        <w:t>Default calorific values of primary fuels [MJ/kg]</w:t>
      </w:r>
    </w:p>
    <w:tbl>
      <w:tblPr>
        <w:tblStyle w:val="MyStyle1"/>
        <w:tblW w:w="3220" w:type="dxa"/>
        <w:tblLook w:val="04A0" w:firstRow="1" w:lastRow="0" w:firstColumn="1" w:lastColumn="0" w:noHBand="0" w:noVBand="1"/>
      </w:tblPr>
      <w:tblGrid>
        <w:gridCol w:w="1960"/>
        <w:gridCol w:w="1260"/>
      </w:tblGrid>
      <w:tr w:rsidR="002B7A09" w:rsidRPr="002B7A09" w14:paraId="03213D11" w14:textId="77777777" w:rsidTr="009917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57D730F" w14:textId="77777777" w:rsidR="002B7A09" w:rsidRPr="00991728" w:rsidRDefault="002B7A09" w:rsidP="00991728">
            <w:pPr>
              <w:spacing w:line="240" w:lineRule="atLeast"/>
              <w:jc w:val="center"/>
              <w:rPr>
                <w:rFonts w:cs="Open Sans"/>
                <w:b/>
                <w:bCs/>
                <w:sz w:val="16"/>
                <w:szCs w:val="18"/>
                <w:lang w:val="en-GB"/>
              </w:rPr>
            </w:pPr>
            <w:r w:rsidRPr="00991728">
              <w:rPr>
                <w:rFonts w:cs="Open Sans"/>
                <w:b/>
                <w:bCs/>
                <w:sz w:val="16"/>
                <w:szCs w:val="18"/>
                <w:lang w:val="en-GB"/>
              </w:rPr>
              <w:t>Fuel</w:t>
            </w:r>
          </w:p>
        </w:tc>
        <w:tc>
          <w:tcPr>
            <w:tcW w:w="0" w:type="dxa"/>
            <w:noWrap/>
            <w:hideMark/>
          </w:tcPr>
          <w:p w14:paraId="58B3C1DE" w14:textId="77777777" w:rsidR="002B7A09" w:rsidRPr="00991728" w:rsidRDefault="002B7A09" w:rsidP="00991728">
            <w:pPr>
              <w:spacing w:line="240" w:lineRule="atLeast"/>
              <w:jc w:val="center"/>
              <w:cnfStyle w:val="100000000000" w:firstRow="1" w:lastRow="0" w:firstColumn="0" w:lastColumn="0" w:oddVBand="0" w:evenVBand="0" w:oddHBand="0" w:evenHBand="0" w:firstRowFirstColumn="0" w:firstRowLastColumn="0" w:lastRowFirstColumn="0" w:lastRowLastColumn="0"/>
              <w:rPr>
                <w:rFonts w:cs="Open Sans"/>
                <w:b/>
                <w:bCs/>
                <w:sz w:val="16"/>
                <w:szCs w:val="18"/>
                <w:lang w:val="en-GB"/>
              </w:rPr>
            </w:pPr>
            <w:r w:rsidRPr="00991728">
              <w:rPr>
                <w:rFonts w:cs="Open Sans"/>
                <w:b/>
                <w:bCs/>
                <w:sz w:val="16"/>
                <w:szCs w:val="18"/>
                <w:lang w:val="en-GB"/>
              </w:rPr>
              <w:t>CV [MJ/kg]</w:t>
            </w:r>
          </w:p>
        </w:tc>
      </w:tr>
      <w:tr w:rsidR="002B7A09" w:rsidRPr="002B7A09" w14:paraId="0596B84E" w14:textId="77777777" w:rsidTr="00991728">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D30595E" w14:textId="77777777" w:rsidR="002B7A09" w:rsidRPr="00991728" w:rsidRDefault="002B7A09" w:rsidP="00991728">
            <w:pPr>
              <w:spacing w:line="240" w:lineRule="atLeast"/>
              <w:jc w:val="center"/>
              <w:rPr>
                <w:rFonts w:cs="Open Sans"/>
                <w:b/>
                <w:bCs/>
                <w:sz w:val="16"/>
                <w:szCs w:val="18"/>
                <w:lang w:val="en-GB"/>
              </w:rPr>
            </w:pPr>
            <w:r w:rsidRPr="00991728">
              <w:rPr>
                <w:rFonts w:cs="Open Sans"/>
                <w:b/>
                <w:bCs/>
                <w:sz w:val="16"/>
                <w:szCs w:val="18"/>
                <w:lang w:val="en-GB"/>
              </w:rPr>
              <w:t>Petrol</w:t>
            </w:r>
          </w:p>
        </w:tc>
        <w:tc>
          <w:tcPr>
            <w:tcW w:w="0" w:type="dxa"/>
            <w:noWrap/>
            <w:hideMark/>
          </w:tcPr>
          <w:p w14:paraId="32E13ABA" w14:textId="77777777" w:rsidR="002B7A09" w:rsidRPr="00991728" w:rsidRDefault="002B7A09"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
                <w:bCs/>
                <w:sz w:val="16"/>
                <w:szCs w:val="18"/>
                <w:lang w:val="en-GB"/>
              </w:rPr>
            </w:pPr>
            <w:r w:rsidRPr="00991728">
              <w:rPr>
                <w:rFonts w:cs="Open Sans"/>
                <w:b/>
                <w:bCs/>
                <w:sz w:val="16"/>
                <w:szCs w:val="18"/>
                <w:lang w:val="en-GB"/>
              </w:rPr>
              <w:t>43.774</w:t>
            </w:r>
          </w:p>
        </w:tc>
      </w:tr>
      <w:tr w:rsidR="002B7A09" w:rsidRPr="002B7A09" w14:paraId="0B9058F4" w14:textId="77777777" w:rsidTr="00991728">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2294DCC" w14:textId="77777777" w:rsidR="002B7A09" w:rsidRPr="00991728" w:rsidRDefault="002B7A09" w:rsidP="00991728">
            <w:pPr>
              <w:spacing w:line="240" w:lineRule="atLeast"/>
              <w:jc w:val="center"/>
              <w:rPr>
                <w:rFonts w:cs="Open Sans"/>
                <w:b/>
                <w:bCs/>
                <w:sz w:val="16"/>
                <w:szCs w:val="18"/>
                <w:lang w:val="en-GB"/>
              </w:rPr>
            </w:pPr>
            <w:r w:rsidRPr="00991728">
              <w:rPr>
                <w:rFonts w:cs="Open Sans"/>
                <w:b/>
                <w:bCs/>
                <w:sz w:val="16"/>
                <w:szCs w:val="18"/>
                <w:lang w:val="en-GB"/>
              </w:rPr>
              <w:t>Diesel</w:t>
            </w:r>
          </w:p>
        </w:tc>
        <w:tc>
          <w:tcPr>
            <w:tcW w:w="0" w:type="dxa"/>
            <w:noWrap/>
            <w:hideMark/>
          </w:tcPr>
          <w:p w14:paraId="059A4D33" w14:textId="77777777" w:rsidR="002B7A09" w:rsidRPr="00991728" w:rsidRDefault="002B7A09"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
                <w:bCs/>
                <w:sz w:val="16"/>
                <w:szCs w:val="18"/>
                <w:lang w:val="en-GB"/>
              </w:rPr>
            </w:pPr>
            <w:r w:rsidRPr="00991728">
              <w:rPr>
                <w:rFonts w:cs="Open Sans"/>
                <w:b/>
                <w:bCs/>
                <w:sz w:val="16"/>
                <w:szCs w:val="18"/>
                <w:lang w:val="en-GB"/>
              </w:rPr>
              <w:t>42.695</w:t>
            </w:r>
          </w:p>
        </w:tc>
      </w:tr>
      <w:tr w:rsidR="002B7A09" w:rsidRPr="002B7A09" w14:paraId="2D5BFD52" w14:textId="77777777" w:rsidTr="00991728">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BB12E52" w14:textId="77777777" w:rsidR="002B7A09" w:rsidRPr="00991728" w:rsidRDefault="002B7A09" w:rsidP="00991728">
            <w:pPr>
              <w:spacing w:line="240" w:lineRule="atLeast"/>
              <w:jc w:val="center"/>
              <w:rPr>
                <w:rFonts w:cs="Open Sans"/>
                <w:b/>
                <w:bCs/>
                <w:sz w:val="16"/>
                <w:szCs w:val="18"/>
                <w:lang w:val="en-GB"/>
              </w:rPr>
            </w:pPr>
            <w:r w:rsidRPr="00991728">
              <w:rPr>
                <w:rFonts w:cs="Open Sans"/>
                <w:b/>
                <w:bCs/>
                <w:sz w:val="16"/>
                <w:szCs w:val="18"/>
                <w:lang w:val="en-GB"/>
              </w:rPr>
              <w:t>Petrol Hybrid</w:t>
            </w:r>
          </w:p>
        </w:tc>
        <w:tc>
          <w:tcPr>
            <w:tcW w:w="0" w:type="dxa"/>
            <w:noWrap/>
            <w:hideMark/>
          </w:tcPr>
          <w:p w14:paraId="174AD863" w14:textId="77777777" w:rsidR="002B7A09" w:rsidRPr="00991728" w:rsidRDefault="002B7A09"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
                <w:bCs/>
                <w:sz w:val="16"/>
                <w:szCs w:val="18"/>
                <w:lang w:val="en-GB"/>
              </w:rPr>
            </w:pPr>
            <w:r w:rsidRPr="00991728">
              <w:rPr>
                <w:rFonts w:cs="Open Sans"/>
                <w:b/>
                <w:bCs/>
                <w:sz w:val="16"/>
                <w:szCs w:val="18"/>
                <w:lang w:val="en-GB"/>
              </w:rPr>
              <w:t>43.774</w:t>
            </w:r>
          </w:p>
        </w:tc>
      </w:tr>
      <w:tr w:rsidR="002B7A09" w:rsidRPr="002B7A09" w14:paraId="60D74FA7" w14:textId="77777777" w:rsidTr="00991728">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D1204D6" w14:textId="77777777" w:rsidR="002B7A09" w:rsidRPr="00991728" w:rsidRDefault="002B7A09" w:rsidP="00991728">
            <w:pPr>
              <w:spacing w:line="240" w:lineRule="atLeast"/>
              <w:jc w:val="center"/>
              <w:rPr>
                <w:rFonts w:cs="Open Sans"/>
                <w:b/>
                <w:bCs/>
                <w:sz w:val="16"/>
                <w:szCs w:val="18"/>
                <w:lang w:val="en-GB"/>
              </w:rPr>
            </w:pPr>
            <w:r w:rsidRPr="00991728">
              <w:rPr>
                <w:rFonts w:cs="Open Sans"/>
                <w:b/>
                <w:bCs/>
                <w:sz w:val="16"/>
                <w:szCs w:val="18"/>
                <w:lang w:val="en-GB"/>
              </w:rPr>
              <w:t>LPG</w:t>
            </w:r>
          </w:p>
        </w:tc>
        <w:tc>
          <w:tcPr>
            <w:tcW w:w="0" w:type="dxa"/>
            <w:noWrap/>
            <w:hideMark/>
          </w:tcPr>
          <w:p w14:paraId="77505B9B" w14:textId="77777777" w:rsidR="002B7A09" w:rsidRPr="00991728" w:rsidRDefault="002B7A09"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
                <w:bCs/>
                <w:sz w:val="16"/>
                <w:szCs w:val="18"/>
                <w:lang w:val="en-GB"/>
              </w:rPr>
            </w:pPr>
            <w:r w:rsidRPr="00991728">
              <w:rPr>
                <w:rFonts w:cs="Open Sans"/>
                <w:b/>
                <w:bCs/>
                <w:sz w:val="16"/>
                <w:szCs w:val="18"/>
                <w:lang w:val="en-GB"/>
              </w:rPr>
              <w:t>46.564</w:t>
            </w:r>
          </w:p>
        </w:tc>
      </w:tr>
      <w:tr w:rsidR="002B7A09" w:rsidRPr="002B7A09" w14:paraId="23811DAE" w14:textId="77777777" w:rsidTr="00991728">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F17ADBB" w14:textId="77777777" w:rsidR="002B7A09" w:rsidRPr="00991728" w:rsidRDefault="002B7A09" w:rsidP="00991728">
            <w:pPr>
              <w:spacing w:line="240" w:lineRule="atLeast"/>
              <w:jc w:val="center"/>
              <w:rPr>
                <w:rFonts w:cs="Open Sans"/>
                <w:b/>
                <w:bCs/>
                <w:sz w:val="16"/>
                <w:szCs w:val="18"/>
                <w:lang w:val="en-GB"/>
              </w:rPr>
            </w:pPr>
            <w:r w:rsidRPr="00991728">
              <w:rPr>
                <w:rFonts w:cs="Open Sans"/>
                <w:b/>
                <w:bCs/>
                <w:sz w:val="16"/>
                <w:szCs w:val="18"/>
                <w:lang w:val="en-GB"/>
              </w:rPr>
              <w:t>CNG</w:t>
            </w:r>
          </w:p>
        </w:tc>
        <w:tc>
          <w:tcPr>
            <w:tcW w:w="0" w:type="dxa"/>
            <w:noWrap/>
            <w:hideMark/>
          </w:tcPr>
          <w:p w14:paraId="0A70C6A3" w14:textId="77777777" w:rsidR="002B7A09" w:rsidRPr="00991728" w:rsidRDefault="002B7A09"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
                <w:bCs/>
                <w:sz w:val="16"/>
                <w:szCs w:val="18"/>
                <w:lang w:val="en-GB"/>
              </w:rPr>
            </w:pPr>
            <w:r w:rsidRPr="00991728">
              <w:rPr>
                <w:rFonts w:cs="Open Sans"/>
                <w:b/>
                <w:bCs/>
                <w:sz w:val="16"/>
                <w:szCs w:val="18"/>
                <w:lang w:val="en-GB"/>
              </w:rPr>
              <w:t>48</w:t>
            </w:r>
          </w:p>
        </w:tc>
      </w:tr>
      <w:tr w:rsidR="002B7A09" w:rsidRPr="002B7A09" w14:paraId="56AE759C" w14:textId="77777777" w:rsidTr="00991728">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B5C541C" w14:textId="77777777" w:rsidR="002B7A09" w:rsidRPr="00991728" w:rsidRDefault="002B7A09" w:rsidP="00991728">
            <w:pPr>
              <w:spacing w:line="240" w:lineRule="atLeast"/>
              <w:jc w:val="center"/>
              <w:rPr>
                <w:rFonts w:cs="Open Sans"/>
                <w:b/>
                <w:bCs/>
                <w:sz w:val="16"/>
                <w:szCs w:val="18"/>
                <w:lang w:val="en-GB"/>
              </w:rPr>
            </w:pPr>
            <w:r w:rsidRPr="00991728">
              <w:rPr>
                <w:rFonts w:cs="Open Sans"/>
                <w:b/>
                <w:bCs/>
                <w:sz w:val="16"/>
                <w:szCs w:val="18"/>
                <w:lang w:val="en-GB"/>
              </w:rPr>
              <w:t>Biodiesel</w:t>
            </w:r>
          </w:p>
        </w:tc>
        <w:tc>
          <w:tcPr>
            <w:tcW w:w="0" w:type="dxa"/>
            <w:noWrap/>
            <w:hideMark/>
          </w:tcPr>
          <w:p w14:paraId="10137CFB" w14:textId="77777777" w:rsidR="002B7A09" w:rsidRPr="00991728" w:rsidRDefault="002B7A09" w:rsidP="00991728">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
                <w:bCs/>
                <w:sz w:val="16"/>
                <w:szCs w:val="18"/>
                <w:lang w:val="en-GB"/>
              </w:rPr>
            </w:pPr>
            <w:r w:rsidRPr="00991728">
              <w:rPr>
                <w:rFonts w:cs="Open Sans"/>
                <w:b/>
                <w:bCs/>
                <w:sz w:val="16"/>
                <w:szCs w:val="18"/>
                <w:lang w:val="en-GB"/>
              </w:rPr>
              <w:t>37.3</w:t>
            </w:r>
          </w:p>
        </w:tc>
      </w:tr>
      <w:tr w:rsidR="002B7A09" w:rsidRPr="002B7A09" w14:paraId="55886692" w14:textId="77777777" w:rsidTr="002B7A09">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7DE2C5FF" w14:textId="77777777" w:rsidR="002B7A09" w:rsidRPr="002B7A09" w:rsidRDefault="006040E5" w:rsidP="002B7A09">
            <w:pPr>
              <w:spacing w:line="240" w:lineRule="atLeast"/>
              <w:jc w:val="center"/>
              <w:rPr>
                <w:rFonts w:cs="Open Sans"/>
                <w:b/>
                <w:bCs/>
                <w:sz w:val="16"/>
                <w:szCs w:val="18"/>
                <w:lang w:val="en-GB"/>
              </w:rPr>
            </w:pPr>
            <w:r>
              <w:rPr>
                <w:rFonts w:cs="Open Sans"/>
                <w:b/>
                <w:bCs/>
                <w:sz w:val="16"/>
                <w:szCs w:val="18"/>
                <w:lang w:val="en-GB"/>
              </w:rPr>
              <w:t>Bioethanol</w:t>
            </w:r>
          </w:p>
        </w:tc>
        <w:tc>
          <w:tcPr>
            <w:tcW w:w="1260" w:type="dxa"/>
            <w:noWrap/>
          </w:tcPr>
          <w:p w14:paraId="7FD2D027" w14:textId="77777777" w:rsidR="002B7A09" w:rsidRPr="002B7A09" w:rsidRDefault="006040E5" w:rsidP="002B7A09">
            <w:pPr>
              <w:spacing w:line="240" w:lineRule="atLeast"/>
              <w:jc w:val="center"/>
              <w:cnfStyle w:val="000000000000" w:firstRow="0" w:lastRow="0" w:firstColumn="0" w:lastColumn="0" w:oddVBand="0" w:evenVBand="0" w:oddHBand="0" w:evenHBand="0" w:firstRowFirstColumn="0" w:firstRowLastColumn="0" w:lastRowFirstColumn="0" w:lastRowLastColumn="0"/>
              <w:rPr>
                <w:rFonts w:cs="Open Sans"/>
                <w:b/>
                <w:bCs/>
                <w:sz w:val="16"/>
                <w:szCs w:val="18"/>
                <w:lang w:val="en-GB"/>
              </w:rPr>
            </w:pPr>
            <w:r>
              <w:rPr>
                <w:rFonts w:cs="Open Sans"/>
                <w:b/>
                <w:bCs/>
                <w:sz w:val="16"/>
                <w:szCs w:val="18"/>
                <w:lang w:val="en-GB"/>
              </w:rPr>
              <w:t>28.8</w:t>
            </w:r>
          </w:p>
        </w:tc>
      </w:tr>
    </w:tbl>
    <w:p w14:paraId="6CD3D95C" w14:textId="2404E2AA" w:rsidR="00B35E95" w:rsidRPr="000855B2" w:rsidRDefault="00B35E95" w:rsidP="00991728">
      <w:pPr>
        <w:pStyle w:val="BodyText"/>
      </w:pPr>
    </w:p>
    <w:p w14:paraId="164694F6" w14:textId="77777777" w:rsidR="001D2587" w:rsidRPr="000855B2" w:rsidRDefault="001D2587" w:rsidP="00991728">
      <w:pPr>
        <w:pStyle w:val="Heading4"/>
        <w:rPr>
          <w:lang w:eastAsia="it-IT"/>
        </w:rPr>
      </w:pPr>
      <w:bookmarkStart w:id="134" w:name="_Toc457131587"/>
      <w:bookmarkStart w:id="135" w:name="_Toc496264319"/>
      <w:bookmarkStart w:id="136" w:name="_Ref197844373"/>
      <w:r w:rsidRPr="000855B2">
        <w:rPr>
          <w:lang w:eastAsia="it-IT"/>
        </w:rPr>
        <w:t>Fuel consumption</w:t>
      </w:r>
      <w:r w:rsidR="009D161A" w:rsidRPr="000855B2">
        <w:rPr>
          <w:lang w:eastAsia="it-IT"/>
        </w:rPr>
        <w:t>-</w:t>
      </w:r>
      <w:r w:rsidRPr="000855B2">
        <w:rPr>
          <w:lang w:eastAsia="it-IT"/>
        </w:rPr>
        <w:t>dependent emissions</w:t>
      </w:r>
      <w:bookmarkEnd w:id="134"/>
      <w:bookmarkEnd w:id="135"/>
      <w:r w:rsidRPr="000855B2">
        <w:rPr>
          <w:lang w:eastAsia="it-IT"/>
        </w:rPr>
        <w:t xml:space="preserve"> (excluding CO</w:t>
      </w:r>
      <w:r w:rsidR="0038472B" w:rsidRPr="0038472B">
        <w:rPr>
          <w:vertAlign w:val="subscript"/>
          <w:lang w:eastAsia="it-IT"/>
        </w:rPr>
        <w:t>2</w:t>
      </w:r>
      <w:r w:rsidRPr="000855B2">
        <w:rPr>
          <w:lang w:eastAsia="it-IT"/>
        </w:rPr>
        <w:t>)</w:t>
      </w:r>
      <w:bookmarkEnd w:id="136"/>
    </w:p>
    <w:p w14:paraId="2CCD62A2" w14:textId="3E9FA325" w:rsidR="00B35E95" w:rsidRDefault="001D2587" w:rsidP="00546C89">
      <w:pPr>
        <w:pStyle w:val="BodyText"/>
      </w:pPr>
      <w:r w:rsidRPr="005B17F2">
        <w:t xml:space="preserve">In principle, total emissions for pollutants </w:t>
      </w:r>
      <w:r w:rsidR="00B01DCB" w:rsidRPr="005B17F2">
        <w:t xml:space="preserve">which are </w:t>
      </w:r>
      <w:r w:rsidRPr="005B17F2">
        <w:t>depend</w:t>
      </w:r>
      <w:r w:rsidR="00B01DCB" w:rsidRPr="005B17F2">
        <w:t>ent</w:t>
      </w:r>
      <w:r w:rsidRPr="005B17F2">
        <w:t xml:space="preserve"> </w:t>
      </w:r>
      <w:r w:rsidR="00B01DCB" w:rsidRPr="005B17F2">
        <w:t>up</w:t>
      </w:r>
      <w:r w:rsidRPr="005B17F2">
        <w:t xml:space="preserve">on fuel consumption should be derived on the basis of the statistical (true) </w:t>
      </w:r>
      <w:r w:rsidR="00B35E95" w:rsidRPr="005B17F2">
        <w:t>energy</w:t>
      </w:r>
      <w:r w:rsidRPr="005B17F2">
        <w:t xml:space="preserve"> consumption</w:t>
      </w:r>
      <w:r w:rsidR="00B01DCB" w:rsidRPr="005B17F2">
        <w:t>,</w:t>
      </w:r>
      <w:r w:rsidRPr="005B17F2">
        <w:t xml:space="preserve"> which is generally known </w:t>
      </w:r>
      <w:r w:rsidR="00B01DCB" w:rsidRPr="005B17F2">
        <w:t>from</w:t>
      </w:r>
      <w:r w:rsidRPr="005B17F2">
        <w:t xml:space="preserve"> statistical sources. However, the necessity to allocate emissions to different</w:t>
      </w:r>
      <w:r w:rsidR="002B4316" w:rsidRPr="005B17F2">
        <w:t xml:space="preserve"> vehicle categories (and technologies</w:t>
      </w:r>
      <w:r w:rsidRPr="005B17F2">
        <w:t>) cannot be covered solely by means of the statistical</w:t>
      </w:r>
      <w:r w:rsidRPr="000855B2">
        <w:t xml:space="preserve"> consumption</w:t>
      </w:r>
      <w:r w:rsidR="00B01DCB" w:rsidRPr="000855B2">
        <w:t>, as this</w:t>
      </w:r>
      <w:r w:rsidRPr="000855B2">
        <w:t xml:space="preserve"> is not </w:t>
      </w:r>
      <w:r w:rsidR="00B01DCB" w:rsidRPr="000855B2">
        <w:t xml:space="preserve">provided </w:t>
      </w:r>
      <w:r w:rsidRPr="000855B2">
        <w:t>separately for each vehicle class. In order to achieve both aims, fuel</w:t>
      </w:r>
      <w:r w:rsidR="00B01DCB" w:rsidRPr="000855B2">
        <w:t>-</w:t>
      </w:r>
      <w:r w:rsidRPr="000855B2">
        <w:t xml:space="preserve">dependent </w:t>
      </w:r>
      <w:r w:rsidR="00741FF2">
        <w:t>emissions</w:t>
      </w:r>
      <w:r w:rsidR="00741FF2" w:rsidRPr="000855B2">
        <w:t xml:space="preserve"> </w:t>
      </w:r>
      <w:r w:rsidRPr="000855B2">
        <w:t xml:space="preserve">should be </w:t>
      </w:r>
      <w:r w:rsidR="00C02BA0">
        <w:t xml:space="preserve">calculated after </w:t>
      </w:r>
      <w:r w:rsidR="00AC2128">
        <w:t>the</w:t>
      </w:r>
      <w:r w:rsidR="00C02BA0">
        <w:t xml:space="preserve"> </w:t>
      </w:r>
      <w:r w:rsidR="00B35E95">
        <w:t xml:space="preserve">energy balance has been </w:t>
      </w:r>
      <w:r w:rsidR="00AC2128">
        <w:t>carried out as described above</w:t>
      </w:r>
      <w:r w:rsidR="00B35E95">
        <w:t>.</w:t>
      </w:r>
    </w:p>
    <w:p w14:paraId="2E9710F3" w14:textId="5646A0DB" w:rsidR="007011A7" w:rsidRPr="000855B2" w:rsidRDefault="001D2587" w:rsidP="00ED27AC">
      <w:pPr>
        <w:pStyle w:val="BodyText"/>
      </w:pPr>
      <w:r w:rsidRPr="000855B2">
        <w:t xml:space="preserve">In this respect, </w:t>
      </w:r>
      <w:r w:rsidR="00B14E0F" w:rsidRPr="000855B2">
        <w:t xml:space="preserve">the </w:t>
      </w:r>
      <w:r w:rsidRPr="000855B2">
        <w:t xml:space="preserve">total emission estimate for any </w:t>
      </w:r>
      <w:r w:rsidR="002B4316" w:rsidRPr="000855B2">
        <w:t>fuel</w:t>
      </w:r>
      <w:r w:rsidR="00B14E0F" w:rsidRPr="000855B2">
        <w:t>-</w:t>
      </w:r>
      <w:r w:rsidRPr="000855B2">
        <w:t xml:space="preserve">dependent pollutant </w:t>
      </w:r>
      <w:r w:rsidR="00B35E95">
        <w:t>is</w:t>
      </w:r>
      <w:r w:rsidRPr="000855B2">
        <w:t xml:space="preserve"> derived by the statistical </w:t>
      </w:r>
      <w:r w:rsidR="00B35E95">
        <w:t>energy</w:t>
      </w:r>
      <w:r w:rsidRPr="000855B2">
        <w:t xml:space="preserve"> consumption (except CO</w:t>
      </w:r>
      <w:r w:rsidRPr="000855B2">
        <w:rPr>
          <w:vertAlign w:val="subscript"/>
        </w:rPr>
        <w:t>2</w:t>
      </w:r>
      <w:r w:rsidRPr="000855B2">
        <w:t xml:space="preserve"> due to the use of biofuels</w:t>
      </w:r>
      <w:r w:rsidR="0038472B" w:rsidRPr="008C6ED4">
        <w:t>)</w:t>
      </w:r>
      <w:r w:rsidRPr="000855B2">
        <w:t xml:space="preserve"> while there is still information provided for the allocation of emissions to different vehicle classes.</w:t>
      </w:r>
    </w:p>
    <w:p w14:paraId="7471FC70" w14:textId="2E02657E" w:rsidR="001D2587" w:rsidRPr="000855B2" w:rsidRDefault="001D2587" w:rsidP="00AC2128">
      <w:pPr>
        <w:pStyle w:val="Heading4"/>
        <w:rPr>
          <w:lang w:eastAsia="it-IT"/>
        </w:rPr>
      </w:pPr>
      <w:bookmarkStart w:id="137" w:name="_Ref144973018"/>
      <w:r w:rsidRPr="000855B2">
        <w:rPr>
          <w:lang w:eastAsia="it-IT"/>
        </w:rPr>
        <w:t>Carbon dioxide emissions</w:t>
      </w:r>
      <w:bookmarkEnd w:id="137"/>
      <w:r w:rsidR="006130F1">
        <w:rPr>
          <w:lang w:eastAsia="it-IT"/>
        </w:rPr>
        <w:t xml:space="preserve"> (CO</w:t>
      </w:r>
      <w:r w:rsidR="006130F1" w:rsidRPr="005B17F2">
        <w:rPr>
          <w:vertAlign w:val="subscript"/>
          <w:lang w:eastAsia="it-IT"/>
        </w:rPr>
        <w:t>2</w:t>
      </w:r>
      <w:r w:rsidR="006130F1">
        <w:rPr>
          <w:lang w:eastAsia="it-IT"/>
        </w:rPr>
        <w:t>)</w:t>
      </w:r>
    </w:p>
    <w:p w14:paraId="53EE3D70" w14:textId="77777777" w:rsidR="0062040D" w:rsidRPr="000855B2" w:rsidRDefault="00907504" w:rsidP="00546C89">
      <w:pPr>
        <w:pStyle w:val="BodyText"/>
        <w:rPr>
          <w:bCs/>
        </w:rPr>
      </w:pPr>
      <w:r w:rsidRPr="000855B2">
        <w:t xml:space="preserve">Emissions of </w:t>
      </w:r>
      <w:r w:rsidRPr="000855B2">
        <w:rPr>
          <w:b/>
        </w:rPr>
        <w:t>u</w:t>
      </w:r>
      <w:r w:rsidR="001D2587" w:rsidRPr="000855B2">
        <w:rPr>
          <w:b/>
        </w:rPr>
        <w:t>ltimate CO</w:t>
      </w:r>
      <w:r w:rsidR="001D2587" w:rsidRPr="000855B2">
        <w:rPr>
          <w:b/>
          <w:vertAlign w:val="subscript"/>
        </w:rPr>
        <w:t>2</w:t>
      </w:r>
      <w:r w:rsidR="001D2587" w:rsidRPr="000855B2">
        <w:rPr>
          <w:bCs/>
        </w:rPr>
        <w:t xml:space="preserve"> </w:t>
      </w:r>
      <w:r w:rsidR="0062040D" w:rsidRPr="000855B2">
        <w:rPr>
          <w:bCs/>
        </w:rPr>
        <w:t>originate from three sources:</w:t>
      </w:r>
    </w:p>
    <w:p w14:paraId="75B7C920" w14:textId="77777777" w:rsidR="0062040D" w:rsidRPr="000855B2" w:rsidRDefault="0062040D" w:rsidP="009D781A">
      <w:pPr>
        <w:pStyle w:val="BodyText"/>
        <w:numPr>
          <w:ilvl w:val="0"/>
          <w:numId w:val="17"/>
        </w:numPr>
        <w:rPr>
          <w:bCs/>
        </w:rPr>
      </w:pPr>
      <w:r w:rsidRPr="000855B2">
        <w:rPr>
          <w:bCs/>
        </w:rPr>
        <w:t>Combustion of fuel</w:t>
      </w:r>
    </w:p>
    <w:p w14:paraId="26ABCFDB" w14:textId="77777777" w:rsidR="0062040D" w:rsidRPr="000855B2" w:rsidRDefault="0062040D" w:rsidP="009D781A">
      <w:pPr>
        <w:pStyle w:val="BodyText"/>
        <w:numPr>
          <w:ilvl w:val="0"/>
          <w:numId w:val="17"/>
        </w:numPr>
        <w:rPr>
          <w:bCs/>
        </w:rPr>
      </w:pPr>
      <w:r w:rsidRPr="000855B2">
        <w:rPr>
          <w:bCs/>
        </w:rPr>
        <w:t>Combustion of lubricant oil</w:t>
      </w:r>
    </w:p>
    <w:p w14:paraId="2851C885" w14:textId="77777777" w:rsidR="0062040D" w:rsidRPr="000855B2" w:rsidRDefault="0062040D" w:rsidP="009D781A">
      <w:pPr>
        <w:pStyle w:val="BodyText"/>
        <w:numPr>
          <w:ilvl w:val="0"/>
          <w:numId w:val="17"/>
        </w:numPr>
        <w:rPr>
          <w:bCs/>
        </w:rPr>
      </w:pPr>
      <w:r w:rsidRPr="000855B2">
        <w:rPr>
          <w:bCs/>
        </w:rPr>
        <w:t>Addition of carbon-containing additives in the exhaust</w:t>
      </w:r>
    </w:p>
    <w:p w14:paraId="6486667D" w14:textId="77777777" w:rsidR="0062040D" w:rsidRPr="000855B2" w:rsidRDefault="0062040D" w:rsidP="00546C89">
      <w:pPr>
        <w:pStyle w:val="BodyText"/>
        <w:rPr>
          <w:bCs/>
        </w:rPr>
      </w:pPr>
      <w:r w:rsidRPr="000855B2">
        <w:rPr>
          <w:bCs/>
        </w:rPr>
        <w:t>Ultimate in this case means that the carbon contained in either for the three sources is fully oxidized in</w:t>
      </w:r>
      <w:r w:rsidR="00004C9A" w:rsidRPr="000855B2">
        <w:rPr>
          <w:bCs/>
        </w:rPr>
        <w:t>to</w:t>
      </w:r>
      <w:r w:rsidRPr="000855B2">
        <w:rPr>
          <w:bCs/>
        </w:rPr>
        <w:t xml:space="preserve"> CO</w:t>
      </w:r>
      <w:r w:rsidRPr="000855B2">
        <w:rPr>
          <w:bCs/>
          <w:vertAlign w:val="subscript"/>
        </w:rPr>
        <w:t>2</w:t>
      </w:r>
      <w:r w:rsidR="00755A32" w:rsidRPr="000855B2">
        <w:rPr>
          <w:bCs/>
        </w:rPr>
        <w:t xml:space="preserve">. </w:t>
      </w:r>
      <w:r w:rsidRPr="000855B2">
        <w:rPr>
          <w:bCs/>
        </w:rPr>
        <w:t>The following paragraphs describe the methodology to calculate CO</w:t>
      </w:r>
      <w:r w:rsidRPr="000855B2">
        <w:rPr>
          <w:bCs/>
          <w:vertAlign w:val="subscript"/>
        </w:rPr>
        <w:t>2</w:t>
      </w:r>
      <w:r w:rsidRPr="000855B2">
        <w:rPr>
          <w:bCs/>
        </w:rPr>
        <w:t xml:space="preserve"> in each case.</w:t>
      </w:r>
    </w:p>
    <w:p w14:paraId="1316B0E4" w14:textId="77777777" w:rsidR="0062040D" w:rsidRPr="000855B2" w:rsidRDefault="0062040D" w:rsidP="00546C89">
      <w:pPr>
        <w:pStyle w:val="BodyText"/>
        <w:rPr>
          <w:u w:val="single"/>
        </w:rPr>
      </w:pPr>
      <w:r w:rsidRPr="000855B2">
        <w:rPr>
          <w:u w:val="single"/>
        </w:rPr>
        <w:t>CO</w:t>
      </w:r>
      <w:r w:rsidRPr="000855B2">
        <w:rPr>
          <w:u w:val="single"/>
          <w:vertAlign w:val="subscript"/>
        </w:rPr>
        <w:t>2</w:t>
      </w:r>
      <w:r w:rsidRPr="000855B2">
        <w:rPr>
          <w:u w:val="single"/>
        </w:rPr>
        <w:t xml:space="preserve"> due to fuel combustion</w:t>
      </w:r>
    </w:p>
    <w:p w14:paraId="688CC862" w14:textId="77777777" w:rsidR="001D2587" w:rsidRPr="000855B2" w:rsidRDefault="001D2587" w:rsidP="00546C89">
      <w:pPr>
        <w:pStyle w:val="BodyText"/>
      </w:pPr>
      <w:r w:rsidRPr="000855B2">
        <w:t xml:space="preserve">In the case of an oxygenated fuel described by the generic chemical formula </w:t>
      </w:r>
      <w:r w:rsidRPr="000855B2">
        <w:rPr>
          <w:i/>
        </w:rPr>
        <w:t>C</w:t>
      </w:r>
      <w:r w:rsidRPr="000855B2">
        <w:rPr>
          <w:i/>
          <w:vertAlign w:val="subscript"/>
        </w:rPr>
        <w:t>x</w:t>
      </w:r>
      <w:r w:rsidRPr="000855B2">
        <w:rPr>
          <w:i/>
        </w:rPr>
        <w:t>H</w:t>
      </w:r>
      <w:r w:rsidRPr="000855B2">
        <w:rPr>
          <w:i/>
          <w:vertAlign w:val="subscript"/>
        </w:rPr>
        <w:t>y</w:t>
      </w:r>
      <w:r w:rsidRPr="000855B2">
        <w:rPr>
          <w:i/>
        </w:rPr>
        <w:t>O</w:t>
      </w:r>
      <w:r w:rsidRPr="000855B2">
        <w:rPr>
          <w:i/>
          <w:vertAlign w:val="subscript"/>
        </w:rPr>
        <w:t>z</w:t>
      </w:r>
      <w:r w:rsidRPr="000855B2">
        <w:t xml:space="preserve"> the ratio of hydrogen to carbon atoms</w:t>
      </w:r>
      <w:r w:rsidR="00907504" w:rsidRPr="000855B2">
        <w:t>,</w:t>
      </w:r>
      <w:r w:rsidRPr="000855B2">
        <w:t xml:space="preserve"> and the ratio of oxygen to carbon atoms</w:t>
      </w:r>
      <w:r w:rsidR="00907504" w:rsidRPr="000855B2">
        <w:t>,</w:t>
      </w:r>
      <w:r w:rsidRPr="000855B2">
        <w:t xml:space="preserve"> are, respectively:</w:t>
      </w:r>
    </w:p>
    <w:tbl>
      <w:tblPr>
        <w:tblW w:w="0" w:type="auto"/>
        <w:tblBorders>
          <w:insideH w:val="single" w:sz="4" w:space="0" w:color="auto"/>
        </w:tblBorders>
        <w:tblLook w:val="01E0" w:firstRow="1" w:lastRow="1" w:firstColumn="1" w:lastColumn="1" w:noHBand="0" w:noVBand="0"/>
      </w:tblPr>
      <w:tblGrid>
        <w:gridCol w:w="7710"/>
        <w:gridCol w:w="753"/>
      </w:tblGrid>
      <w:tr w:rsidR="001D2587" w:rsidRPr="000855B2" w14:paraId="576D67F8" w14:textId="77777777">
        <w:tc>
          <w:tcPr>
            <w:tcW w:w="8240" w:type="dxa"/>
            <w:tcMar>
              <w:left w:w="0" w:type="dxa"/>
              <w:right w:w="0" w:type="dxa"/>
            </w:tcMar>
            <w:vAlign w:val="center"/>
          </w:tcPr>
          <w:p w14:paraId="7BF04239" w14:textId="77777777" w:rsidR="001D2587" w:rsidRPr="000855B2" w:rsidRDefault="001D2587" w:rsidP="00546C89">
            <w:pPr>
              <w:numPr>
                <w:ilvl w:val="12"/>
                <w:numId w:val="0"/>
              </w:numPr>
              <w:rPr>
                <w:lang w:val="en-GB"/>
              </w:rPr>
            </w:pPr>
            <w:r w:rsidRPr="000855B2">
              <w:rPr>
                <w:position w:val="-24"/>
                <w:lang w:val="en-GB"/>
              </w:rPr>
              <w:object w:dxaOrig="880" w:dyaOrig="620" w14:anchorId="56217E91">
                <v:shape id="_x0000_i1027" type="#_x0000_t75" style="width:43.4pt;height:30.9pt" o:ole="">
                  <v:imagedata r:id="rId20" o:title=""/>
                </v:shape>
                <o:OLEObject Type="Embed" ProgID="Equation.3" ShapeID="_x0000_i1027" DrawAspect="Content" ObjectID="_1555746390" r:id="rId21"/>
              </w:object>
            </w:r>
          </w:p>
          <w:p w14:paraId="4B2970C1" w14:textId="77777777" w:rsidR="001D2587" w:rsidRPr="000855B2" w:rsidRDefault="001D2587" w:rsidP="00546C89">
            <w:pPr>
              <w:numPr>
                <w:ilvl w:val="12"/>
                <w:numId w:val="0"/>
              </w:numPr>
              <w:rPr>
                <w:lang w:val="en-GB"/>
              </w:rPr>
            </w:pPr>
            <w:r w:rsidRPr="000855B2">
              <w:rPr>
                <w:position w:val="-24"/>
                <w:lang w:val="en-GB"/>
              </w:rPr>
              <w:object w:dxaOrig="840" w:dyaOrig="620" w14:anchorId="5E015D6F">
                <v:shape id="_x0000_i1028" type="#_x0000_t75" style="width:42.45pt;height:30.9pt" o:ole="">
                  <v:imagedata r:id="rId22" o:title=""/>
                </v:shape>
                <o:OLEObject Type="Embed" ProgID="Equation.3" ShapeID="_x0000_i1028" DrawAspect="Content" ObjectID="_1555746391" r:id="rId23"/>
              </w:object>
            </w:r>
          </w:p>
        </w:tc>
        <w:tc>
          <w:tcPr>
            <w:tcW w:w="787" w:type="dxa"/>
            <w:tcMar>
              <w:left w:w="0" w:type="dxa"/>
              <w:right w:w="0" w:type="dxa"/>
            </w:tcMar>
            <w:vAlign w:val="center"/>
          </w:tcPr>
          <w:p w14:paraId="0FD77342" w14:textId="23E497E8" w:rsidR="001D2587" w:rsidRPr="000855B2" w:rsidRDefault="001D2587" w:rsidP="00546C89">
            <w:pPr>
              <w:numPr>
                <w:ilvl w:val="12"/>
                <w:numId w:val="0"/>
              </w:numP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14</w:t>
            </w:r>
            <w:r w:rsidR="00E17971">
              <w:rPr>
                <w:lang w:val="en-GB"/>
              </w:rPr>
              <w:fldChar w:fldCharType="end"/>
            </w:r>
            <w:r w:rsidRPr="000855B2">
              <w:rPr>
                <w:lang w:val="en-GB"/>
              </w:rPr>
              <w:t>)</w:t>
            </w:r>
          </w:p>
        </w:tc>
      </w:tr>
    </w:tbl>
    <w:p w14:paraId="1B3A6964" w14:textId="77777777" w:rsidR="001D2587" w:rsidRPr="000855B2" w:rsidRDefault="001D2587" w:rsidP="00546C89">
      <w:pPr>
        <w:pStyle w:val="BodyText"/>
      </w:pPr>
      <w:r w:rsidRPr="000855B2">
        <w:t xml:space="preserve">If the fuel composition is known from ultimate chemical analysis, then the mass fractions of carbon, hydrogen and oxygen atoms in the fuel are </w:t>
      </w:r>
      <w:r w:rsidRPr="000855B2">
        <w:rPr>
          <w:i/>
        </w:rPr>
        <w:t>c</w:t>
      </w:r>
      <w:r w:rsidRPr="000855B2">
        <w:t xml:space="preserve">, </w:t>
      </w:r>
      <w:r w:rsidRPr="000855B2">
        <w:rPr>
          <w:i/>
        </w:rPr>
        <w:t>h</w:t>
      </w:r>
      <w:r w:rsidRPr="000855B2">
        <w:t xml:space="preserve">, and </w:t>
      </w:r>
      <w:r w:rsidRPr="000855B2">
        <w:rPr>
          <w:i/>
        </w:rPr>
        <w:t>o</w:t>
      </w:r>
      <w:r w:rsidRPr="000855B2">
        <w:t xml:space="preserve">, where </w:t>
      </w:r>
      <w:r w:rsidRPr="000855B2">
        <w:rPr>
          <w:i/>
        </w:rPr>
        <w:t>c</w:t>
      </w:r>
      <w:r w:rsidRPr="000855B2">
        <w:t> + </w:t>
      </w:r>
      <w:r w:rsidRPr="000855B2">
        <w:rPr>
          <w:i/>
        </w:rPr>
        <w:t>h</w:t>
      </w:r>
      <w:r w:rsidRPr="000855B2">
        <w:t> + </w:t>
      </w:r>
      <w:r w:rsidRPr="000855B2">
        <w:rPr>
          <w:i/>
        </w:rPr>
        <w:t>o</w:t>
      </w:r>
      <w:r w:rsidRPr="000855B2">
        <w:t> = 1. In this case, the ratios of hydrogen to carbon and oxygen to carbon in the fuel are respectively calculated as:</w:t>
      </w:r>
    </w:p>
    <w:tbl>
      <w:tblPr>
        <w:tblW w:w="0" w:type="auto"/>
        <w:tblBorders>
          <w:insideH w:val="single" w:sz="4" w:space="0" w:color="auto"/>
        </w:tblBorders>
        <w:tblLook w:val="01E0" w:firstRow="1" w:lastRow="1" w:firstColumn="1" w:lastColumn="1" w:noHBand="0" w:noVBand="0"/>
      </w:tblPr>
      <w:tblGrid>
        <w:gridCol w:w="7713"/>
        <w:gridCol w:w="750"/>
      </w:tblGrid>
      <w:tr w:rsidR="001D2587" w:rsidRPr="000855B2" w14:paraId="308CC784" w14:textId="77777777">
        <w:tc>
          <w:tcPr>
            <w:tcW w:w="8240" w:type="dxa"/>
            <w:tcMar>
              <w:left w:w="0" w:type="dxa"/>
              <w:right w:w="0" w:type="dxa"/>
            </w:tcMar>
            <w:vAlign w:val="center"/>
          </w:tcPr>
          <w:p w14:paraId="2AE9E211" w14:textId="77777777" w:rsidR="001D2587" w:rsidRPr="000855B2" w:rsidRDefault="001D2587" w:rsidP="00546C89">
            <w:pPr>
              <w:numPr>
                <w:ilvl w:val="12"/>
                <w:numId w:val="0"/>
              </w:numPr>
              <w:rPr>
                <w:lang w:val="en-GB"/>
              </w:rPr>
            </w:pPr>
            <w:r w:rsidRPr="000855B2">
              <w:rPr>
                <w:rFonts w:cs="Tahoma"/>
                <w:position w:val="-24"/>
                <w:szCs w:val="22"/>
                <w:lang w:val="en-GB"/>
              </w:rPr>
              <w:object w:dxaOrig="1520" w:dyaOrig="620" w14:anchorId="756A6694">
                <v:shape id="_x0000_i1029" type="#_x0000_t75" style="width:76.6pt;height:30.9pt" o:ole="">
                  <v:imagedata r:id="rId24" o:title=""/>
                </v:shape>
                <o:OLEObject Type="Embed" ProgID="Equation.3" ShapeID="_x0000_i1029" DrawAspect="Content" ObjectID="_1555746392" r:id="rId25"/>
              </w:object>
            </w:r>
          </w:p>
          <w:p w14:paraId="69927D9D" w14:textId="77777777" w:rsidR="001D2587" w:rsidRPr="000855B2" w:rsidRDefault="001D2587" w:rsidP="00546C89">
            <w:pPr>
              <w:numPr>
                <w:ilvl w:val="12"/>
                <w:numId w:val="0"/>
              </w:numPr>
              <w:rPr>
                <w:lang w:val="en-GB"/>
              </w:rPr>
            </w:pPr>
            <w:r w:rsidRPr="000855B2">
              <w:rPr>
                <w:rFonts w:cs="Tahoma"/>
                <w:position w:val="-24"/>
                <w:szCs w:val="22"/>
                <w:lang w:val="en-GB"/>
              </w:rPr>
              <w:object w:dxaOrig="1520" w:dyaOrig="620" w14:anchorId="0DEE3441">
                <v:shape id="_x0000_i1030" type="#_x0000_t75" style="width:76.6pt;height:30.9pt" o:ole="">
                  <v:imagedata r:id="rId26" o:title=""/>
                </v:shape>
                <o:OLEObject Type="Embed" ProgID="Equation.3" ShapeID="_x0000_i1030" DrawAspect="Content" ObjectID="_1555746393" r:id="rId27"/>
              </w:object>
            </w:r>
          </w:p>
        </w:tc>
        <w:tc>
          <w:tcPr>
            <w:tcW w:w="787" w:type="dxa"/>
            <w:tcMar>
              <w:left w:w="0" w:type="dxa"/>
              <w:right w:w="0" w:type="dxa"/>
            </w:tcMar>
            <w:vAlign w:val="center"/>
          </w:tcPr>
          <w:p w14:paraId="33E9EF44" w14:textId="707EE8AB" w:rsidR="001D2587" w:rsidRPr="000855B2" w:rsidRDefault="001D2587" w:rsidP="00546C89">
            <w:pPr>
              <w:numPr>
                <w:ilvl w:val="12"/>
                <w:numId w:val="0"/>
              </w:numP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15</w:t>
            </w:r>
            <w:r w:rsidR="00E17971">
              <w:rPr>
                <w:lang w:val="en-GB"/>
              </w:rPr>
              <w:fldChar w:fldCharType="end"/>
            </w:r>
            <w:r w:rsidRPr="000855B2">
              <w:rPr>
                <w:lang w:val="en-GB"/>
              </w:rPr>
              <w:t>)</w:t>
            </w:r>
          </w:p>
        </w:tc>
      </w:tr>
    </w:tbl>
    <w:p w14:paraId="23CED531" w14:textId="77777777" w:rsidR="001D2587" w:rsidRPr="000855B2" w:rsidRDefault="001D2587" w:rsidP="00546C89">
      <w:pPr>
        <w:spacing w:line="312" w:lineRule="atLeast"/>
        <w:rPr>
          <w:rFonts w:cs="Tahoma"/>
          <w:szCs w:val="22"/>
          <w:lang w:val="en-GB"/>
        </w:rPr>
      </w:pPr>
      <w:r w:rsidRPr="000855B2">
        <w:rPr>
          <w:rFonts w:cs="Tahoma"/>
          <w:szCs w:val="22"/>
          <w:lang w:val="en-GB"/>
        </w:rPr>
        <w:t>With these ratios, the mass of CO</w:t>
      </w:r>
      <w:r w:rsidRPr="000855B2">
        <w:rPr>
          <w:rFonts w:cs="Tahoma"/>
          <w:szCs w:val="22"/>
          <w:vertAlign w:val="subscript"/>
          <w:lang w:val="en-GB"/>
        </w:rPr>
        <w:t>2</w:t>
      </w:r>
      <w:r w:rsidR="002B4316" w:rsidRPr="000855B2">
        <w:rPr>
          <w:rFonts w:cs="Tahoma"/>
          <w:szCs w:val="22"/>
          <w:lang w:val="en-GB"/>
        </w:rPr>
        <w:t xml:space="preserve"> emitted by vehicles in technology</w:t>
      </w:r>
      <w:r w:rsidRPr="000855B2">
        <w:rPr>
          <w:rFonts w:cs="Tahoma"/>
          <w:szCs w:val="22"/>
          <w:lang w:val="en-GB"/>
        </w:rPr>
        <w:t xml:space="preserve"> </w:t>
      </w:r>
      <w:r w:rsidR="002B4316" w:rsidRPr="000855B2">
        <w:rPr>
          <w:rFonts w:cs="Tahoma"/>
          <w:i/>
          <w:szCs w:val="22"/>
          <w:lang w:val="en-GB"/>
        </w:rPr>
        <w:t>k</w:t>
      </w:r>
      <w:r w:rsidRPr="000855B2">
        <w:rPr>
          <w:rFonts w:cs="Tahoma"/>
          <w:szCs w:val="22"/>
          <w:lang w:val="en-GB"/>
        </w:rPr>
        <w:t xml:space="preserve">, combusting fuel </w:t>
      </w:r>
      <w:r w:rsidRPr="000855B2">
        <w:rPr>
          <w:rFonts w:cs="Tahoma"/>
          <w:i/>
          <w:szCs w:val="22"/>
          <w:lang w:val="en-GB"/>
        </w:rPr>
        <w:t>m</w:t>
      </w:r>
      <w:r w:rsidRPr="000855B2">
        <w:rPr>
          <w:rFonts w:cs="Tahoma"/>
          <w:szCs w:val="22"/>
          <w:lang w:val="en-GB"/>
        </w:rPr>
        <w:t xml:space="preserve"> can be calculated as:</w:t>
      </w:r>
    </w:p>
    <w:tbl>
      <w:tblPr>
        <w:tblW w:w="0" w:type="auto"/>
        <w:tblInd w:w="108" w:type="dxa"/>
        <w:tblBorders>
          <w:insideH w:val="single" w:sz="4" w:space="0" w:color="auto"/>
        </w:tblBorders>
        <w:tblLook w:val="01E0" w:firstRow="1" w:lastRow="1" w:firstColumn="1" w:lastColumn="1" w:noHBand="0" w:noVBand="0"/>
      </w:tblPr>
      <w:tblGrid>
        <w:gridCol w:w="7472"/>
        <w:gridCol w:w="883"/>
      </w:tblGrid>
      <w:tr w:rsidR="001D2587" w:rsidRPr="000855B2" w14:paraId="52A0C3B1" w14:textId="77777777" w:rsidTr="008C6ED4">
        <w:trPr>
          <w:trHeight w:val="1020"/>
        </w:trPr>
        <w:tc>
          <w:tcPr>
            <w:tcW w:w="7655" w:type="dxa"/>
            <w:vAlign w:val="center"/>
          </w:tcPr>
          <w:p w14:paraId="50D58228" w14:textId="77777777" w:rsidR="001D2587" w:rsidRPr="000855B2" w:rsidRDefault="00427B6C" w:rsidP="00546C89">
            <w:pPr>
              <w:numPr>
                <w:ilvl w:val="12"/>
                <w:numId w:val="0"/>
              </w:numPr>
              <w:rPr>
                <w:lang w:val="en-GB"/>
              </w:rPr>
            </w:pPr>
            <w:r w:rsidRPr="000855B2">
              <w:rPr>
                <w:b/>
                <w:position w:val="-32"/>
                <w:lang w:val="en-GB"/>
              </w:rPr>
              <w:object w:dxaOrig="5360" w:dyaOrig="780" w14:anchorId="06575817">
                <v:shape id="_x0000_i1031" type="#_x0000_t75" style="width:266.65pt;height:40.6pt" o:ole="" fillcolor="window">
                  <v:imagedata r:id="rId28" o:title=""/>
                </v:shape>
                <o:OLEObject Type="Embed" ProgID="Equation.3" ShapeID="_x0000_i1031" DrawAspect="Content" ObjectID="_1555746394" r:id="rId29"/>
              </w:object>
            </w:r>
          </w:p>
        </w:tc>
        <w:tc>
          <w:tcPr>
            <w:tcW w:w="916" w:type="dxa"/>
            <w:vAlign w:val="center"/>
          </w:tcPr>
          <w:p w14:paraId="29EF0BB4" w14:textId="2072C609" w:rsidR="001D2587" w:rsidRPr="000855B2" w:rsidRDefault="001D2587" w:rsidP="00546C89">
            <w:pPr>
              <w:numPr>
                <w:ilvl w:val="12"/>
                <w:numId w:val="0"/>
              </w:numPr>
              <w:rPr>
                <w:lang w:val="en-GB"/>
              </w:rPr>
            </w:pPr>
            <w:bookmarkStart w:id="138" w:name="_Ref172034276"/>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16</w:t>
            </w:r>
            <w:r w:rsidR="00E17971">
              <w:rPr>
                <w:lang w:val="en-GB"/>
              </w:rPr>
              <w:fldChar w:fldCharType="end"/>
            </w:r>
            <w:bookmarkEnd w:id="138"/>
            <w:r w:rsidRPr="000855B2">
              <w:rPr>
                <w:lang w:val="en-GB"/>
              </w:rPr>
              <w:t>)</w:t>
            </w:r>
          </w:p>
        </w:tc>
      </w:tr>
    </w:tbl>
    <w:p w14:paraId="7C804C31" w14:textId="77777777" w:rsidR="001D2587" w:rsidRPr="000855B2" w:rsidRDefault="001D2587" w:rsidP="00546C89">
      <w:pPr>
        <w:spacing w:line="312" w:lineRule="atLeast"/>
        <w:rPr>
          <w:rFonts w:cs="Tahoma"/>
          <w:szCs w:val="22"/>
          <w:lang w:val="en-GB"/>
        </w:rPr>
      </w:pPr>
      <w:r w:rsidRPr="000855B2">
        <w:rPr>
          <w:rFonts w:cs="Tahoma"/>
          <w:szCs w:val="22"/>
          <w:lang w:val="en-GB"/>
        </w:rPr>
        <w:t>Where FC</w:t>
      </w:r>
      <w:r w:rsidRPr="000855B2">
        <w:rPr>
          <w:rFonts w:cs="Tahoma"/>
          <w:szCs w:val="22"/>
          <w:vertAlign w:val="superscript"/>
          <w:lang w:val="en-GB"/>
        </w:rPr>
        <w:t xml:space="preserve">CALC </w:t>
      </w:r>
      <w:r w:rsidRPr="000855B2">
        <w:rPr>
          <w:rFonts w:cs="Tahoma"/>
          <w:szCs w:val="22"/>
          <w:lang w:val="en-GB"/>
        </w:rPr>
        <w:t>is the fuel consumption of those vehicles for the time period considered.</w:t>
      </w:r>
    </w:p>
    <w:p w14:paraId="60F7ED68" w14:textId="77777777" w:rsidR="00B62C31" w:rsidRPr="000855B2" w:rsidRDefault="00B62C31" w:rsidP="00546C89">
      <w:pPr>
        <w:tabs>
          <w:tab w:val="left" w:pos="0"/>
          <w:tab w:val="right" w:pos="180"/>
        </w:tabs>
        <w:spacing w:line="312" w:lineRule="atLeast"/>
        <w:rPr>
          <w:rFonts w:cs="Tahoma"/>
          <w:szCs w:val="22"/>
          <w:lang w:val="en-GB"/>
        </w:rPr>
      </w:pPr>
    </w:p>
    <w:p w14:paraId="225BA77E" w14:textId="067397B7" w:rsidR="003851B6" w:rsidRPr="000855B2" w:rsidRDefault="00FB454C" w:rsidP="00546C89">
      <w:pPr>
        <w:tabs>
          <w:tab w:val="left" w:pos="0"/>
          <w:tab w:val="right" w:pos="180"/>
        </w:tabs>
        <w:spacing w:line="312" w:lineRule="atLeast"/>
        <w:rPr>
          <w:rFonts w:cs="Tahoma"/>
          <w:szCs w:val="22"/>
          <w:lang w:val="en-GB"/>
        </w:rPr>
      </w:pPr>
      <w:r>
        <w:fldChar w:fldCharType="begin"/>
      </w:r>
      <w:r>
        <w:instrText xml:space="preserve"> REF _Ref172033894 \h  \* MERGEFORMAT </w:instrText>
      </w:r>
      <w:r>
        <w:fldChar w:fldCharType="separate"/>
      </w:r>
      <w:r w:rsidR="0071604C" w:rsidRPr="0071604C">
        <w:rPr>
          <w:lang w:val="en-GB"/>
        </w:rPr>
        <w:t>Table 3.29</w:t>
      </w:r>
      <w:r>
        <w:fldChar w:fldCharType="end"/>
      </w:r>
      <w:r w:rsidR="003851B6" w:rsidRPr="000855B2">
        <w:rPr>
          <w:rFonts w:cs="Tahoma"/>
          <w:szCs w:val="22"/>
          <w:lang w:val="en-GB"/>
        </w:rPr>
        <w:t xml:space="preserve"> gives hydrogen:carbon and oxygen:carbon ratios for different fuel types.</w:t>
      </w:r>
      <w:r w:rsidR="00E35DBC">
        <w:rPr>
          <w:rFonts w:cs="Tahoma"/>
          <w:szCs w:val="22"/>
          <w:lang w:val="en-GB"/>
        </w:rPr>
        <w:t xml:space="preserve"> </w:t>
      </w:r>
      <w:r w:rsidR="00E35DBC" w:rsidRPr="00E35DBC">
        <w:rPr>
          <w:rFonts w:cs="Tahoma"/>
          <w:szCs w:val="22"/>
          <w:lang w:val="en-GB"/>
        </w:rPr>
        <w:t xml:space="preserve">These originate from relevant regulations, which reflect ratios of the corresponding reference fuels used for vehicle testing (UN, 2015). Corresponding values for actual market fuels may substantially differ from the values quoted in </w:t>
      </w:r>
      <w:r w:rsidR="00E35DBC">
        <w:fldChar w:fldCharType="begin"/>
      </w:r>
      <w:r w:rsidR="00E35DBC">
        <w:instrText xml:space="preserve"> REF _Ref172033894 \h  \* MERGEFORMAT </w:instrText>
      </w:r>
      <w:r w:rsidR="00E35DBC">
        <w:fldChar w:fldCharType="separate"/>
      </w:r>
      <w:r w:rsidR="0071604C" w:rsidRPr="0071604C">
        <w:rPr>
          <w:lang w:val="en-GB"/>
        </w:rPr>
        <w:t>Table 3.29</w:t>
      </w:r>
      <w:r w:rsidR="00E35DBC">
        <w:fldChar w:fldCharType="end"/>
      </w:r>
      <w:r w:rsidR="00E35DBC" w:rsidRPr="00E35DBC">
        <w:rPr>
          <w:rFonts w:cs="Tahoma"/>
          <w:szCs w:val="22"/>
          <w:lang w:val="en-GB"/>
        </w:rPr>
        <w:t>. Also, calculated ratios for non-reference fuel blends are included in the table for guidance.</w:t>
      </w:r>
    </w:p>
    <w:p w14:paraId="70F562A4" w14:textId="4D791499" w:rsidR="00386411" w:rsidRDefault="00185BB9" w:rsidP="00546C89">
      <w:pPr>
        <w:pStyle w:val="BodyText"/>
      </w:pPr>
      <w:r w:rsidRPr="00185BB9">
        <w:t xml:space="preserve">Oxygen in the fuel may be increased due to blending with oxygenated components and/or biofuels. In diesel fuel, the most widespread source of oxygen is biodiesel. Biodiesel is produced by the transesterification of organic oils derived from biomass (plant seeds, waste). It comprises a mix of fatty acid methylesters with speciation and proportions that depend on the feedstock. For example, rapeseed oil mostly consists of C18 acids, while coconut oil is lighter and comprises C12 oils (Karavalakis et al., 2010). The neat biodiesel ratios quoted in </w:t>
      </w:r>
      <w:r>
        <w:fldChar w:fldCharType="begin"/>
      </w:r>
      <w:r>
        <w:instrText xml:space="preserve"> REF _Ref172033894 \h  \* MERGEFORMAT </w:instrText>
      </w:r>
      <w:r>
        <w:fldChar w:fldCharType="separate"/>
      </w:r>
      <w:r w:rsidR="0071604C" w:rsidRPr="005B17F2">
        <w:t>Table </w:t>
      </w:r>
      <w:r w:rsidR="0071604C">
        <w:t>3</w:t>
      </w:r>
      <w:r w:rsidR="0071604C" w:rsidRPr="005B17F2">
        <w:t>.</w:t>
      </w:r>
      <w:r w:rsidR="0071604C">
        <w:t>29</w:t>
      </w:r>
      <w:r>
        <w:fldChar w:fldCharType="end"/>
      </w:r>
      <w:r w:rsidRPr="00185BB9">
        <w:t xml:space="preserve"> try to cover this range.</w:t>
      </w:r>
    </w:p>
    <w:p w14:paraId="31355827" w14:textId="051372AF" w:rsidR="000D493C" w:rsidRPr="000855B2" w:rsidRDefault="00386411" w:rsidP="00546C89">
      <w:pPr>
        <w:pStyle w:val="BodyText"/>
      </w:pPr>
      <w:r>
        <w:t>I</w:t>
      </w:r>
      <w:r w:rsidR="00B62C31" w:rsidRPr="000855B2">
        <w:t>n petrol</w:t>
      </w:r>
      <w:r>
        <w:t>,</w:t>
      </w:r>
      <w:r w:rsidR="00B62C31" w:rsidRPr="000855B2">
        <w:t xml:space="preserve"> oxygen </w:t>
      </w:r>
      <w:r>
        <w:t>is</w:t>
      </w:r>
      <w:r w:rsidR="00B62C31" w:rsidRPr="000855B2">
        <w:t xml:space="preserve"> found </w:t>
      </w:r>
      <w:r>
        <w:t>by</w:t>
      </w:r>
      <w:r w:rsidR="00B62C31" w:rsidRPr="000855B2">
        <w:t xml:space="preserve"> blending </w:t>
      </w:r>
      <w:r>
        <w:t xml:space="preserve">fossil-derived petrol with oxygenated </w:t>
      </w:r>
      <w:r w:rsidR="00B62C31" w:rsidRPr="000855B2">
        <w:t>biofuels or synthetic fuels.</w:t>
      </w:r>
      <w:r w:rsidR="001D2587" w:rsidRPr="000855B2">
        <w:t xml:space="preserve"> </w:t>
      </w:r>
      <w:r w:rsidR="000D493C" w:rsidRPr="000855B2">
        <w:t xml:space="preserve">Methanol, ethanol and their derivative ethers MTBE (Methyl Tertiary Butyl Ether) and ETBE (Ethyl Tertiary Butyl Ether) are </w:t>
      </w:r>
      <w:r w:rsidR="00B62C31" w:rsidRPr="000855B2">
        <w:t>the most widespread oxygen-carrying component</w:t>
      </w:r>
      <w:r w:rsidR="000D493C" w:rsidRPr="000855B2">
        <w:t>s</w:t>
      </w:r>
      <w:r w:rsidR="00B62C31" w:rsidRPr="000855B2">
        <w:t xml:space="preserve"> for petrol fuel</w:t>
      </w:r>
      <w:r w:rsidR="000D493C" w:rsidRPr="000855B2">
        <w:t xml:space="preserve">. </w:t>
      </w:r>
      <w:r w:rsidR="00B62C31" w:rsidRPr="000855B2">
        <w:t>Bioe</w:t>
      </w:r>
      <w:r w:rsidR="000D493C" w:rsidRPr="000855B2">
        <w:t xml:space="preserve">thanol is </w:t>
      </w:r>
      <w:r w:rsidR="00B62C31" w:rsidRPr="000855B2">
        <w:t>produced</w:t>
      </w:r>
      <w:r w:rsidR="000D493C" w:rsidRPr="000855B2">
        <w:t xml:space="preserve"> by fermenting sugars into alcohol. These sugars can come from a variety of agricultural sources such as cereals, sugar cane, potatoes, other crops, and increasingly even organic waste materials. </w:t>
      </w:r>
      <w:r w:rsidR="00B62C31" w:rsidRPr="000855B2">
        <w:t>However, e</w:t>
      </w:r>
      <w:r w:rsidR="000D493C" w:rsidRPr="000855B2">
        <w:t xml:space="preserve">thanol may also be produced </w:t>
      </w:r>
      <w:r w:rsidR="00B62C31" w:rsidRPr="000855B2">
        <w:t>synthetically</w:t>
      </w:r>
      <w:r w:rsidR="000D493C" w:rsidRPr="000855B2">
        <w:t xml:space="preserve"> from ethylene</w:t>
      </w:r>
      <w:r w:rsidR="00B62C31" w:rsidRPr="000855B2">
        <w:t>, in which case it does not count as a biofuel.</w:t>
      </w:r>
      <w:r w:rsidR="000D493C" w:rsidRPr="000855B2">
        <w:t xml:space="preserve"> ETBE and MTBE are obtained by reacting ethanol and methanol respectively with isobutylene. </w:t>
      </w:r>
      <w:r w:rsidR="00427B6C" w:rsidRPr="000855B2">
        <w:t>Again, the ethanol used as a feedstock for their production may be of bio- or synthetic origin. However, as isobutylene is always of synthetic origin, ETBE and MTBE cannot be counted as neat biofuels.</w:t>
      </w:r>
    </w:p>
    <w:p w14:paraId="66839FAA" w14:textId="77777777" w:rsidR="003851B6" w:rsidRPr="000855B2" w:rsidRDefault="001A4292" w:rsidP="00546C89">
      <w:pPr>
        <w:pStyle w:val="BodyText"/>
      </w:pPr>
      <w:r w:rsidRPr="000855B2">
        <w:t>When</w:t>
      </w:r>
      <w:r w:rsidR="001D2587" w:rsidRPr="000855B2">
        <w:t xml:space="preserve"> </w:t>
      </w:r>
      <w:r w:rsidR="00427B6C" w:rsidRPr="000855B2">
        <w:t>reporting</w:t>
      </w:r>
      <w:r w:rsidR="003F0C98" w:rsidRPr="000855B2">
        <w:t xml:space="preserve"> </w:t>
      </w:r>
      <w:r w:rsidR="001D2587" w:rsidRPr="000855B2">
        <w:t>CO</w:t>
      </w:r>
      <w:r w:rsidR="001D2587" w:rsidRPr="000855B2">
        <w:rPr>
          <w:vertAlign w:val="subscript"/>
        </w:rPr>
        <w:t>2</w:t>
      </w:r>
      <w:r w:rsidR="001D2587" w:rsidRPr="000855B2">
        <w:t xml:space="preserve"> emissions, only the fossil fuel statistical consumption should be taken into account in the calculation. This is consistent </w:t>
      </w:r>
      <w:r w:rsidR="00907504" w:rsidRPr="000855B2">
        <w:t>with</w:t>
      </w:r>
      <w:r w:rsidR="001D2587" w:rsidRPr="000855B2">
        <w:t xml:space="preserve"> the IPCC 1996 and IPCC 2006 guidelines, according to which emissions associated with use of biofuels are attributed to the </w:t>
      </w:r>
      <w:bookmarkStart w:id="139" w:name="OLE_LINK8"/>
      <w:r w:rsidR="00907504" w:rsidRPr="000855B2">
        <w:t>L</w:t>
      </w:r>
      <w:r w:rsidR="001D2587" w:rsidRPr="000855B2">
        <w:t xml:space="preserve">and </w:t>
      </w:r>
      <w:r w:rsidR="00907504" w:rsidRPr="000855B2">
        <w:t>U</w:t>
      </w:r>
      <w:r w:rsidR="001D2587" w:rsidRPr="000855B2">
        <w:t xml:space="preserve">se, </w:t>
      </w:r>
      <w:r w:rsidR="00907504" w:rsidRPr="000855B2">
        <w:t>L</w:t>
      </w:r>
      <w:r w:rsidR="001D2587" w:rsidRPr="000855B2">
        <w:t>and-</w:t>
      </w:r>
      <w:r w:rsidR="00907504" w:rsidRPr="000855B2">
        <w:t>U</w:t>
      </w:r>
      <w:r w:rsidR="001D2587" w:rsidRPr="000855B2">
        <w:t xml:space="preserve">se </w:t>
      </w:r>
      <w:r w:rsidR="00907504" w:rsidRPr="000855B2">
        <w:t>C</w:t>
      </w:r>
      <w:r w:rsidR="001D2587" w:rsidRPr="000855B2">
        <w:t xml:space="preserve">hange and </w:t>
      </w:r>
      <w:r w:rsidR="00907504" w:rsidRPr="000855B2">
        <w:t>F</w:t>
      </w:r>
      <w:r w:rsidR="001D2587" w:rsidRPr="000855B2">
        <w:t>orestry sector</w:t>
      </w:r>
      <w:bookmarkEnd w:id="139"/>
      <w:r w:rsidR="002A50CC" w:rsidRPr="000855B2">
        <w:t xml:space="preserve"> under IPCC</w:t>
      </w:r>
      <w:r w:rsidR="001D2587" w:rsidRPr="000855B2">
        <w:t>. Hence, for reporting, the CO</w:t>
      </w:r>
      <w:r w:rsidR="001D2587" w:rsidRPr="000855B2">
        <w:rPr>
          <w:vertAlign w:val="subscript"/>
        </w:rPr>
        <w:t>2</w:t>
      </w:r>
      <w:r w:rsidR="001D2587" w:rsidRPr="000855B2">
        <w:t xml:space="preserve"> calculated per vehicle category should be corrected according to equation</w:t>
      </w:r>
      <w:r w:rsidRPr="000855B2">
        <w:t>:</w:t>
      </w:r>
    </w:p>
    <w:tbl>
      <w:tblPr>
        <w:tblW w:w="0" w:type="auto"/>
        <w:tblBorders>
          <w:insideH w:val="single" w:sz="4" w:space="0" w:color="auto"/>
        </w:tblBorders>
        <w:tblLook w:val="01E0" w:firstRow="1" w:lastRow="1" w:firstColumn="1" w:lastColumn="1" w:noHBand="0" w:noVBand="0"/>
      </w:tblPr>
      <w:tblGrid>
        <w:gridCol w:w="7725"/>
        <w:gridCol w:w="738"/>
      </w:tblGrid>
      <w:tr w:rsidR="001D2587" w:rsidRPr="000855B2" w14:paraId="2413E1A9" w14:textId="77777777">
        <w:tc>
          <w:tcPr>
            <w:tcW w:w="8240" w:type="dxa"/>
            <w:tcMar>
              <w:left w:w="0" w:type="dxa"/>
              <w:right w:w="0" w:type="dxa"/>
            </w:tcMar>
            <w:vAlign w:val="center"/>
          </w:tcPr>
          <w:p w14:paraId="6291323E" w14:textId="77777777" w:rsidR="001D2587" w:rsidRPr="000855B2" w:rsidRDefault="00427B6C" w:rsidP="00546C89">
            <w:pPr>
              <w:pStyle w:val="BodyText"/>
            </w:pPr>
            <w:r w:rsidRPr="000855B2">
              <w:rPr>
                <w:b/>
                <w:position w:val="-48"/>
              </w:rPr>
              <w:object w:dxaOrig="3379" w:dyaOrig="920" w14:anchorId="5FDB1FDA">
                <v:shape id="_x0000_i1032" type="#_x0000_t75" style="width:168.45pt;height:44.75pt" o:ole="" fillcolor="window">
                  <v:imagedata r:id="rId30" o:title=""/>
                </v:shape>
                <o:OLEObject Type="Embed" ProgID="Equation.3" ShapeID="_x0000_i1032" DrawAspect="Content" ObjectID="_1555746395" r:id="rId31"/>
              </w:object>
            </w:r>
          </w:p>
        </w:tc>
        <w:tc>
          <w:tcPr>
            <w:tcW w:w="787" w:type="dxa"/>
            <w:tcMar>
              <w:left w:w="0" w:type="dxa"/>
              <w:right w:w="0" w:type="dxa"/>
            </w:tcMar>
            <w:vAlign w:val="center"/>
          </w:tcPr>
          <w:p w14:paraId="77416D88" w14:textId="735F20D6" w:rsidR="001D2587" w:rsidRPr="000855B2" w:rsidRDefault="001D2587" w:rsidP="00546C89">
            <w:pPr>
              <w:pStyle w:val="BodyText"/>
            </w:pPr>
            <w:bookmarkStart w:id="140" w:name="_Ref172034254"/>
            <w:r w:rsidRPr="000855B2">
              <w:t>(</w:t>
            </w:r>
            <w:r w:rsidR="00FB454C">
              <w:fldChar w:fldCharType="begin"/>
            </w:r>
            <w:r w:rsidR="00FB454C">
              <w:instrText xml:space="preserve"> SEQ Εξίσωση \* ARABIC </w:instrText>
            </w:r>
            <w:r w:rsidR="00FB454C">
              <w:fldChar w:fldCharType="separate"/>
            </w:r>
            <w:r w:rsidR="0071604C">
              <w:rPr>
                <w:noProof/>
              </w:rPr>
              <w:t>17</w:t>
            </w:r>
            <w:r w:rsidR="00FB454C">
              <w:rPr>
                <w:noProof/>
              </w:rPr>
              <w:fldChar w:fldCharType="end"/>
            </w:r>
            <w:bookmarkEnd w:id="140"/>
            <w:r w:rsidRPr="000855B2">
              <w:t>)</w:t>
            </w:r>
          </w:p>
        </w:tc>
      </w:tr>
    </w:tbl>
    <w:p w14:paraId="29C4CF90" w14:textId="510693C7" w:rsidR="001D2587" w:rsidRPr="000855B2" w:rsidRDefault="001D2587" w:rsidP="00546C89">
      <w:pPr>
        <w:pStyle w:val="BodyText"/>
      </w:pPr>
      <w:r w:rsidRPr="000855B2">
        <w:t xml:space="preserve">In equation </w:t>
      </w:r>
      <w:r w:rsidR="00FB454C">
        <w:fldChar w:fldCharType="begin"/>
      </w:r>
      <w:r w:rsidR="00FB454C">
        <w:instrText xml:space="preserve"> REF _Ref172034254 \h  \* MERGEFORMAT </w:instrText>
      </w:r>
      <w:r w:rsidR="00FB454C">
        <w:fldChar w:fldCharType="separate"/>
      </w:r>
      <w:r w:rsidR="0071604C" w:rsidRPr="000855B2">
        <w:t>(</w:t>
      </w:r>
      <w:r w:rsidR="0071604C">
        <w:t>17</w:t>
      </w:r>
      <w:r w:rsidR="00FB454C">
        <w:fldChar w:fldCharType="end"/>
      </w:r>
      <w:r w:rsidRPr="000855B2">
        <w:t>), the calculated CO</w:t>
      </w:r>
      <w:r w:rsidRPr="000855B2">
        <w:rPr>
          <w:vertAlign w:val="subscript"/>
        </w:rPr>
        <w:t>2</w:t>
      </w:r>
      <w:r w:rsidRPr="000855B2">
        <w:t xml:space="preserve"> emission should be derived from </w:t>
      </w:r>
      <w:r w:rsidR="003C2DC5" w:rsidRPr="000855B2">
        <w:t>equation</w:t>
      </w:r>
      <w:r w:rsidRPr="000855B2">
        <w:t xml:space="preserve"> </w:t>
      </w:r>
      <w:r w:rsidR="00FB454C">
        <w:fldChar w:fldCharType="begin"/>
      </w:r>
      <w:r w:rsidR="00FB454C">
        <w:instrText xml:space="preserve"> REF _Ref172034276 \h  \* MERGEFORMAT </w:instrText>
      </w:r>
      <w:r w:rsidR="00FB454C">
        <w:fldChar w:fldCharType="separate"/>
      </w:r>
      <w:r w:rsidR="0071604C" w:rsidRPr="000855B2">
        <w:t>(</w:t>
      </w:r>
      <w:r w:rsidR="0071604C">
        <w:t>16</w:t>
      </w:r>
      <w:r w:rsidR="00FB454C">
        <w:fldChar w:fldCharType="end"/>
      </w:r>
      <w:r w:rsidRPr="000855B2">
        <w:t xml:space="preserve">), without considering the oxygen content of the biofuel part. </w:t>
      </w:r>
    </w:p>
    <w:p w14:paraId="7E5B7F81" w14:textId="575D57A9" w:rsidR="001D2587" w:rsidRPr="000855B2" w:rsidRDefault="00A040D1" w:rsidP="00C92B1B">
      <w:pPr>
        <w:pStyle w:val="Caption"/>
      </w:pPr>
      <w:bookmarkStart w:id="141" w:name="_Ref172033894"/>
      <w:r w:rsidRPr="005B17F2">
        <w:t>Table </w:t>
      </w:r>
      <w:r w:rsidR="00E17971" w:rsidRPr="005B17F2">
        <w:fldChar w:fldCharType="begin"/>
      </w:r>
      <w:r w:rsidR="00E17971" w:rsidRPr="005B17F2">
        <w:instrText xml:space="preserve"> STYLEREF 1 \s </w:instrText>
      </w:r>
      <w:r w:rsidR="00E17971" w:rsidRPr="005B17F2">
        <w:fldChar w:fldCharType="separate"/>
      </w:r>
      <w:r w:rsidR="0071604C">
        <w:rPr>
          <w:noProof/>
        </w:rPr>
        <w:t>3</w:t>
      </w:r>
      <w:r w:rsidR="00E17971" w:rsidRPr="005B17F2">
        <w:fldChar w:fldCharType="end"/>
      </w:r>
      <w:r w:rsidR="00131917" w:rsidRPr="005B17F2">
        <w:t>.</w:t>
      </w:r>
      <w:r w:rsidR="00E17971" w:rsidRPr="005B17F2">
        <w:fldChar w:fldCharType="begin"/>
      </w:r>
      <w:r w:rsidR="00E17971" w:rsidRPr="005B17F2">
        <w:instrText xml:space="preserve"> SEQ Table \* ARABIC \s 1 </w:instrText>
      </w:r>
      <w:r w:rsidR="00E17971" w:rsidRPr="005B17F2">
        <w:fldChar w:fldCharType="separate"/>
      </w:r>
      <w:r w:rsidR="0071604C">
        <w:rPr>
          <w:noProof/>
        </w:rPr>
        <w:t>29</w:t>
      </w:r>
      <w:r w:rsidR="00E17971" w:rsidRPr="005B17F2">
        <w:fldChar w:fldCharType="end"/>
      </w:r>
      <w:bookmarkEnd w:id="141"/>
      <w:r w:rsidR="001D2587" w:rsidRPr="005B17F2">
        <w:t xml:space="preserve">: </w:t>
      </w:r>
      <w:r w:rsidR="00E35DBC" w:rsidRPr="00E35DBC">
        <w:t>Ratios of hydrogen to carbon and oxygen to carbon atoms for different reference blend fuels (REF) used in vehicle testing and estimated values for non-reference fuels and blends</w:t>
      </w:r>
    </w:p>
    <w:tbl>
      <w:tblPr>
        <w:tblW w:w="84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482"/>
        <w:gridCol w:w="2821"/>
        <w:gridCol w:w="2064"/>
        <w:gridCol w:w="2064"/>
      </w:tblGrid>
      <w:tr w:rsidR="001D2587" w:rsidRPr="000855B2" w14:paraId="19FBC153" w14:textId="77777777" w:rsidTr="005C7955">
        <w:trPr>
          <w:trHeight w:val="126"/>
        </w:trPr>
        <w:tc>
          <w:tcPr>
            <w:tcW w:w="1482" w:type="dxa"/>
            <w:tcBorders>
              <w:bottom w:val="single" w:sz="12" w:space="0" w:color="auto"/>
            </w:tcBorders>
            <w:noWrap/>
            <w:vAlign w:val="center"/>
          </w:tcPr>
          <w:p w14:paraId="173780E9" w14:textId="77777777" w:rsidR="001D2587" w:rsidRPr="000855B2" w:rsidRDefault="001D2587" w:rsidP="005C7955">
            <w:pPr>
              <w:spacing w:line="240" w:lineRule="atLeast"/>
              <w:jc w:val="center"/>
              <w:rPr>
                <w:rFonts w:cs="Open Sans"/>
                <w:b/>
                <w:bCs/>
                <w:sz w:val="16"/>
                <w:szCs w:val="18"/>
                <w:lang w:val="en-GB"/>
              </w:rPr>
            </w:pPr>
            <w:r w:rsidRPr="000855B2">
              <w:rPr>
                <w:rFonts w:cs="Open Sans"/>
                <w:b/>
                <w:bCs/>
                <w:sz w:val="16"/>
                <w:szCs w:val="18"/>
                <w:lang w:val="en-GB"/>
              </w:rPr>
              <w:t>Fuel (</w:t>
            </w:r>
            <w:r w:rsidRPr="000855B2">
              <w:rPr>
                <w:rFonts w:cs="Open Sans"/>
                <w:b/>
                <w:bCs/>
                <w:i/>
                <w:sz w:val="16"/>
                <w:szCs w:val="18"/>
                <w:lang w:val="en-GB"/>
              </w:rPr>
              <w:t>m</w:t>
            </w:r>
            <w:r w:rsidRPr="000855B2">
              <w:rPr>
                <w:rFonts w:cs="Open Sans"/>
                <w:b/>
                <w:bCs/>
                <w:sz w:val="16"/>
                <w:szCs w:val="18"/>
                <w:lang w:val="en-GB"/>
              </w:rPr>
              <w:t>)</w:t>
            </w:r>
          </w:p>
        </w:tc>
        <w:tc>
          <w:tcPr>
            <w:tcW w:w="2821" w:type="dxa"/>
            <w:tcBorders>
              <w:bottom w:val="single" w:sz="12" w:space="0" w:color="auto"/>
            </w:tcBorders>
            <w:noWrap/>
            <w:vAlign w:val="center"/>
          </w:tcPr>
          <w:p w14:paraId="475926A9" w14:textId="0A4A9640" w:rsidR="001D2587" w:rsidRPr="000855B2" w:rsidRDefault="00985228" w:rsidP="005C7955">
            <w:pPr>
              <w:spacing w:line="240" w:lineRule="atLeast"/>
              <w:jc w:val="center"/>
              <w:rPr>
                <w:rFonts w:cs="Open Sans"/>
                <w:b/>
                <w:bCs/>
                <w:sz w:val="16"/>
                <w:szCs w:val="18"/>
                <w:lang w:val="en-GB"/>
              </w:rPr>
            </w:pPr>
            <w:r>
              <w:rPr>
                <w:rFonts w:cs="Open Sans"/>
                <w:b/>
                <w:bCs/>
                <w:sz w:val="16"/>
                <w:szCs w:val="18"/>
                <w:lang w:val="en-GB"/>
              </w:rPr>
              <w:t>Typical Molecule</w:t>
            </w:r>
          </w:p>
        </w:tc>
        <w:tc>
          <w:tcPr>
            <w:tcW w:w="2064" w:type="dxa"/>
            <w:tcBorders>
              <w:bottom w:val="single" w:sz="12" w:space="0" w:color="auto"/>
            </w:tcBorders>
            <w:noWrap/>
            <w:vAlign w:val="center"/>
          </w:tcPr>
          <w:p w14:paraId="422D0E31" w14:textId="26117685" w:rsidR="001D2587" w:rsidRPr="00E35DBC" w:rsidRDefault="001D2587" w:rsidP="005C7955">
            <w:pPr>
              <w:spacing w:line="240" w:lineRule="atLeast"/>
              <w:jc w:val="center"/>
              <w:rPr>
                <w:rFonts w:cs="Open Sans"/>
                <w:b/>
                <w:bCs/>
                <w:sz w:val="16"/>
                <w:szCs w:val="18"/>
                <w:lang w:val="en-GB"/>
              </w:rPr>
            </w:pPr>
            <w:r w:rsidRPr="000855B2">
              <w:rPr>
                <w:rFonts w:cs="Open Sans"/>
                <w:b/>
                <w:bCs/>
                <w:sz w:val="16"/>
                <w:szCs w:val="18"/>
                <w:lang w:val="en-GB"/>
              </w:rPr>
              <w:t>Ratio of hydrogen to carbon</w:t>
            </w:r>
            <w:r w:rsidR="00E35DBC">
              <w:rPr>
                <w:rFonts w:cs="Open Sans"/>
                <w:b/>
                <w:bCs/>
                <w:sz w:val="16"/>
                <w:szCs w:val="18"/>
                <w:lang w:val="en-GB"/>
              </w:rPr>
              <w:t xml:space="preserve"> (r</w:t>
            </w:r>
            <w:r w:rsidR="00E35DBC">
              <w:rPr>
                <w:rFonts w:cs="Open Sans"/>
                <w:b/>
                <w:bCs/>
                <w:sz w:val="16"/>
                <w:szCs w:val="18"/>
                <w:vertAlign w:val="subscript"/>
                <w:lang w:val="en-GB"/>
              </w:rPr>
              <w:t>H:C</w:t>
            </w:r>
            <w:r w:rsidR="00E35DBC">
              <w:rPr>
                <w:rFonts w:cs="Open Sans"/>
                <w:b/>
                <w:bCs/>
                <w:sz w:val="16"/>
                <w:szCs w:val="18"/>
                <w:lang w:val="en-GB"/>
              </w:rPr>
              <w:t>)</w:t>
            </w:r>
          </w:p>
        </w:tc>
        <w:tc>
          <w:tcPr>
            <w:tcW w:w="2064" w:type="dxa"/>
            <w:tcBorders>
              <w:bottom w:val="single" w:sz="12" w:space="0" w:color="auto"/>
            </w:tcBorders>
            <w:noWrap/>
            <w:vAlign w:val="center"/>
          </w:tcPr>
          <w:p w14:paraId="55863DC0" w14:textId="06647633" w:rsidR="001D2587" w:rsidRPr="000855B2" w:rsidRDefault="001D2587" w:rsidP="005C7955">
            <w:pPr>
              <w:spacing w:line="240" w:lineRule="atLeast"/>
              <w:jc w:val="center"/>
              <w:rPr>
                <w:rFonts w:cs="Open Sans"/>
                <w:b/>
                <w:bCs/>
                <w:sz w:val="16"/>
                <w:szCs w:val="18"/>
                <w:lang w:val="en-GB"/>
              </w:rPr>
            </w:pPr>
            <w:r w:rsidRPr="000855B2">
              <w:rPr>
                <w:rFonts w:cs="Open Sans"/>
                <w:b/>
                <w:bCs/>
                <w:sz w:val="16"/>
                <w:szCs w:val="18"/>
                <w:lang w:val="en-GB"/>
              </w:rPr>
              <w:t>Ratio of oxygen to carbon</w:t>
            </w:r>
            <w:r w:rsidR="00E35DBC">
              <w:rPr>
                <w:rFonts w:cs="Open Sans"/>
                <w:b/>
                <w:bCs/>
                <w:sz w:val="16"/>
                <w:szCs w:val="18"/>
                <w:lang w:val="en-GB"/>
              </w:rPr>
              <w:t xml:space="preserve"> (r</w:t>
            </w:r>
            <w:r w:rsidR="00E35DBC">
              <w:rPr>
                <w:rFonts w:cs="Open Sans"/>
                <w:b/>
                <w:bCs/>
                <w:sz w:val="16"/>
                <w:szCs w:val="18"/>
                <w:vertAlign w:val="subscript"/>
                <w:lang w:val="en-GB"/>
              </w:rPr>
              <w:t>O:C</w:t>
            </w:r>
            <w:r w:rsidR="00E35DBC">
              <w:rPr>
                <w:rFonts w:cs="Open Sans"/>
                <w:b/>
                <w:bCs/>
                <w:sz w:val="16"/>
                <w:szCs w:val="18"/>
                <w:lang w:val="en-GB"/>
              </w:rPr>
              <w:t>)</w:t>
            </w:r>
          </w:p>
        </w:tc>
      </w:tr>
      <w:tr w:rsidR="00E35DBC" w:rsidRPr="000855B2" w14:paraId="11A912BF" w14:textId="77777777" w:rsidTr="00246BA6">
        <w:trPr>
          <w:trHeight w:val="295"/>
        </w:trPr>
        <w:tc>
          <w:tcPr>
            <w:tcW w:w="1482" w:type="dxa"/>
            <w:tcBorders>
              <w:top w:val="single" w:sz="12" w:space="0" w:color="auto"/>
            </w:tcBorders>
            <w:noWrap/>
            <w:vAlign w:val="center"/>
          </w:tcPr>
          <w:p w14:paraId="6A344712" w14:textId="0A73D4E2" w:rsidR="00E35DBC" w:rsidRPr="000855B2" w:rsidRDefault="00E35DBC" w:rsidP="00E35DBC">
            <w:pPr>
              <w:spacing w:line="240" w:lineRule="atLeast"/>
              <w:jc w:val="left"/>
              <w:rPr>
                <w:rFonts w:cs="Open Sans"/>
                <w:sz w:val="16"/>
                <w:szCs w:val="18"/>
                <w:lang w:val="en-GB"/>
              </w:rPr>
            </w:pPr>
            <w:r>
              <w:rPr>
                <w:rFonts w:cs="Open Sans"/>
                <w:sz w:val="16"/>
                <w:szCs w:val="18"/>
                <w:lang w:val="en-GB"/>
              </w:rPr>
              <w:t>Petrol</w:t>
            </w:r>
          </w:p>
        </w:tc>
        <w:tc>
          <w:tcPr>
            <w:tcW w:w="2821" w:type="dxa"/>
            <w:tcBorders>
              <w:top w:val="single" w:sz="12" w:space="0" w:color="auto"/>
            </w:tcBorders>
            <w:noWrap/>
            <w:vAlign w:val="center"/>
          </w:tcPr>
          <w:p w14:paraId="72976709" w14:textId="4AE64AF8"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[CH</w:t>
            </w:r>
            <w:r w:rsidRPr="000855B2">
              <w:rPr>
                <w:rFonts w:cs="Open Sans"/>
                <w:sz w:val="16"/>
                <w:szCs w:val="18"/>
                <w:vertAlign w:val="subscript"/>
                <w:lang w:val="en-GB"/>
              </w:rPr>
              <w:t>1.8</w:t>
            </w:r>
            <w:r>
              <w:rPr>
                <w:rFonts w:cs="Open Sans"/>
                <w:sz w:val="16"/>
                <w:szCs w:val="18"/>
                <w:vertAlign w:val="subscript"/>
                <w:lang w:val="en-GB"/>
              </w:rPr>
              <w:t>6</w:t>
            </w:r>
            <w:r w:rsidRPr="000855B2">
              <w:rPr>
                <w:rFonts w:cs="Open Sans"/>
                <w:sz w:val="16"/>
                <w:szCs w:val="18"/>
                <w:lang w:val="en-GB"/>
              </w:rPr>
              <w:t>]</w:t>
            </w:r>
            <w:r w:rsidRPr="000855B2">
              <w:rPr>
                <w:rFonts w:cs="Open Sans"/>
                <w:sz w:val="16"/>
                <w:szCs w:val="18"/>
                <w:vertAlign w:val="subscript"/>
                <w:lang w:val="en-GB"/>
              </w:rPr>
              <w:t>x</w:t>
            </w:r>
          </w:p>
        </w:tc>
        <w:tc>
          <w:tcPr>
            <w:tcW w:w="2064" w:type="dxa"/>
            <w:tcBorders>
              <w:top w:val="single" w:sz="12" w:space="0" w:color="auto"/>
            </w:tcBorders>
            <w:noWrap/>
            <w:vAlign w:val="center"/>
          </w:tcPr>
          <w:p w14:paraId="3558BAE2" w14:textId="7325C926"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1.8</w:t>
            </w:r>
            <w:r>
              <w:rPr>
                <w:rFonts w:cs="Open Sans"/>
                <w:sz w:val="16"/>
                <w:szCs w:val="18"/>
                <w:lang w:val="en-GB"/>
              </w:rPr>
              <w:t>6</w:t>
            </w:r>
          </w:p>
        </w:tc>
        <w:tc>
          <w:tcPr>
            <w:tcW w:w="2064" w:type="dxa"/>
            <w:tcBorders>
              <w:top w:val="single" w:sz="12" w:space="0" w:color="auto"/>
            </w:tcBorders>
            <w:noWrap/>
            <w:vAlign w:val="center"/>
          </w:tcPr>
          <w:p w14:paraId="28063842" w14:textId="78DE414D"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p>
        </w:tc>
      </w:tr>
      <w:tr w:rsidR="00E35DBC" w:rsidRPr="000855B2" w14:paraId="2F97EC55" w14:textId="77777777" w:rsidTr="00584197">
        <w:trPr>
          <w:trHeight w:val="286"/>
        </w:trPr>
        <w:tc>
          <w:tcPr>
            <w:tcW w:w="1482" w:type="dxa"/>
            <w:noWrap/>
            <w:vAlign w:val="center"/>
          </w:tcPr>
          <w:p w14:paraId="1E40E9E7" w14:textId="14704A3B"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Diesel</w:t>
            </w:r>
          </w:p>
        </w:tc>
        <w:tc>
          <w:tcPr>
            <w:tcW w:w="2821" w:type="dxa"/>
            <w:noWrap/>
            <w:vAlign w:val="center"/>
          </w:tcPr>
          <w:p w14:paraId="3B5A0574" w14:textId="4EE61153"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[CH</w:t>
            </w:r>
            <w:r>
              <w:rPr>
                <w:rFonts w:cs="Open Sans"/>
                <w:sz w:val="16"/>
                <w:szCs w:val="18"/>
                <w:vertAlign w:val="subscript"/>
                <w:lang w:val="en-GB"/>
              </w:rPr>
              <w:t>1.86</w:t>
            </w:r>
            <w:r w:rsidRPr="000855B2">
              <w:rPr>
                <w:rFonts w:cs="Open Sans"/>
                <w:sz w:val="16"/>
                <w:szCs w:val="18"/>
                <w:lang w:val="en-GB"/>
              </w:rPr>
              <w:t>]</w:t>
            </w:r>
            <w:r w:rsidRPr="000855B2">
              <w:rPr>
                <w:rFonts w:cs="Open Sans"/>
                <w:sz w:val="16"/>
                <w:szCs w:val="18"/>
                <w:vertAlign w:val="subscript"/>
                <w:lang w:val="en-GB"/>
              </w:rPr>
              <w:t>x</w:t>
            </w:r>
          </w:p>
        </w:tc>
        <w:tc>
          <w:tcPr>
            <w:tcW w:w="2064" w:type="dxa"/>
            <w:noWrap/>
            <w:vAlign w:val="center"/>
          </w:tcPr>
          <w:p w14:paraId="0790185F" w14:textId="3075AF54" w:rsidR="00E35DBC" w:rsidRPr="000855B2" w:rsidRDefault="00E35DBC" w:rsidP="00E35DBC">
            <w:pPr>
              <w:spacing w:line="240" w:lineRule="atLeast"/>
              <w:jc w:val="center"/>
              <w:rPr>
                <w:rFonts w:cs="Open Sans"/>
                <w:sz w:val="16"/>
                <w:szCs w:val="18"/>
                <w:lang w:val="en-GB"/>
              </w:rPr>
            </w:pPr>
            <w:r>
              <w:rPr>
                <w:rFonts w:cs="Open Sans"/>
                <w:sz w:val="16"/>
                <w:szCs w:val="18"/>
                <w:lang w:val="en-GB"/>
              </w:rPr>
              <w:t>1</w:t>
            </w:r>
            <w:r w:rsidRPr="000855B2">
              <w:rPr>
                <w:rFonts w:cs="Open Sans"/>
                <w:sz w:val="16"/>
                <w:szCs w:val="18"/>
                <w:lang w:val="en-GB"/>
              </w:rPr>
              <w:t>.</w:t>
            </w:r>
            <w:r>
              <w:rPr>
                <w:rFonts w:cs="Open Sans"/>
                <w:sz w:val="16"/>
                <w:szCs w:val="18"/>
                <w:lang w:val="en-GB"/>
              </w:rPr>
              <w:t>86</w:t>
            </w:r>
          </w:p>
        </w:tc>
        <w:tc>
          <w:tcPr>
            <w:tcW w:w="2064" w:type="dxa"/>
            <w:noWrap/>
            <w:vAlign w:val="center"/>
          </w:tcPr>
          <w:p w14:paraId="3E03B733" w14:textId="3633328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p>
        </w:tc>
      </w:tr>
      <w:tr w:rsidR="00E35DBC" w:rsidRPr="000855B2" w14:paraId="1CD7C933" w14:textId="77777777" w:rsidTr="00584197">
        <w:trPr>
          <w:trHeight w:val="261"/>
        </w:trPr>
        <w:tc>
          <w:tcPr>
            <w:tcW w:w="1482" w:type="dxa"/>
            <w:noWrap/>
            <w:vAlign w:val="center"/>
          </w:tcPr>
          <w:p w14:paraId="72523352" w14:textId="0883678D"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Ethanol</w:t>
            </w:r>
          </w:p>
        </w:tc>
        <w:tc>
          <w:tcPr>
            <w:tcW w:w="2821" w:type="dxa"/>
            <w:noWrap/>
            <w:vAlign w:val="center"/>
          </w:tcPr>
          <w:p w14:paraId="5687C4B4" w14:textId="081D7C52"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w:t>
            </w:r>
            <w:r w:rsidRPr="000855B2">
              <w:rPr>
                <w:rFonts w:cs="Open Sans"/>
                <w:sz w:val="16"/>
                <w:szCs w:val="18"/>
                <w:vertAlign w:val="subscript"/>
                <w:lang w:val="en-GB"/>
              </w:rPr>
              <w:t>2</w:t>
            </w:r>
            <w:r w:rsidRPr="000855B2">
              <w:rPr>
                <w:rFonts w:cs="Open Sans"/>
                <w:sz w:val="16"/>
                <w:szCs w:val="18"/>
                <w:lang w:val="en-GB"/>
              </w:rPr>
              <w:t>H</w:t>
            </w:r>
            <w:r w:rsidRPr="000855B2">
              <w:rPr>
                <w:rFonts w:cs="Open Sans"/>
                <w:sz w:val="16"/>
                <w:szCs w:val="18"/>
                <w:vertAlign w:val="subscript"/>
                <w:lang w:val="en-GB"/>
              </w:rPr>
              <w:t>5</w:t>
            </w:r>
            <w:r w:rsidRPr="000855B2">
              <w:rPr>
                <w:rFonts w:cs="Open Sans"/>
                <w:sz w:val="16"/>
                <w:szCs w:val="18"/>
                <w:lang w:val="en-GB"/>
              </w:rPr>
              <w:t>OH</w:t>
            </w:r>
          </w:p>
        </w:tc>
        <w:tc>
          <w:tcPr>
            <w:tcW w:w="2064" w:type="dxa"/>
            <w:noWrap/>
            <w:vAlign w:val="center"/>
          </w:tcPr>
          <w:p w14:paraId="3192073B" w14:textId="537EE3F0"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3.00</w:t>
            </w:r>
          </w:p>
        </w:tc>
        <w:tc>
          <w:tcPr>
            <w:tcW w:w="2064" w:type="dxa"/>
            <w:noWrap/>
            <w:vAlign w:val="center"/>
          </w:tcPr>
          <w:p w14:paraId="4A2C341B" w14:textId="5737617C"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0.5</w:t>
            </w:r>
          </w:p>
        </w:tc>
      </w:tr>
      <w:tr w:rsidR="00E35DBC" w:rsidRPr="000855B2" w14:paraId="5B792F89" w14:textId="77777777" w:rsidTr="00584197">
        <w:trPr>
          <w:cantSplit/>
          <w:trHeight w:val="300"/>
        </w:trPr>
        <w:tc>
          <w:tcPr>
            <w:tcW w:w="1482" w:type="dxa"/>
            <w:noWrap/>
            <w:vAlign w:val="center"/>
          </w:tcPr>
          <w:p w14:paraId="797E1887" w14:textId="5EC91552"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E5</w:t>
            </w:r>
            <w:r>
              <w:rPr>
                <w:rFonts w:cs="Open Sans"/>
                <w:sz w:val="16"/>
                <w:szCs w:val="18"/>
                <w:lang w:val="en-GB"/>
              </w:rPr>
              <w:t xml:space="preserve"> (REF)</w:t>
            </w:r>
          </w:p>
        </w:tc>
        <w:tc>
          <w:tcPr>
            <w:tcW w:w="2821" w:type="dxa"/>
            <w:noWrap/>
            <w:vAlign w:val="center"/>
          </w:tcPr>
          <w:p w14:paraId="757FE47B" w14:textId="6343DA35"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466D4330" w14:textId="39FD6518"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1.8</w:t>
            </w:r>
            <w:r>
              <w:rPr>
                <w:rFonts w:cs="Open Sans"/>
                <w:sz w:val="16"/>
                <w:szCs w:val="18"/>
                <w:lang w:val="en-GB"/>
              </w:rPr>
              <w:t>9</w:t>
            </w:r>
          </w:p>
        </w:tc>
        <w:tc>
          <w:tcPr>
            <w:tcW w:w="2064" w:type="dxa"/>
            <w:noWrap/>
            <w:vAlign w:val="center"/>
          </w:tcPr>
          <w:p w14:paraId="68B74FB1" w14:textId="54DB15A9"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r>
              <w:rPr>
                <w:rFonts w:cs="Open Sans"/>
                <w:sz w:val="16"/>
                <w:szCs w:val="18"/>
                <w:lang w:val="en-GB"/>
              </w:rPr>
              <w:t>16</w:t>
            </w:r>
          </w:p>
        </w:tc>
      </w:tr>
      <w:tr w:rsidR="00E35DBC" w:rsidRPr="000855B2" w14:paraId="4C5E2AE0" w14:textId="77777777" w:rsidTr="00584197">
        <w:trPr>
          <w:cantSplit/>
          <w:trHeight w:val="300"/>
        </w:trPr>
        <w:tc>
          <w:tcPr>
            <w:tcW w:w="1482" w:type="dxa"/>
            <w:noWrap/>
            <w:vAlign w:val="center"/>
          </w:tcPr>
          <w:p w14:paraId="53218CBC" w14:textId="2AD374BB"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E10</w:t>
            </w:r>
            <w:r>
              <w:rPr>
                <w:rFonts w:cs="Open Sans"/>
                <w:sz w:val="16"/>
                <w:szCs w:val="18"/>
                <w:lang w:val="en-GB"/>
              </w:rPr>
              <w:t xml:space="preserve"> (REF)</w:t>
            </w:r>
          </w:p>
        </w:tc>
        <w:tc>
          <w:tcPr>
            <w:tcW w:w="2821" w:type="dxa"/>
            <w:noWrap/>
            <w:vAlign w:val="center"/>
          </w:tcPr>
          <w:p w14:paraId="4920ECB3" w14:textId="0D31F6E3"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0F257828" w14:textId="364D8C24"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1.9</w:t>
            </w:r>
            <w:r>
              <w:rPr>
                <w:rFonts w:cs="Open Sans"/>
                <w:sz w:val="16"/>
                <w:szCs w:val="18"/>
                <w:lang w:val="en-GB"/>
              </w:rPr>
              <w:t>3</w:t>
            </w:r>
          </w:p>
        </w:tc>
        <w:tc>
          <w:tcPr>
            <w:tcW w:w="2064" w:type="dxa"/>
            <w:noWrap/>
            <w:vAlign w:val="center"/>
          </w:tcPr>
          <w:p w14:paraId="2B7F43F0" w14:textId="7D5D59E0"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r>
              <w:rPr>
                <w:rFonts w:cs="Open Sans"/>
                <w:sz w:val="16"/>
                <w:szCs w:val="18"/>
                <w:lang w:val="en-GB"/>
              </w:rPr>
              <w:t>33</w:t>
            </w:r>
          </w:p>
        </w:tc>
      </w:tr>
      <w:tr w:rsidR="00E35DBC" w:rsidRPr="000855B2" w14:paraId="70DC15ED" w14:textId="77777777" w:rsidTr="00584197">
        <w:trPr>
          <w:cantSplit/>
          <w:trHeight w:val="300"/>
        </w:trPr>
        <w:tc>
          <w:tcPr>
            <w:tcW w:w="1482" w:type="dxa"/>
            <w:noWrap/>
            <w:vAlign w:val="center"/>
          </w:tcPr>
          <w:p w14:paraId="539FA14D" w14:textId="24B32C2B" w:rsidR="00E35DBC" w:rsidRPr="000855B2" w:rsidRDefault="00E35DBC" w:rsidP="00E35DBC">
            <w:pPr>
              <w:spacing w:line="240" w:lineRule="atLeast"/>
              <w:jc w:val="left"/>
              <w:rPr>
                <w:rFonts w:cs="Open Sans"/>
                <w:sz w:val="16"/>
                <w:szCs w:val="18"/>
                <w:lang w:val="en-GB"/>
              </w:rPr>
            </w:pPr>
            <w:r>
              <w:rPr>
                <w:rFonts w:cs="Open Sans"/>
                <w:sz w:val="16"/>
                <w:szCs w:val="18"/>
                <w:lang w:val="en-GB"/>
              </w:rPr>
              <w:t>E75 (REF)</w:t>
            </w:r>
          </w:p>
        </w:tc>
        <w:tc>
          <w:tcPr>
            <w:tcW w:w="2821" w:type="dxa"/>
            <w:noWrap/>
            <w:vAlign w:val="center"/>
          </w:tcPr>
          <w:p w14:paraId="2DFBDD37" w14:textId="08B2279F"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32626371" w14:textId="566E3723" w:rsidR="00E35DBC" w:rsidRPr="000855B2" w:rsidRDefault="00E35DBC" w:rsidP="00E35DBC">
            <w:pPr>
              <w:spacing w:line="240" w:lineRule="atLeast"/>
              <w:jc w:val="center"/>
              <w:rPr>
                <w:rFonts w:cs="Open Sans"/>
                <w:sz w:val="16"/>
                <w:szCs w:val="18"/>
                <w:lang w:val="en-GB"/>
              </w:rPr>
            </w:pPr>
            <w:r>
              <w:rPr>
                <w:rFonts w:cs="Open Sans"/>
                <w:sz w:val="16"/>
                <w:szCs w:val="18"/>
                <w:lang w:val="en-GB"/>
              </w:rPr>
              <w:t>2.61</w:t>
            </w:r>
          </w:p>
        </w:tc>
        <w:tc>
          <w:tcPr>
            <w:tcW w:w="2064" w:type="dxa"/>
            <w:noWrap/>
            <w:vAlign w:val="center"/>
          </w:tcPr>
          <w:p w14:paraId="038DC570" w14:textId="679C3B66"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w:t>
            </w:r>
            <w:r>
              <w:rPr>
                <w:rFonts w:cs="Open Sans"/>
                <w:sz w:val="16"/>
                <w:szCs w:val="18"/>
                <w:lang w:val="en-GB"/>
              </w:rPr>
              <w:t>329</w:t>
            </w:r>
          </w:p>
        </w:tc>
      </w:tr>
      <w:tr w:rsidR="00E35DBC" w:rsidRPr="000855B2" w14:paraId="2959A0E3" w14:textId="77777777" w:rsidTr="00584197">
        <w:trPr>
          <w:cantSplit/>
          <w:trHeight w:val="300"/>
        </w:trPr>
        <w:tc>
          <w:tcPr>
            <w:tcW w:w="1482" w:type="dxa"/>
            <w:noWrap/>
            <w:vAlign w:val="center"/>
          </w:tcPr>
          <w:p w14:paraId="464226CC" w14:textId="59D1D729"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E85</w:t>
            </w:r>
            <w:r>
              <w:rPr>
                <w:rFonts w:cs="Open Sans"/>
                <w:sz w:val="16"/>
                <w:szCs w:val="18"/>
                <w:lang w:val="en-GB"/>
              </w:rPr>
              <w:t xml:space="preserve"> (REF)</w:t>
            </w:r>
          </w:p>
        </w:tc>
        <w:tc>
          <w:tcPr>
            <w:tcW w:w="2821" w:type="dxa"/>
            <w:noWrap/>
            <w:vAlign w:val="center"/>
          </w:tcPr>
          <w:p w14:paraId="72D74A21" w14:textId="62382BDD"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4843D504" w14:textId="7CB4A705"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w:t>
            </w:r>
            <w:r>
              <w:rPr>
                <w:rFonts w:cs="Open Sans"/>
                <w:sz w:val="16"/>
                <w:szCs w:val="18"/>
                <w:lang w:val="en-GB"/>
              </w:rPr>
              <w:t>74</w:t>
            </w:r>
          </w:p>
        </w:tc>
        <w:tc>
          <w:tcPr>
            <w:tcW w:w="2064" w:type="dxa"/>
            <w:noWrap/>
            <w:vAlign w:val="center"/>
          </w:tcPr>
          <w:p w14:paraId="6D4FCC33" w14:textId="5C078CA1"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w:t>
            </w:r>
            <w:r>
              <w:rPr>
                <w:rFonts w:cs="Open Sans"/>
                <w:sz w:val="16"/>
                <w:szCs w:val="18"/>
                <w:lang w:val="en-GB"/>
              </w:rPr>
              <w:t>385</w:t>
            </w:r>
          </w:p>
        </w:tc>
      </w:tr>
      <w:tr w:rsidR="00E35DBC" w:rsidRPr="000855B2" w14:paraId="75F8D9A0" w14:textId="77777777" w:rsidTr="00584197">
        <w:trPr>
          <w:cantSplit/>
          <w:trHeight w:val="300"/>
        </w:trPr>
        <w:tc>
          <w:tcPr>
            <w:tcW w:w="1482" w:type="dxa"/>
            <w:noWrap/>
            <w:vAlign w:val="center"/>
          </w:tcPr>
          <w:p w14:paraId="6F3B75FD" w14:textId="3D0CC4C4" w:rsidR="00E35DBC" w:rsidRDefault="00E35DBC" w:rsidP="00E35DBC">
            <w:pPr>
              <w:spacing w:line="240" w:lineRule="atLeast"/>
              <w:jc w:val="left"/>
              <w:rPr>
                <w:rFonts w:cs="Open Sans"/>
                <w:sz w:val="16"/>
                <w:szCs w:val="18"/>
                <w:lang w:val="en-GB"/>
              </w:rPr>
            </w:pPr>
            <w:r>
              <w:rPr>
                <w:rFonts w:cs="Open Sans"/>
                <w:sz w:val="16"/>
                <w:szCs w:val="18"/>
                <w:lang w:val="en-GB"/>
              </w:rPr>
              <w:t>Biodiesel</w:t>
            </w:r>
          </w:p>
        </w:tc>
        <w:tc>
          <w:tcPr>
            <w:tcW w:w="2821" w:type="dxa"/>
            <w:noWrap/>
            <w:vAlign w:val="center"/>
          </w:tcPr>
          <w:p w14:paraId="572A4F3D" w14:textId="54787D78" w:rsidR="00E35DBC" w:rsidRPr="000855B2" w:rsidRDefault="00E35DBC" w:rsidP="00E35DBC">
            <w:pPr>
              <w:spacing w:line="240" w:lineRule="atLeast"/>
              <w:jc w:val="center"/>
              <w:rPr>
                <w:rFonts w:cs="Open Sans"/>
                <w:sz w:val="16"/>
                <w:szCs w:val="18"/>
                <w:lang w:val="en-GB"/>
              </w:rPr>
            </w:pPr>
            <w:r>
              <w:rPr>
                <w:rFonts w:cs="Open Sans"/>
                <w:sz w:val="16"/>
                <w:szCs w:val="18"/>
                <w:lang w:val="en-GB"/>
              </w:rPr>
              <w:t>[CH]</w:t>
            </w:r>
            <w:r w:rsidRPr="00B1041C">
              <w:rPr>
                <w:rFonts w:cs="Open Sans"/>
                <w:sz w:val="16"/>
                <w:szCs w:val="18"/>
                <w:vertAlign w:val="subscript"/>
                <w:lang w:val="en-GB"/>
              </w:rPr>
              <w:t>x</w:t>
            </w:r>
            <w:r>
              <w:rPr>
                <w:rFonts w:cs="Open Sans"/>
                <w:sz w:val="16"/>
                <w:szCs w:val="18"/>
                <w:lang w:val="en-GB"/>
              </w:rPr>
              <w:t>-COOH</w:t>
            </w:r>
          </w:p>
        </w:tc>
        <w:tc>
          <w:tcPr>
            <w:tcW w:w="2064" w:type="dxa"/>
            <w:noWrap/>
            <w:vAlign w:val="center"/>
          </w:tcPr>
          <w:p w14:paraId="0D2EB965" w14:textId="1666F0BE" w:rsidR="00E35DBC" w:rsidRPr="000855B2" w:rsidRDefault="00E35DBC" w:rsidP="00E35DBC">
            <w:pPr>
              <w:spacing w:line="240" w:lineRule="atLeast"/>
              <w:jc w:val="center"/>
              <w:rPr>
                <w:rFonts w:cs="Open Sans"/>
                <w:sz w:val="16"/>
                <w:szCs w:val="18"/>
                <w:lang w:val="en-GB"/>
              </w:rPr>
            </w:pPr>
            <w:r>
              <w:rPr>
                <w:rFonts w:cs="Open Sans"/>
                <w:sz w:val="16"/>
                <w:szCs w:val="18"/>
                <w:lang w:val="el-GR"/>
              </w:rPr>
              <w:t>1.95-2.03</w:t>
            </w:r>
          </w:p>
        </w:tc>
        <w:tc>
          <w:tcPr>
            <w:tcW w:w="2064" w:type="dxa"/>
            <w:noWrap/>
            <w:vAlign w:val="center"/>
          </w:tcPr>
          <w:p w14:paraId="548B1030" w14:textId="3FC41C73" w:rsidR="00E35DBC" w:rsidRPr="000855B2" w:rsidRDefault="00E35DBC" w:rsidP="00E35DBC">
            <w:pPr>
              <w:spacing w:line="240" w:lineRule="atLeast"/>
              <w:jc w:val="center"/>
              <w:rPr>
                <w:rFonts w:cs="Open Sans"/>
                <w:sz w:val="16"/>
                <w:szCs w:val="18"/>
                <w:lang w:val="en-GB"/>
              </w:rPr>
            </w:pPr>
            <w:r>
              <w:rPr>
                <w:rFonts w:cs="Open Sans"/>
                <w:sz w:val="16"/>
                <w:szCs w:val="18"/>
                <w:lang w:val="el-GR"/>
              </w:rPr>
              <w:t>0.11-0.13</w:t>
            </w:r>
          </w:p>
        </w:tc>
      </w:tr>
      <w:tr w:rsidR="00E35DBC" w:rsidRPr="000855B2" w14:paraId="41230547" w14:textId="77777777" w:rsidTr="00584197">
        <w:trPr>
          <w:cantSplit/>
          <w:trHeight w:val="300"/>
        </w:trPr>
        <w:tc>
          <w:tcPr>
            <w:tcW w:w="1482" w:type="dxa"/>
            <w:noWrap/>
            <w:vAlign w:val="center"/>
          </w:tcPr>
          <w:p w14:paraId="6E7DEEB7" w14:textId="2BD8A4EC" w:rsidR="00E35DBC" w:rsidRPr="000855B2" w:rsidRDefault="00E35DBC" w:rsidP="00E35DBC">
            <w:pPr>
              <w:spacing w:line="240" w:lineRule="atLeast"/>
              <w:jc w:val="left"/>
              <w:rPr>
                <w:rFonts w:cs="Open Sans"/>
                <w:sz w:val="16"/>
                <w:szCs w:val="18"/>
                <w:lang w:val="en-GB"/>
              </w:rPr>
            </w:pPr>
            <w:r>
              <w:rPr>
                <w:rFonts w:cs="Open Sans"/>
                <w:sz w:val="16"/>
                <w:szCs w:val="18"/>
                <w:lang w:val="en-GB"/>
              </w:rPr>
              <w:t>B7 (REF)</w:t>
            </w:r>
          </w:p>
        </w:tc>
        <w:tc>
          <w:tcPr>
            <w:tcW w:w="2821" w:type="dxa"/>
            <w:noWrap/>
            <w:vAlign w:val="center"/>
          </w:tcPr>
          <w:p w14:paraId="703BE2E8"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447CC502" w14:textId="313BC25C" w:rsidR="00E35DBC" w:rsidRPr="000855B2" w:rsidRDefault="00E35DBC" w:rsidP="00E35DBC">
            <w:pPr>
              <w:spacing w:line="240" w:lineRule="atLeast"/>
              <w:jc w:val="center"/>
              <w:rPr>
                <w:rFonts w:cs="Open Sans"/>
                <w:sz w:val="16"/>
                <w:szCs w:val="18"/>
                <w:lang w:val="en-GB"/>
              </w:rPr>
            </w:pPr>
            <w:r>
              <w:rPr>
                <w:rFonts w:cs="Open Sans"/>
                <w:sz w:val="16"/>
                <w:szCs w:val="18"/>
                <w:lang w:val="el-GR"/>
              </w:rPr>
              <w:t>1.86</w:t>
            </w:r>
          </w:p>
        </w:tc>
        <w:tc>
          <w:tcPr>
            <w:tcW w:w="2064" w:type="dxa"/>
            <w:noWrap/>
            <w:vAlign w:val="center"/>
          </w:tcPr>
          <w:p w14:paraId="019EB8C5" w14:textId="5C9C07FB" w:rsidR="00E35DBC" w:rsidRPr="000855B2" w:rsidRDefault="00E35DBC" w:rsidP="00E35DBC">
            <w:pPr>
              <w:spacing w:line="240" w:lineRule="atLeast"/>
              <w:jc w:val="center"/>
              <w:rPr>
                <w:rFonts w:cs="Open Sans"/>
                <w:sz w:val="16"/>
                <w:szCs w:val="18"/>
                <w:lang w:val="en-GB"/>
              </w:rPr>
            </w:pPr>
            <w:r>
              <w:rPr>
                <w:rFonts w:cs="Open Sans"/>
                <w:sz w:val="16"/>
                <w:szCs w:val="18"/>
                <w:lang w:val="el-GR"/>
              </w:rPr>
              <w:t>0.007</w:t>
            </w:r>
          </w:p>
        </w:tc>
      </w:tr>
      <w:tr w:rsidR="00E35DBC" w:rsidRPr="000855B2" w14:paraId="4BFC20CA" w14:textId="77777777" w:rsidTr="00584197">
        <w:trPr>
          <w:cantSplit/>
          <w:trHeight w:val="300"/>
        </w:trPr>
        <w:tc>
          <w:tcPr>
            <w:tcW w:w="1482" w:type="dxa"/>
            <w:noWrap/>
            <w:vAlign w:val="center"/>
          </w:tcPr>
          <w:p w14:paraId="778E58F8" w14:textId="1BE18489" w:rsidR="00E35DBC" w:rsidRPr="000855B2" w:rsidRDefault="00E35DBC" w:rsidP="00E35DBC">
            <w:pPr>
              <w:spacing w:line="240" w:lineRule="atLeast"/>
              <w:jc w:val="left"/>
              <w:rPr>
                <w:rFonts w:cs="Open Sans"/>
                <w:sz w:val="16"/>
                <w:szCs w:val="18"/>
                <w:lang w:val="en-GB"/>
              </w:rPr>
            </w:pPr>
            <w:r>
              <w:rPr>
                <w:rFonts w:cs="Open Sans"/>
                <w:sz w:val="16"/>
                <w:szCs w:val="18"/>
                <w:lang w:val="en-GB"/>
              </w:rPr>
              <w:t>B10</w:t>
            </w:r>
          </w:p>
        </w:tc>
        <w:tc>
          <w:tcPr>
            <w:tcW w:w="2821" w:type="dxa"/>
            <w:noWrap/>
            <w:vAlign w:val="center"/>
          </w:tcPr>
          <w:p w14:paraId="2AF82824"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0D28C546" w14:textId="35A62C53" w:rsidR="00E35DBC" w:rsidRPr="000855B2" w:rsidRDefault="00E35DBC" w:rsidP="00E35DBC">
            <w:pPr>
              <w:spacing w:line="240" w:lineRule="atLeast"/>
              <w:jc w:val="center"/>
              <w:rPr>
                <w:rFonts w:cs="Open Sans"/>
                <w:sz w:val="16"/>
                <w:szCs w:val="18"/>
                <w:lang w:val="en-GB"/>
              </w:rPr>
            </w:pPr>
            <w:r>
              <w:rPr>
                <w:rFonts w:cs="Open Sans"/>
                <w:sz w:val="16"/>
                <w:szCs w:val="18"/>
                <w:lang w:val="en-US"/>
              </w:rPr>
              <w:t>1.86</w:t>
            </w:r>
          </w:p>
        </w:tc>
        <w:tc>
          <w:tcPr>
            <w:tcW w:w="2064" w:type="dxa"/>
            <w:noWrap/>
            <w:vAlign w:val="center"/>
          </w:tcPr>
          <w:p w14:paraId="7024B9E3" w14:textId="42FF3A9A" w:rsidR="00E35DBC" w:rsidRPr="000855B2" w:rsidRDefault="00E35DBC" w:rsidP="00E35DBC">
            <w:pPr>
              <w:spacing w:line="240" w:lineRule="atLeast"/>
              <w:jc w:val="center"/>
              <w:rPr>
                <w:rFonts w:cs="Open Sans"/>
                <w:sz w:val="16"/>
                <w:szCs w:val="18"/>
                <w:lang w:val="en-GB"/>
              </w:rPr>
            </w:pPr>
            <w:r>
              <w:rPr>
                <w:rFonts w:cs="Open Sans"/>
                <w:sz w:val="16"/>
                <w:szCs w:val="18"/>
                <w:lang w:val="el-GR"/>
              </w:rPr>
              <w:t>0.010</w:t>
            </w:r>
          </w:p>
        </w:tc>
      </w:tr>
      <w:tr w:rsidR="00E35DBC" w:rsidRPr="000855B2" w14:paraId="2F72FEBF" w14:textId="77777777" w:rsidTr="00584197">
        <w:trPr>
          <w:cantSplit/>
          <w:trHeight w:val="300"/>
        </w:trPr>
        <w:tc>
          <w:tcPr>
            <w:tcW w:w="1482" w:type="dxa"/>
            <w:noWrap/>
            <w:vAlign w:val="center"/>
          </w:tcPr>
          <w:p w14:paraId="2282D1CE" w14:textId="1BA227ED" w:rsidR="00E35DBC" w:rsidRPr="000855B2" w:rsidRDefault="00E35DBC" w:rsidP="00E35DBC">
            <w:pPr>
              <w:spacing w:line="240" w:lineRule="atLeast"/>
              <w:jc w:val="left"/>
              <w:rPr>
                <w:rFonts w:cs="Open Sans"/>
                <w:sz w:val="16"/>
                <w:szCs w:val="18"/>
                <w:lang w:val="en-GB"/>
              </w:rPr>
            </w:pPr>
            <w:r>
              <w:rPr>
                <w:rFonts w:cs="Open Sans"/>
                <w:sz w:val="16"/>
                <w:szCs w:val="18"/>
                <w:lang w:val="en-GB"/>
              </w:rPr>
              <w:t>B20</w:t>
            </w:r>
          </w:p>
        </w:tc>
        <w:tc>
          <w:tcPr>
            <w:tcW w:w="2821" w:type="dxa"/>
            <w:noWrap/>
            <w:vAlign w:val="center"/>
          </w:tcPr>
          <w:p w14:paraId="0FB79F4F"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12675A84" w14:textId="36E26ABE" w:rsidR="00E35DBC" w:rsidRPr="000855B2" w:rsidRDefault="00E35DBC" w:rsidP="00E35DBC">
            <w:pPr>
              <w:spacing w:line="240" w:lineRule="atLeast"/>
              <w:jc w:val="center"/>
              <w:rPr>
                <w:rFonts w:cs="Open Sans"/>
                <w:sz w:val="16"/>
                <w:szCs w:val="18"/>
                <w:lang w:val="en-GB"/>
              </w:rPr>
            </w:pPr>
            <w:r>
              <w:rPr>
                <w:rFonts w:cs="Open Sans"/>
                <w:sz w:val="16"/>
                <w:szCs w:val="18"/>
                <w:lang w:val="en-US"/>
              </w:rPr>
              <w:t>1.87</w:t>
            </w:r>
          </w:p>
        </w:tc>
        <w:tc>
          <w:tcPr>
            <w:tcW w:w="2064" w:type="dxa"/>
            <w:noWrap/>
            <w:vAlign w:val="center"/>
          </w:tcPr>
          <w:p w14:paraId="22083200" w14:textId="2725C4FB" w:rsidR="00E35DBC" w:rsidRPr="000855B2" w:rsidRDefault="00E35DBC" w:rsidP="00E35DBC">
            <w:pPr>
              <w:spacing w:line="240" w:lineRule="atLeast"/>
              <w:jc w:val="center"/>
              <w:rPr>
                <w:rFonts w:cs="Open Sans"/>
                <w:sz w:val="16"/>
                <w:szCs w:val="18"/>
                <w:lang w:val="en-GB"/>
              </w:rPr>
            </w:pPr>
            <w:r>
              <w:rPr>
                <w:rFonts w:cs="Open Sans"/>
                <w:sz w:val="16"/>
                <w:szCs w:val="18"/>
                <w:lang w:val="el-GR"/>
              </w:rPr>
              <w:t>0.</w:t>
            </w:r>
            <w:r>
              <w:rPr>
                <w:rFonts w:cs="Open Sans"/>
                <w:sz w:val="16"/>
                <w:szCs w:val="18"/>
                <w:lang w:val="en-US"/>
              </w:rPr>
              <w:t>0</w:t>
            </w:r>
            <w:r>
              <w:rPr>
                <w:rFonts w:cs="Open Sans"/>
                <w:sz w:val="16"/>
                <w:szCs w:val="18"/>
                <w:lang w:val="el-GR"/>
              </w:rPr>
              <w:t>20</w:t>
            </w:r>
          </w:p>
        </w:tc>
      </w:tr>
      <w:tr w:rsidR="00E35DBC" w:rsidRPr="000855B2" w14:paraId="39A0A17C" w14:textId="77777777" w:rsidTr="00584197">
        <w:trPr>
          <w:cantSplit/>
          <w:trHeight w:val="300"/>
        </w:trPr>
        <w:tc>
          <w:tcPr>
            <w:tcW w:w="1482" w:type="dxa"/>
            <w:noWrap/>
            <w:vAlign w:val="center"/>
          </w:tcPr>
          <w:p w14:paraId="69A3A992" w14:textId="50432692" w:rsidR="00E35DBC" w:rsidRPr="000855B2" w:rsidRDefault="00E35DBC" w:rsidP="00E35DBC">
            <w:pPr>
              <w:spacing w:line="240" w:lineRule="atLeast"/>
              <w:jc w:val="left"/>
              <w:rPr>
                <w:rFonts w:cs="Open Sans"/>
                <w:sz w:val="16"/>
                <w:szCs w:val="18"/>
                <w:lang w:val="en-GB"/>
              </w:rPr>
            </w:pPr>
            <w:r>
              <w:rPr>
                <w:rFonts w:cs="Open Sans"/>
                <w:sz w:val="16"/>
                <w:szCs w:val="18"/>
                <w:lang w:val="en-GB"/>
              </w:rPr>
              <w:t>B30</w:t>
            </w:r>
          </w:p>
        </w:tc>
        <w:tc>
          <w:tcPr>
            <w:tcW w:w="2821" w:type="dxa"/>
            <w:noWrap/>
            <w:vAlign w:val="center"/>
          </w:tcPr>
          <w:p w14:paraId="46AD2B1E" w14:textId="77777777" w:rsidR="00E35DBC" w:rsidRPr="000855B2" w:rsidRDefault="00E35DBC" w:rsidP="00E35DBC">
            <w:pPr>
              <w:spacing w:line="240" w:lineRule="atLeast"/>
              <w:jc w:val="center"/>
              <w:rPr>
                <w:rFonts w:cs="Open Sans"/>
                <w:sz w:val="16"/>
                <w:szCs w:val="18"/>
                <w:lang w:val="en-GB"/>
              </w:rPr>
            </w:pPr>
          </w:p>
        </w:tc>
        <w:tc>
          <w:tcPr>
            <w:tcW w:w="2064" w:type="dxa"/>
            <w:noWrap/>
            <w:vAlign w:val="center"/>
          </w:tcPr>
          <w:p w14:paraId="7C5BF902" w14:textId="3B2BA101" w:rsidR="00E35DBC" w:rsidRPr="000855B2" w:rsidRDefault="00E35DBC" w:rsidP="00E35DBC">
            <w:pPr>
              <w:spacing w:line="240" w:lineRule="atLeast"/>
              <w:jc w:val="center"/>
              <w:rPr>
                <w:rFonts w:cs="Open Sans"/>
                <w:sz w:val="16"/>
                <w:szCs w:val="18"/>
                <w:lang w:val="en-GB"/>
              </w:rPr>
            </w:pPr>
            <w:r>
              <w:rPr>
                <w:rFonts w:cs="Open Sans"/>
                <w:sz w:val="16"/>
                <w:szCs w:val="18"/>
                <w:lang w:val="en-US"/>
              </w:rPr>
              <w:t>1.88</w:t>
            </w:r>
          </w:p>
        </w:tc>
        <w:tc>
          <w:tcPr>
            <w:tcW w:w="2064" w:type="dxa"/>
            <w:noWrap/>
            <w:vAlign w:val="center"/>
          </w:tcPr>
          <w:p w14:paraId="6F6CBD22" w14:textId="13CC87C5" w:rsidR="00E35DBC" w:rsidRPr="000855B2" w:rsidRDefault="00E35DBC" w:rsidP="00E35DBC">
            <w:pPr>
              <w:spacing w:line="240" w:lineRule="atLeast"/>
              <w:jc w:val="center"/>
              <w:rPr>
                <w:rFonts w:cs="Open Sans"/>
                <w:sz w:val="16"/>
                <w:szCs w:val="18"/>
                <w:lang w:val="en-GB"/>
              </w:rPr>
            </w:pPr>
            <w:r>
              <w:rPr>
                <w:rFonts w:cs="Open Sans"/>
                <w:sz w:val="16"/>
                <w:szCs w:val="18"/>
                <w:lang w:val="el-GR"/>
              </w:rPr>
              <w:t>0.030</w:t>
            </w:r>
          </w:p>
        </w:tc>
      </w:tr>
      <w:tr w:rsidR="00E35DBC" w:rsidRPr="000855B2" w14:paraId="1F9F75EE" w14:textId="77777777" w:rsidTr="00584197">
        <w:trPr>
          <w:cantSplit/>
          <w:trHeight w:val="300"/>
        </w:trPr>
        <w:tc>
          <w:tcPr>
            <w:tcW w:w="1482" w:type="dxa"/>
            <w:noWrap/>
            <w:vAlign w:val="center"/>
          </w:tcPr>
          <w:p w14:paraId="22444FEA" w14:textId="0466914A"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ETBE</w:t>
            </w:r>
          </w:p>
        </w:tc>
        <w:tc>
          <w:tcPr>
            <w:tcW w:w="2821" w:type="dxa"/>
            <w:noWrap/>
            <w:vAlign w:val="center"/>
          </w:tcPr>
          <w:p w14:paraId="31BA851F" w14:textId="57BD112E"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w:t>
            </w:r>
            <w:r w:rsidRPr="000855B2">
              <w:rPr>
                <w:rFonts w:cs="Open Sans"/>
                <w:sz w:val="16"/>
                <w:szCs w:val="18"/>
                <w:vertAlign w:val="subscript"/>
                <w:lang w:val="en-GB"/>
              </w:rPr>
              <w:t>6</w:t>
            </w:r>
            <w:r w:rsidRPr="000855B2">
              <w:rPr>
                <w:rFonts w:cs="Open Sans"/>
                <w:sz w:val="16"/>
                <w:szCs w:val="18"/>
                <w:lang w:val="en-GB"/>
              </w:rPr>
              <w:t>H</w:t>
            </w:r>
            <w:r w:rsidRPr="000855B2">
              <w:rPr>
                <w:rFonts w:cs="Open Sans"/>
                <w:sz w:val="16"/>
                <w:szCs w:val="18"/>
                <w:vertAlign w:val="subscript"/>
                <w:lang w:val="en-GB"/>
              </w:rPr>
              <w:t>14</w:t>
            </w:r>
            <w:r w:rsidRPr="000855B2">
              <w:rPr>
                <w:rFonts w:cs="Open Sans"/>
                <w:sz w:val="16"/>
                <w:szCs w:val="18"/>
                <w:lang w:val="en-GB"/>
              </w:rPr>
              <w:t>O</w:t>
            </w:r>
          </w:p>
        </w:tc>
        <w:tc>
          <w:tcPr>
            <w:tcW w:w="2064" w:type="dxa"/>
            <w:noWrap/>
            <w:vAlign w:val="center"/>
          </w:tcPr>
          <w:p w14:paraId="5B91CA2E" w14:textId="06F7581B"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2.33</w:t>
            </w:r>
          </w:p>
        </w:tc>
        <w:tc>
          <w:tcPr>
            <w:tcW w:w="2064" w:type="dxa"/>
            <w:noWrap/>
            <w:vAlign w:val="center"/>
          </w:tcPr>
          <w:p w14:paraId="03063157" w14:textId="2987F39F"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0.17</w:t>
            </w:r>
          </w:p>
        </w:tc>
      </w:tr>
      <w:tr w:rsidR="00E35DBC" w:rsidRPr="000855B2" w14:paraId="5DCC2DDD" w14:textId="77777777" w:rsidTr="00584197">
        <w:trPr>
          <w:cantSplit/>
          <w:trHeight w:val="300"/>
        </w:trPr>
        <w:tc>
          <w:tcPr>
            <w:tcW w:w="1482" w:type="dxa"/>
            <w:noWrap/>
            <w:vAlign w:val="center"/>
          </w:tcPr>
          <w:p w14:paraId="437BDC18" w14:textId="30830708"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Methanol</w:t>
            </w:r>
          </w:p>
        </w:tc>
        <w:tc>
          <w:tcPr>
            <w:tcW w:w="2821" w:type="dxa"/>
            <w:noWrap/>
            <w:vAlign w:val="center"/>
          </w:tcPr>
          <w:p w14:paraId="01B74AC8" w14:textId="102B96AB"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CH</w:t>
            </w:r>
            <w:r w:rsidRPr="000855B2">
              <w:rPr>
                <w:rFonts w:cs="Open Sans"/>
                <w:sz w:val="16"/>
                <w:szCs w:val="18"/>
                <w:vertAlign w:val="subscript"/>
                <w:lang w:val="en-GB"/>
              </w:rPr>
              <w:t>3</w:t>
            </w:r>
            <w:r w:rsidRPr="000855B2">
              <w:rPr>
                <w:rFonts w:cs="Open Sans"/>
                <w:sz w:val="16"/>
                <w:szCs w:val="18"/>
                <w:lang w:val="en-GB"/>
              </w:rPr>
              <w:t>OH</w:t>
            </w:r>
          </w:p>
        </w:tc>
        <w:tc>
          <w:tcPr>
            <w:tcW w:w="2064" w:type="dxa"/>
            <w:noWrap/>
            <w:vAlign w:val="center"/>
          </w:tcPr>
          <w:p w14:paraId="6FBC87C3" w14:textId="712DB9B3"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4</w:t>
            </w:r>
            <w:r>
              <w:rPr>
                <w:rFonts w:cs="Open Sans"/>
                <w:sz w:val="16"/>
                <w:szCs w:val="18"/>
                <w:lang w:val="el-GR"/>
              </w:rPr>
              <w:t>.00</w:t>
            </w:r>
          </w:p>
        </w:tc>
        <w:tc>
          <w:tcPr>
            <w:tcW w:w="2064" w:type="dxa"/>
            <w:noWrap/>
            <w:vAlign w:val="center"/>
          </w:tcPr>
          <w:p w14:paraId="2EB12B05" w14:textId="084C0652"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1</w:t>
            </w:r>
            <w:r>
              <w:rPr>
                <w:rFonts w:cs="Open Sans"/>
                <w:sz w:val="16"/>
                <w:szCs w:val="18"/>
                <w:lang w:val="el-GR"/>
              </w:rPr>
              <w:t>.00</w:t>
            </w:r>
          </w:p>
        </w:tc>
      </w:tr>
      <w:tr w:rsidR="00E35DBC" w:rsidRPr="000855B2" w14:paraId="0BF88FE7" w14:textId="77777777" w:rsidTr="00584197">
        <w:trPr>
          <w:cantSplit/>
          <w:trHeight w:val="300"/>
        </w:trPr>
        <w:tc>
          <w:tcPr>
            <w:tcW w:w="1482" w:type="dxa"/>
            <w:noWrap/>
            <w:vAlign w:val="center"/>
          </w:tcPr>
          <w:p w14:paraId="7D086953" w14:textId="47AF4EAB"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MTBE</w:t>
            </w:r>
          </w:p>
        </w:tc>
        <w:tc>
          <w:tcPr>
            <w:tcW w:w="2821" w:type="dxa"/>
            <w:noWrap/>
            <w:vAlign w:val="center"/>
          </w:tcPr>
          <w:p w14:paraId="46BD8086" w14:textId="1710CE62"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C</w:t>
            </w:r>
            <w:r w:rsidRPr="000855B2">
              <w:rPr>
                <w:rFonts w:cs="Open Sans"/>
                <w:sz w:val="16"/>
                <w:szCs w:val="18"/>
                <w:vertAlign w:val="subscript"/>
                <w:lang w:val="en-GB"/>
              </w:rPr>
              <w:t>5</w:t>
            </w:r>
            <w:r w:rsidRPr="000855B2">
              <w:rPr>
                <w:rFonts w:cs="Open Sans"/>
                <w:sz w:val="16"/>
                <w:szCs w:val="18"/>
                <w:lang w:val="en-GB"/>
              </w:rPr>
              <w:t>H</w:t>
            </w:r>
            <w:r w:rsidRPr="000855B2">
              <w:rPr>
                <w:rFonts w:cs="Open Sans"/>
                <w:sz w:val="16"/>
                <w:szCs w:val="18"/>
                <w:vertAlign w:val="subscript"/>
                <w:lang w:val="en-GB"/>
              </w:rPr>
              <w:t>12</w:t>
            </w:r>
            <w:r w:rsidRPr="000855B2">
              <w:rPr>
                <w:rFonts w:cs="Open Sans"/>
                <w:sz w:val="16"/>
                <w:szCs w:val="18"/>
                <w:lang w:val="en-GB"/>
              </w:rPr>
              <w:t>O</w:t>
            </w:r>
          </w:p>
        </w:tc>
        <w:tc>
          <w:tcPr>
            <w:tcW w:w="2064" w:type="dxa"/>
            <w:noWrap/>
            <w:vAlign w:val="center"/>
          </w:tcPr>
          <w:p w14:paraId="6EF879C1" w14:textId="3EC81A3A"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2.4</w:t>
            </w:r>
            <w:r>
              <w:rPr>
                <w:rFonts w:cs="Open Sans"/>
                <w:sz w:val="16"/>
                <w:szCs w:val="18"/>
                <w:lang w:val="el-GR"/>
              </w:rPr>
              <w:t>0</w:t>
            </w:r>
          </w:p>
        </w:tc>
        <w:tc>
          <w:tcPr>
            <w:tcW w:w="2064" w:type="dxa"/>
            <w:noWrap/>
            <w:vAlign w:val="center"/>
          </w:tcPr>
          <w:p w14:paraId="4D63E297" w14:textId="0EF5DD87"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0.2</w:t>
            </w:r>
            <w:r>
              <w:rPr>
                <w:rFonts w:cs="Open Sans"/>
                <w:sz w:val="16"/>
                <w:szCs w:val="18"/>
                <w:lang w:val="el-GR"/>
              </w:rPr>
              <w:t>0</w:t>
            </w:r>
          </w:p>
        </w:tc>
      </w:tr>
      <w:tr w:rsidR="00E35DBC" w:rsidRPr="000855B2" w14:paraId="291B9BC9" w14:textId="77777777" w:rsidTr="00584197">
        <w:trPr>
          <w:cantSplit/>
          <w:trHeight w:val="300"/>
        </w:trPr>
        <w:tc>
          <w:tcPr>
            <w:tcW w:w="1482" w:type="dxa"/>
            <w:noWrap/>
            <w:vAlign w:val="center"/>
          </w:tcPr>
          <w:p w14:paraId="59B54A9D" w14:textId="0319D2E7"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Natural Gas</w:t>
            </w:r>
            <w:r>
              <w:rPr>
                <w:rFonts w:cs="Open Sans"/>
                <w:sz w:val="16"/>
                <w:szCs w:val="18"/>
                <w:lang w:val="en-GB"/>
              </w:rPr>
              <w:t xml:space="preserve"> / Biogas (REF)</w:t>
            </w:r>
          </w:p>
        </w:tc>
        <w:tc>
          <w:tcPr>
            <w:tcW w:w="2821" w:type="dxa"/>
            <w:noWrap/>
            <w:vAlign w:val="center"/>
          </w:tcPr>
          <w:p w14:paraId="1AFC3DA2" w14:textId="2CD6580F" w:rsidR="00E35DBC" w:rsidRPr="000855B2" w:rsidRDefault="00E35DBC" w:rsidP="00E35DBC">
            <w:pPr>
              <w:spacing w:line="240" w:lineRule="atLeast"/>
              <w:jc w:val="center"/>
              <w:rPr>
                <w:rFonts w:cs="Open Sans"/>
                <w:sz w:val="16"/>
                <w:szCs w:val="18"/>
                <w:lang w:val="en-GB"/>
              </w:rPr>
            </w:pPr>
            <w:r>
              <w:rPr>
                <w:rFonts w:cs="Open Sans"/>
                <w:sz w:val="16"/>
                <w:szCs w:val="18"/>
              </w:rPr>
              <w:t>CH</w:t>
            </w:r>
            <w:r>
              <w:rPr>
                <w:rFonts w:cs="Open Sans"/>
                <w:sz w:val="16"/>
                <w:szCs w:val="18"/>
                <w:vertAlign w:val="subscript"/>
              </w:rPr>
              <w:t>4</w:t>
            </w:r>
            <w:r>
              <w:rPr>
                <w:rFonts w:cs="Open Sans"/>
                <w:sz w:val="16"/>
                <w:szCs w:val="18"/>
              </w:rPr>
              <w:t>, market fuels also contain C</w:t>
            </w:r>
            <w:r>
              <w:rPr>
                <w:rFonts w:cs="Open Sans"/>
                <w:sz w:val="16"/>
                <w:szCs w:val="18"/>
                <w:vertAlign w:val="subscript"/>
              </w:rPr>
              <w:t>2</w:t>
            </w:r>
            <w:r>
              <w:rPr>
                <w:rFonts w:cs="Open Sans"/>
                <w:sz w:val="16"/>
                <w:szCs w:val="18"/>
              </w:rPr>
              <w:t>H</w:t>
            </w:r>
            <w:r>
              <w:rPr>
                <w:rFonts w:cs="Open Sans"/>
                <w:sz w:val="16"/>
                <w:szCs w:val="18"/>
                <w:vertAlign w:val="subscript"/>
              </w:rPr>
              <w:t>6</w:t>
            </w:r>
          </w:p>
        </w:tc>
        <w:tc>
          <w:tcPr>
            <w:tcW w:w="2064" w:type="dxa"/>
            <w:noWrap/>
            <w:vAlign w:val="center"/>
          </w:tcPr>
          <w:p w14:paraId="59D52619" w14:textId="4742846D" w:rsidR="00E35DBC" w:rsidRPr="000855B2" w:rsidRDefault="00E35DBC" w:rsidP="00E35DBC">
            <w:pPr>
              <w:spacing w:line="240" w:lineRule="atLeast"/>
              <w:jc w:val="center"/>
              <w:rPr>
                <w:rFonts w:cs="Open Sans"/>
                <w:sz w:val="16"/>
                <w:szCs w:val="18"/>
                <w:lang w:val="en-GB"/>
              </w:rPr>
            </w:pPr>
            <w:r>
              <w:rPr>
                <w:rFonts w:cs="Open Sans"/>
                <w:sz w:val="16"/>
                <w:szCs w:val="18"/>
                <w:lang w:val="en-GB"/>
              </w:rPr>
              <w:t>4.00</w:t>
            </w:r>
          </w:p>
        </w:tc>
        <w:tc>
          <w:tcPr>
            <w:tcW w:w="2064" w:type="dxa"/>
            <w:noWrap/>
            <w:vAlign w:val="center"/>
          </w:tcPr>
          <w:p w14:paraId="61237A67" w14:textId="56565ABA" w:rsidR="00E35DBC" w:rsidRPr="000855B2" w:rsidRDefault="00E35DBC" w:rsidP="00E35DBC">
            <w:pPr>
              <w:spacing w:line="240" w:lineRule="atLeast"/>
              <w:jc w:val="center"/>
              <w:rPr>
                <w:rFonts w:cs="Open Sans"/>
                <w:sz w:val="16"/>
                <w:szCs w:val="18"/>
                <w:lang w:val="en-GB"/>
              </w:rPr>
            </w:pPr>
            <w:r>
              <w:rPr>
                <w:rFonts w:cs="Open Sans"/>
                <w:sz w:val="16"/>
                <w:szCs w:val="18"/>
                <w:lang w:val="el-GR"/>
              </w:rPr>
              <w:t>0</w:t>
            </w:r>
            <w:r w:rsidRPr="000855B2">
              <w:rPr>
                <w:rFonts w:cs="Open Sans"/>
                <w:sz w:val="16"/>
                <w:szCs w:val="18"/>
                <w:lang w:val="en-GB"/>
              </w:rPr>
              <w:t>.0</w:t>
            </w:r>
            <w:r>
              <w:rPr>
                <w:rFonts w:cs="Open Sans"/>
                <w:sz w:val="16"/>
                <w:szCs w:val="18"/>
                <w:lang w:val="el-GR"/>
              </w:rPr>
              <w:t>0</w:t>
            </w:r>
          </w:p>
        </w:tc>
      </w:tr>
      <w:tr w:rsidR="00E35DBC" w:rsidRPr="000855B2" w14:paraId="5CF2CDB1" w14:textId="77777777" w:rsidTr="00584197">
        <w:trPr>
          <w:trHeight w:val="300"/>
        </w:trPr>
        <w:tc>
          <w:tcPr>
            <w:tcW w:w="1482" w:type="dxa"/>
            <w:noWrap/>
            <w:vAlign w:val="center"/>
          </w:tcPr>
          <w:p w14:paraId="3C8612C6" w14:textId="35B34046" w:rsidR="00E35DBC" w:rsidRPr="000855B2" w:rsidRDefault="00E35DBC" w:rsidP="00E35DBC">
            <w:pPr>
              <w:spacing w:line="240" w:lineRule="atLeast"/>
              <w:jc w:val="left"/>
              <w:rPr>
                <w:rFonts w:cs="Open Sans"/>
                <w:sz w:val="16"/>
                <w:szCs w:val="18"/>
                <w:lang w:val="en-GB"/>
              </w:rPr>
            </w:pPr>
            <w:r w:rsidRPr="000855B2">
              <w:rPr>
                <w:rFonts w:cs="Open Sans"/>
                <w:sz w:val="16"/>
                <w:szCs w:val="18"/>
                <w:lang w:val="en-GB"/>
              </w:rPr>
              <w:t>LPG</w:t>
            </w:r>
            <w:r>
              <w:rPr>
                <w:rFonts w:cs="Open Sans"/>
                <w:sz w:val="16"/>
                <w:szCs w:val="18"/>
                <w:lang w:val="en-GB"/>
              </w:rPr>
              <w:t xml:space="preserve"> (REF)</w:t>
            </w:r>
          </w:p>
        </w:tc>
        <w:tc>
          <w:tcPr>
            <w:tcW w:w="2821" w:type="dxa"/>
            <w:noWrap/>
            <w:vAlign w:val="center"/>
          </w:tcPr>
          <w:p w14:paraId="7E8B0247" w14:textId="26FDC052" w:rsidR="00E35DBC" w:rsidRPr="000855B2" w:rsidRDefault="00E35DBC" w:rsidP="00E35DBC">
            <w:pPr>
              <w:spacing w:line="240" w:lineRule="atLeast"/>
              <w:jc w:val="center"/>
              <w:rPr>
                <w:rFonts w:cs="Open Sans"/>
                <w:sz w:val="16"/>
                <w:szCs w:val="18"/>
                <w:lang w:val="en-GB"/>
              </w:rPr>
            </w:pPr>
            <w:r>
              <w:rPr>
                <w:rFonts w:cs="Open Sans"/>
                <w:sz w:val="16"/>
                <w:szCs w:val="18"/>
              </w:rPr>
              <w:t>C</w:t>
            </w:r>
            <w:r>
              <w:rPr>
                <w:rFonts w:cs="Open Sans"/>
                <w:sz w:val="16"/>
                <w:szCs w:val="18"/>
                <w:vertAlign w:val="subscript"/>
              </w:rPr>
              <w:t>3</w:t>
            </w:r>
            <w:r>
              <w:rPr>
                <w:rFonts w:cs="Open Sans"/>
                <w:sz w:val="16"/>
                <w:szCs w:val="18"/>
              </w:rPr>
              <w:t>H</w:t>
            </w:r>
            <w:r>
              <w:rPr>
                <w:rFonts w:cs="Open Sans"/>
                <w:sz w:val="16"/>
                <w:szCs w:val="18"/>
                <w:vertAlign w:val="subscript"/>
              </w:rPr>
              <w:t>8</w:t>
            </w:r>
            <w:r>
              <w:rPr>
                <w:rFonts w:cs="Open Sans"/>
                <w:sz w:val="16"/>
                <w:szCs w:val="18"/>
              </w:rPr>
              <w:t xml:space="preserve"> (15%)-C</w:t>
            </w:r>
            <w:r>
              <w:rPr>
                <w:rFonts w:cs="Open Sans"/>
                <w:sz w:val="16"/>
                <w:szCs w:val="18"/>
                <w:vertAlign w:val="subscript"/>
              </w:rPr>
              <w:t>4</w:t>
            </w:r>
            <w:r>
              <w:rPr>
                <w:rFonts w:cs="Open Sans"/>
                <w:sz w:val="16"/>
                <w:szCs w:val="18"/>
              </w:rPr>
              <w:t>H</w:t>
            </w:r>
            <w:r>
              <w:rPr>
                <w:rFonts w:cs="Open Sans"/>
                <w:sz w:val="16"/>
                <w:szCs w:val="18"/>
                <w:vertAlign w:val="subscript"/>
              </w:rPr>
              <w:t>10</w:t>
            </w:r>
            <w:r>
              <w:rPr>
                <w:rFonts w:cs="Open Sans"/>
                <w:sz w:val="16"/>
                <w:szCs w:val="18"/>
              </w:rPr>
              <w:t xml:space="preserve"> (85 %), market fuels may contain different proportions</w:t>
            </w:r>
          </w:p>
        </w:tc>
        <w:tc>
          <w:tcPr>
            <w:tcW w:w="2064" w:type="dxa"/>
            <w:noWrap/>
            <w:vAlign w:val="center"/>
          </w:tcPr>
          <w:p w14:paraId="35E36185" w14:textId="60E4DB22"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2.</w:t>
            </w:r>
            <w:r>
              <w:rPr>
                <w:rFonts w:cs="Open Sans"/>
                <w:sz w:val="16"/>
                <w:szCs w:val="18"/>
                <w:lang w:val="en-GB"/>
              </w:rPr>
              <w:t>525</w:t>
            </w:r>
          </w:p>
        </w:tc>
        <w:tc>
          <w:tcPr>
            <w:tcW w:w="2064" w:type="dxa"/>
            <w:noWrap/>
            <w:vAlign w:val="center"/>
          </w:tcPr>
          <w:p w14:paraId="6F20EB61" w14:textId="0E30C96F" w:rsidR="00E35DBC" w:rsidRPr="000855B2" w:rsidRDefault="00E35DBC" w:rsidP="00E35DBC">
            <w:pPr>
              <w:spacing w:line="240" w:lineRule="atLeast"/>
              <w:jc w:val="center"/>
              <w:rPr>
                <w:rFonts w:cs="Open Sans"/>
                <w:sz w:val="16"/>
                <w:szCs w:val="18"/>
                <w:lang w:val="en-GB"/>
              </w:rPr>
            </w:pPr>
            <w:r w:rsidRPr="000855B2">
              <w:rPr>
                <w:rFonts w:cs="Open Sans"/>
                <w:sz w:val="16"/>
                <w:szCs w:val="18"/>
                <w:lang w:val="en-GB"/>
              </w:rPr>
              <w:t>0.0</w:t>
            </w:r>
            <w:r>
              <w:rPr>
                <w:rFonts w:cs="Open Sans"/>
                <w:sz w:val="16"/>
                <w:szCs w:val="18"/>
                <w:lang w:val="el-GR"/>
              </w:rPr>
              <w:t>0</w:t>
            </w:r>
          </w:p>
        </w:tc>
      </w:tr>
    </w:tbl>
    <w:p w14:paraId="463F83D8" w14:textId="77777777" w:rsidR="00004C9A" w:rsidRPr="000855B2" w:rsidRDefault="001E5FF2" w:rsidP="00546C89">
      <w:pPr>
        <w:pStyle w:val="BodyText"/>
        <w:rPr>
          <w:u w:val="single"/>
        </w:rPr>
      </w:pPr>
      <w:r w:rsidRPr="000855B2">
        <w:t xml:space="preserve">E5 and E10 are widely available in Europe and can be used directly in petrol vehicles without any modifications to the engine. E85 is used in engines modified to accept higher </w:t>
      </w:r>
      <w:r w:rsidR="00126B2F" w:rsidRPr="000855B2">
        <w:t>content</w:t>
      </w:r>
      <w:r w:rsidRPr="000855B2">
        <w:t xml:space="preserve"> of ethanol. Such flexi-fuel vehicles (FFV) are designed to run on any mixture of </w:t>
      </w:r>
      <w:r w:rsidR="005E4DC4">
        <w:t>petrol</w:t>
      </w:r>
      <w:r w:rsidRPr="000855B2">
        <w:t xml:space="preserve"> or ethanol with up to 85% ethanol by volume. E85 is widely used in Sweden and also available in other European countries, e.g. Finland.</w:t>
      </w:r>
    </w:p>
    <w:p w14:paraId="0DB1C8A4" w14:textId="77777777" w:rsidR="00004C9A" w:rsidRPr="000855B2" w:rsidRDefault="00004C9A" w:rsidP="00004C9A">
      <w:pPr>
        <w:pStyle w:val="BodyText"/>
        <w:rPr>
          <w:u w:val="single"/>
        </w:rPr>
      </w:pPr>
      <w:r w:rsidRPr="000855B2">
        <w:rPr>
          <w:u w:val="single"/>
        </w:rPr>
        <w:t>CO</w:t>
      </w:r>
      <w:r w:rsidRPr="000855B2">
        <w:rPr>
          <w:u w:val="single"/>
          <w:vertAlign w:val="subscript"/>
        </w:rPr>
        <w:t>2</w:t>
      </w:r>
      <w:r w:rsidRPr="000855B2">
        <w:rPr>
          <w:u w:val="single"/>
        </w:rPr>
        <w:t xml:space="preserve"> due to lubricant oil</w:t>
      </w:r>
    </w:p>
    <w:p w14:paraId="786B06E1" w14:textId="77777777" w:rsidR="00126B2F" w:rsidRPr="000855B2" w:rsidRDefault="00D34621" w:rsidP="00546C89">
      <w:pPr>
        <w:pStyle w:val="BodyText"/>
      </w:pPr>
      <w:r w:rsidRPr="000855B2">
        <w:t>New and properly maint</w:t>
      </w:r>
      <w:r w:rsidR="00126B2F" w:rsidRPr="000855B2">
        <w:t xml:space="preserve">ained </w:t>
      </w:r>
      <w:r w:rsidRPr="000855B2">
        <w:t xml:space="preserve">vehicles normally consume </w:t>
      </w:r>
      <w:r w:rsidR="00126B2F" w:rsidRPr="000855B2">
        <w:t>small</w:t>
      </w:r>
      <w:r w:rsidR="00C25096" w:rsidRPr="000855B2">
        <w:t xml:space="preserve"> amounts of </w:t>
      </w:r>
      <w:r w:rsidRPr="000855B2">
        <w:t>lubrica</w:t>
      </w:r>
      <w:r w:rsidR="00126B2F" w:rsidRPr="000855B2">
        <w:t>tion</w:t>
      </w:r>
      <w:r w:rsidRPr="000855B2">
        <w:t xml:space="preserve"> oil</w:t>
      </w:r>
      <w:r w:rsidR="00126B2F" w:rsidRPr="000855B2">
        <w:t>, due to the oil film developed on the inner cylinder walls. This oil film is exposed to combustion and is burned along with the fuel</w:t>
      </w:r>
      <w:r w:rsidR="00C25096" w:rsidRPr="000855B2">
        <w:t xml:space="preserve">. </w:t>
      </w:r>
      <w:r w:rsidR="00126B2F" w:rsidRPr="000855B2">
        <w:t>Wear due to prolonged engine operation usually increases lube oil consumption, so this should be expected to increase, on an average, with vehicle age.</w:t>
      </w:r>
      <w:r w:rsidR="00C25096" w:rsidRPr="000855B2">
        <w:t xml:space="preserve"> </w:t>
      </w:r>
      <w:r w:rsidR="00126B2F" w:rsidRPr="000855B2">
        <w:t xml:space="preserve">A different vehicle category, operating with </w:t>
      </w:r>
      <w:r w:rsidR="00C25096" w:rsidRPr="000855B2">
        <w:t>2</w:t>
      </w:r>
      <w:r w:rsidR="00126B2F" w:rsidRPr="000855B2">
        <w:t>-</w:t>
      </w:r>
      <w:r w:rsidR="00C25096" w:rsidRPr="000855B2">
        <w:t>stroke engine</w:t>
      </w:r>
      <w:r w:rsidR="00126B2F" w:rsidRPr="000855B2">
        <w:t>, consume</w:t>
      </w:r>
      <w:r w:rsidR="00882CA3">
        <w:t>s</w:t>
      </w:r>
      <w:r w:rsidR="00126B2F" w:rsidRPr="000855B2">
        <w:t xml:space="preserve"> much more lubricant oil as this is fed in the intake of the vehicle in blend form with the fuel or through a separate injector. A much higher lube oil quantity is needed in this case, which is practically </w:t>
      </w:r>
      <w:r w:rsidR="00126B2F" w:rsidRPr="000855B2">
        <w:lastRenderedPageBreak/>
        <w:t>completely combusted in the cylinder. Oil combustion, although a less important factor than fuel combustion, also leads to CO</w:t>
      </w:r>
      <w:r w:rsidR="00126B2F" w:rsidRPr="000855B2">
        <w:rPr>
          <w:vertAlign w:val="subscript"/>
        </w:rPr>
        <w:t>2</w:t>
      </w:r>
      <w:r w:rsidR="00126B2F" w:rsidRPr="000855B2">
        <w:t xml:space="preserve"> production and should be taken into account in the national totals for completeness.</w:t>
      </w:r>
    </w:p>
    <w:p w14:paraId="3CF3D4A2" w14:textId="015A9CFD" w:rsidR="00D34621" w:rsidRPr="000855B2" w:rsidRDefault="00FB454C" w:rsidP="00546C89">
      <w:pPr>
        <w:pStyle w:val="BodyText"/>
      </w:pPr>
      <w:r>
        <w:fldChar w:fldCharType="begin"/>
      </w:r>
      <w:r>
        <w:instrText xml:space="preserve"> REF _Ref292020654 \h  \* MERGEFORMAT </w:instrText>
      </w:r>
      <w:r>
        <w:fldChar w:fldCharType="separate"/>
      </w:r>
      <w:r w:rsidR="0071604C" w:rsidRPr="000855B2">
        <w:t>Table </w:t>
      </w:r>
      <w:r w:rsidR="0071604C">
        <w:t>3.30</w:t>
      </w:r>
      <w:r>
        <w:fldChar w:fldCharType="end"/>
      </w:r>
      <w:r w:rsidR="00126B2F" w:rsidRPr="000855B2">
        <w:t xml:space="preserve"> contains typical</w:t>
      </w:r>
      <w:r w:rsidR="00D34621" w:rsidRPr="000855B2">
        <w:t xml:space="preserve"> oil consumption factors for different vehicle types, fuel used and vehicle age. All values are in </w:t>
      </w:r>
      <w:r w:rsidR="00126B2F" w:rsidRPr="000855B2">
        <w:t>mass</w:t>
      </w:r>
      <w:r w:rsidR="00D34621" w:rsidRPr="000855B2">
        <w:t xml:space="preserve"> </w:t>
      </w:r>
      <w:r w:rsidR="00126B2F" w:rsidRPr="000855B2">
        <w:t xml:space="preserve">of oil </w:t>
      </w:r>
      <w:r w:rsidR="00D34621" w:rsidRPr="000855B2">
        <w:t xml:space="preserve">consumed </w:t>
      </w:r>
      <w:r w:rsidR="00126B2F" w:rsidRPr="000855B2">
        <w:t xml:space="preserve">(kg) </w:t>
      </w:r>
      <w:r w:rsidR="00D34621" w:rsidRPr="000855B2">
        <w:t>per 10</w:t>
      </w:r>
      <w:r w:rsidR="00882CA3">
        <w:t xml:space="preserve"> </w:t>
      </w:r>
      <w:r w:rsidR="00D34621" w:rsidRPr="000855B2">
        <w:t>000 km</w:t>
      </w:r>
      <w:r w:rsidR="00126B2F" w:rsidRPr="000855B2">
        <w:t xml:space="preserve"> of vehicle operation</w:t>
      </w:r>
      <w:r w:rsidR="00D34621" w:rsidRPr="000855B2">
        <w:t>. This data</w:t>
      </w:r>
      <w:r w:rsidR="00126B2F" w:rsidRPr="000855B2">
        <w:t>set</w:t>
      </w:r>
      <w:r w:rsidR="00D34621" w:rsidRPr="000855B2">
        <w:t xml:space="preserve"> was</w:t>
      </w:r>
      <w:r w:rsidR="00A93EC6" w:rsidRPr="000855B2">
        <w:t xml:space="preserve"> co</w:t>
      </w:r>
      <w:r w:rsidR="00634551" w:rsidRPr="000855B2">
        <w:t>mpiled</w:t>
      </w:r>
      <w:r w:rsidR="00A93EC6" w:rsidRPr="000855B2">
        <w:t xml:space="preserve"> </w:t>
      </w:r>
      <w:r w:rsidR="00634551" w:rsidRPr="000855B2">
        <w:t xml:space="preserve">using input </w:t>
      </w:r>
      <w:r w:rsidR="00A93EC6" w:rsidRPr="000855B2">
        <w:t>from various sources</w:t>
      </w:r>
      <w:r w:rsidR="00634551" w:rsidRPr="000855B2">
        <w:t>, such as</w:t>
      </w:r>
      <w:r w:rsidR="00D34621" w:rsidRPr="000855B2">
        <w:t xml:space="preserve"> </w:t>
      </w:r>
      <w:r w:rsidR="00126B2F" w:rsidRPr="000855B2">
        <w:t>i</w:t>
      </w:r>
      <w:r w:rsidR="00D34621" w:rsidRPr="000855B2">
        <w:t>nternet references</w:t>
      </w:r>
      <w:r w:rsidR="00126B2F" w:rsidRPr="000855B2">
        <w:t>,</w:t>
      </w:r>
      <w:r w:rsidR="00882CA3">
        <w:t xml:space="preserve"> </w:t>
      </w:r>
      <w:r w:rsidR="00634551" w:rsidRPr="000855B2">
        <w:t xml:space="preserve">and </w:t>
      </w:r>
      <w:r w:rsidR="00D34621" w:rsidRPr="000855B2">
        <w:t>interviews with vehicle maintenance experts</w:t>
      </w:r>
      <w:r w:rsidR="00634551" w:rsidRPr="000855B2">
        <w:t xml:space="preserve"> and fleet operators in Greece</w:t>
      </w:r>
      <w:r w:rsidR="00D34621" w:rsidRPr="000855B2">
        <w:t>.</w:t>
      </w:r>
      <w:r w:rsidR="00634551" w:rsidRPr="000855B2">
        <w:t xml:space="preserve"> The definition of an ‘old’ vehicle is ambiguous; in general a vehicle is considered old at or beyond its typical useful life (normally ~150</w:t>
      </w:r>
      <w:r w:rsidR="00882CA3">
        <w:t xml:space="preserve"> </w:t>
      </w:r>
      <w:r w:rsidR="00634551" w:rsidRPr="000855B2">
        <w:t>000 for a passenger car).</w:t>
      </w:r>
    </w:p>
    <w:p w14:paraId="71311E18" w14:textId="5AEC543F" w:rsidR="00D34621" w:rsidRPr="000855B2" w:rsidRDefault="00D34621" w:rsidP="00C92B1B">
      <w:pPr>
        <w:pStyle w:val="Caption"/>
        <w:rPr>
          <w:u w:val="single"/>
        </w:rPr>
      </w:pPr>
      <w:bookmarkStart w:id="142" w:name="_Ref292020654"/>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30</w:t>
      </w:r>
      <w:r w:rsidR="00FB454C">
        <w:rPr>
          <w:noProof/>
        </w:rPr>
        <w:fldChar w:fldCharType="end"/>
      </w:r>
      <w:bookmarkEnd w:id="142"/>
      <w:r w:rsidRPr="000855B2">
        <w:t xml:space="preserve">: Lubricant oil consumption </w:t>
      </w:r>
      <w:r w:rsidR="00634551" w:rsidRPr="000855B2">
        <w:t xml:space="preserve">rate </w:t>
      </w:r>
      <w:r w:rsidRPr="000855B2">
        <w:t xml:space="preserve">for different vehicle types, fuel and age in </w:t>
      </w:r>
      <w:r w:rsidR="00724516" w:rsidRPr="000855B2">
        <w:t>kg</w:t>
      </w:r>
      <w:r w:rsidRPr="000855B2">
        <w:t>/10</w:t>
      </w:r>
      <w:r w:rsidR="00882CA3">
        <w:t xml:space="preserve"> </w:t>
      </w:r>
      <w:r w:rsidRPr="000855B2">
        <w:t>000km</w:t>
      </w:r>
    </w:p>
    <w:tbl>
      <w:tblPr>
        <w:tblW w:w="6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50"/>
        <w:gridCol w:w="1777"/>
        <w:gridCol w:w="808"/>
        <w:gridCol w:w="1099"/>
        <w:gridCol w:w="706"/>
        <w:gridCol w:w="835"/>
      </w:tblGrid>
      <w:tr w:rsidR="00D34621" w:rsidRPr="000855B2" w14:paraId="438C8982" w14:textId="77777777" w:rsidTr="00887829">
        <w:trPr>
          <w:trHeight w:val="255"/>
        </w:trPr>
        <w:tc>
          <w:tcPr>
            <w:tcW w:w="1450" w:type="dxa"/>
            <w:vMerge w:val="restart"/>
            <w:shd w:val="clear" w:color="auto" w:fill="auto"/>
            <w:noWrap/>
            <w:vAlign w:val="center"/>
          </w:tcPr>
          <w:p w14:paraId="045C775B" w14:textId="77777777" w:rsidR="00D34621" w:rsidRPr="000855B2" w:rsidRDefault="00D34621" w:rsidP="005C7955">
            <w:pPr>
              <w:spacing w:line="240" w:lineRule="atLeast"/>
              <w:jc w:val="center"/>
              <w:rPr>
                <w:b/>
                <w:sz w:val="16"/>
                <w:szCs w:val="20"/>
                <w:lang w:val="en-GB" w:eastAsia="el-GR" w:bidi="hi-IN"/>
              </w:rPr>
            </w:pPr>
            <w:r w:rsidRPr="000855B2">
              <w:rPr>
                <w:b/>
                <w:sz w:val="16"/>
                <w:szCs w:val="20"/>
                <w:lang w:val="en-GB" w:eastAsia="el-GR" w:bidi="hi-IN"/>
              </w:rPr>
              <w:t>Category</w:t>
            </w:r>
          </w:p>
        </w:tc>
        <w:tc>
          <w:tcPr>
            <w:tcW w:w="1777" w:type="dxa"/>
            <w:vMerge w:val="restart"/>
            <w:shd w:val="clear" w:color="auto" w:fill="auto"/>
            <w:noWrap/>
            <w:vAlign w:val="center"/>
          </w:tcPr>
          <w:p w14:paraId="6A5BA29E" w14:textId="77777777" w:rsidR="00D34621" w:rsidRPr="000855B2" w:rsidRDefault="00D34621" w:rsidP="005C7955">
            <w:pPr>
              <w:spacing w:line="240" w:lineRule="atLeast"/>
              <w:jc w:val="center"/>
              <w:rPr>
                <w:b/>
                <w:sz w:val="16"/>
                <w:szCs w:val="20"/>
                <w:lang w:val="en-GB" w:eastAsia="el-GR" w:bidi="hi-IN"/>
              </w:rPr>
            </w:pPr>
            <w:r w:rsidRPr="000855B2">
              <w:rPr>
                <w:b/>
                <w:sz w:val="16"/>
                <w:szCs w:val="20"/>
                <w:lang w:val="en-GB" w:eastAsia="el-GR" w:bidi="hi-IN"/>
              </w:rPr>
              <w:t>Fuel/engine category</w:t>
            </w:r>
          </w:p>
        </w:tc>
        <w:tc>
          <w:tcPr>
            <w:tcW w:w="808" w:type="dxa"/>
            <w:vMerge w:val="restart"/>
            <w:shd w:val="clear" w:color="auto" w:fill="auto"/>
            <w:noWrap/>
            <w:vAlign w:val="center"/>
          </w:tcPr>
          <w:p w14:paraId="587A68F4" w14:textId="77777777" w:rsidR="00D34621" w:rsidRPr="000855B2" w:rsidRDefault="00D34621" w:rsidP="005C7955">
            <w:pPr>
              <w:spacing w:line="240" w:lineRule="atLeast"/>
              <w:jc w:val="center"/>
              <w:rPr>
                <w:b/>
                <w:sz w:val="16"/>
                <w:szCs w:val="20"/>
                <w:lang w:val="en-GB" w:eastAsia="el-GR" w:bidi="hi-IN"/>
              </w:rPr>
            </w:pPr>
            <w:r w:rsidRPr="000855B2">
              <w:rPr>
                <w:b/>
                <w:sz w:val="16"/>
                <w:szCs w:val="20"/>
                <w:lang w:val="en-GB" w:eastAsia="el-GR" w:bidi="hi-IN"/>
              </w:rPr>
              <w:t>Age</w:t>
            </w:r>
          </w:p>
        </w:tc>
        <w:tc>
          <w:tcPr>
            <w:tcW w:w="2640" w:type="dxa"/>
            <w:gridSpan w:val="3"/>
            <w:shd w:val="clear" w:color="auto" w:fill="auto"/>
            <w:noWrap/>
            <w:vAlign w:val="center"/>
          </w:tcPr>
          <w:p w14:paraId="6B194582" w14:textId="77777777" w:rsidR="00D34621" w:rsidRPr="000855B2" w:rsidRDefault="00724516" w:rsidP="005C7955">
            <w:pPr>
              <w:spacing w:line="240" w:lineRule="atLeast"/>
              <w:jc w:val="center"/>
              <w:rPr>
                <w:b/>
                <w:sz w:val="16"/>
                <w:szCs w:val="20"/>
                <w:lang w:val="en-GB" w:eastAsia="el-GR" w:bidi="hi-IN"/>
              </w:rPr>
            </w:pPr>
            <w:r w:rsidRPr="000855B2">
              <w:rPr>
                <w:b/>
                <w:sz w:val="16"/>
                <w:szCs w:val="20"/>
                <w:lang w:val="en-GB" w:eastAsia="el-GR" w:bidi="hi-IN"/>
              </w:rPr>
              <w:t>kg</w:t>
            </w:r>
            <w:r w:rsidR="00D34621" w:rsidRPr="000855B2">
              <w:rPr>
                <w:b/>
                <w:sz w:val="16"/>
                <w:szCs w:val="20"/>
                <w:lang w:val="en-GB" w:eastAsia="el-GR" w:bidi="hi-IN"/>
              </w:rPr>
              <w:t>/10</w:t>
            </w:r>
            <w:r w:rsidR="00882CA3">
              <w:rPr>
                <w:b/>
                <w:sz w:val="16"/>
                <w:szCs w:val="20"/>
                <w:lang w:val="en-GB" w:eastAsia="el-GR" w:bidi="hi-IN"/>
              </w:rPr>
              <w:t xml:space="preserve"> </w:t>
            </w:r>
            <w:r w:rsidR="00D34621" w:rsidRPr="000855B2">
              <w:rPr>
                <w:b/>
                <w:sz w:val="16"/>
                <w:szCs w:val="20"/>
                <w:lang w:val="en-GB" w:eastAsia="el-GR" w:bidi="hi-IN"/>
              </w:rPr>
              <w:t>000 km</w:t>
            </w:r>
          </w:p>
        </w:tc>
      </w:tr>
      <w:tr w:rsidR="00D34621" w:rsidRPr="000855B2" w14:paraId="22063B87" w14:textId="77777777" w:rsidTr="00246BA6">
        <w:trPr>
          <w:trHeight w:val="270"/>
        </w:trPr>
        <w:tc>
          <w:tcPr>
            <w:tcW w:w="1450" w:type="dxa"/>
            <w:vMerge/>
            <w:tcBorders>
              <w:bottom w:val="single" w:sz="12" w:space="0" w:color="auto"/>
            </w:tcBorders>
            <w:shd w:val="clear" w:color="auto" w:fill="auto"/>
            <w:vAlign w:val="center"/>
          </w:tcPr>
          <w:p w14:paraId="01840EAE" w14:textId="77777777" w:rsidR="00D34621" w:rsidRPr="000855B2" w:rsidRDefault="00D34621" w:rsidP="005C7955">
            <w:pPr>
              <w:spacing w:line="240" w:lineRule="atLeast"/>
              <w:jc w:val="center"/>
              <w:rPr>
                <w:sz w:val="16"/>
                <w:szCs w:val="20"/>
                <w:lang w:val="en-GB" w:eastAsia="el-GR" w:bidi="hi-IN"/>
              </w:rPr>
            </w:pPr>
          </w:p>
        </w:tc>
        <w:tc>
          <w:tcPr>
            <w:tcW w:w="1777" w:type="dxa"/>
            <w:vMerge/>
            <w:tcBorders>
              <w:bottom w:val="single" w:sz="12" w:space="0" w:color="auto"/>
            </w:tcBorders>
            <w:shd w:val="clear" w:color="auto" w:fill="auto"/>
            <w:vAlign w:val="center"/>
          </w:tcPr>
          <w:p w14:paraId="4233E381" w14:textId="77777777" w:rsidR="00D34621" w:rsidRPr="000855B2" w:rsidRDefault="00D34621" w:rsidP="005C7955">
            <w:pPr>
              <w:spacing w:line="240" w:lineRule="atLeast"/>
              <w:jc w:val="center"/>
              <w:rPr>
                <w:sz w:val="16"/>
                <w:szCs w:val="20"/>
                <w:lang w:val="en-GB" w:eastAsia="el-GR" w:bidi="hi-IN"/>
              </w:rPr>
            </w:pPr>
          </w:p>
        </w:tc>
        <w:tc>
          <w:tcPr>
            <w:tcW w:w="808" w:type="dxa"/>
            <w:vMerge/>
            <w:tcBorders>
              <w:bottom w:val="single" w:sz="12" w:space="0" w:color="auto"/>
            </w:tcBorders>
            <w:shd w:val="clear" w:color="auto" w:fill="auto"/>
            <w:vAlign w:val="center"/>
          </w:tcPr>
          <w:p w14:paraId="5BABB1D7" w14:textId="77777777" w:rsidR="00D34621" w:rsidRPr="000855B2" w:rsidRDefault="00D34621" w:rsidP="005C7955">
            <w:pPr>
              <w:spacing w:line="240" w:lineRule="atLeast"/>
              <w:jc w:val="center"/>
              <w:rPr>
                <w:sz w:val="16"/>
                <w:szCs w:val="20"/>
                <w:lang w:val="en-GB" w:eastAsia="el-GR" w:bidi="hi-IN"/>
              </w:rPr>
            </w:pPr>
          </w:p>
        </w:tc>
        <w:tc>
          <w:tcPr>
            <w:tcW w:w="1099" w:type="dxa"/>
            <w:tcBorders>
              <w:bottom w:val="single" w:sz="12" w:space="0" w:color="auto"/>
            </w:tcBorders>
            <w:shd w:val="clear" w:color="auto" w:fill="auto"/>
            <w:noWrap/>
            <w:vAlign w:val="center"/>
          </w:tcPr>
          <w:p w14:paraId="64D27293" w14:textId="77777777" w:rsidR="00D34621" w:rsidRPr="001843DE" w:rsidRDefault="00D34621" w:rsidP="005C7955">
            <w:pPr>
              <w:spacing w:line="240" w:lineRule="atLeast"/>
              <w:jc w:val="center"/>
              <w:rPr>
                <w:b/>
                <w:sz w:val="16"/>
                <w:szCs w:val="20"/>
                <w:lang w:val="en-GB" w:eastAsia="el-GR" w:bidi="hi-IN"/>
              </w:rPr>
            </w:pPr>
            <w:r w:rsidRPr="001843DE">
              <w:rPr>
                <w:b/>
                <w:sz w:val="16"/>
                <w:szCs w:val="20"/>
                <w:lang w:val="en-GB" w:eastAsia="el-GR" w:bidi="hi-IN"/>
              </w:rPr>
              <w:t>Mean</w:t>
            </w:r>
          </w:p>
        </w:tc>
        <w:tc>
          <w:tcPr>
            <w:tcW w:w="706" w:type="dxa"/>
            <w:tcBorders>
              <w:bottom w:val="single" w:sz="12" w:space="0" w:color="auto"/>
            </w:tcBorders>
            <w:shd w:val="clear" w:color="auto" w:fill="auto"/>
            <w:noWrap/>
            <w:vAlign w:val="center"/>
          </w:tcPr>
          <w:p w14:paraId="788259B3" w14:textId="77777777" w:rsidR="00D34621" w:rsidRPr="001843DE" w:rsidRDefault="00D34621" w:rsidP="005C7955">
            <w:pPr>
              <w:spacing w:line="240" w:lineRule="atLeast"/>
              <w:jc w:val="center"/>
              <w:rPr>
                <w:b/>
                <w:sz w:val="16"/>
                <w:szCs w:val="20"/>
                <w:lang w:val="en-GB" w:eastAsia="el-GR" w:bidi="hi-IN"/>
              </w:rPr>
            </w:pPr>
            <w:r w:rsidRPr="001843DE">
              <w:rPr>
                <w:b/>
                <w:sz w:val="16"/>
                <w:szCs w:val="20"/>
                <w:lang w:val="en-GB" w:eastAsia="el-GR" w:bidi="hi-IN"/>
              </w:rPr>
              <w:t>Min</w:t>
            </w:r>
          </w:p>
        </w:tc>
        <w:tc>
          <w:tcPr>
            <w:tcW w:w="835" w:type="dxa"/>
            <w:tcBorders>
              <w:bottom w:val="single" w:sz="12" w:space="0" w:color="auto"/>
            </w:tcBorders>
            <w:shd w:val="clear" w:color="auto" w:fill="auto"/>
            <w:noWrap/>
            <w:vAlign w:val="center"/>
          </w:tcPr>
          <w:p w14:paraId="3BB8223C" w14:textId="77777777" w:rsidR="00D34621" w:rsidRPr="001843DE" w:rsidRDefault="00D34621" w:rsidP="005C7955">
            <w:pPr>
              <w:spacing w:line="240" w:lineRule="atLeast"/>
              <w:jc w:val="center"/>
              <w:rPr>
                <w:b/>
                <w:sz w:val="16"/>
                <w:szCs w:val="20"/>
                <w:lang w:val="en-GB" w:eastAsia="el-GR" w:bidi="hi-IN"/>
              </w:rPr>
            </w:pPr>
            <w:r w:rsidRPr="001843DE">
              <w:rPr>
                <w:b/>
                <w:sz w:val="16"/>
                <w:szCs w:val="20"/>
                <w:lang w:val="en-GB" w:eastAsia="el-GR" w:bidi="hi-IN"/>
              </w:rPr>
              <w:t>Max</w:t>
            </w:r>
          </w:p>
        </w:tc>
      </w:tr>
      <w:tr w:rsidR="00141E48" w:rsidRPr="000855B2" w14:paraId="2E58B6A1" w14:textId="77777777" w:rsidTr="00246BA6">
        <w:trPr>
          <w:trHeight w:val="270"/>
        </w:trPr>
        <w:tc>
          <w:tcPr>
            <w:tcW w:w="1450" w:type="dxa"/>
            <w:vMerge w:val="restart"/>
            <w:tcBorders>
              <w:top w:val="single" w:sz="12" w:space="0" w:color="auto"/>
            </w:tcBorders>
            <w:shd w:val="clear" w:color="auto" w:fill="auto"/>
            <w:noWrap/>
            <w:vAlign w:val="center"/>
          </w:tcPr>
          <w:p w14:paraId="64267AD0"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PC</w:t>
            </w:r>
          </w:p>
        </w:tc>
        <w:tc>
          <w:tcPr>
            <w:tcW w:w="1777" w:type="dxa"/>
            <w:tcBorders>
              <w:top w:val="single" w:sz="12" w:space="0" w:color="auto"/>
            </w:tcBorders>
            <w:shd w:val="clear" w:color="auto" w:fill="auto"/>
            <w:noWrap/>
            <w:vAlign w:val="center"/>
          </w:tcPr>
          <w:p w14:paraId="3342766C"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tcBorders>
              <w:top w:val="single" w:sz="12" w:space="0" w:color="auto"/>
            </w:tcBorders>
            <w:shd w:val="clear" w:color="auto" w:fill="auto"/>
            <w:noWrap/>
            <w:vAlign w:val="center"/>
          </w:tcPr>
          <w:p w14:paraId="17C5E68D"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tcBorders>
              <w:top w:val="single" w:sz="12" w:space="0" w:color="auto"/>
            </w:tcBorders>
            <w:shd w:val="clear" w:color="auto" w:fill="auto"/>
            <w:noWrap/>
            <w:vAlign w:val="center"/>
          </w:tcPr>
          <w:p w14:paraId="1E2A767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1.45</w:t>
            </w:r>
          </w:p>
        </w:tc>
        <w:tc>
          <w:tcPr>
            <w:tcW w:w="706" w:type="dxa"/>
            <w:tcBorders>
              <w:top w:val="single" w:sz="12" w:space="0" w:color="auto"/>
            </w:tcBorders>
            <w:shd w:val="clear" w:color="auto" w:fill="auto"/>
            <w:noWrap/>
            <w:vAlign w:val="center"/>
          </w:tcPr>
          <w:p w14:paraId="5E101C8E"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835" w:type="dxa"/>
            <w:tcBorders>
              <w:top w:val="single" w:sz="12" w:space="0" w:color="auto"/>
            </w:tcBorders>
            <w:shd w:val="clear" w:color="auto" w:fill="auto"/>
            <w:noWrap/>
            <w:vAlign w:val="center"/>
          </w:tcPr>
          <w:p w14:paraId="2B24658E"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73F178E0" w14:textId="77777777" w:rsidTr="00887829">
        <w:trPr>
          <w:trHeight w:val="255"/>
        </w:trPr>
        <w:tc>
          <w:tcPr>
            <w:tcW w:w="1450" w:type="dxa"/>
            <w:vMerge/>
            <w:shd w:val="clear" w:color="auto" w:fill="auto"/>
            <w:noWrap/>
            <w:vAlign w:val="center"/>
          </w:tcPr>
          <w:p w14:paraId="1C630140"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1D33C806"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shd w:val="clear" w:color="auto" w:fill="auto"/>
            <w:noWrap/>
            <w:vAlign w:val="center"/>
          </w:tcPr>
          <w:p w14:paraId="668D4480"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5489D6CA"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4701D9A0"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835" w:type="dxa"/>
            <w:shd w:val="clear" w:color="auto" w:fill="auto"/>
            <w:noWrap/>
            <w:vAlign w:val="center"/>
          </w:tcPr>
          <w:p w14:paraId="2D06AB97"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r>
      <w:tr w:rsidR="00141E48" w:rsidRPr="000855B2" w14:paraId="595DDAC3" w14:textId="77777777" w:rsidTr="00887829">
        <w:trPr>
          <w:trHeight w:val="255"/>
        </w:trPr>
        <w:tc>
          <w:tcPr>
            <w:tcW w:w="1450" w:type="dxa"/>
            <w:vMerge/>
            <w:shd w:val="clear" w:color="auto" w:fill="auto"/>
            <w:noWrap/>
            <w:vAlign w:val="center"/>
          </w:tcPr>
          <w:p w14:paraId="11B70BFC"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36537786"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3B1D1344"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6578EB6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1.49</w:t>
            </w:r>
          </w:p>
        </w:tc>
        <w:tc>
          <w:tcPr>
            <w:tcW w:w="706" w:type="dxa"/>
            <w:shd w:val="clear" w:color="auto" w:fill="auto"/>
            <w:noWrap/>
            <w:vAlign w:val="center"/>
          </w:tcPr>
          <w:p w14:paraId="6AEB7DC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835" w:type="dxa"/>
            <w:shd w:val="clear" w:color="auto" w:fill="auto"/>
            <w:noWrap/>
            <w:vAlign w:val="center"/>
          </w:tcPr>
          <w:p w14:paraId="6744E6F9"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4546674A" w14:textId="77777777" w:rsidTr="00887829">
        <w:trPr>
          <w:trHeight w:val="270"/>
        </w:trPr>
        <w:tc>
          <w:tcPr>
            <w:tcW w:w="1450" w:type="dxa"/>
            <w:vMerge/>
            <w:shd w:val="clear" w:color="auto" w:fill="auto"/>
            <w:noWrap/>
            <w:vAlign w:val="center"/>
          </w:tcPr>
          <w:p w14:paraId="009E51CC"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54B4A240"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30C1525C"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038161F3"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1597688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0.43</w:t>
            </w:r>
          </w:p>
        </w:tc>
        <w:tc>
          <w:tcPr>
            <w:tcW w:w="835" w:type="dxa"/>
            <w:shd w:val="clear" w:color="auto" w:fill="auto"/>
            <w:noWrap/>
            <w:vAlign w:val="center"/>
          </w:tcPr>
          <w:p w14:paraId="6C9257FD"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4802F48B" w14:textId="77777777" w:rsidTr="00887829">
        <w:trPr>
          <w:trHeight w:val="255"/>
        </w:trPr>
        <w:tc>
          <w:tcPr>
            <w:tcW w:w="1450" w:type="dxa"/>
            <w:vMerge w:val="restart"/>
            <w:shd w:val="clear" w:color="auto" w:fill="auto"/>
            <w:noWrap/>
            <w:vAlign w:val="center"/>
          </w:tcPr>
          <w:p w14:paraId="38F56EC1"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LCV</w:t>
            </w:r>
          </w:p>
        </w:tc>
        <w:tc>
          <w:tcPr>
            <w:tcW w:w="1777" w:type="dxa"/>
            <w:shd w:val="clear" w:color="auto" w:fill="auto"/>
            <w:noWrap/>
            <w:vAlign w:val="center"/>
          </w:tcPr>
          <w:p w14:paraId="3AA6B908"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shd w:val="clear" w:color="auto" w:fill="auto"/>
            <w:noWrap/>
            <w:vAlign w:val="center"/>
          </w:tcPr>
          <w:p w14:paraId="2915365C"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2DD321B8"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1.45</w:t>
            </w:r>
          </w:p>
        </w:tc>
        <w:tc>
          <w:tcPr>
            <w:tcW w:w="706" w:type="dxa"/>
            <w:shd w:val="clear" w:color="auto" w:fill="auto"/>
            <w:noWrap/>
            <w:vAlign w:val="center"/>
          </w:tcPr>
          <w:p w14:paraId="17C14F76"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835" w:type="dxa"/>
            <w:shd w:val="clear" w:color="auto" w:fill="auto"/>
            <w:noWrap/>
            <w:vAlign w:val="center"/>
          </w:tcPr>
          <w:p w14:paraId="6E121D82"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57A708E2" w14:textId="77777777" w:rsidTr="00887829">
        <w:trPr>
          <w:trHeight w:val="255"/>
        </w:trPr>
        <w:tc>
          <w:tcPr>
            <w:tcW w:w="1450" w:type="dxa"/>
            <w:vMerge/>
            <w:shd w:val="clear" w:color="auto" w:fill="auto"/>
            <w:noWrap/>
            <w:vAlign w:val="center"/>
          </w:tcPr>
          <w:p w14:paraId="346C5D20"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3C3D6C4B" w14:textId="77777777" w:rsidR="00141E48" w:rsidRPr="000855B2" w:rsidRDefault="004E1503" w:rsidP="005C7955">
            <w:pPr>
              <w:spacing w:line="240" w:lineRule="atLeast"/>
              <w:rPr>
                <w:sz w:val="16"/>
                <w:szCs w:val="20"/>
                <w:lang w:val="en-GB" w:eastAsia="el-GR" w:bidi="hi-IN"/>
              </w:rPr>
            </w:pPr>
            <w:r>
              <w:rPr>
                <w:sz w:val="16"/>
                <w:szCs w:val="20"/>
                <w:lang w:val="en-GB" w:eastAsia="el-GR" w:bidi="hi-IN"/>
              </w:rPr>
              <w:t>Petrol</w:t>
            </w:r>
          </w:p>
        </w:tc>
        <w:tc>
          <w:tcPr>
            <w:tcW w:w="808" w:type="dxa"/>
            <w:shd w:val="clear" w:color="auto" w:fill="auto"/>
            <w:noWrap/>
            <w:vAlign w:val="center"/>
          </w:tcPr>
          <w:p w14:paraId="1B7040A8"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3C6D247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421D460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835" w:type="dxa"/>
            <w:shd w:val="clear" w:color="auto" w:fill="auto"/>
            <w:noWrap/>
            <w:vAlign w:val="center"/>
          </w:tcPr>
          <w:p w14:paraId="7814F92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r>
      <w:tr w:rsidR="00141E48" w:rsidRPr="000855B2" w14:paraId="0F2733A4" w14:textId="77777777" w:rsidTr="00887829">
        <w:trPr>
          <w:trHeight w:val="255"/>
        </w:trPr>
        <w:tc>
          <w:tcPr>
            <w:tcW w:w="1450" w:type="dxa"/>
            <w:vMerge/>
            <w:shd w:val="clear" w:color="auto" w:fill="auto"/>
            <w:noWrap/>
            <w:vAlign w:val="center"/>
          </w:tcPr>
          <w:p w14:paraId="3E0CBD76"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09CD3F46"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22010705"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1C771333"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1.49</w:t>
            </w:r>
          </w:p>
        </w:tc>
        <w:tc>
          <w:tcPr>
            <w:tcW w:w="706" w:type="dxa"/>
            <w:shd w:val="clear" w:color="auto" w:fill="auto"/>
            <w:noWrap/>
            <w:vAlign w:val="center"/>
          </w:tcPr>
          <w:p w14:paraId="1F2850D7"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835" w:type="dxa"/>
            <w:shd w:val="clear" w:color="auto" w:fill="auto"/>
            <w:noWrap/>
            <w:vAlign w:val="center"/>
          </w:tcPr>
          <w:p w14:paraId="68B1FC41"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55F1A0AE" w14:textId="77777777" w:rsidTr="00887829">
        <w:trPr>
          <w:trHeight w:val="270"/>
        </w:trPr>
        <w:tc>
          <w:tcPr>
            <w:tcW w:w="1450" w:type="dxa"/>
            <w:vMerge/>
            <w:shd w:val="clear" w:color="auto" w:fill="auto"/>
            <w:noWrap/>
            <w:vAlign w:val="center"/>
          </w:tcPr>
          <w:p w14:paraId="6DF4CEE0"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63B15F55"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26A338BD"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5EC483F9"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706" w:type="dxa"/>
            <w:shd w:val="clear" w:color="auto" w:fill="auto"/>
            <w:noWrap/>
            <w:vAlign w:val="center"/>
          </w:tcPr>
          <w:p w14:paraId="3407D514"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0.43</w:t>
            </w:r>
          </w:p>
        </w:tc>
        <w:tc>
          <w:tcPr>
            <w:tcW w:w="835" w:type="dxa"/>
            <w:shd w:val="clear" w:color="auto" w:fill="auto"/>
            <w:noWrap/>
            <w:vAlign w:val="center"/>
          </w:tcPr>
          <w:p w14:paraId="2B863024"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653A1470" w14:textId="77777777" w:rsidTr="00887829">
        <w:trPr>
          <w:trHeight w:val="255"/>
        </w:trPr>
        <w:tc>
          <w:tcPr>
            <w:tcW w:w="1450" w:type="dxa"/>
            <w:vMerge w:val="restart"/>
            <w:shd w:val="clear" w:color="auto" w:fill="auto"/>
            <w:noWrap/>
            <w:vAlign w:val="center"/>
          </w:tcPr>
          <w:p w14:paraId="31AE179E"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Urban Buses</w:t>
            </w:r>
          </w:p>
        </w:tc>
        <w:tc>
          <w:tcPr>
            <w:tcW w:w="1777" w:type="dxa"/>
            <w:shd w:val="clear" w:color="auto" w:fill="auto"/>
            <w:noWrap/>
            <w:vAlign w:val="center"/>
          </w:tcPr>
          <w:p w14:paraId="7ECCCB28"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119AB7AB"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7784D197" w14:textId="77777777" w:rsidR="00141E48" w:rsidRPr="000855B2" w:rsidRDefault="00141E48" w:rsidP="005C7955">
            <w:pPr>
              <w:spacing w:line="240" w:lineRule="atLeast"/>
              <w:jc w:val="center"/>
              <w:rPr>
                <w:sz w:val="16"/>
                <w:szCs w:val="20"/>
                <w:lang w:val="en-GB" w:eastAsia="el-GR" w:bidi="hi-IN"/>
              </w:rPr>
            </w:pPr>
            <w:r w:rsidRPr="000855B2">
              <w:rPr>
                <w:sz w:val="16"/>
                <w:lang w:val="en-GB"/>
              </w:rPr>
              <w:t>8.50</w:t>
            </w:r>
          </w:p>
        </w:tc>
        <w:tc>
          <w:tcPr>
            <w:tcW w:w="706" w:type="dxa"/>
            <w:shd w:val="clear" w:color="auto" w:fill="auto"/>
            <w:noWrap/>
            <w:vAlign w:val="center"/>
          </w:tcPr>
          <w:p w14:paraId="3D699015" w14:textId="77777777" w:rsidR="00141E48" w:rsidRPr="000855B2" w:rsidRDefault="00141E48" w:rsidP="005C7955">
            <w:pPr>
              <w:spacing w:line="240" w:lineRule="atLeast"/>
              <w:jc w:val="center"/>
              <w:rPr>
                <w:sz w:val="16"/>
                <w:szCs w:val="20"/>
                <w:lang w:val="en-GB" w:eastAsia="el-GR" w:bidi="hi-IN"/>
              </w:rPr>
            </w:pPr>
          </w:p>
        </w:tc>
        <w:tc>
          <w:tcPr>
            <w:tcW w:w="835" w:type="dxa"/>
            <w:shd w:val="clear" w:color="auto" w:fill="auto"/>
            <w:noWrap/>
            <w:vAlign w:val="center"/>
          </w:tcPr>
          <w:p w14:paraId="15C943C8" w14:textId="77777777" w:rsidR="00141E48" w:rsidRPr="000855B2" w:rsidRDefault="00141E48" w:rsidP="005C7955">
            <w:pPr>
              <w:spacing w:line="240" w:lineRule="atLeast"/>
              <w:jc w:val="center"/>
              <w:rPr>
                <w:sz w:val="16"/>
                <w:szCs w:val="20"/>
                <w:lang w:val="en-GB" w:eastAsia="el-GR" w:bidi="hi-IN"/>
              </w:rPr>
            </w:pPr>
          </w:p>
        </w:tc>
      </w:tr>
      <w:tr w:rsidR="00141E48" w:rsidRPr="000855B2" w14:paraId="460B1D5D" w14:textId="77777777" w:rsidTr="00887829">
        <w:trPr>
          <w:trHeight w:val="270"/>
        </w:trPr>
        <w:tc>
          <w:tcPr>
            <w:tcW w:w="1450" w:type="dxa"/>
            <w:vMerge/>
            <w:shd w:val="clear" w:color="auto" w:fill="auto"/>
            <w:noWrap/>
            <w:vAlign w:val="center"/>
          </w:tcPr>
          <w:p w14:paraId="002F0327"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2698A950"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49A43A1B"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3C55F015" w14:textId="77777777" w:rsidR="00141E48" w:rsidRPr="000855B2" w:rsidRDefault="00141E48" w:rsidP="005C7955">
            <w:pPr>
              <w:spacing w:line="240" w:lineRule="atLeast"/>
              <w:jc w:val="center"/>
              <w:rPr>
                <w:sz w:val="16"/>
                <w:szCs w:val="20"/>
                <w:lang w:val="en-GB" w:eastAsia="el-GR" w:bidi="hi-IN"/>
              </w:rPr>
            </w:pPr>
            <w:r w:rsidRPr="000855B2">
              <w:rPr>
                <w:sz w:val="16"/>
                <w:lang w:val="en-GB"/>
              </w:rPr>
              <w:t>0.85</w:t>
            </w:r>
          </w:p>
        </w:tc>
        <w:tc>
          <w:tcPr>
            <w:tcW w:w="706" w:type="dxa"/>
            <w:shd w:val="clear" w:color="auto" w:fill="auto"/>
            <w:noWrap/>
            <w:vAlign w:val="center"/>
          </w:tcPr>
          <w:p w14:paraId="47E81A0A" w14:textId="77777777" w:rsidR="00141E48" w:rsidRPr="000855B2" w:rsidRDefault="00141E48" w:rsidP="005C7955">
            <w:pPr>
              <w:spacing w:line="240" w:lineRule="atLeast"/>
              <w:jc w:val="center"/>
              <w:rPr>
                <w:sz w:val="16"/>
                <w:szCs w:val="20"/>
                <w:lang w:val="en-GB" w:eastAsia="el-GR" w:bidi="hi-IN"/>
              </w:rPr>
            </w:pPr>
          </w:p>
        </w:tc>
        <w:tc>
          <w:tcPr>
            <w:tcW w:w="835" w:type="dxa"/>
            <w:shd w:val="clear" w:color="auto" w:fill="auto"/>
            <w:noWrap/>
            <w:vAlign w:val="center"/>
          </w:tcPr>
          <w:p w14:paraId="2E3BC541" w14:textId="77777777" w:rsidR="00141E48" w:rsidRPr="000855B2" w:rsidRDefault="00141E48" w:rsidP="005C7955">
            <w:pPr>
              <w:spacing w:line="240" w:lineRule="atLeast"/>
              <w:jc w:val="center"/>
              <w:rPr>
                <w:sz w:val="16"/>
                <w:szCs w:val="20"/>
                <w:lang w:val="en-GB" w:eastAsia="el-GR" w:bidi="hi-IN"/>
              </w:rPr>
            </w:pPr>
          </w:p>
        </w:tc>
      </w:tr>
      <w:tr w:rsidR="00141E48" w:rsidRPr="000855B2" w14:paraId="73465260" w14:textId="77777777" w:rsidTr="00887829">
        <w:trPr>
          <w:trHeight w:val="255"/>
        </w:trPr>
        <w:tc>
          <w:tcPr>
            <w:tcW w:w="1450" w:type="dxa"/>
            <w:vMerge w:val="restart"/>
            <w:shd w:val="clear" w:color="auto" w:fill="auto"/>
            <w:noWrap/>
            <w:vAlign w:val="center"/>
          </w:tcPr>
          <w:p w14:paraId="33724EF4"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Coaches</w:t>
            </w:r>
          </w:p>
        </w:tc>
        <w:tc>
          <w:tcPr>
            <w:tcW w:w="1777" w:type="dxa"/>
            <w:shd w:val="clear" w:color="auto" w:fill="auto"/>
            <w:noWrap/>
            <w:vAlign w:val="center"/>
          </w:tcPr>
          <w:p w14:paraId="434BBC22"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4B7D47DB"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203A7EC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1.91</w:t>
            </w:r>
          </w:p>
        </w:tc>
        <w:tc>
          <w:tcPr>
            <w:tcW w:w="706" w:type="dxa"/>
            <w:shd w:val="clear" w:color="auto" w:fill="auto"/>
            <w:noWrap/>
            <w:vAlign w:val="center"/>
          </w:tcPr>
          <w:p w14:paraId="7F1EEA3D"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c>
          <w:tcPr>
            <w:tcW w:w="835" w:type="dxa"/>
            <w:shd w:val="clear" w:color="auto" w:fill="auto"/>
            <w:noWrap/>
            <w:vAlign w:val="center"/>
          </w:tcPr>
          <w:p w14:paraId="600D24B6"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141E48" w:rsidRPr="000855B2" w14:paraId="1E47D54F" w14:textId="77777777" w:rsidTr="00887829">
        <w:trPr>
          <w:trHeight w:val="270"/>
        </w:trPr>
        <w:tc>
          <w:tcPr>
            <w:tcW w:w="1450" w:type="dxa"/>
            <w:vMerge/>
            <w:shd w:val="clear" w:color="auto" w:fill="auto"/>
            <w:noWrap/>
            <w:vAlign w:val="center"/>
          </w:tcPr>
          <w:p w14:paraId="6BD31B2B"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1CC628D9"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7919D9C8"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6FC4BC66"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1.70</w:t>
            </w:r>
          </w:p>
        </w:tc>
        <w:tc>
          <w:tcPr>
            <w:tcW w:w="706" w:type="dxa"/>
            <w:shd w:val="clear" w:color="auto" w:fill="auto"/>
            <w:noWrap/>
            <w:vAlign w:val="center"/>
          </w:tcPr>
          <w:p w14:paraId="697C80E0"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1.28</w:t>
            </w:r>
          </w:p>
        </w:tc>
        <w:tc>
          <w:tcPr>
            <w:tcW w:w="835" w:type="dxa"/>
            <w:shd w:val="clear" w:color="auto" w:fill="auto"/>
            <w:noWrap/>
            <w:vAlign w:val="center"/>
          </w:tcPr>
          <w:p w14:paraId="6868F9E6" w14:textId="77777777" w:rsidR="00141E48" w:rsidRPr="000855B2" w:rsidRDefault="00141E48" w:rsidP="005C7955">
            <w:pPr>
              <w:spacing w:line="240" w:lineRule="atLeast"/>
              <w:jc w:val="center"/>
              <w:rPr>
                <w:sz w:val="16"/>
                <w:szCs w:val="20"/>
                <w:lang w:val="en-GB" w:eastAsia="el-GR" w:bidi="hi-IN"/>
              </w:rPr>
            </w:pPr>
            <w:r w:rsidRPr="000855B2">
              <w:rPr>
                <w:sz w:val="16"/>
                <w:lang w:val="en-GB"/>
              </w:rPr>
              <w:t>2.13</w:t>
            </w:r>
          </w:p>
        </w:tc>
      </w:tr>
      <w:tr w:rsidR="00724516" w:rsidRPr="000855B2" w14:paraId="34BC0A64" w14:textId="77777777" w:rsidTr="00887829">
        <w:trPr>
          <w:trHeight w:val="270"/>
        </w:trPr>
        <w:tc>
          <w:tcPr>
            <w:tcW w:w="1450" w:type="dxa"/>
            <w:shd w:val="clear" w:color="auto" w:fill="auto"/>
            <w:noWrap/>
            <w:vAlign w:val="center"/>
          </w:tcPr>
          <w:p w14:paraId="44CEE8A1" w14:textId="77777777" w:rsidR="00724516" w:rsidRPr="00141E48" w:rsidRDefault="00724516" w:rsidP="005C7955">
            <w:pPr>
              <w:spacing w:line="240" w:lineRule="atLeast"/>
              <w:rPr>
                <w:sz w:val="16"/>
                <w:szCs w:val="20"/>
                <w:lang w:val="en-GB" w:eastAsia="el-GR" w:bidi="hi-IN"/>
              </w:rPr>
            </w:pPr>
            <w:r w:rsidRPr="00141E48">
              <w:rPr>
                <w:sz w:val="16"/>
                <w:szCs w:val="20"/>
                <w:lang w:val="en-GB" w:eastAsia="el-GR" w:bidi="hi-IN"/>
              </w:rPr>
              <w:t>HDV</w:t>
            </w:r>
          </w:p>
        </w:tc>
        <w:tc>
          <w:tcPr>
            <w:tcW w:w="1777" w:type="dxa"/>
            <w:shd w:val="clear" w:color="auto" w:fill="auto"/>
            <w:noWrap/>
            <w:vAlign w:val="center"/>
          </w:tcPr>
          <w:p w14:paraId="50BF336A" w14:textId="77777777" w:rsidR="00724516" w:rsidRPr="000855B2" w:rsidRDefault="00724516" w:rsidP="005C7955">
            <w:pPr>
              <w:spacing w:line="240" w:lineRule="atLeast"/>
              <w:rPr>
                <w:sz w:val="16"/>
                <w:szCs w:val="20"/>
                <w:lang w:val="en-GB" w:eastAsia="el-GR" w:bidi="hi-IN"/>
              </w:rPr>
            </w:pPr>
            <w:r w:rsidRPr="000855B2">
              <w:rPr>
                <w:sz w:val="16"/>
                <w:szCs w:val="20"/>
                <w:lang w:val="en-GB" w:eastAsia="el-GR" w:bidi="hi-IN"/>
              </w:rPr>
              <w:t>Diesel</w:t>
            </w:r>
          </w:p>
        </w:tc>
        <w:tc>
          <w:tcPr>
            <w:tcW w:w="808" w:type="dxa"/>
            <w:shd w:val="clear" w:color="auto" w:fill="auto"/>
            <w:noWrap/>
            <w:vAlign w:val="center"/>
          </w:tcPr>
          <w:p w14:paraId="52245BEC" w14:textId="77777777" w:rsidR="00724516" w:rsidRPr="000855B2" w:rsidRDefault="00724516" w:rsidP="005C7955">
            <w:pPr>
              <w:spacing w:line="240" w:lineRule="atLeast"/>
              <w:jc w:val="center"/>
              <w:rPr>
                <w:sz w:val="16"/>
                <w:szCs w:val="20"/>
                <w:lang w:val="en-GB" w:eastAsia="el-GR" w:bidi="hi-IN"/>
              </w:rPr>
            </w:pPr>
            <w:r w:rsidRPr="000855B2">
              <w:rPr>
                <w:sz w:val="16"/>
                <w:szCs w:val="20"/>
                <w:lang w:val="en-GB" w:eastAsia="el-GR" w:bidi="hi-IN"/>
              </w:rPr>
              <w:t>Any</w:t>
            </w:r>
          </w:p>
        </w:tc>
        <w:tc>
          <w:tcPr>
            <w:tcW w:w="1099" w:type="dxa"/>
            <w:shd w:val="clear" w:color="auto" w:fill="auto"/>
            <w:noWrap/>
            <w:vAlign w:val="center"/>
          </w:tcPr>
          <w:p w14:paraId="57E75495" w14:textId="77777777" w:rsidR="00724516" w:rsidRPr="000855B2" w:rsidRDefault="00724516" w:rsidP="005C7955">
            <w:pPr>
              <w:spacing w:line="240" w:lineRule="atLeast"/>
              <w:jc w:val="center"/>
              <w:rPr>
                <w:sz w:val="16"/>
                <w:szCs w:val="20"/>
                <w:lang w:val="en-GB" w:eastAsia="el-GR" w:bidi="hi-IN"/>
              </w:rPr>
            </w:pPr>
            <w:r w:rsidRPr="000855B2">
              <w:rPr>
                <w:sz w:val="16"/>
                <w:lang w:val="en-GB"/>
              </w:rPr>
              <w:t>1.56</w:t>
            </w:r>
          </w:p>
        </w:tc>
        <w:tc>
          <w:tcPr>
            <w:tcW w:w="706" w:type="dxa"/>
            <w:shd w:val="clear" w:color="auto" w:fill="auto"/>
            <w:noWrap/>
            <w:vAlign w:val="center"/>
          </w:tcPr>
          <w:p w14:paraId="60A4CEE3" w14:textId="77777777" w:rsidR="00724516" w:rsidRPr="000855B2" w:rsidRDefault="00724516" w:rsidP="005C7955">
            <w:pPr>
              <w:spacing w:line="240" w:lineRule="atLeast"/>
              <w:jc w:val="center"/>
              <w:rPr>
                <w:sz w:val="16"/>
                <w:szCs w:val="20"/>
                <w:lang w:val="en-GB" w:eastAsia="el-GR" w:bidi="hi-IN"/>
              </w:rPr>
            </w:pPr>
          </w:p>
        </w:tc>
        <w:tc>
          <w:tcPr>
            <w:tcW w:w="835" w:type="dxa"/>
            <w:shd w:val="clear" w:color="auto" w:fill="auto"/>
            <w:noWrap/>
            <w:vAlign w:val="center"/>
          </w:tcPr>
          <w:p w14:paraId="2DA1D6D9" w14:textId="77777777" w:rsidR="00724516" w:rsidRPr="000855B2" w:rsidRDefault="00724516" w:rsidP="005C7955">
            <w:pPr>
              <w:spacing w:line="240" w:lineRule="atLeast"/>
              <w:jc w:val="center"/>
              <w:rPr>
                <w:sz w:val="16"/>
                <w:szCs w:val="20"/>
                <w:lang w:val="en-GB" w:eastAsia="el-GR" w:bidi="hi-IN"/>
              </w:rPr>
            </w:pPr>
          </w:p>
        </w:tc>
      </w:tr>
      <w:tr w:rsidR="00141E48" w:rsidRPr="000855B2" w14:paraId="1146CA5B" w14:textId="77777777" w:rsidTr="00887829">
        <w:trPr>
          <w:trHeight w:val="255"/>
        </w:trPr>
        <w:tc>
          <w:tcPr>
            <w:tcW w:w="1450" w:type="dxa"/>
            <w:vMerge w:val="restart"/>
            <w:shd w:val="clear" w:color="auto" w:fill="auto"/>
            <w:noWrap/>
            <w:vAlign w:val="center"/>
          </w:tcPr>
          <w:p w14:paraId="2CE763B7" w14:textId="77777777" w:rsidR="00141E48" w:rsidRPr="00141E48" w:rsidRDefault="00141E48" w:rsidP="005C7955">
            <w:pPr>
              <w:spacing w:line="240" w:lineRule="atLeast"/>
              <w:rPr>
                <w:sz w:val="16"/>
                <w:szCs w:val="20"/>
                <w:lang w:val="en-GB" w:eastAsia="el-GR" w:bidi="hi-IN"/>
              </w:rPr>
            </w:pPr>
            <w:r w:rsidRPr="00141E48">
              <w:rPr>
                <w:sz w:val="16"/>
                <w:szCs w:val="20"/>
                <w:lang w:val="en-GB" w:eastAsia="el-GR" w:bidi="hi-IN"/>
              </w:rPr>
              <w:t>Mopeds</w:t>
            </w:r>
          </w:p>
        </w:tc>
        <w:tc>
          <w:tcPr>
            <w:tcW w:w="1777" w:type="dxa"/>
            <w:shd w:val="clear" w:color="auto" w:fill="auto"/>
            <w:noWrap/>
            <w:vAlign w:val="center"/>
          </w:tcPr>
          <w:p w14:paraId="43E91E99"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2-stroke</w:t>
            </w:r>
          </w:p>
        </w:tc>
        <w:tc>
          <w:tcPr>
            <w:tcW w:w="808" w:type="dxa"/>
            <w:shd w:val="clear" w:color="auto" w:fill="auto"/>
            <w:noWrap/>
            <w:vAlign w:val="center"/>
          </w:tcPr>
          <w:p w14:paraId="6147B97C"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Old</w:t>
            </w:r>
          </w:p>
        </w:tc>
        <w:tc>
          <w:tcPr>
            <w:tcW w:w="1099" w:type="dxa"/>
            <w:shd w:val="clear" w:color="auto" w:fill="auto"/>
            <w:noWrap/>
            <w:vAlign w:val="center"/>
          </w:tcPr>
          <w:p w14:paraId="17A3A516"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10.20</w:t>
            </w:r>
          </w:p>
        </w:tc>
        <w:tc>
          <w:tcPr>
            <w:tcW w:w="706" w:type="dxa"/>
            <w:shd w:val="clear" w:color="auto" w:fill="auto"/>
            <w:noWrap/>
            <w:vAlign w:val="center"/>
          </w:tcPr>
          <w:p w14:paraId="7C010B10" w14:textId="77777777" w:rsidR="00141E48" w:rsidRPr="000855B2" w:rsidRDefault="00141E48" w:rsidP="005C7955">
            <w:pPr>
              <w:spacing w:line="240" w:lineRule="atLeast"/>
              <w:jc w:val="center"/>
              <w:rPr>
                <w:sz w:val="16"/>
                <w:szCs w:val="20"/>
                <w:lang w:val="en-GB" w:eastAsia="el-GR" w:bidi="hi-IN"/>
              </w:rPr>
            </w:pPr>
            <w:r w:rsidRPr="000855B2">
              <w:rPr>
                <w:sz w:val="16"/>
                <w:lang w:val="en-GB"/>
              </w:rPr>
              <w:t>6.80</w:t>
            </w:r>
          </w:p>
        </w:tc>
        <w:tc>
          <w:tcPr>
            <w:tcW w:w="835" w:type="dxa"/>
            <w:shd w:val="clear" w:color="auto" w:fill="auto"/>
            <w:noWrap/>
            <w:vAlign w:val="center"/>
          </w:tcPr>
          <w:p w14:paraId="4F126F5B" w14:textId="77777777" w:rsidR="00141E48" w:rsidRPr="000855B2" w:rsidRDefault="00141E48" w:rsidP="005C7955">
            <w:pPr>
              <w:spacing w:line="240" w:lineRule="atLeast"/>
              <w:jc w:val="center"/>
              <w:rPr>
                <w:sz w:val="16"/>
                <w:szCs w:val="20"/>
                <w:lang w:val="en-GB" w:eastAsia="el-GR" w:bidi="hi-IN"/>
              </w:rPr>
            </w:pPr>
            <w:r w:rsidRPr="000855B2">
              <w:rPr>
                <w:sz w:val="16"/>
                <w:lang w:val="en-GB"/>
              </w:rPr>
              <w:t>13.60</w:t>
            </w:r>
          </w:p>
        </w:tc>
      </w:tr>
      <w:tr w:rsidR="00141E48" w:rsidRPr="000855B2" w14:paraId="355F38F7" w14:textId="77777777" w:rsidTr="00887829">
        <w:trPr>
          <w:trHeight w:val="270"/>
        </w:trPr>
        <w:tc>
          <w:tcPr>
            <w:tcW w:w="1450" w:type="dxa"/>
            <w:vMerge/>
            <w:shd w:val="clear" w:color="auto" w:fill="auto"/>
            <w:noWrap/>
            <w:vAlign w:val="center"/>
          </w:tcPr>
          <w:p w14:paraId="63CDC5CB" w14:textId="77777777" w:rsidR="00141E48" w:rsidRPr="00141E48" w:rsidRDefault="00141E48" w:rsidP="005C7955">
            <w:pPr>
              <w:spacing w:line="240" w:lineRule="atLeast"/>
              <w:rPr>
                <w:sz w:val="16"/>
                <w:szCs w:val="20"/>
                <w:lang w:val="en-GB" w:eastAsia="el-GR" w:bidi="hi-IN"/>
              </w:rPr>
            </w:pPr>
          </w:p>
        </w:tc>
        <w:tc>
          <w:tcPr>
            <w:tcW w:w="1777" w:type="dxa"/>
            <w:shd w:val="clear" w:color="auto" w:fill="auto"/>
            <w:noWrap/>
            <w:vAlign w:val="center"/>
          </w:tcPr>
          <w:p w14:paraId="6829FA8C" w14:textId="77777777" w:rsidR="00141E48" w:rsidRPr="000855B2" w:rsidRDefault="00141E48" w:rsidP="005C7955">
            <w:pPr>
              <w:spacing w:line="240" w:lineRule="atLeast"/>
              <w:rPr>
                <w:sz w:val="16"/>
                <w:szCs w:val="20"/>
                <w:lang w:val="en-GB" w:eastAsia="el-GR" w:bidi="hi-IN"/>
              </w:rPr>
            </w:pPr>
            <w:r w:rsidRPr="000855B2">
              <w:rPr>
                <w:sz w:val="16"/>
                <w:szCs w:val="20"/>
                <w:lang w:val="en-GB" w:eastAsia="el-GR" w:bidi="hi-IN"/>
              </w:rPr>
              <w:t>2-stroke</w:t>
            </w:r>
          </w:p>
        </w:tc>
        <w:tc>
          <w:tcPr>
            <w:tcW w:w="808" w:type="dxa"/>
            <w:shd w:val="clear" w:color="auto" w:fill="auto"/>
            <w:noWrap/>
            <w:vAlign w:val="center"/>
          </w:tcPr>
          <w:p w14:paraId="2D7DCC17" w14:textId="77777777" w:rsidR="00141E48" w:rsidRPr="000855B2" w:rsidRDefault="00141E48" w:rsidP="005C7955">
            <w:pPr>
              <w:spacing w:line="240" w:lineRule="atLeast"/>
              <w:jc w:val="center"/>
              <w:rPr>
                <w:sz w:val="16"/>
                <w:szCs w:val="20"/>
                <w:lang w:val="en-GB" w:eastAsia="el-GR" w:bidi="hi-IN"/>
              </w:rPr>
            </w:pPr>
            <w:r w:rsidRPr="000855B2">
              <w:rPr>
                <w:sz w:val="16"/>
                <w:szCs w:val="20"/>
                <w:lang w:val="en-GB" w:eastAsia="el-GR" w:bidi="hi-IN"/>
              </w:rPr>
              <w:t>New</w:t>
            </w:r>
          </w:p>
        </w:tc>
        <w:tc>
          <w:tcPr>
            <w:tcW w:w="1099" w:type="dxa"/>
            <w:shd w:val="clear" w:color="auto" w:fill="auto"/>
            <w:noWrap/>
            <w:vAlign w:val="center"/>
          </w:tcPr>
          <w:p w14:paraId="4E0B522A" w14:textId="77777777" w:rsidR="00141E48" w:rsidRPr="000855B2" w:rsidRDefault="00141E48" w:rsidP="005C7955">
            <w:pPr>
              <w:spacing w:line="240" w:lineRule="atLeast"/>
              <w:jc w:val="center"/>
              <w:rPr>
                <w:sz w:val="16"/>
                <w:szCs w:val="20"/>
                <w:lang w:val="en-GB" w:eastAsia="el-GR" w:bidi="hi-IN"/>
              </w:rPr>
            </w:pPr>
            <w:r w:rsidRPr="000855B2">
              <w:rPr>
                <w:sz w:val="16"/>
                <w:lang w:val="en-GB"/>
              </w:rPr>
              <w:t>6.80</w:t>
            </w:r>
          </w:p>
        </w:tc>
        <w:tc>
          <w:tcPr>
            <w:tcW w:w="706" w:type="dxa"/>
            <w:shd w:val="clear" w:color="auto" w:fill="auto"/>
            <w:noWrap/>
            <w:vAlign w:val="center"/>
          </w:tcPr>
          <w:p w14:paraId="235BFDDC" w14:textId="77777777" w:rsidR="00141E48" w:rsidRPr="000855B2" w:rsidRDefault="00141E48" w:rsidP="005C7955">
            <w:pPr>
              <w:spacing w:line="240" w:lineRule="atLeast"/>
              <w:jc w:val="center"/>
              <w:rPr>
                <w:sz w:val="16"/>
                <w:szCs w:val="20"/>
                <w:lang w:val="en-GB" w:eastAsia="el-GR" w:bidi="hi-IN"/>
              </w:rPr>
            </w:pPr>
            <w:r w:rsidRPr="000855B2">
              <w:rPr>
                <w:sz w:val="16"/>
                <w:lang w:val="en-GB"/>
              </w:rPr>
              <w:t>5.10</w:t>
            </w:r>
          </w:p>
        </w:tc>
        <w:tc>
          <w:tcPr>
            <w:tcW w:w="835" w:type="dxa"/>
            <w:shd w:val="clear" w:color="auto" w:fill="auto"/>
            <w:noWrap/>
            <w:vAlign w:val="center"/>
          </w:tcPr>
          <w:p w14:paraId="1B26AA47" w14:textId="77777777" w:rsidR="00141E48" w:rsidRPr="000855B2" w:rsidRDefault="00141E48" w:rsidP="005C7955">
            <w:pPr>
              <w:spacing w:line="240" w:lineRule="atLeast"/>
              <w:jc w:val="center"/>
              <w:rPr>
                <w:sz w:val="16"/>
                <w:szCs w:val="20"/>
                <w:lang w:val="en-GB" w:eastAsia="el-GR" w:bidi="hi-IN"/>
              </w:rPr>
            </w:pPr>
            <w:r w:rsidRPr="000855B2">
              <w:rPr>
                <w:sz w:val="16"/>
                <w:lang w:val="en-GB"/>
              </w:rPr>
              <w:t>8.50</w:t>
            </w:r>
          </w:p>
        </w:tc>
      </w:tr>
      <w:tr w:rsidR="00724516" w:rsidRPr="000855B2" w14:paraId="49F0458A" w14:textId="77777777" w:rsidTr="00887829">
        <w:trPr>
          <w:trHeight w:val="270"/>
        </w:trPr>
        <w:tc>
          <w:tcPr>
            <w:tcW w:w="1450" w:type="dxa"/>
            <w:shd w:val="clear" w:color="auto" w:fill="auto"/>
            <w:noWrap/>
            <w:vAlign w:val="center"/>
          </w:tcPr>
          <w:p w14:paraId="21192709" w14:textId="77777777" w:rsidR="00724516" w:rsidRPr="00141E48" w:rsidRDefault="00724516" w:rsidP="005C7955">
            <w:pPr>
              <w:spacing w:line="240" w:lineRule="atLeast"/>
              <w:rPr>
                <w:sz w:val="16"/>
                <w:szCs w:val="20"/>
                <w:lang w:val="en-GB" w:eastAsia="el-GR" w:bidi="hi-IN"/>
              </w:rPr>
            </w:pPr>
            <w:r w:rsidRPr="00141E48">
              <w:rPr>
                <w:sz w:val="16"/>
                <w:szCs w:val="20"/>
                <w:lang w:val="en-GB" w:eastAsia="el-GR" w:bidi="hi-IN"/>
              </w:rPr>
              <w:t>Motorcycles</w:t>
            </w:r>
          </w:p>
        </w:tc>
        <w:tc>
          <w:tcPr>
            <w:tcW w:w="1777" w:type="dxa"/>
            <w:shd w:val="clear" w:color="auto" w:fill="auto"/>
            <w:noWrap/>
            <w:vAlign w:val="center"/>
          </w:tcPr>
          <w:p w14:paraId="5CFB4CCC" w14:textId="77777777" w:rsidR="00724516" w:rsidRPr="000855B2" w:rsidRDefault="00724516" w:rsidP="005C7955">
            <w:pPr>
              <w:spacing w:line="240" w:lineRule="atLeast"/>
              <w:rPr>
                <w:sz w:val="16"/>
                <w:szCs w:val="20"/>
                <w:lang w:val="en-GB" w:eastAsia="el-GR" w:bidi="hi-IN"/>
              </w:rPr>
            </w:pPr>
            <w:r w:rsidRPr="000855B2">
              <w:rPr>
                <w:sz w:val="16"/>
                <w:szCs w:val="20"/>
                <w:lang w:val="en-GB" w:eastAsia="el-GR" w:bidi="hi-IN"/>
              </w:rPr>
              <w:t>4-stroke</w:t>
            </w:r>
          </w:p>
        </w:tc>
        <w:tc>
          <w:tcPr>
            <w:tcW w:w="808" w:type="dxa"/>
            <w:shd w:val="clear" w:color="auto" w:fill="auto"/>
            <w:noWrap/>
            <w:vAlign w:val="center"/>
          </w:tcPr>
          <w:p w14:paraId="2FBE27B8" w14:textId="77777777" w:rsidR="00724516" w:rsidRPr="000855B2" w:rsidRDefault="00724516" w:rsidP="005C7955">
            <w:pPr>
              <w:spacing w:line="240" w:lineRule="atLeast"/>
              <w:jc w:val="center"/>
              <w:rPr>
                <w:sz w:val="16"/>
                <w:szCs w:val="20"/>
                <w:lang w:val="en-GB" w:eastAsia="el-GR" w:bidi="hi-IN"/>
              </w:rPr>
            </w:pPr>
            <w:r w:rsidRPr="000855B2">
              <w:rPr>
                <w:sz w:val="16"/>
                <w:szCs w:val="20"/>
                <w:lang w:val="en-GB" w:eastAsia="el-GR" w:bidi="hi-IN"/>
              </w:rPr>
              <w:t>Any</w:t>
            </w:r>
          </w:p>
        </w:tc>
        <w:tc>
          <w:tcPr>
            <w:tcW w:w="1099" w:type="dxa"/>
            <w:shd w:val="clear" w:color="auto" w:fill="auto"/>
            <w:noWrap/>
            <w:vAlign w:val="center"/>
          </w:tcPr>
          <w:p w14:paraId="2D06901E" w14:textId="77777777" w:rsidR="00724516" w:rsidRPr="000855B2" w:rsidRDefault="00724516" w:rsidP="005C7955">
            <w:pPr>
              <w:spacing w:line="240" w:lineRule="atLeast"/>
              <w:jc w:val="center"/>
              <w:rPr>
                <w:sz w:val="16"/>
                <w:szCs w:val="20"/>
                <w:lang w:val="en-GB" w:eastAsia="el-GR" w:bidi="hi-IN"/>
              </w:rPr>
            </w:pPr>
            <w:r w:rsidRPr="000855B2">
              <w:rPr>
                <w:sz w:val="16"/>
                <w:lang w:val="en-GB"/>
              </w:rPr>
              <w:t>0.43</w:t>
            </w:r>
          </w:p>
        </w:tc>
        <w:tc>
          <w:tcPr>
            <w:tcW w:w="706" w:type="dxa"/>
            <w:shd w:val="clear" w:color="auto" w:fill="auto"/>
            <w:noWrap/>
            <w:vAlign w:val="center"/>
          </w:tcPr>
          <w:p w14:paraId="6FD3934E" w14:textId="77777777" w:rsidR="00724516" w:rsidRPr="000855B2" w:rsidRDefault="00724516" w:rsidP="005C7955">
            <w:pPr>
              <w:spacing w:line="240" w:lineRule="atLeast"/>
              <w:jc w:val="center"/>
              <w:rPr>
                <w:sz w:val="16"/>
                <w:szCs w:val="20"/>
                <w:lang w:val="en-GB" w:eastAsia="el-GR" w:bidi="hi-IN"/>
              </w:rPr>
            </w:pPr>
          </w:p>
        </w:tc>
        <w:tc>
          <w:tcPr>
            <w:tcW w:w="835" w:type="dxa"/>
            <w:shd w:val="clear" w:color="auto" w:fill="auto"/>
            <w:noWrap/>
            <w:vAlign w:val="center"/>
          </w:tcPr>
          <w:p w14:paraId="22C71152" w14:textId="77777777" w:rsidR="00724516" w:rsidRPr="000855B2" w:rsidRDefault="00724516" w:rsidP="005C7955">
            <w:pPr>
              <w:spacing w:line="240" w:lineRule="atLeast"/>
              <w:jc w:val="center"/>
              <w:rPr>
                <w:sz w:val="16"/>
                <w:szCs w:val="20"/>
                <w:lang w:val="en-GB" w:eastAsia="el-GR" w:bidi="hi-IN"/>
              </w:rPr>
            </w:pPr>
            <w:r w:rsidRPr="000855B2">
              <w:rPr>
                <w:sz w:val="16"/>
                <w:lang w:val="en-GB"/>
              </w:rPr>
              <w:t>0.85</w:t>
            </w:r>
          </w:p>
        </w:tc>
      </w:tr>
    </w:tbl>
    <w:p w14:paraId="21A8954D" w14:textId="34AF6708" w:rsidR="00413B0D" w:rsidRPr="000855B2" w:rsidRDefault="00CB0612" w:rsidP="00546C89">
      <w:pPr>
        <w:pStyle w:val="BodyText"/>
        <w:rPr>
          <w:u w:val="single"/>
        </w:rPr>
      </w:pPr>
      <w:r w:rsidRPr="000855B2">
        <w:t>CO</w:t>
      </w:r>
      <w:r w:rsidRPr="000855B2">
        <w:rPr>
          <w:vertAlign w:val="subscript"/>
        </w:rPr>
        <w:t>2</w:t>
      </w:r>
      <w:r w:rsidRPr="000855B2">
        <w:t xml:space="preserve"> </w:t>
      </w:r>
      <w:r w:rsidR="00634551" w:rsidRPr="000855B2">
        <w:t xml:space="preserve">emissions due to lube oil consumption can be calculated by means of </w:t>
      </w:r>
      <w:r w:rsidRPr="000855B2">
        <w:t xml:space="preserve">equation </w:t>
      </w:r>
      <w:r w:rsidR="00FB454C">
        <w:fldChar w:fldCharType="begin"/>
      </w:r>
      <w:r w:rsidR="00FB454C">
        <w:instrText xml:space="preserve"> REF _Ref172034276 \h  \* MERGEFORMAT </w:instrText>
      </w:r>
      <w:r w:rsidR="00FB454C">
        <w:fldChar w:fldCharType="separate"/>
      </w:r>
      <w:r w:rsidR="0071604C" w:rsidRPr="000855B2">
        <w:t>(</w:t>
      </w:r>
      <w:r w:rsidR="0071604C">
        <w:t>16</w:t>
      </w:r>
      <w:r w:rsidR="00FB454C">
        <w:fldChar w:fldCharType="end"/>
      </w:r>
      <w:r w:rsidRPr="000855B2">
        <w:t>)</w:t>
      </w:r>
      <w:r w:rsidR="00634551" w:rsidRPr="000855B2">
        <w:t>,</w:t>
      </w:r>
      <w:r w:rsidR="00724516" w:rsidRPr="000855B2">
        <w:t xml:space="preserve"> where </w:t>
      </w:r>
      <w:r w:rsidR="00634551" w:rsidRPr="000855B2">
        <w:t xml:space="preserve">fuel consumption should be replaced by the values of </w:t>
      </w:r>
      <w:r w:rsidR="00FB454C">
        <w:fldChar w:fldCharType="begin"/>
      </w:r>
      <w:r w:rsidR="00FB454C">
        <w:instrText xml:space="preserve"> REF _Ref292020654 \h  \* MERGEFORMAT </w:instrText>
      </w:r>
      <w:r w:rsidR="00FB454C">
        <w:fldChar w:fldCharType="separate"/>
      </w:r>
      <w:r w:rsidR="0071604C" w:rsidRPr="000855B2">
        <w:t>Table </w:t>
      </w:r>
      <w:r w:rsidR="0071604C">
        <w:t>3.30</w:t>
      </w:r>
      <w:r w:rsidR="00FB454C">
        <w:fldChar w:fldCharType="end"/>
      </w:r>
      <w:r w:rsidR="00C74E25" w:rsidRPr="000855B2">
        <w:t xml:space="preserve">. </w:t>
      </w:r>
      <w:r w:rsidR="00634551" w:rsidRPr="000855B2">
        <w:t>This will lead to</w:t>
      </w:r>
      <w:r w:rsidR="00C74E25" w:rsidRPr="000855B2">
        <w:t xml:space="preserve"> CO</w:t>
      </w:r>
      <w:r w:rsidR="00C74E25" w:rsidRPr="000855B2">
        <w:rPr>
          <w:vertAlign w:val="subscript"/>
        </w:rPr>
        <w:t>2</w:t>
      </w:r>
      <w:r w:rsidR="00C74E25" w:rsidRPr="000855B2">
        <w:t xml:space="preserve"> emitted in kg per 10</w:t>
      </w:r>
      <w:r w:rsidR="007B51E0">
        <w:t> </w:t>
      </w:r>
      <w:r w:rsidR="00C74E25" w:rsidRPr="000855B2">
        <w:t>000 km</w:t>
      </w:r>
      <w:r w:rsidR="00634551" w:rsidRPr="000855B2">
        <w:t xml:space="preserve"> which has to be converted to t/km by multiplying with 10</w:t>
      </w:r>
      <w:r w:rsidR="00634551" w:rsidRPr="000855B2">
        <w:rPr>
          <w:vertAlign w:val="superscript"/>
        </w:rPr>
        <w:t>-7</w:t>
      </w:r>
      <w:r w:rsidR="00634551" w:rsidRPr="000855B2">
        <w:t>. Typical values for lube oil h</w:t>
      </w:r>
      <w:r w:rsidR="000401F3" w:rsidRPr="000855B2">
        <w:t xml:space="preserve">ydrogen to carbon ratio </w:t>
      </w:r>
      <w:r w:rsidR="009E2242" w:rsidRPr="000855B2">
        <w:t>(r</w:t>
      </w:r>
      <w:r w:rsidR="009E2242" w:rsidRPr="000855B2">
        <w:rPr>
          <w:vertAlign w:val="subscript"/>
        </w:rPr>
        <w:t>H:C</w:t>
      </w:r>
      <w:r w:rsidR="009E2242" w:rsidRPr="000855B2">
        <w:t xml:space="preserve">) </w:t>
      </w:r>
      <w:r w:rsidR="000401F3" w:rsidRPr="000855B2">
        <w:t xml:space="preserve">is 2.08, while oxygen to carbon ratio </w:t>
      </w:r>
      <w:r w:rsidR="009E2242" w:rsidRPr="000855B2">
        <w:t>(r</w:t>
      </w:r>
      <w:r w:rsidR="009E2242" w:rsidRPr="000855B2">
        <w:rPr>
          <w:vertAlign w:val="subscript"/>
        </w:rPr>
        <w:t>O:C</w:t>
      </w:r>
      <w:r w:rsidR="009E2242" w:rsidRPr="000855B2">
        <w:t xml:space="preserve">) </w:t>
      </w:r>
      <w:r w:rsidR="000401F3" w:rsidRPr="000855B2">
        <w:t xml:space="preserve">is 0. </w:t>
      </w:r>
    </w:p>
    <w:p w14:paraId="5B748077" w14:textId="77777777" w:rsidR="00004C9A" w:rsidRPr="000855B2" w:rsidRDefault="00004C9A" w:rsidP="00004C9A">
      <w:pPr>
        <w:pStyle w:val="BodyText"/>
        <w:rPr>
          <w:u w:val="single"/>
        </w:rPr>
      </w:pPr>
      <w:r w:rsidRPr="000855B2">
        <w:rPr>
          <w:u w:val="single"/>
        </w:rPr>
        <w:t>CO</w:t>
      </w:r>
      <w:r w:rsidRPr="000855B2">
        <w:rPr>
          <w:u w:val="single"/>
          <w:vertAlign w:val="subscript"/>
        </w:rPr>
        <w:t>2</w:t>
      </w:r>
      <w:r w:rsidRPr="000855B2">
        <w:rPr>
          <w:u w:val="single"/>
        </w:rPr>
        <w:t xml:space="preserve"> due to exhaust additives</w:t>
      </w:r>
    </w:p>
    <w:p w14:paraId="1F7138BD" w14:textId="77777777" w:rsidR="00004C9A" w:rsidRPr="000855B2" w:rsidRDefault="00004C9A" w:rsidP="00546C89">
      <w:pPr>
        <w:pStyle w:val="BodyText"/>
      </w:pPr>
      <w:r w:rsidRPr="000855B2">
        <w:t>Aftertreatment systems used to reduce NO</w:t>
      </w:r>
      <w:r w:rsidRPr="000855B2">
        <w:rPr>
          <w:vertAlign w:val="subscript"/>
        </w:rPr>
        <w:t>x</w:t>
      </w:r>
      <w:r w:rsidRPr="000855B2">
        <w:t xml:space="preserve"> emissions utilize an aqueous solution of urea as a reducing agent.</w:t>
      </w:r>
      <w:r w:rsidR="000D48AD" w:rsidRPr="000855B2">
        <w:t xml:space="preserve"> These are common in Euro V and Euro VI heavy duty vehicles and expected to become widespread in Euro 6 diesel </w:t>
      </w:r>
      <w:r w:rsidR="00606052" w:rsidRPr="000855B2">
        <w:t>light commercial</w:t>
      </w:r>
      <w:r w:rsidR="000D48AD" w:rsidRPr="000855B2">
        <w:t xml:space="preserve"> vehicles as well. </w:t>
      </w:r>
      <w:r w:rsidRPr="000855B2">
        <w:t>Urea has a chemical type of (NH</w:t>
      </w:r>
      <w:r w:rsidRPr="000855B2">
        <w:rPr>
          <w:vertAlign w:val="subscript"/>
        </w:rPr>
        <w:t>2</w:t>
      </w:r>
      <w:r w:rsidRPr="000855B2">
        <w:t>)</w:t>
      </w:r>
      <w:r w:rsidRPr="000855B2">
        <w:rPr>
          <w:vertAlign w:val="subscript"/>
        </w:rPr>
        <w:t>2</w:t>
      </w:r>
      <w:r w:rsidRPr="000855B2">
        <w:t>CO and when it is injected upstream of a hydrolysis catalyst</w:t>
      </w:r>
      <w:r w:rsidR="00634551" w:rsidRPr="000855B2">
        <w:t xml:space="preserve"> in the exhaust line</w:t>
      </w:r>
      <w:r w:rsidRPr="000855B2">
        <w:t>, then the following reaction takes place:</w:t>
      </w:r>
    </w:p>
    <w:p w14:paraId="559A6687" w14:textId="77777777" w:rsidR="00004C9A" w:rsidRPr="000855B2" w:rsidRDefault="009A431A" w:rsidP="00004C9A">
      <w:pPr>
        <w:pStyle w:val="BodyText"/>
      </w:pPr>
      <w:r w:rsidRPr="000855B2">
        <w:rPr>
          <w:b/>
          <w:position w:val="-12"/>
        </w:rPr>
        <w:object w:dxaOrig="3540" w:dyaOrig="360" w14:anchorId="7461E28E">
          <v:shape id="_x0000_i1033" type="#_x0000_t75" style="width:151.35pt;height:17.1pt" o:ole="" fillcolor="window">
            <v:imagedata r:id="rId32" o:title=""/>
          </v:shape>
          <o:OLEObject Type="Embed" ProgID="Equation.3" ShapeID="_x0000_i1033" DrawAspect="Content" ObjectID="_1555746396" r:id="rId33"/>
        </w:object>
      </w:r>
    </w:p>
    <w:p w14:paraId="1F5C27E8" w14:textId="77777777" w:rsidR="00004C9A" w:rsidRPr="000855B2" w:rsidRDefault="00004C9A" w:rsidP="00546C89">
      <w:pPr>
        <w:pStyle w:val="BodyText"/>
      </w:pPr>
      <w:r w:rsidRPr="000855B2">
        <w:t xml:space="preserve">The ammonia formed </w:t>
      </w:r>
      <w:r w:rsidR="000D48AD" w:rsidRPr="000855B2">
        <w:t xml:space="preserve">by this reaction </w:t>
      </w:r>
      <w:r w:rsidRPr="000855B2">
        <w:t>is the primary agent that reacts with nitrogen oxides to reduce them to nitrogen. However, this hydrolysis equation also leads to the formation of a carb</w:t>
      </w:r>
      <w:r w:rsidR="000D48AD" w:rsidRPr="000855B2">
        <w:t>on dioxide molecule that is released to the atmosphere. This contributes to total CO</w:t>
      </w:r>
      <w:r w:rsidR="000D48AD" w:rsidRPr="000855B2">
        <w:rPr>
          <w:vertAlign w:val="subscript"/>
        </w:rPr>
        <w:t>2</w:t>
      </w:r>
      <w:r w:rsidR="000D48AD" w:rsidRPr="000855B2">
        <w:t xml:space="preserve"> emitted from these vehicles.</w:t>
      </w:r>
    </w:p>
    <w:p w14:paraId="2D73A11C" w14:textId="77777777" w:rsidR="000D48AD" w:rsidRPr="000855B2" w:rsidRDefault="000D48AD" w:rsidP="00546C89">
      <w:pPr>
        <w:pStyle w:val="BodyText"/>
      </w:pPr>
      <w:r w:rsidRPr="000855B2">
        <w:t xml:space="preserve">The specifications of commercially available urea </w:t>
      </w:r>
      <w:r w:rsidR="00937A47" w:rsidRPr="000855B2">
        <w:t xml:space="preserve">solution </w:t>
      </w:r>
      <w:r w:rsidRPr="000855B2">
        <w:t xml:space="preserve">as an </w:t>
      </w:r>
      <w:smartTag w:uri="urn:schemas-microsoft-com:office:smarttags" w:element="stockticker">
        <w:r w:rsidRPr="000855B2">
          <w:t>SCR</w:t>
        </w:r>
      </w:smartTag>
      <w:r w:rsidRPr="000855B2">
        <w:t xml:space="preserve"> agent for mobile use are regulated by </w:t>
      </w:r>
      <w:smartTag w:uri="urn:schemas-microsoft-com:office:smarttags" w:element="stockticker">
        <w:r w:rsidRPr="000855B2">
          <w:t>DIN</w:t>
        </w:r>
      </w:smartTag>
      <w:r w:rsidRPr="000855B2">
        <w:t xml:space="preserve"> 70070, which specifies that urea should be in aqueous solution at a </w:t>
      </w:r>
      <w:r w:rsidR="00937A47" w:rsidRPr="000855B2">
        <w:t>content</w:t>
      </w:r>
      <w:r w:rsidRPr="000855B2">
        <w:t xml:space="preserve"> of 32.5% wt (±0.7%)</w:t>
      </w:r>
      <w:r w:rsidR="00AC2930" w:rsidRPr="000855B2">
        <w:t xml:space="preserve"> and a density of 1.09 g/cm</w:t>
      </w:r>
      <w:r w:rsidR="00AC2930" w:rsidRPr="000855B2">
        <w:rPr>
          <w:vertAlign w:val="superscript"/>
        </w:rPr>
        <w:t>3</w:t>
      </w:r>
      <w:r w:rsidR="00AC2930" w:rsidRPr="000855B2">
        <w:t xml:space="preserve">. If total commercial urea </w:t>
      </w:r>
      <w:r w:rsidR="00937A47" w:rsidRPr="000855B2">
        <w:t xml:space="preserve">solution </w:t>
      </w:r>
      <w:r w:rsidR="00AC2930" w:rsidRPr="000855B2">
        <w:t>sales are known (UC in litres), then total ultimate CO</w:t>
      </w:r>
      <w:r w:rsidR="00AC2930" w:rsidRPr="000855B2">
        <w:rPr>
          <w:vertAlign w:val="subscript"/>
        </w:rPr>
        <w:t>2</w:t>
      </w:r>
      <w:r w:rsidR="00AC2930" w:rsidRPr="000855B2">
        <w:t xml:space="preserve"> emissions </w:t>
      </w:r>
      <w:r w:rsidR="00937A47" w:rsidRPr="000855B2">
        <w:t xml:space="preserve">(in kg) </w:t>
      </w:r>
      <w:r w:rsidR="00AC2930" w:rsidRPr="000855B2">
        <w:t>by the use of the additive can be calculated by</w:t>
      </w:r>
      <w:r w:rsidR="00937A47" w:rsidRPr="000855B2">
        <w:t xml:space="preserve"> means of</w:t>
      </w:r>
      <w:r w:rsidR="00AC2930" w:rsidRPr="000855B2">
        <w:t xml:space="preserve"> the following equation:</w:t>
      </w:r>
    </w:p>
    <w:tbl>
      <w:tblPr>
        <w:tblW w:w="0" w:type="auto"/>
        <w:tblBorders>
          <w:insideH w:val="single" w:sz="4" w:space="0" w:color="auto"/>
        </w:tblBorders>
        <w:tblLook w:val="01E0" w:firstRow="1" w:lastRow="1" w:firstColumn="1" w:lastColumn="1" w:noHBand="0" w:noVBand="0"/>
      </w:tblPr>
      <w:tblGrid>
        <w:gridCol w:w="7714"/>
        <w:gridCol w:w="749"/>
      </w:tblGrid>
      <w:tr w:rsidR="00AC2930" w:rsidRPr="000855B2" w14:paraId="05EE14EF" w14:textId="77777777">
        <w:tc>
          <w:tcPr>
            <w:tcW w:w="8240" w:type="dxa"/>
            <w:tcMar>
              <w:left w:w="0" w:type="dxa"/>
              <w:right w:w="0" w:type="dxa"/>
            </w:tcMar>
            <w:vAlign w:val="center"/>
          </w:tcPr>
          <w:p w14:paraId="47F880FE" w14:textId="77777777" w:rsidR="00AC2930" w:rsidRPr="000855B2" w:rsidRDefault="009A431A" w:rsidP="00546C89">
            <w:pPr>
              <w:numPr>
                <w:ilvl w:val="12"/>
                <w:numId w:val="0"/>
              </w:numPr>
              <w:rPr>
                <w:lang w:val="en-GB"/>
              </w:rPr>
            </w:pPr>
            <w:r w:rsidRPr="000855B2">
              <w:rPr>
                <w:b/>
                <w:position w:val="-12"/>
                <w:lang w:val="en-GB"/>
              </w:rPr>
              <w:object w:dxaOrig="2160" w:dyaOrig="360" w14:anchorId="6A3D6528">
                <v:shape id="_x0000_i1034" type="#_x0000_t75" style="width:91.8pt;height:17.1pt" o:ole="" fillcolor="window">
                  <v:imagedata r:id="rId34" o:title=""/>
                </v:shape>
                <o:OLEObject Type="Embed" ProgID="Equation.3" ShapeID="_x0000_i1034" DrawAspect="Content" ObjectID="_1555746397" r:id="rId35"/>
              </w:object>
            </w:r>
          </w:p>
        </w:tc>
        <w:tc>
          <w:tcPr>
            <w:tcW w:w="787" w:type="dxa"/>
            <w:tcMar>
              <w:left w:w="0" w:type="dxa"/>
              <w:right w:w="0" w:type="dxa"/>
            </w:tcMar>
            <w:vAlign w:val="center"/>
          </w:tcPr>
          <w:p w14:paraId="2379779A" w14:textId="787F3D63" w:rsidR="00AC2930" w:rsidRPr="000855B2" w:rsidRDefault="00AC2930" w:rsidP="00546C89">
            <w:pPr>
              <w:keepNext/>
              <w:numPr>
                <w:ilvl w:val="12"/>
                <w:numId w:val="0"/>
              </w:numPr>
              <w:rPr>
                <w:lang w:val="en-GB"/>
              </w:rPr>
            </w:pPr>
            <w:bookmarkStart w:id="143" w:name="_Ref291679147"/>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18</w:t>
            </w:r>
            <w:r w:rsidR="00E17971">
              <w:rPr>
                <w:lang w:val="en-GB"/>
              </w:rPr>
              <w:fldChar w:fldCharType="end"/>
            </w:r>
            <w:r w:rsidRPr="000855B2">
              <w:rPr>
                <w:lang w:val="en-GB"/>
              </w:rPr>
              <w:t>)</w:t>
            </w:r>
            <w:bookmarkEnd w:id="143"/>
          </w:p>
        </w:tc>
      </w:tr>
    </w:tbl>
    <w:p w14:paraId="19A5BAF7" w14:textId="77777777" w:rsidR="007011A7" w:rsidRPr="000855B2" w:rsidRDefault="007011A7" w:rsidP="00546C89">
      <w:pPr>
        <w:rPr>
          <w:lang w:val="en-GB"/>
        </w:rPr>
      </w:pPr>
    </w:p>
    <w:p w14:paraId="06025AAB" w14:textId="77777777" w:rsidR="000D48AD" w:rsidRPr="000855B2" w:rsidRDefault="00937A47" w:rsidP="00546C89">
      <w:pPr>
        <w:rPr>
          <w:lang w:val="en-GB"/>
        </w:rPr>
      </w:pPr>
      <w:r w:rsidRPr="000855B2">
        <w:rPr>
          <w:lang w:val="en-GB"/>
        </w:rPr>
        <w:t>The coefficient 0.26 (kg CO</w:t>
      </w:r>
      <w:r w:rsidRPr="000855B2">
        <w:rPr>
          <w:vertAlign w:val="subscript"/>
          <w:lang w:val="en-GB"/>
        </w:rPr>
        <w:t>2</w:t>
      </w:r>
      <w:r w:rsidRPr="000855B2">
        <w:rPr>
          <w:lang w:val="en-GB"/>
        </w:rPr>
        <w:t>/lt urea solution) takes into account the density of urea solution, the molecular masses of CO</w:t>
      </w:r>
      <w:r w:rsidRPr="000855B2">
        <w:rPr>
          <w:vertAlign w:val="subscript"/>
          <w:lang w:val="en-GB"/>
        </w:rPr>
        <w:t>2</w:t>
      </w:r>
      <w:r w:rsidRPr="000855B2">
        <w:rPr>
          <w:lang w:val="en-GB"/>
        </w:rPr>
        <w:t xml:space="preserve"> and urea and the content of urea in the solution. If total urea consumption is known in kg, then the coefficient needs to change to 0.238 (kg CO</w:t>
      </w:r>
      <w:r w:rsidRPr="000855B2">
        <w:rPr>
          <w:vertAlign w:val="subscript"/>
          <w:lang w:val="en-GB"/>
        </w:rPr>
        <w:t>2</w:t>
      </w:r>
      <w:r w:rsidRPr="000855B2">
        <w:rPr>
          <w:lang w:val="en-GB"/>
        </w:rPr>
        <w:t xml:space="preserve">/kg urea solution). </w:t>
      </w:r>
    </w:p>
    <w:p w14:paraId="235D09CB" w14:textId="520D20FF" w:rsidR="003851B6" w:rsidRPr="000855B2" w:rsidRDefault="0086421B" w:rsidP="00546C89">
      <w:pPr>
        <w:spacing w:before="240"/>
        <w:rPr>
          <w:lang w:val="en-GB" w:eastAsia="it-IT"/>
        </w:rPr>
      </w:pPr>
      <w:r w:rsidRPr="000855B2">
        <w:rPr>
          <w:lang w:val="en-GB" w:eastAsia="it-IT"/>
        </w:rPr>
        <w:t>If total urea solution consumption is not known, then one may assume that the co</w:t>
      </w:r>
      <w:r w:rsidR="003642FF" w:rsidRPr="000855B2">
        <w:rPr>
          <w:lang w:val="en-GB" w:eastAsia="it-IT"/>
        </w:rPr>
        <w:t>nsumption of urea solution is ~5-7</w:t>
      </w:r>
      <w:r w:rsidRPr="000855B2">
        <w:rPr>
          <w:lang w:val="en-GB" w:eastAsia="it-IT"/>
        </w:rPr>
        <w:t>% of fuel consumption at a Euro V level and ~</w:t>
      </w:r>
      <w:r w:rsidR="003642FF" w:rsidRPr="000855B2">
        <w:rPr>
          <w:lang w:val="en-GB" w:eastAsia="it-IT"/>
        </w:rPr>
        <w:t>3-4</w:t>
      </w:r>
      <w:r w:rsidRPr="000855B2">
        <w:rPr>
          <w:lang w:val="en-GB" w:eastAsia="it-IT"/>
        </w:rPr>
        <w:t xml:space="preserve">% of fuel consumption at a Euro VI level. Therefore, one first needs to calculate the share of </w:t>
      </w:r>
      <w:smartTag w:uri="urn:schemas-microsoft-com:office:smarttags" w:element="stockticker">
        <w:r w:rsidRPr="000855B2">
          <w:rPr>
            <w:lang w:val="en-GB" w:eastAsia="it-IT"/>
          </w:rPr>
          <w:t>SCR</w:t>
        </w:r>
      </w:smartTag>
      <w:r w:rsidRPr="000855B2">
        <w:rPr>
          <w:lang w:val="en-GB" w:eastAsia="it-IT"/>
        </w:rPr>
        <w:t>-equipped vehicles in each technology class and calculate their fuel con</w:t>
      </w:r>
      <w:r w:rsidR="003642FF" w:rsidRPr="000855B2">
        <w:rPr>
          <w:lang w:val="en-GB" w:eastAsia="it-IT"/>
        </w:rPr>
        <w:t xml:space="preserve">sumption, then apply a </w:t>
      </w:r>
      <w:r w:rsidRPr="000855B2">
        <w:rPr>
          <w:lang w:val="en-GB" w:eastAsia="it-IT"/>
        </w:rPr>
        <w:t xml:space="preserve">coefficient </w:t>
      </w:r>
      <w:r w:rsidR="003642FF" w:rsidRPr="000855B2">
        <w:rPr>
          <w:lang w:val="en-GB" w:eastAsia="it-IT"/>
        </w:rPr>
        <w:t xml:space="preserve">in the range proposed above </w:t>
      </w:r>
      <w:r w:rsidRPr="000855B2">
        <w:rPr>
          <w:lang w:val="en-GB" w:eastAsia="it-IT"/>
        </w:rPr>
        <w:t>and sum up to calculate UC. After doing so, CO</w:t>
      </w:r>
      <w:r w:rsidRPr="000855B2">
        <w:rPr>
          <w:vertAlign w:val="subscript"/>
          <w:lang w:val="en-GB" w:eastAsia="it-IT"/>
        </w:rPr>
        <w:t>2</w:t>
      </w:r>
      <w:r w:rsidRPr="000855B2">
        <w:rPr>
          <w:lang w:val="en-GB" w:eastAsia="it-IT"/>
        </w:rPr>
        <w:t xml:space="preserve"> emission can be calculated by applying equation </w:t>
      </w:r>
      <w:r w:rsidR="00FB454C">
        <w:fldChar w:fldCharType="begin"/>
      </w:r>
      <w:r w:rsidR="00FB454C">
        <w:instrText xml:space="preserve"> REF _Ref291679147 \h  \* MERGEFORMAT </w:instrText>
      </w:r>
      <w:r w:rsidR="00FB454C">
        <w:fldChar w:fldCharType="separate"/>
      </w:r>
      <w:r w:rsidR="0071604C" w:rsidRPr="000855B2">
        <w:rPr>
          <w:lang w:val="en-GB"/>
        </w:rPr>
        <w:t>(</w:t>
      </w:r>
      <w:r w:rsidR="0071604C">
        <w:rPr>
          <w:noProof/>
          <w:lang w:val="en-GB"/>
        </w:rPr>
        <w:t>18</w:t>
      </w:r>
      <w:r w:rsidR="0071604C" w:rsidRPr="000855B2">
        <w:rPr>
          <w:noProof/>
          <w:lang w:val="en-GB"/>
        </w:rPr>
        <w:t>)</w:t>
      </w:r>
      <w:r w:rsidR="00FB454C">
        <w:fldChar w:fldCharType="end"/>
      </w:r>
      <w:r w:rsidRPr="000855B2">
        <w:rPr>
          <w:lang w:val="en-GB" w:eastAsia="it-IT"/>
        </w:rPr>
        <w:t>.</w:t>
      </w:r>
    </w:p>
    <w:p w14:paraId="434D8903" w14:textId="1AE936BC" w:rsidR="001D2587" w:rsidRPr="000855B2" w:rsidRDefault="001D2587" w:rsidP="005B17F2">
      <w:pPr>
        <w:pStyle w:val="Heading4"/>
        <w:rPr>
          <w:lang w:eastAsia="it-IT"/>
        </w:rPr>
      </w:pPr>
      <w:r w:rsidRPr="000855B2">
        <w:rPr>
          <w:lang w:eastAsia="it-IT"/>
        </w:rPr>
        <w:t>Sulphur dioxide (SO</w:t>
      </w:r>
      <w:r w:rsidR="0038472B" w:rsidRPr="0038472B">
        <w:rPr>
          <w:vertAlign w:val="subscript"/>
          <w:lang w:eastAsia="it-IT"/>
        </w:rPr>
        <w:t>2</w:t>
      </w:r>
      <w:r w:rsidRPr="000855B2">
        <w:rPr>
          <w:lang w:eastAsia="it-IT"/>
        </w:rPr>
        <w:t>) emissions</w:t>
      </w:r>
    </w:p>
    <w:p w14:paraId="108E10E2" w14:textId="77777777" w:rsidR="001D2587" w:rsidRPr="000855B2" w:rsidRDefault="00086EE0" w:rsidP="00546C89">
      <w:pPr>
        <w:pStyle w:val="BodyText"/>
      </w:pPr>
      <w:r w:rsidRPr="000855B2">
        <w:t>E</w:t>
      </w:r>
      <w:r w:rsidR="001D2587" w:rsidRPr="000855B2">
        <w:t>missions of SO</w:t>
      </w:r>
      <w:r w:rsidR="001D2587" w:rsidRPr="000855B2">
        <w:rPr>
          <w:vertAlign w:val="subscript"/>
        </w:rPr>
        <w:t>2</w:t>
      </w:r>
      <w:r w:rsidR="001D2587" w:rsidRPr="000855B2">
        <w:t xml:space="preserve"> are estimated by assuming that all </w:t>
      </w:r>
      <w:r w:rsidRPr="000855B2">
        <w:t xml:space="preserve">the </w:t>
      </w:r>
      <w:r w:rsidR="001D2587" w:rsidRPr="000855B2">
        <w:t>sulphur in the fuel is transformed completely into SO</w:t>
      </w:r>
      <w:r w:rsidR="001D2587" w:rsidRPr="000855B2">
        <w:rPr>
          <w:vertAlign w:val="subscript"/>
        </w:rPr>
        <w:t>2</w:t>
      </w:r>
      <w:r w:rsidR="001D2587" w:rsidRPr="000855B2">
        <w:t xml:space="preserve"> using the formula:</w:t>
      </w:r>
    </w:p>
    <w:p w14:paraId="352A6AF2" w14:textId="77777777" w:rsidR="001D2587" w:rsidRPr="000855B2" w:rsidRDefault="001D2587" w:rsidP="00546C89">
      <w:pPr>
        <w:rPr>
          <w:lang w:val="en-GB"/>
        </w:rPr>
      </w:pPr>
    </w:p>
    <w:tbl>
      <w:tblPr>
        <w:tblW w:w="0" w:type="auto"/>
        <w:tblBorders>
          <w:insideH w:val="single" w:sz="4" w:space="0" w:color="auto"/>
        </w:tblBorders>
        <w:tblLook w:val="01E0" w:firstRow="1" w:lastRow="1" w:firstColumn="1" w:lastColumn="1" w:noHBand="0" w:noVBand="0"/>
      </w:tblPr>
      <w:tblGrid>
        <w:gridCol w:w="7717"/>
        <w:gridCol w:w="746"/>
      </w:tblGrid>
      <w:tr w:rsidR="001D2587" w:rsidRPr="000855B2" w14:paraId="757BECD5" w14:textId="77777777">
        <w:tc>
          <w:tcPr>
            <w:tcW w:w="8240" w:type="dxa"/>
            <w:tcMar>
              <w:left w:w="0" w:type="dxa"/>
              <w:right w:w="0" w:type="dxa"/>
            </w:tcMar>
            <w:vAlign w:val="center"/>
          </w:tcPr>
          <w:p w14:paraId="37558C46" w14:textId="77777777" w:rsidR="001D2587" w:rsidRPr="000855B2" w:rsidRDefault="00C1709E" w:rsidP="00546C89">
            <w:pPr>
              <w:numPr>
                <w:ilvl w:val="12"/>
                <w:numId w:val="0"/>
              </w:numPr>
              <w:rPr>
                <w:lang w:val="en-GB"/>
              </w:rPr>
            </w:pPr>
            <w:r w:rsidRPr="000855B2">
              <w:rPr>
                <w:b/>
                <w:position w:val="-14"/>
                <w:lang w:val="en-GB"/>
              </w:rPr>
              <w:object w:dxaOrig="2240" w:dyaOrig="420" w14:anchorId="505EAE3C">
                <v:shape id="_x0000_i1035" type="#_x0000_t75" style="width:112.55pt;height:21.25pt" o:ole="" fillcolor="window">
                  <v:imagedata r:id="rId36" o:title=""/>
                </v:shape>
                <o:OLEObject Type="Embed" ProgID="Equation.3" ShapeID="_x0000_i1035" DrawAspect="Content" ObjectID="_1555746398" r:id="rId37"/>
              </w:object>
            </w:r>
          </w:p>
        </w:tc>
        <w:tc>
          <w:tcPr>
            <w:tcW w:w="787" w:type="dxa"/>
            <w:tcMar>
              <w:left w:w="0" w:type="dxa"/>
              <w:right w:w="0" w:type="dxa"/>
            </w:tcMar>
            <w:vAlign w:val="center"/>
          </w:tcPr>
          <w:p w14:paraId="67F32268" w14:textId="2423F36C" w:rsidR="001D2587" w:rsidRPr="000855B2" w:rsidRDefault="001D2587" w:rsidP="00546C89">
            <w:pPr>
              <w:numPr>
                <w:ilvl w:val="12"/>
                <w:numId w:val="0"/>
              </w:numPr>
              <w:rPr>
                <w:lang w:val="en-GB"/>
              </w:rPr>
            </w:pPr>
            <w:bookmarkStart w:id="144" w:name="_Ref476246870"/>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19</w:t>
            </w:r>
            <w:r w:rsidR="00E17971">
              <w:rPr>
                <w:lang w:val="en-GB"/>
              </w:rPr>
              <w:fldChar w:fldCharType="end"/>
            </w:r>
            <w:r w:rsidRPr="000855B2">
              <w:rPr>
                <w:lang w:val="en-GB"/>
              </w:rPr>
              <w:t>)</w:t>
            </w:r>
            <w:bookmarkEnd w:id="144"/>
          </w:p>
        </w:tc>
      </w:tr>
    </w:tbl>
    <w:p w14:paraId="2E39ADA7" w14:textId="77777777" w:rsidR="001D2587" w:rsidRPr="000855B2" w:rsidRDefault="001D2587" w:rsidP="00546C89">
      <w:pPr>
        <w:rPr>
          <w:lang w:val="en-GB"/>
        </w:rPr>
      </w:pPr>
      <w:r w:rsidRPr="000855B2">
        <w:rPr>
          <w:lang w:val="en-GB"/>
        </w:rPr>
        <w:t>where,</w:t>
      </w:r>
    </w:p>
    <w:p w14:paraId="75C7A653" w14:textId="77777777" w:rsidR="00921B47" w:rsidRPr="000855B2" w:rsidRDefault="00921B47" w:rsidP="00546C89">
      <w:pPr>
        <w:rPr>
          <w:lang w:val="en-GB"/>
        </w:rPr>
      </w:pPr>
    </w:p>
    <w:p w14:paraId="0744A302" w14:textId="77777777" w:rsidR="001D2587" w:rsidRPr="000855B2" w:rsidRDefault="001D2587" w:rsidP="000010D7">
      <w:pPr>
        <w:tabs>
          <w:tab w:val="left" w:pos="709"/>
          <w:tab w:val="left" w:pos="993"/>
          <w:tab w:val="right" w:pos="1368"/>
        </w:tabs>
        <w:rPr>
          <w:lang w:val="en-GB"/>
        </w:rPr>
      </w:pPr>
      <w:r w:rsidRPr="000855B2">
        <w:rPr>
          <w:b/>
          <w:position w:val="-14"/>
          <w:lang w:val="en-GB"/>
        </w:rPr>
        <w:object w:dxaOrig="440" w:dyaOrig="380" w14:anchorId="5B4F138E">
          <v:shape id="_x0000_i1036" type="#_x0000_t75" style="width:21.25pt;height:17.1pt" o:ole="" fillcolor="window">
            <v:imagedata r:id="rId38" o:title=""/>
          </v:shape>
          <o:OLEObject Type="Embed" ProgID="Equation.3" ShapeID="_x0000_i1036" DrawAspect="Content" ObjectID="_1555746399" r:id="rId39"/>
        </w:object>
      </w:r>
      <w:r w:rsidR="00086EE0" w:rsidRPr="000855B2">
        <w:rPr>
          <w:lang w:val="en-GB"/>
        </w:rPr>
        <w:tab/>
        <w:t>=</w:t>
      </w:r>
      <w:r w:rsidR="00086EE0" w:rsidRPr="000855B2">
        <w:rPr>
          <w:lang w:val="en-GB"/>
        </w:rPr>
        <w:tab/>
      </w:r>
      <w:r w:rsidRPr="000855B2">
        <w:rPr>
          <w:lang w:val="en-GB"/>
        </w:rPr>
        <w:tab/>
        <w:t>weight</w:t>
      </w:r>
      <w:r w:rsidR="00086EE0" w:rsidRPr="000855B2">
        <w:rPr>
          <w:lang w:val="en-GB"/>
        </w:rPr>
        <w:t>-</w:t>
      </w:r>
      <w:r w:rsidRPr="000855B2">
        <w:rPr>
          <w:lang w:val="en-GB"/>
        </w:rPr>
        <w:t>related sulphur content in fuel of type m [kg/kg fuel].</w:t>
      </w:r>
    </w:p>
    <w:p w14:paraId="6F2E4A15" w14:textId="77777777" w:rsidR="001D2587" w:rsidRPr="000855B2" w:rsidRDefault="001D2587">
      <w:pPr>
        <w:tabs>
          <w:tab w:val="right" w:pos="1368"/>
          <w:tab w:val="left" w:pos="1531"/>
        </w:tabs>
        <w:rPr>
          <w:lang w:val="en-GB"/>
        </w:rPr>
      </w:pPr>
    </w:p>
    <w:p w14:paraId="5DDCF6F9" w14:textId="6C3B048E" w:rsidR="001D2587" w:rsidRPr="000855B2" w:rsidRDefault="001D2587" w:rsidP="005B17F2">
      <w:pPr>
        <w:pStyle w:val="Heading4"/>
        <w:rPr>
          <w:lang w:eastAsia="it-IT"/>
        </w:rPr>
      </w:pPr>
      <w:bookmarkStart w:id="145" w:name="_Toc457131588"/>
      <w:bookmarkStart w:id="146" w:name="_Ref209504367"/>
      <w:r w:rsidRPr="005B17F2">
        <w:rPr>
          <w:lang w:eastAsia="it-IT"/>
        </w:rPr>
        <w:t>Lead (Pb) and other heavy metals emissions</w:t>
      </w:r>
      <w:bookmarkEnd w:id="145"/>
      <w:bookmarkEnd w:id="146"/>
    </w:p>
    <w:p w14:paraId="00FB854E" w14:textId="77777777" w:rsidR="001D2587" w:rsidRPr="000855B2" w:rsidRDefault="001D2587" w:rsidP="00E44952">
      <w:pPr>
        <w:pStyle w:val="BodyText"/>
      </w:pPr>
      <w:r w:rsidRPr="000855B2">
        <w:t xml:space="preserve">Emissions of lead </w:t>
      </w:r>
      <w:r w:rsidR="00277644" w:rsidRPr="000855B2">
        <w:t xml:space="preserve">have been significantly dropped in Europe, as a result of unleaded </w:t>
      </w:r>
      <w:r w:rsidR="005E4DC4">
        <w:t>petrol</w:t>
      </w:r>
      <w:r w:rsidR="00277644" w:rsidRPr="000855B2">
        <w:t xml:space="preserve"> introduction already from the early 1990s. In the case of the few instances where leaded fuel is still available, Hassel et al. (1987) identified that only approximately 75% of the total lead is emitted to the atmosphere. </w:t>
      </w:r>
      <w:r w:rsidR="00E44952">
        <w:t>Therefore for inventories referring to the early 1990s it is advised to provide a reduced fuel lead content in the fuel specifications according to the abovementioned observation. This is mathematically expressed in the following equation.</w:t>
      </w:r>
    </w:p>
    <w:p w14:paraId="4C35A274" w14:textId="77777777" w:rsidR="001D2587" w:rsidRPr="000855B2" w:rsidRDefault="001D2587" w:rsidP="00546C89">
      <w:pPr>
        <w:rPr>
          <w:lang w:val="en-GB"/>
        </w:rPr>
      </w:pPr>
    </w:p>
    <w:tbl>
      <w:tblPr>
        <w:tblW w:w="0" w:type="auto"/>
        <w:tblBorders>
          <w:insideH w:val="single" w:sz="4" w:space="0" w:color="auto"/>
        </w:tblBorders>
        <w:tblLook w:val="01E0" w:firstRow="1" w:lastRow="1" w:firstColumn="1" w:lastColumn="1" w:noHBand="0" w:noVBand="0"/>
      </w:tblPr>
      <w:tblGrid>
        <w:gridCol w:w="7722"/>
        <w:gridCol w:w="741"/>
      </w:tblGrid>
      <w:tr w:rsidR="001D2587" w:rsidRPr="000855B2" w14:paraId="699B4E32" w14:textId="77777777">
        <w:tc>
          <w:tcPr>
            <w:tcW w:w="8240" w:type="dxa"/>
            <w:tcMar>
              <w:left w:w="0" w:type="dxa"/>
              <w:right w:w="0" w:type="dxa"/>
            </w:tcMar>
            <w:vAlign w:val="center"/>
          </w:tcPr>
          <w:p w14:paraId="40A620EC" w14:textId="77777777" w:rsidR="001D2587" w:rsidRPr="000855B2" w:rsidRDefault="00C1709E" w:rsidP="00546C89">
            <w:pPr>
              <w:numPr>
                <w:ilvl w:val="12"/>
                <w:numId w:val="0"/>
              </w:numPr>
              <w:rPr>
                <w:lang w:val="en-GB"/>
              </w:rPr>
            </w:pPr>
            <w:r w:rsidRPr="000855B2">
              <w:rPr>
                <w:b/>
                <w:position w:val="-14"/>
                <w:lang w:val="en-GB"/>
              </w:rPr>
              <w:object w:dxaOrig="2940" w:dyaOrig="420" w14:anchorId="03AE0DAD">
                <v:shape id="_x0000_i1037" type="#_x0000_t75" style="width:148.2pt;height:21.25pt" o:ole="" fillcolor="window">
                  <v:imagedata r:id="rId40" o:title=""/>
                </v:shape>
                <o:OLEObject Type="Embed" ProgID="Equation.3" ShapeID="_x0000_i1037" DrawAspect="Content" ObjectID="_1555746400" r:id="rId41"/>
              </w:object>
            </w:r>
          </w:p>
        </w:tc>
        <w:tc>
          <w:tcPr>
            <w:tcW w:w="787" w:type="dxa"/>
            <w:tcMar>
              <w:left w:w="0" w:type="dxa"/>
              <w:right w:w="0" w:type="dxa"/>
            </w:tcMar>
            <w:vAlign w:val="center"/>
          </w:tcPr>
          <w:p w14:paraId="4049C870" w14:textId="0271D0A4" w:rsidR="001D2587" w:rsidRPr="000855B2" w:rsidRDefault="001D2587" w:rsidP="00546C89">
            <w:pPr>
              <w:numPr>
                <w:ilvl w:val="12"/>
                <w:numId w:val="0"/>
              </w:numPr>
              <w:rPr>
                <w:lang w:val="en-GB"/>
              </w:rPr>
            </w:pPr>
            <w:bookmarkStart w:id="147" w:name="_Ref140577563"/>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20</w:t>
            </w:r>
            <w:r w:rsidR="00E17971">
              <w:rPr>
                <w:lang w:val="en-GB"/>
              </w:rPr>
              <w:fldChar w:fldCharType="end"/>
            </w:r>
            <w:r w:rsidRPr="000855B2">
              <w:rPr>
                <w:lang w:val="en-GB"/>
              </w:rPr>
              <w:t>)</w:t>
            </w:r>
            <w:bookmarkEnd w:id="147"/>
          </w:p>
        </w:tc>
      </w:tr>
    </w:tbl>
    <w:p w14:paraId="0613C862" w14:textId="77777777" w:rsidR="001D2587" w:rsidRPr="000855B2" w:rsidRDefault="001D2587" w:rsidP="00546C89">
      <w:pPr>
        <w:rPr>
          <w:sz w:val="16"/>
          <w:szCs w:val="16"/>
          <w:lang w:val="en-GB"/>
        </w:rPr>
      </w:pPr>
    </w:p>
    <w:p w14:paraId="3FFB0083" w14:textId="77777777" w:rsidR="001D2587" w:rsidRPr="000855B2" w:rsidRDefault="001D2587" w:rsidP="00546C89">
      <w:pPr>
        <w:rPr>
          <w:lang w:val="en-GB"/>
        </w:rPr>
      </w:pPr>
      <w:r w:rsidRPr="000855B2">
        <w:rPr>
          <w:lang w:val="en-GB"/>
        </w:rPr>
        <w:t>where,</w:t>
      </w:r>
    </w:p>
    <w:p w14:paraId="1B4F822D" w14:textId="77777777" w:rsidR="001D2587" w:rsidRPr="000855B2" w:rsidRDefault="001D2587" w:rsidP="00546C89">
      <w:pPr>
        <w:tabs>
          <w:tab w:val="left" w:pos="900"/>
          <w:tab w:val="left" w:pos="1260"/>
          <w:tab w:val="right" w:pos="1368"/>
        </w:tabs>
        <w:ind w:left="180"/>
        <w:rPr>
          <w:lang w:val="en-GB"/>
        </w:rPr>
      </w:pPr>
      <w:r w:rsidRPr="000855B2">
        <w:rPr>
          <w:b/>
          <w:position w:val="-14"/>
          <w:lang w:val="en-GB"/>
        </w:rPr>
        <w:object w:dxaOrig="620" w:dyaOrig="380" w14:anchorId="474F4637">
          <v:shape id="_x0000_i1038" type="#_x0000_t75" style="width:30.9pt;height:17.1pt" o:ole="" fillcolor="window">
            <v:imagedata r:id="rId42" o:title=""/>
          </v:shape>
          <o:OLEObject Type="Embed" ProgID="Equation.3" ShapeID="_x0000_i1038" DrawAspect="Content" ObjectID="_1555746401" r:id="rId43"/>
        </w:object>
      </w:r>
      <w:r w:rsidR="00086EE0" w:rsidRPr="000855B2">
        <w:rPr>
          <w:lang w:val="en-GB"/>
        </w:rPr>
        <w:tab/>
        <w:t>=</w:t>
      </w:r>
      <w:r w:rsidR="00086EE0" w:rsidRPr="000855B2">
        <w:rPr>
          <w:lang w:val="en-GB"/>
        </w:rPr>
        <w:tab/>
      </w:r>
      <w:r w:rsidRPr="000855B2">
        <w:rPr>
          <w:lang w:val="en-GB"/>
        </w:rPr>
        <w:t>weight</w:t>
      </w:r>
      <w:r w:rsidR="00086EE0" w:rsidRPr="000855B2">
        <w:rPr>
          <w:lang w:val="en-GB"/>
        </w:rPr>
        <w:t>-</w:t>
      </w:r>
      <w:r w:rsidRPr="000855B2">
        <w:rPr>
          <w:lang w:val="en-GB"/>
        </w:rPr>
        <w:t xml:space="preserve">related lead content of </w:t>
      </w:r>
      <w:r w:rsidR="005E4DC4">
        <w:rPr>
          <w:lang w:val="en-GB"/>
        </w:rPr>
        <w:t>petrol</w:t>
      </w:r>
      <w:r w:rsidRPr="000855B2">
        <w:rPr>
          <w:lang w:val="en-GB"/>
        </w:rPr>
        <w:t xml:space="preserve"> (type m) in [kg/kg fuel].</w:t>
      </w:r>
    </w:p>
    <w:p w14:paraId="5441B0FE" w14:textId="77777777" w:rsidR="001D2587" w:rsidRPr="000855B2" w:rsidRDefault="001D2587" w:rsidP="00546C89">
      <w:pPr>
        <w:pStyle w:val="BodyText"/>
      </w:pPr>
      <w:r w:rsidRPr="000855B2">
        <w:t xml:space="preserve">With regard to the emission of </w:t>
      </w:r>
      <w:r w:rsidR="00277644" w:rsidRPr="000855B2">
        <w:t xml:space="preserve">all </w:t>
      </w:r>
      <w:r w:rsidRPr="000855B2">
        <w:t xml:space="preserve">other heavy metal species, </w:t>
      </w:r>
      <w:r w:rsidR="00277644" w:rsidRPr="000855B2">
        <w:t xml:space="preserve">as well as trace lead content of unleaded </w:t>
      </w:r>
      <w:r w:rsidR="005E4DC4">
        <w:t>petrol</w:t>
      </w:r>
      <w:r w:rsidR="00277644" w:rsidRPr="000855B2">
        <w:t xml:space="preserve">, </w:t>
      </w:r>
      <w:r w:rsidR="00086EE0" w:rsidRPr="000855B2">
        <w:t xml:space="preserve">the </w:t>
      </w:r>
      <w:r w:rsidR="00277644" w:rsidRPr="000855B2">
        <w:t xml:space="preserve">fuel metal content </w:t>
      </w:r>
      <w:r w:rsidRPr="000855B2">
        <w:t xml:space="preserve">factors provided </w:t>
      </w:r>
      <w:r w:rsidR="00277644" w:rsidRPr="000855B2">
        <w:t>(</w:t>
      </w:r>
      <w:r w:rsidR="00277644" w:rsidRPr="000855B2">
        <w:sym w:font="Symbol" w:char="F06D"/>
      </w:r>
      <w:r w:rsidR="00277644" w:rsidRPr="000855B2">
        <w:t>g/kg) are assumed to include</w:t>
      </w:r>
      <w:r w:rsidRPr="000855B2">
        <w:t xml:space="preserve"> fuel and engine wear.</w:t>
      </w:r>
      <w:r w:rsidR="00277644" w:rsidRPr="000855B2">
        <w:t xml:space="preserve"> Therefore, these are apparent fuel metal content which should provide equivalent heavy metal emissions to fuel and engine-wear.</w:t>
      </w:r>
      <w:r w:rsidRPr="000855B2">
        <w:t xml:space="preserve"> </w:t>
      </w:r>
      <w:r w:rsidR="00277644" w:rsidRPr="000855B2">
        <w:t>In this case,</w:t>
      </w:r>
      <w:r w:rsidRPr="000855B2">
        <w:t xml:space="preserve"> it is considered that the total quantity is emitted to the atmosphere (</w:t>
      </w:r>
      <w:r w:rsidR="00D205E2" w:rsidRPr="000855B2">
        <w:t>i.e</w:t>
      </w:r>
      <w:r w:rsidR="00086EE0" w:rsidRPr="000855B2">
        <w:rPr>
          <w:i/>
        </w:rPr>
        <w:t>.</w:t>
      </w:r>
      <w:r w:rsidR="00086EE0" w:rsidRPr="000855B2">
        <w:t xml:space="preserve"> there are </w:t>
      </w:r>
      <w:r w:rsidRPr="000855B2">
        <w:t>no losses in the engine). Therefore, emissions of heavy metals included in Group 2 are calculated by means of</w:t>
      </w:r>
      <w:r w:rsidR="00086EE0" w:rsidRPr="000855B2">
        <w:t xml:space="preserve"> the equation</w:t>
      </w:r>
      <w:r w:rsidRPr="000855B2">
        <w:t xml:space="preserve">: </w:t>
      </w:r>
    </w:p>
    <w:p w14:paraId="772FE666" w14:textId="77777777" w:rsidR="001D2587" w:rsidRPr="000855B2" w:rsidRDefault="001D2587" w:rsidP="00546C89">
      <w:pPr>
        <w:tabs>
          <w:tab w:val="left" w:pos="1246"/>
          <w:tab w:val="left" w:pos="2284"/>
          <w:tab w:val="left" w:pos="3599"/>
          <w:tab w:val="left" w:pos="4568"/>
          <w:tab w:val="left" w:pos="5673"/>
          <w:tab w:val="left" w:pos="6507"/>
        </w:tabs>
        <w:rPr>
          <w:lang w:val="en-GB"/>
        </w:rPr>
      </w:pPr>
    </w:p>
    <w:tbl>
      <w:tblPr>
        <w:tblW w:w="0" w:type="auto"/>
        <w:tblBorders>
          <w:insideH w:val="single" w:sz="4" w:space="0" w:color="auto"/>
        </w:tblBorders>
        <w:tblLook w:val="01E0" w:firstRow="1" w:lastRow="1" w:firstColumn="1" w:lastColumn="1" w:noHBand="0" w:noVBand="0"/>
      </w:tblPr>
      <w:tblGrid>
        <w:gridCol w:w="7716"/>
        <w:gridCol w:w="747"/>
      </w:tblGrid>
      <w:tr w:rsidR="001D2587" w:rsidRPr="000855B2" w14:paraId="4B534729" w14:textId="77777777">
        <w:tc>
          <w:tcPr>
            <w:tcW w:w="8240" w:type="dxa"/>
            <w:tcMar>
              <w:left w:w="0" w:type="dxa"/>
              <w:right w:w="0" w:type="dxa"/>
            </w:tcMar>
            <w:vAlign w:val="center"/>
          </w:tcPr>
          <w:p w14:paraId="03A6C700" w14:textId="77777777" w:rsidR="001D2587" w:rsidRPr="000855B2" w:rsidRDefault="00D9315E" w:rsidP="00546C89">
            <w:pPr>
              <w:numPr>
                <w:ilvl w:val="12"/>
                <w:numId w:val="0"/>
              </w:numPr>
              <w:rPr>
                <w:lang w:val="en-GB"/>
              </w:rPr>
            </w:pPr>
            <w:r w:rsidRPr="000855B2">
              <w:rPr>
                <w:b/>
                <w:position w:val="-14"/>
                <w:lang w:val="en-GB"/>
              </w:rPr>
              <w:object w:dxaOrig="2180" w:dyaOrig="420" w14:anchorId="474597CD">
                <v:shape id="_x0000_i1039" type="#_x0000_t75" style="width:108.45pt;height:21.25pt" o:ole="" fillcolor="window">
                  <v:imagedata r:id="rId44" o:title=""/>
                </v:shape>
                <o:OLEObject Type="Embed" ProgID="Equation.3" ShapeID="_x0000_i1039" DrawAspect="Content" ObjectID="_1555746402" r:id="rId45"/>
              </w:object>
            </w:r>
          </w:p>
        </w:tc>
        <w:tc>
          <w:tcPr>
            <w:tcW w:w="787" w:type="dxa"/>
            <w:tcMar>
              <w:left w:w="0" w:type="dxa"/>
              <w:right w:w="0" w:type="dxa"/>
            </w:tcMar>
            <w:vAlign w:val="center"/>
          </w:tcPr>
          <w:p w14:paraId="302D0CDD" w14:textId="693F8D74" w:rsidR="001D2587" w:rsidRPr="000855B2" w:rsidRDefault="001D2587" w:rsidP="00546C89">
            <w:pPr>
              <w:numPr>
                <w:ilvl w:val="12"/>
                <w:numId w:val="0"/>
              </w:numPr>
              <w:rPr>
                <w:lang w:val="en-GB"/>
              </w:rPr>
            </w:pPr>
            <w:bookmarkStart w:id="148" w:name="_Ref480916931"/>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21</w:t>
            </w:r>
            <w:r w:rsidR="00E17971">
              <w:rPr>
                <w:lang w:val="en-GB"/>
              </w:rPr>
              <w:fldChar w:fldCharType="end"/>
            </w:r>
            <w:bookmarkEnd w:id="148"/>
            <w:r w:rsidRPr="000855B2">
              <w:rPr>
                <w:lang w:val="en-GB"/>
              </w:rPr>
              <w:t>)</w:t>
            </w:r>
          </w:p>
        </w:tc>
      </w:tr>
    </w:tbl>
    <w:p w14:paraId="54DDD7AB" w14:textId="77777777" w:rsidR="001D2587" w:rsidRPr="000855B2" w:rsidRDefault="001D2587" w:rsidP="00546C89">
      <w:pPr>
        <w:tabs>
          <w:tab w:val="left" w:pos="1246"/>
          <w:tab w:val="left" w:pos="2284"/>
          <w:tab w:val="left" w:pos="3599"/>
          <w:tab w:val="left" w:pos="4568"/>
          <w:tab w:val="left" w:pos="5673"/>
          <w:tab w:val="left" w:pos="6507"/>
        </w:tabs>
        <w:rPr>
          <w:lang w:val="en-GB"/>
        </w:rPr>
      </w:pPr>
    </w:p>
    <w:p w14:paraId="5DA7AAEA" w14:textId="77777777" w:rsidR="001D2587" w:rsidRPr="000855B2" w:rsidRDefault="001D2587" w:rsidP="00546C89">
      <w:pPr>
        <w:rPr>
          <w:lang w:val="en-GB"/>
        </w:rPr>
      </w:pPr>
      <w:r w:rsidRPr="000855B2">
        <w:rPr>
          <w:lang w:val="en-GB"/>
        </w:rPr>
        <w:lastRenderedPageBreak/>
        <w:t>where,</w:t>
      </w:r>
    </w:p>
    <w:p w14:paraId="0454AD27" w14:textId="77777777" w:rsidR="00921B47" w:rsidRPr="000855B2" w:rsidRDefault="00921B47" w:rsidP="00546C89">
      <w:pPr>
        <w:rPr>
          <w:lang w:val="en-GB"/>
        </w:rPr>
      </w:pPr>
    </w:p>
    <w:p w14:paraId="3F8351FD" w14:textId="77777777" w:rsidR="001D2587" w:rsidRPr="000855B2" w:rsidRDefault="00C1709E" w:rsidP="00546C89">
      <w:pPr>
        <w:tabs>
          <w:tab w:val="left" w:pos="900"/>
          <w:tab w:val="left" w:pos="1260"/>
          <w:tab w:val="right" w:pos="1368"/>
        </w:tabs>
        <w:ind w:left="180"/>
        <w:rPr>
          <w:lang w:val="en-GB"/>
        </w:rPr>
      </w:pPr>
      <w:r w:rsidRPr="000855B2">
        <w:rPr>
          <w:b/>
          <w:position w:val="-14"/>
          <w:lang w:val="en-GB"/>
        </w:rPr>
        <w:object w:dxaOrig="520" w:dyaOrig="360" w14:anchorId="53DD7BEC">
          <v:shape id="_x0000_i1040" type="#_x0000_t75" style="width:26.75pt;height:19.4pt" o:ole="" fillcolor="window">
            <v:imagedata r:id="rId46" o:title=""/>
          </v:shape>
          <o:OLEObject Type="Embed" ProgID="Equation.3" ShapeID="_x0000_i1040" DrawAspect="Content" ObjectID="_1555746403" r:id="rId47"/>
        </w:object>
      </w:r>
      <w:r w:rsidR="001D2587" w:rsidRPr="000855B2">
        <w:rPr>
          <w:lang w:val="en-GB"/>
        </w:rPr>
        <w:tab/>
      </w:r>
      <w:r w:rsidR="00086EE0" w:rsidRPr="000855B2">
        <w:rPr>
          <w:lang w:val="en-GB"/>
        </w:rPr>
        <w:t>=</w:t>
      </w:r>
      <w:r w:rsidR="00086EE0" w:rsidRPr="000855B2">
        <w:rPr>
          <w:lang w:val="en-GB"/>
        </w:rPr>
        <w:tab/>
      </w:r>
      <w:r w:rsidR="001D2587" w:rsidRPr="000855B2">
        <w:rPr>
          <w:lang w:val="en-GB"/>
        </w:rPr>
        <w:t>weight</w:t>
      </w:r>
      <w:r w:rsidR="00086EE0" w:rsidRPr="000855B2">
        <w:rPr>
          <w:lang w:val="en-GB"/>
        </w:rPr>
        <w:t>-</w:t>
      </w:r>
      <w:r w:rsidR="001D2587" w:rsidRPr="000855B2">
        <w:rPr>
          <w:lang w:val="en-GB"/>
        </w:rPr>
        <w:t xml:space="preserve">related content of heavy metal </w:t>
      </w:r>
      <w:r w:rsidR="00086EE0" w:rsidRPr="000855B2">
        <w:rPr>
          <w:i/>
          <w:lang w:val="en-GB"/>
        </w:rPr>
        <w:t>i</w:t>
      </w:r>
      <w:r w:rsidR="00086EE0" w:rsidRPr="000855B2">
        <w:rPr>
          <w:lang w:val="en-GB"/>
        </w:rPr>
        <w:t xml:space="preserve"> </w:t>
      </w:r>
      <w:r w:rsidR="001D2587" w:rsidRPr="000855B2">
        <w:rPr>
          <w:lang w:val="en-GB"/>
        </w:rPr>
        <w:t xml:space="preserve">in fuel type </w:t>
      </w:r>
      <w:r w:rsidR="001D2587" w:rsidRPr="000855B2">
        <w:rPr>
          <w:i/>
          <w:lang w:val="en-GB"/>
        </w:rPr>
        <w:t>m</w:t>
      </w:r>
      <w:r w:rsidR="006C3329">
        <w:rPr>
          <w:lang w:val="en-GB"/>
        </w:rPr>
        <w:t xml:space="preserve"> [m</w:t>
      </w:r>
      <w:r w:rsidR="001D2587" w:rsidRPr="000855B2">
        <w:rPr>
          <w:lang w:val="en-GB"/>
        </w:rPr>
        <w:t>g/kg fuel].</w:t>
      </w:r>
    </w:p>
    <w:p w14:paraId="2BED1FD1" w14:textId="77777777" w:rsidR="007011A7" w:rsidRDefault="007011A7" w:rsidP="00546C89">
      <w:pPr>
        <w:rPr>
          <w:szCs w:val="18"/>
          <w:lang w:val="en-GB"/>
        </w:rPr>
      </w:pPr>
    </w:p>
    <w:p w14:paraId="42EA64A6" w14:textId="77777777" w:rsidR="00E44952" w:rsidRDefault="00E44952" w:rsidP="00546C89">
      <w:pPr>
        <w:rPr>
          <w:szCs w:val="18"/>
          <w:lang w:val="en-GB"/>
        </w:rPr>
      </w:pPr>
      <w:r>
        <w:rPr>
          <w:szCs w:val="18"/>
          <w:lang w:val="en-GB"/>
        </w:rPr>
        <w:t>Lubricant oil also contains a number of heavy metals which is assumed to be emitted to the atmosphere when oil burning occurs in the combustion chamber (especially in the case of 2-stroke engines). A similar approach is followed in order to calculate emissions of heavy metals from lubricant oil by using the following equation:</w:t>
      </w:r>
    </w:p>
    <w:p w14:paraId="35241856" w14:textId="77777777" w:rsidR="00E44952" w:rsidRPr="000855B2" w:rsidRDefault="00E44952" w:rsidP="00E44952">
      <w:pPr>
        <w:tabs>
          <w:tab w:val="left" w:pos="1246"/>
          <w:tab w:val="left" w:pos="2284"/>
          <w:tab w:val="left" w:pos="3599"/>
          <w:tab w:val="left" w:pos="4568"/>
          <w:tab w:val="left" w:pos="5673"/>
          <w:tab w:val="left" w:pos="6507"/>
        </w:tabs>
        <w:rPr>
          <w:lang w:val="en-GB"/>
        </w:rPr>
      </w:pPr>
    </w:p>
    <w:tbl>
      <w:tblPr>
        <w:tblW w:w="0" w:type="auto"/>
        <w:tblBorders>
          <w:insideH w:val="single" w:sz="4" w:space="0" w:color="auto"/>
        </w:tblBorders>
        <w:tblLook w:val="01E0" w:firstRow="1" w:lastRow="1" w:firstColumn="1" w:lastColumn="1" w:noHBand="0" w:noVBand="0"/>
      </w:tblPr>
      <w:tblGrid>
        <w:gridCol w:w="7716"/>
        <w:gridCol w:w="747"/>
      </w:tblGrid>
      <w:tr w:rsidR="00E44952" w:rsidRPr="000855B2" w14:paraId="2FF805E6" w14:textId="77777777" w:rsidTr="00E44952">
        <w:tc>
          <w:tcPr>
            <w:tcW w:w="8240" w:type="dxa"/>
            <w:tcMar>
              <w:left w:w="0" w:type="dxa"/>
              <w:right w:w="0" w:type="dxa"/>
            </w:tcMar>
            <w:vAlign w:val="center"/>
          </w:tcPr>
          <w:p w14:paraId="44C66186" w14:textId="77777777" w:rsidR="00E44952" w:rsidRPr="000855B2" w:rsidRDefault="00E44952" w:rsidP="00E44952">
            <w:pPr>
              <w:numPr>
                <w:ilvl w:val="12"/>
                <w:numId w:val="0"/>
              </w:numPr>
              <w:rPr>
                <w:lang w:val="en-GB"/>
              </w:rPr>
            </w:pPr>
            <w:r w:rsidRPr="000855B2">
              <w:rPr>
                <w:b/>
                <w:position w:val="-14"/>
                <w:lang w:val="en-GB"/>
              </w:rPr>
              <w:object w:dxaOrig="2160" w:dyaOrig="400" w14:anchorId="72E7EE83">
                <v:shape id="_x0000_i1041" type="#_x0000_t75" style="width:107.15pt;height:19.85pt" o:ole="" fillcolor="window">
                  <v:imagedata r:id="rId48" o:title=""/>
                </v:shape>
                <o:OLEObject Type="Embed" ProgID="Equation.3" ShapeID="_x0000_i1041" DrawAspect="Content" ObjectID="_1555746404" r:id="rId49"/>
              </w:object>
            </w:r>
          </w:p>
        </w:tc>
        <w:tc>
          <w:tcPr>
            <w:tcW w:w="787" w:type="dxa"/>
            <w:tcMar>
              <w:left w:w="0" w:type="dxa"/>
              <w:right w:w="0" w:type="dxa"/>
            </w:tcMar>
            <w:vAlign w:val="center"/>
          </w:tcPr>
          <w:p w14:paraId="09983A0F" w14:textId="24885073" w:rsidR="00E44952" w:rsidRPr="000855B2" w:rsidRDefault="00E44952" w:rsidP="00E44952">
            <w:pPr>
              <w:numPr>
                <w:ilvl w:val="12"/>
                <w:numId w:val="0"/>
              </w:numPr>
              <w:rPr>
                <w:lang w:val="en-GB"/>
              </w:rPr>
            </w:pPr>
            <w:bookmarkStart w:id="149" w:name="_Ref480917642"/>
            <w:r w:rsidRPr="000855B2">
              <w:rPr>
                <w:lang w:val="en-GB"/>
              </w:rPr>
              <w:t>(</w:t>
            </w:r>
            <w:r w:rsidR="00E17971">
              <w:rPr>
                <w:lang w:val="en-GB"/>
              </w:rPr>
              <w:fldChar w:fldCharType="begin"/>
            </w:r>
            <w:r>
              <w:rPr>
                <w:lang w:val="en-GB"/>
              </w:rPr>
              <w:instrText xml:space="preserve"> SEQ Εξίσωση \* ARABIC </w:instrText>
            </w:r>
            <w:r w:rsidR="00E17971">
              <w:rPr>
                <w:lang w:val="en-GB"/>
              </w:rPr>
              <w:fldChar w:fldCharType="separate"/>
            </w:r>
            <w:r w:rsidR="0071604C">
              <w:rPr>
                <w:noProof/>
                <w:lang w:val="en-GB"/>
              </w:rPr>
              <w:t>22</w:t>
            </w:r>
            <w:r w:rsidR="00E17971">
              <w:rPr>
                <w:lang w:val="en-GB"/>
              </w:rPr>
              <w:fldChar w:fldCharType="end"/>
            </w:r>
            <w:r w:rsidRPr="000855B2">
              <w:rPr>
                <w:lang w:val="en-GB"/>
              </w:rPr>
              <w:t>)</w:t>
            </w:r>
            <w:bookmarkEnd w:id="149"/>
          </w:p>
        </w:tc>
      </w:tr>
    </w:tbl>
    <w:p w14:paraId="59072816" w14:textId="77777777" w:rsidR="00E44952" w:rsidRPr="000855B2" w:rsidRDefault="00E44952" w:rsidP="00E44952">
      <w:pPr>
        <w:tabs>
          <w:tab w:val="left" w:pos="1246"/>
          <w:tab w:val="left" w:pos="2284"/>
          <w:tab w:val="left" w:pos="3599"/>
          <w:tab w:val="left" w:pos="4568"/>
          <w:tab w:val="left" w:pos="5673"/>
          <w:tab w:val="left" w:pos="6507"/>
        </w:tabs>
        <w:rPr>
          <w:lang w:val="en-GB"/>
        </w:rPr>
      </w:pPr>
    </w:p>
    <w:p w14:paraId="0299C48A" w14:textId="77777777" w:rsidR="00E44952" w:rsidRPr="000855B2" w:rsidRDefault="00E44952" w:rsidP="00E44952">
      <w:pPr>
        <w:rPr>
          <w:lang w:val="en-GB"/>
        </w:rPr>
      </w:pPr>
      <w:r w:rsidRPr="000855B2">
        <w:rPr>
          <w:lang w:val="en-GB"/>
        </w:rPr>
        <w:t>where,</w:t>
      </w:r>
    </w:p>
    <w:p w14:paraId="60158EDD" w14:textId="77777777" w:rsidR="00E44952" w:rsidRPr="000855B2" w:rsidRDefault="00E44952" w:rsidP="00E44952">
      <w:pPr>
        <w:rPr>
          <w:lang w:val="en-GB"/>
        </w:rPr>
      </w:pPr>
    </w:p>
    <w:p w14:paraId="36169EFC" w14:textId="77777777" w:rsidR="00E44952" w:rsidRPr="000855B2" w:rsidRDefault="00E44952" w:rsidP="00E44952">
      <w:pPr>
        <w:tabs>
          <w:tab w:val="left" w:pos="900"/>
          <w:tab w:val="left" w:pos="1260"/>
          <w:tab w:val="right" w:pos="1368"/>
        </w:tabs>
        <w:ind w:left="180"/>
        <w:rPr>
          <w:lang w:val="en-GB"/>
        </w:rPr>
      </w:pPr>
      <w:r w:rsidRPr="000855B2">
        <w:rPr>
          <w:b/>
          <w:position w:val="-14"/>
          <w:lang w:val="en-GB"/>
        </w:rPr>
        <w:object w:dxaOrig="520" w:dyaOrig="360" w14:anchorId="46B6195E">
          <v:shape id="_x0000_i1042" type="#_x0000_t75" style="width:26.75pt;height:19.4pt" o:ole="" fillcolor="window">
            <v:imagedata r:id="rId46" o:title=""/>
          </v:shape>
          <o:OLEObject Type="Embed" ProgID="Equation.3" ShapeID="_x0000_i1042" DrawAspect="Content" ObjectID="_1555746405" r:id="rId50"/>
        </w:object>
      </w:r>
      <w:r w:rsidRPr="000855B2">
        <w:rPr>
          <w:lang w:val="en-GB"/>
        </w:rPr>
        <w:tab/>
        <w:t>=</w:t>
      </w:r>
      <w:r w:rsidRPr="000855B2">
        <w:rPr>
          <w:lang w:val="en-GB"/>
        </w:rPr>
        <w:tab/>
        <w:t xml:space="preserve">weight-related content of heavy metal </w:t>
      </w:r>
      <w:r w:rsidRPr="000855B2">
        <w:rPr>
          <w:i/>
          <w:lang w:val="en-GB"/>
        </w:rPr>
        <w:t>i</w:t>
      </w:r>
      <w:r w:rsidRPr="000855B2">
        <w:rPr>
          <w:lang w:val="en-GB"/>
        </w:rPr>
        <w:t xml:space="preserve"> in </w:t>
      </w:r>
      <w:r w:rsidR="006C3329">
        <w:rPr>
          <w:lang w:val="en-GB"/>
        </w:rPr>
        <w:t>lubricant</w:t>
      </w:r>
      <w:r w:rsidRPr="000855B2">
        <w:rPr>
          <w:lang w:val="en-GB"/>
        </w:rPr>
        <w:t xml:space="preserve"> type </w:t>
      </w:r>
      <w:r w:rsidRPr="000855B2">
        <w:rPr>
          <w:i/>
          <w:lang w:val="en-GB"/>
        </w:rPr>
        <w:t>m</w:t>
      </w:r>
      <w:r w:rsidR="006C3329">
        <w:rPr>
          <w:lang w:val="en-GB"/>
        </w:rPr>
        <w:t xml:space="preserve"> [m</w:t>
      </w:r>
      <w:r w:rsidRPr="000855B2">
        <w:rPr>
          <w:lang w:val="en-GB"/>
        </w:rPr>
        <w:t xml:space="preserve">g/kg </w:t>
      </w:r>
      <w:r w:rsidR="006C3329">
        <w:rPr>
          <w:lang w:val="en-GB"/>
        </w:rPr>
        <w:t>lubricant</w:t>
      </w:r>
      <w:r w:rsidRPr="000855B2">
        <w:rPr>
          <w:lang w:val="en-GB"/>
        </w:rPr>
        <w:t>].</w:t>
      </w:r>
    </w:p>
    <w:p w14:paraId="1CDE0D34" w14:textId="77777777" w:rsidR="00E44952" w:rsidRDefault="00E44952" w:rsidP="00E44952">
      <w:pPr>
        <w:rPr>
          <w:szCs w:val="18"/>
          <w:lang w:val="en-GB"/>
        </w:rPr>
      </w:pPr>
    </w:p>
    <w:p w14:paraId="0DAD4DB3" w14:textId="77777777" w:rsidR="00CD0161" w:rsidRPr="000855B2" w:rsidRDefault="00277644" w:rsidP="00277644">
      <w:pPr>
        <w:rPr>
          <w:sz w:val="22"/>
          <w:szCs w:val="22"/>
          <w:lang w:val="en-GB"/>
        </w:rPr>
      </w:pPr>
      <w:r w:rsidRPr="000855B2">
        <w:rPr>
          <w:szCs w:val="18"/>
          <w:lang w:val="en-GB"/>
        </w:rPr>
        <w:t xml:space="preserve">The apparent fuel metal content factors considered originate from the work of Winther and Slentø (2010) and have been reviewed by the TFEIP expert panel in transport. Despite the efforts to obtain reliable values, available information has been very limited and the uncertainty in the estimate of these values </w:t>
      </w:r>
      <w:r w:rsidR="00CD0161" w:rsidRPr="000855B2">
        <w:rPr>
          <w:szCs w:val="18"/>
          <w:lang w:val="en-GB"/>
        </w:rPr>
        <w:t>is still considered quite high.</w:t>
      </w:r>
    </w:p>
    <w:p w14:paraId="4C8A7C48" w14:textId="4857414B" w:rsidR="001D2587" w:rsidRPr="000855B2" w:rsidRDefault="001D2587" w:rsidP="005B17F2">
      <w:pPr>
        <w:pStyle w:val="Heading4"/>
      </w:pPr>
      <w:bookmarkStart w:id="150" w:name="_Toc496264333"/>
      <w:r w:rsidRPr="000855B2">
        <w:t>Emission corrections</w:t>
      </w:r>
      <w:bookmarkEnd w:id="150"/>
    </w:p>
    <w:p w14:paraId="77CEAF18" w14:textId="6FAA0892" w:rsidR="001D2587" w:rsidRPr="000855B2" w:rsidRDefault="008E0092" w:rsidP="00546C89">
      <w:pPr>
        <w:pStyle w:val="BodyText"/>
      </w:pPr>
      <w:r w:rsidRPr="000855B2">
        <w:t>E</w:t>
      </w:r>
      <w:r w:rsidR="001D2587" w:rsidRPr="000855B2">
        <w:t xml:space="preserve">quations </w:t>
      </w:r>
      <w:r w:rsidR="00FB454C">
        <w:fldChar w:fldCharType="begin"/>
      </w:r>
      <w:r w:rsidR="00FB454C">
        <w:instrText xml:space="preserve"> REF _Ref140576510 \h  \* MERGEFORMAT </w:instrText>
      </w:r>
      <w:r w:rsidR="00FB454C">
        <w:fldChar w:fldCharType="separate"/>
      </w:r>
      <w:r w:rsidR="0071604C" w:rsidRPr="000855B2">
        <w:t>(</w:t>
      </w:r>
      <w:r w:rsidR="0071604C">
        <w:rPr>
          <w:noProof/>
        </w:rPr>
        <w:t>8</w:t>
      </w:r>
      <w:r w:rsidR="0071604C" w:rsidRPr="000855B2">
        <w:rPr>
          <w:noProof/>
        </w:rPr>
        <w:t>)</w:t>
      </w:r>
      <w:r w:rsidR="00FB454C">
        <w:fldChar w:fldCharType="end"/>
      </w:r>
      <w:r w:rsidR="00921B47" w:rsidRPr="000855B2">
        <w:t xml:space="preserve"> –</w:t>
      </w:r>
      <w:r w:rsidR="00C219E1">
        <w:t xml:space="preserve"> </w:t>
      </w:r>
      <w:r w:rsidR="00FB454C">
        <w:fldChar w:fldCharType="begin"/>
      </w:r>
      <w:r w:rsidR="00FB454C">
        <w:instrText xml:space="preserve"> REF _Ref140576555 \h  \* MERGEFORMAT </w:instrText>
      </w:r>
      <w:r w:rsidR="00FB454C">
        <w:fldChar w:fldCharType="separate"/>
      </w:r>
      <w:r w:rsidR="0071604C" w:rsidRPr="000855B2">
        <w:t>(</w:t>
      </w:r>
      <w:r w:rsidR="0071604C">
        <w:rPr>
          <w:noProof/>
        </w:rPr>
        <w:t>9</w:t>
      </w:r>
      <w:r w:rsidR="0071604C" w:rsidRPr="000855B2">
        <w:rPr>
          <w:noProof/>
        </w:rPr>
        <w:t>)</w:t>
      </w:r>
      <w:r w:rsidR="00FB454C">
        <w:fldChar w:fldCharType="end"/>
      </w:r>
      <w:r w:rsidRPr="000855B2">
        <w:t xml:space="preserve"> are used to calculate </w:t>
      </w:r>
      <w:r w:rsidRPr="000855B2">
        <w:rPr>
          <w:b/>
        </w:rPr>
        <w:t xml:space="preserve">baseline </w:t>
      </w:r>
      <w:r w:rsidRPr="000855B2">
        <w:t>emissions. Corrections are applied to the</w:t>
      </w:r>
      <w:r w:rsidR="001D2587" w:rsidRPr="000855B2">
        <w:t xml:space="preserve"> </w:t>
      </w:r>
      <w:r w:rsidRPr="000855B2">
        <w:t>results in order to</w:t>
      </w:r>
      <w:r w:rsidR="001D2587" w:rsidRPr="000855B2">
        <w:t xml:space="preserve"> accommodate </w:t>
      </w:r>
      <w:r w:rsidRPr="000855B2">
        <w:t xml:space="preserve">the </w:t>
      </w:r>
      <w:r w:rsidR="001D2587" w:rsidRPr="000855B2">
        <w:t xml:space="preserve">variation </w:t>
      </w:r>
      <w:r w:rsidRPr="000855B2">
        <w:t>in</w:t>
      </w:r>
      <w:r w:rsidR="001D2587" w:rsidRPr="000855B2">
        <w:t xml:space="preserve"> emissions</w:t>
      </w:r>
      <w:r w:rsidRPr="000855B2">
        <w:t xml:space="preserve"> resulting from the following:</w:t>
      </w:r>
      <w:r w:rsidR="001D2587" w:rsidRPr="000855B2">
        <w:t xml:space="preserve"> </w:t>
      </w:r>
    </w:p>
    <w:p w14:paraId="4F201CDC" w14:textId="48247FE5" w:rsidR="001D2587" w:rsidRPr="000855B2" w:rsidRDefault="00921B47" w:rsidP="009D781A">
      <w:pPr>
        <w:numPr>
          <w:ilvl w:val="0"/>
          <w:numId w:val="8"/>
        </w:numPr>
        <w:spacing w:before="60" w:after="80"/>
        <w:ind w:left="357" w:hanging="357"/>
        <w:rPr>
          <w:lang w:val="en-GB"/>
        </w:rPr>
      </w:pPr>
      <w:r w:rsidRPr="000855B2">
        <w:rPr>
          <w:i/>
          <w:lang w:val="en-GB"/>
        </w:rPr>
        <w:t>v</w:t>
      </w:r>
      <w:r w:rsidR="001D2587" w:rsidRPr="000855B2">
        <w:rPr>
          <w:i/>
          <w:lang w:val="en-GB"/>
        </w:rPr>
        <w:t>ehicle age (mileage)</w:t>
      </w:r>
      <w:r w:rsidR="001D2587" w:rsidRPr="000855B2">
        <w:rPr>
          <w:lang w:val="en-GB"/>
        </w:rPr>
        <w:t xml:space="preserve">. </w:t>
      </w:r>
      <w:r w:rsidR="008E0092" w:rsidRPr="000855B2">
        <w:rPr>
          <w:lang w:val="en-GB"/>
        </w:rPr>
        <w:t>The b</w:t>
      </w:r>
      <w:r w:rsidR="001D2587" w:rsidRPr="000855B2">
        <w:rPr>
          <w:lang w:val="en-GB"/>
        </w:rPr>
        <w:t xml:space="preserve">aseline emission factors to be used in equation </w:t>
      </w:r>
      <w:r w:rsidR="00FB454C">
        <w:fldChar w:fldCharType="begin"/>
      </w:r>
      <w:r w:rsidR="00FB454C">
        <w:instrText xml:space="preserve"> REF _Ref140576510 \h  \* MERGEFORMAT </w:instrText>
      </w:r>
      <w:r w:rsidR="00FB454C">
        <w:fldChar w:fldCharType="separate"/>
      </w:r>
      <w:r w:rsidR="0071604C" w:rsidRPr="0071604C">
        <w:rPr>
          <w:lang w:val="en-GB"/>
        </w:rPr>
        <w:t>(</w:t>
      </w:r>
      <w:r w:rsidR="0071604C" w:rsidRPr="0071604C">
        <w:rPr>
          <w:noProof/>
          <w:lang w:val="en-GB"/>
        </w:rPr>
        <w:t>8)</w:t>
      </w:r>
      <w:r w:rsidR="00FB454C">
        <w:fldChar w:fldCharType="end"/>
      </w:r>
      <w:r w:rsidR="001D2587" w:rsidRPr="000855B2">
        <w:rPr>
          <w:lang w:val="en-GB"/>
        </w:rPr>
        <w:t xml:space="preserve"> correspond to a fleet of average mileage (30</w:t>
      </w:r>
      <w:r w:rsidRPr="000855B2">
        <w:rPr>
          <w:lang w:val="en-GB"/>
        </w:rPr>
        <w:t> </w:t>
      </w:r>
      <w:r w:rsidR="00C1709E" w:rsidRPr="000855B2">
        <w:rPr>
          <w:lang w:val="en-GB"/>
        </w:rPr>
        <w:t>000–60</w:t>
      </w:r>
      <w:r w:rsidRPr="000855B2">
        <w:rPr>
          <w:lang w:val="en-GB"/>
        </w:rPr>
        <w:t> </w:t>
      </w:r>
      <w:r w:rsidR="00C1709E" w:rsidRPr="000855B2">
        <w:rPr>
          <w:lang w:val="en-GB"/>
        </w:rPr>
        <w:t>000 km</w:t>
      </w:r>
      <w:r w:rsidR="001D2587" w:rsidRPr="000855B2">
        <w:rPr>
          <w:lang w:val="en-GB"/>
        </w:rPr>
        <w:t>) and a degradation factor is</w:t>
      </w:r>
      <w:r w:rsidR="00047EEF" w:rsidRPr="000855B2">
        <w:rPr>
          <w:lang w:val="en-GB"/>
        </w:rPr>
        <w:t xml:space="preserve"> therefore inherent</w:t>
      </w:r>
      <w:r w:rsidR="001D2587" w:rsidRPr="000855B2">
        <w:rPr>
          <w:lang w:val="en-GB"/>
        </w:rPr>
        <w:t xml:space="preserve">. </w:t>
      </w:r>
      <w:r w:rsidR="00BA06B9" w:rsidRPr="000855B2">
        <w:rPr>
          <w:lang w:val="en-GB"/>
        </w:rPr>
        <w:t xml:space="preserve">For </w:t>
      </w:r>
      <w:r w:rsidR="005E4DC4">
        <w:rPr>
          <w:lang w:val="en-GB"/>
        </w:rPr>
        <w:t>petrol</w:t>
      </w:r>
      <w:r w:rsidR="00BA06B9" w:rsidRPr="000855B2">
        <w:rPr>
          <w:lang w:val="en-GB"/>
        </w:rPr>
        <w:t xml:space="preserve"> cars and </w:t>
      </w:r>
      <w:r w:rsidR="00CF67A4" w:rsidRPr="000855B2">
        <w:rPr>
          <w:lang w:val="en-GB"/>
        </w:rPr>
        <w:t>light commercial</w:t>
      </w:r>
      <w:r w:rsidR="00BA06B9" w:rsidRPr="000855B2">
        <w:rPr>
          <w:lang w:val="en-GB"/>
        </w:rPr>
        <w:t xml:space="preserve"> vehicles only, f</w:t>
      </w:r>
      <w:r w:rsidR="001D2587" w:rsidRPr="000855B2">
        <w:rPr>
          <w:lang w:val="en-GB"/>
        </w:rPr>
        <w:t>urther emission degradation</w:t>
      </w:r>
      <w:r w:rsidR="00047EEF" w:rsidRPr="000855B2">
        <w:rPr>
          <w:lang w:val="en-GB"/>
        </w:rPr>
        <w:t xml:space="preserve"> </w:t>
      </w:r>
      <w:r w:rsidRPr="000855B2">
        <w:rPr>
          <w:szCs w:val="20"/>
          <w:lang w:val="en-GB"/>
        </w:rPr>
        <w:t>—</w:t>
      </w:r>
      <w:r w:rsidR="00047EEF" w:rsidRPr="000855B2">
        <w:rPr>
          <w:lang w:val="en-GB"/>
        </w:rPr>
        <w:t xml:space="preserve"> </w:t>
      </w:r>
      <w:r w:rsidR="001D2587" w:rsidRPr="000855B2">
        <w:rPr>
          <w:lang w:val="en-GB"/>
        </w:rPr>
        <w:t xml:space="preserve">due to increased mileage </w:t>
      </w:r>
      <w:r w:rsidRPr="000855B2">
        <w:rPr>
          <w:szCs w:val="20"/>
          <w:lang w:val="en-GB"/>
        </w:rPr>
        <w:t>—</w:t>
      </w:r>
      <w:r w:rsidR="00047EEF" w:rsidRPr="000855B2">
        <w:rPr>
          <w:lang w:val="en-GB"/>
        </w:rPr>
        <w:t xml:space="preserve"> </w:t>
      </w:r>
      <w:r w:rsidR="001D2587" w:rsidRPr="000855B2">
        <w:rPr>
          <w:lang w:val="en-GB"/>
        </w:rPr>
        <w:t xml:space="preserve">should be modelled </w:t>
      </w:r>
      <w:r w:rsidR="00047EEF" w:rsidRPr="000855B2">
        <w:rPr>
          <w:lang w:val="en-GB"/>
        </w:rPr>
        <w:t xml:space="preserve">using </w:t>
      </w:r>
      <w:r w:rsidR="001D2587" w:rsidRPr="000855B2">
        <w:rPr>
          <w:lang w:val="en-GB"/>
        </w:rPr>
        <w:t xml:space="preserve">additional degradation factors. However, for the sake of consistency between the Member States, it is proposed not to introduce such corrections when compiling a baseline inventory up to the year 2000 because of the relatively </w:t>
      </w:r>
      <w:r w:rsidR="00047EEF" w:rsidRPr="000855B2">
        <w:rPr>
          <w:lang w:val="en-GB"/>
        </w:rPr>
        <w:t>low</w:t>
      </w:r>
      <w:r w:rsidR="001D2587" w:rsidRPr="000855B2">
        <w:rPr>
          <w:lang w:val="en-GB"/>
        </w:rPr>
        <w:t xml:space="preserve"> fleet age. However, when inventories and forecasts for future years need to be made, it is advis</w:t>
      </w:r>
      <w:r w:rsidR="00B57F2D" w:rsidRPr="000855B2">
        <w:rPr>
          <w:lang w:val="en-GB"/>
        </w:rPr>
        <w:t>able</w:t>
      </w:r>
      <w:r w:rsidR="001D2587" w:rsidRPr="000855B2">
        <w:rPr>
          <w:lang w:val="en-GB"/>
        </w:rPr>
        <w:t xml:space="preserve"> to correct emission factors according to mileage to introduce the effect of vehicle age in the calculations.</w:t>
      </w:r>
    </w:p>
    <w:p w14:paraId="1E00088E" w14:textId="77777777" w:rsidR="001D2587" w:rsidRPr="000855B2" w:rsidRDefault="00921B47" w:rsidP="009D781A">
      <w:pPr>
        <w:numPr>
          <w:ilvl w:val="0"/>
          <w:numId w:val="8"/>
        </w:numPr>
        <w:spacing w:before="60" w:after="80"/>
        <w:ind w:left="357" w:hanging="357"/>
        <w:rPr>
          <w:lang w:val="en-GB"/>
        </w:rPr>
      </w:pPr>
      <w:r w:rsidRPr="000855B2">
        <w:rPr>
          <w:i/>
          <w:lang w:val="en-GB"/>
        </w:rPr>
        <w:t>i</w:t>
      </w:r>
      <w:r w:rsidR="001D2587" w:rsidRPr="000855B2">
        <w:rPr>
          <w:i/>
          <w:lang w:val="en-GB"/>
        </w:rPr>
        <w:t>mproved fuels</w:t>
      </w:r>
      <w:r w:rsidR="001D2587" w:rsidRPr="000855B2">
        <w:rPr>
          <w:lang w:val="en-GB"/>
        </w:rPr>
        <w:t>. Improved fuels have become mandatory in the EU since 2000. The effect</w:t>
      </w:r>
      <w:r w:rsidR="0005213E" w:rsidRPr="000855B2">
        <w:rPr>
          <w:lang w:val="en-GB"/>
        </w:rPr>
        <w:t>s</w:t>
      </w:r>
      <w:r w:rsidR="001D2587" w:rsidRPr="000855B2">
        <w:rPr>
          <w:lang w:val="en-GB"/>
        </w:rPr>
        <w:t xml:space="preserve"> </w:t>
      </w:r>
      <w:r w:rsidR="0005213E" w:rsidRPr="000855B2">
        <w:rPr>
          <w:lang w:val="en-GB"/>
        </w:rPr>
        <w:t xml:space="preserve">of improved fuels </w:t>
      </w:r>
      <w:r w:rsidR="001D2587" w:rsidRPr="000855B2">
        <w:rPr>
          <w:lang w:val="en-GB"/>
        </w:rPr>
        <w:t xml:space="preserve">on emissions </w:t>
      </w:r>
      <w:r w:rsidR="0005213E" w:rsidRPr="000855B2">
        <w:rPr>
          <w:lang w:val="en-GB"/>
        </w:rPr>
        <w:t>from</w:t>
      </w:r>
      <w:r w:rsidR="001D2587" w:rsidRPr="000855B2">
        <w:rPr>
          <w:lang w:val="en-GB"/>
        </w:rPr>
        <w:t xml:space="preserve"> current and older vehicles can </w:t>
      </w:r>
      <w:r w:rsidR="0005213E" w:rsidRPr="000855B2">
        <w:rPr>
          <w:lang w:val="en-GB"/>
        </w:rPr>
        <w:t>again</w:t>
      </w:r>
      <w:r w:rsidR="001D2587" w:rsidRPr="000855B2">
        <w:rPr>
          <w:lang w:val="en-GB"/>
        </w:rPr>
        <w:t xml:space="preserve"> </w:t>
      </w:r>
      <w:r w:rsidR="0005213E" w:rsidRPr="000855B2">
        <w:rPr>
          <w:lang w:val="en-GB"/>
        </w:rPr>
        <w:t xml:space="preserve">be </w:t>
      </w:r>
      <w:r w:rsidR="0069595F" w:rsidRPr="000855B2">
        <w:rPr>
          <w:lang w:val="en-GB"/>
        </w:rPr>
        <w:t>accommodated</w:t>
      </w:r>
      <w:r w:rsidR="0005213E" w:rsidRPr="000855B2">
        <w:rPr>
          <w:lang w:val="en-GB"/>
        </w:rPr>
        <w:t xml:space="preserve"> using appropriate</w:t>
      </w:r>
      <w:r w:rsidR="001D2587" w:rsidRPr="000855B2">
        <w:rPr>
          <w:lang w:val="en-GB"/>
        </w:rPr>
        <w:t xml:space="preserve"> correction factors. Th</w:t>
      </w:r>
      <w:r w:rsidR="0005213E" w:rsidRPr="000855B2">
        <w:rPr>
          <w:lang w:val="en-GB"/>
        </w:rPr>
        <w:t>e</w:t>
      </w:r>
      <w:r w:rsidR="001D2587" w:rsidRPr="000855B2">
        <w:rPr>
          <w:lang w:val="en-GB"/>
        </w:rPr>
        <w:t>se corrections should only be applied in inventories compiled for years after the introduction of the improved fuels.</w:t>
      </w:r>
    </w:p>
    <w:p w14:paraId="0254E0E5" w14:textId="77777777" w:rsidR="007011A7" w:rsidRPr="00E16A4C" w:rsidRDefault="00921B47" w:rsidP="00E16A4C">
      <w:pPr>
        <w:numPr>
          <w:ilvl w:val="0"/>
          <w:numId w:val="8"/>
        </w:numPr>
        <w:spacing w:before="60" w:after="80"/>
        <w:ind w:left="357" w:hanging="357"/>
      </w:pPr>
      <w:r w:rsidRPr="00E16A4C">
        <w:rPr>
          <w:lang w:val="en-GB"/>
        </w:rPr>
        <w:t>r</w:t>
      </w:r>
      <w:r w:rsidR="001D2587" w:rsidRPr="00E16A4C">
        <w:rPr>
          <w:lang w:val="en-GB"/>
        </w:rPr>
        <w:t>oad gradient and vehicle load</w:t>
      </w:r>
      <w:r w:rsidR="001D2587" w:rsidRPr="000855B2">
        <w:rPr>
          <w:lang w:val="en-GB"/>
        </w:rPr>
        <w:t>. Corrections need to be made to heavy</w:t>
      </w:r>
      <w:r w:rsidR="006F1553" w:rsidRPr="000855B2">
        <w:rPr>
          <w:lang w:val="en-GB"/>
        </w:rPr>
        <w:t>-</w:t>
      </w:r>
      <w:r w:rsidR="001D2587" w:rsidRPr="000855B2">
        <w:rPr>
          <w:lang w:val="en-GB"/>
        </w:rPr>
        <w:t xml:space="preserve">duty vehicle emissions </w:t>
      </w:r>
      <w:r w:rsidR="0005213E" w:rsidRPr="000855B2">
        <w:rPr>
          <w:lang w:val="en-GB"/>
        </w:rPr>
        <w:t>for</w:t>
      </w:r>
      <w:r w:rsidR="001D2587" w:rsidRPr="000855B2">
        <w:rPr>
          <w:lang w:val="en-GB"/>
        </w:rPr>
        <w:t xml:space="preserve"> </w:t>
      </w:r>
      <w:r w:rsidR="0005213E" w:rsidRPr="000855B2">
        <w:rPr>
          <w:lang w:val="en-GB"/>
        </w:rPr>
        <w:t xml:space="preserve">uphill and downhill </w:t>
      </w:r>
      <w:r w:rsidR="001D2587" w:rsidRPr="000855B2">
        <w:rPr>
          <w:lang w:val="en-GB"/>
        </w:rPr>
        <w:t>driving. The corrections should only be applied in national inventories by those Member States where statistical data allow for a distinction of heavy</w:t>
      </w:r>
      <w:r w:rsidR="006F1553" w:rsidRPr="000855B2">
        <w:rPr>
          <w:lang w:val="en-GB"/>
        </w:rPr>
        <w:t>-</w:t>
      </w:r>
      <w:r w:rsidR="001D2587" w:rsidRPr="000855B2">
        <w:rPr>
          <w:lang w:val="en-GB"/>
        </w:rPr>
        <w:t>duty vehicle mileage on roads of positive or negative gradient. Also, by default, a factor of 50</w:t>
      </w:r>
      <w:r w:rsidR="006502D0" w:rsidRPr="000855B2">
        <w:rPr>
          <w:lang w:val="en-GB"/>
        </w:rPr>
        <w:t>%</w:t>
      </w:r>
      <w:r w:rsidR="001D2587" w:rsidRPr="000855B2">
        <w:rPr>
          <w:lang w:val="en-GB"/>
        </w:rPr>
        <w:t xml:space="preserve"> is considered for the load of heavy</w:t>
      </w:r>
      <w:r w:rsidR="006F1553" w:rsidRPr="000855B2">
        <w:rPr>
          <w:lang w:val="en-GB"/>
        </w:rPr>
        <w:t>-</w:t>
      </w:r>
      <w:r w:rsidR="001D2587" w:rsidRPr="000855B2">
        <w:rPr>
          <w:lang w:val="en-GB"/>
        </w:rPr>
        <w:t>duty vehicles. In cases where significant deviations exist for the mean load factor of the heavy</w:t>
      </w:r>
      <w:r w:rsidR="006F1553" w:rsidRPr="000855B2">
        <w:rPr>
          <w:lang w:val="en-GB"/>
        </w:rPr>
        <w:t>-</w:t>
      </w:r>
      <w:r w:rsidR="001D2587" w:rsidRPr="000855B2">
        <w:rPr>
          <w:lang w:val="en-GB"/>
        </w:rPr>
        <w:t xml:space="preserve">duty vehicle fleet, respective corrections should be </w:t>
      </w:r>
      <w:r w:rsidR="0005213E" w:rsidRPr="000855B2">
        <w:rPr>
          <w:lang w:val="en-GB"/>
        </w:rPr>
        <w:t>applied</w:t>
      </w:r>
      <w:r w:rsidR="001D2587" w:rsidRPr="000855B2">
        <w:rPr>
          <w:lang w:val="en-GB"/>
        </w:rPr>
        <w:t>.</w:t>
      </w:r>
      <w:bookmarkStart w:id="151" w:name="_Toc457131603"/>
      <w:bookmarkStart w:id="152" w:name="_Toc496264334"/>
    </w:p>
    <w:p w14:paraId="0D44523D" w14:textId="77777777" w:rsidR="001D2587" w:rsidRPr="000855B2" w:rsidRDefault="001D2587">
      <w:pPr>
        <w:pStyle w:val="Heading5"/>
      </w:pPr>
      <w:r w:rsidRPr="000855B2">
        <w:t>Emission degradation due to vehicle age</w:t>
      </w:r>
      <w:bookmarkEnd w:id="151"/>
      <w:bookmarkEnd w:id="152"/>
    </w:p>
    <w:p w14:paraId="1113A59D" w14:textId="77777777" w:rsidR="001D2587" w:rsidRPr="000855B2" w:rsidRDefault="001D2587" w:rsidP="00546C89">
      <w:pPr>
        <w:pStyle w:val="BodyText"/>
      </w:pPr>
      <w:r w:rsidRPr="000855B2">
        <w:t>Correction factors need to be applied to the baseline emission factor</w:t>
      </w:r>
      <w:r w:rsidR="00BA06B9" w:rsidRPr="000855B2">
        <w:t>s</w:t>
      </w:r>
      <w:r w:rsidRPr="000855B2">
        <w:t xml:space="preserve"> </w:t>
      </w:r>
      <w:r w:rsidR="00BA06B9" w:rsidRPr="000855B2">
        <w:t xml:space="preserve">for </w:t>
      </w:r>
      <w:r w:rsidR="005E4DC4">
        <w:t>petrol</w:t>
      </w:r>
      <w:r w:rsidR="00BA06B9" w:rsidRPr="000855B2">
        <w:t xml:space="preserve"> cars and </w:t>
      </w:r>
      <w:r w:rsidR="00CF67A4" w:rsidRPr="000855B2">
        <w:t>light commercial</w:t>
      </w:r>
      <w:r w:rsidR="00BA06B9" w:rsidRPr="000855B2">
        <w:t xml:space="preserve"> vehicles </w:t>
      </w:r>
      <w:r w:rsidRPr="000855B2">
        <w:t>to account for different vehicle age. Th</w:t>
      </w:r>
      <w:r w:rsidR="00BA06B9" w:rsidRPr="000855B2">
        <w:t>ese</w:t>
      </w:r>
      <w:r w:rsidRPr="000855B2">
        <w:t xml:space="preserve"> correction factor</w:t>
      </w:r>
      <w:r w:rsidR="00BA06B9" w:rsidRPr="000855B2">
        <w:t>s are</w:t>
      </w:r>
      <w:r w:rsidRPr="000855B2">
        <w:t xml:space="preserve"> given by equation:</w:t>
      </w:r>
    </w:p>
    <w:p w14:paraId="39C52C07" w14:textId="77777777" w:rsidR="005E4DC4" w:rsidRPr="000855B2" w:rsidRDefault="005E4DC4" w:rsidP="00546C89">
      <w:pPr>
        <w:autoSpaceDE w:val="0"/>
        <w:autoSpaceDN w:val="0"/>
        <w:adjustRightInd w:val="0"/>
        <w:rPr>
          <w:rFonts w:cs="Tahoma"/>
          <w:szCs w:val="22"/>
          <w:lang w:val="en-GB"/>
        </w:rPr>
      </w:pPr>
    </w:p>
    <w:tbl>
      <w:tblPr>
        <w:tblW w:w="0" w:type="auto"/>
        <w:tblBorders>
          <w:insideH w:val="single" w:sz="4" w:space="0" w:color="auto"/>
        </w:tblBorders>
        <w:tblLook w:val="01E0" w:firstRow="1" w:lastRow="1" w:firstColumn="1" w:lastColumn="1" w:noHBand="0" w:noVBand="0"/>
      </w:tblPr>
      <w:tblGrid>
        <w:gridCol w:w="7708"/>
        <w:gridCol w:w="755"/>
      </w:tblGrid>
      <w:tr w:rsidR="001D2587" w:rsidRPr="000855B2" w14:paraId="567271DA" w14:textId="77777777">
        <w:tc>
          <w:tcPr>
            <w:tcW w:w="8240" w:type="dxa"/>
            <w:tcMar>
              <w:left w:w="0" w:type="dxa"/>
              <w:right w:w="0" w:type="dxa"/>
            </w:tcMar>
            <w:vAlign w:val="center"/>
          </w:tcPr>
          <w:p w14:paraId="5C36D561" w14:textId="77777777" w:rsidR="001D2587" w:rsidRPr="003425B8" w:rsidRDefault="001D2587" w:rsidP="003425B8">
            <w:smartTag w:uri="urn:schemas-microsoft-com:office:smarttags" w:element="stockticker">
              <w:r w:rsidRPr="003425B8">
                <w:t>MC</w:t>
              </w:r>
              <w:r w:rsidRPr="003425B8">
                <w:rPr>
                  <w:vertAlign w:val="subscript"/>
                </w:rPr>
                <w:t>C</w:t>
              </w:r>
            </w:smartTag>
            <w:r w:rsidRPr="003425B8">
              <w:rPr>
                <w:vertAlign w:val="subscript"/>
              </w:rPr>
              <w:t>,i</w:t>
            </w:r>
            <w:r w:rsidRPr="003425B8">
              <w:t xml:space="preserve"> = A</w:t>
            </w:r>
            <w:r w:rsidRPr="003425B8">
              <w:rPr>
                <w:vertAlign w:val="subscript"/>
              </w:rPr>
              <w:t>M</w:t>
            </w:r>
            <w:r w:rsidRPr="003425B8">
              <w:t xml:space="preserve"> × M</w:t>
            </w:r>
            <w:r w:rsidRPr="003425B8">
              <w:rPr>
                <w:vertAlign w:val="subscript"/>
              </w:rPr>
              <w:t>MEAN</w:t>
            </w:r>
            <w:r w:rsidRPr="003425B8">
              <w:t xml:space="preserve"> + B</w:t>
            </w:r>
            <w:r w:rsidRPr="003425B8">
              <w:rPr>
                <w:vertAlign w:val="subscript"/>
              </w:rPr>
              <w:t>M</w:t>
            </w:r>
          </w:p>
        </w:tc>
        <w:tc>
          <w:tcPr>
            <w:tcW w:w="787" w:type="dxa"/>
            <w:tcMar>
              <w:left w:w="0" w:type="dxa"/>
              <w:right w:w="0" w:type="dxa"/>
            </w:tcMar>
            <w:vAlign w:val="center"/>
          </w:tcPr>
          <w:p w14:paraId="3EA4E1AD" w14:textId="6A71B80A" w:rsidR="001D2587" w:rsidRPr="000855B2" w:rsidRDefault="001D2587" w:rsidP="00546C89">
            <w:pPr>
              <w:numPr>
                <w:ilvl w:val="12"/>
                <w:numId w:val="0"/>
              </w:numP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23</w:t>
            </w:r>
            <w:r w:rsidR="00E17971">
              <w:rPr>
                <w:lang w:val="en-GB"/>
              </w:rPr>
              <w:fldChar w:fldCharType="end"/>
            </w:r>
            <w:r w:rsidRPr="000855B2">
              <w:rPr>
                <w:lang w:val="en-GB"/>
              </w:rPr>
              <w:t>)</w:t>
            </w:r>
          </w:p>
        </w:tc>
      </w:tr>
    </w:tbl>
    <w:p w14:paraId="7F86A763" w14:textId="77777777" w:rsidR="00BA06B9" w:rsidRPr="000855B2" w:rsidRDefault="001D2587" w:rsidP="00546C89">
      <w:pPr>
        <w:autoSpaceDE w:val="0"/>
        <w:autoSpaceDN w:val="0"/>
        <w:adjustRightInd w:val="0"/>
        <w:spacing w:before="120"/>
        <w:rPr>
          <w:rFonts w:cs="Tahoma"/>
          <w:szCs w:val="22"/>
          <w:lang w:val="en-GB"/>
        </w:rPr>
      </w:pPr>
      <w:r w:rsidRPr="000855B2">
        <w:rPr>
          <w:rFonts w:cs="Tahoma"/>
          <w:szCs w:val="22"/>
          <w:lang w:val="en-GB"/>
        </w:rPr>
        <w:t>where,</w:t>
      </w:r>
    </w:p>
    <w:p w14:paraId="6BD07015" w14:textId="77777777" w:rsidR="00921B47" w:rsidRPr="000855B2" w:rsidRDefault="00921B47" w:rsidP="00546C89">
      <w:pPr>
        <w:autoSpaceDE w:val="0"/>
        <w:autoSpaceDN w:val="0"/>
        <w:adjustRightInd w:val="0"/>
        <w:spacing w:before="120"/>
        <w:rPr>
          <w:rFonts w:cs="Tahoma"/>
          <w:szCs w:val="22"/>
          <w:lang w:val="en-GB"/>
        </w:rPr>
      </w:pPr>
    </w:p>
    <w:p w14:paraId="3668BDDB" w14:textId="77777777" w:rsidR="00BA06B9" w:rsidRPr="000855B2" w:rsidRDefault="00BA06B9" w:rsidP="00546C89">
      <w:pPr>
        <w:tabs>
          <w:tab w:val="left" w:pos="1080"/>
          <w:tab w:val="left" w:pos="1440"/>
        </w:tabs>
        <w:autoSpaceDE w:val="0"/>
        <w:autoSpaceDN w:val="0"/>
        <w:adjustRightInd w:val="0"/>
        <w:ind w:left="1440" w:hanging="1260"/>
        <w:rPr>
          <w:rFonts w:cs="Tahoma"/>
          <w:bCs/>
          <w:szCs w:val="22"/>
          <w:lang w:val="en-GB"/>
        </w:rPr>
      </w:pPr>
      <w:smartTag w:uri="urn:schemas-microsoft-com:office:smarttags" w:element="stockticker">
        <w:r w:rsidRPr="000855B2">
          <w:rPr>
            <w:rFonts w:cs="Tahoma"/>
            <w:bCs/>
            <w:szCs w:val="22"/>
            <w:lang w:val="en-GB"/>
          </w:rPr>
          <w:t>MC</w:t>
        </w:r>
        <w:r w:rsidRPr="000855B2">
          <w:rPr>
            <w:rFonts w:cs="Tahoma"/>
            <w:bCs/>
            <w:szCs w:val="22"/>
            <w:vertAlign w:val="subscript"/>
            <w:lang w:val="en-GB"/>
          </w:rPr>
          <w:t>C</w:t>
        </w:r>
      </w:smartTag>
      <w:r w:rsidRPr="000855B2">
        <w:rPr>
          <w:rFonts w:cs="Tahoma"/>
          <w:bCs/>
          <w:szCs w:val="22"/>
          <w:vertAlign w:val="subscript"/>
          <w:lang w:val="en-GB"/>
        </w:rPr>
        <w:t>,i</w:t>
      </w:r>
      <w:r w:rsidRPr="000855B2">
        <w:rPr>
          <w:rFonts w:cs="Tahoma"/>
          <w:szCs w:val="22"/>
          <w:lang w:val="en-GB"/>
        </w:rPr>
        <w:t xml:space="preserve"> </w:t>
      </w:r>
      <w:r w:rsidRPr="000855B2">
        <w:rPr>
          <w:rFonts w:cs="Tahoma"/>
          <w:szCs w:val="22"/>
          <w:lang w:val="en-GB"/>
        </w:rPr>
        <w:tab/>
        <w:t>=</w:t>
      </w:r>
      <w:r w:rsidRPr="000855B2">
        <w:rPr>
          <w:rFonts w:cs="Tahoma"/>
          <w:szCs w:val="22"/>
          <w:lang w:val="en-GB"/>
        </w:rPr>
        <w:tab/>
      </w:r>
      <w:r w:rsidR="00921B47" w:rsidRPr="000855B2">
        <w:rPr>
          <w:rFonts w:cs="Tahoma"/>
          <w:szCs w:val="22"/>
          <w:lang w:val="en-GB"/>
        </w:rPr>
        <w:t>t</w:t>
      </w:r>
      <w:r w:rsidRPr="000855B2">
        <w:rPr>
          <w:rFonts w:cs="Tahoma"/>
          <w:szCs w:val="22"/>
          <w:lang w:val="en-GB"/>
        </w:rPr>
        <w:t>he mileage correction factor for a given mileage (</w:t>
      </w:r>
      <w:r w:rsidRPr="000855B2">
        <w:rPr>
          <w:rFonts w:cs="Tahoma"/>
          <w:i/>
          <w:szCs w:val="22"/>
          <w:lang w:val="en-GB"/>
        </w:rPr>
        <w:t>M</w:t>
      </w:r>
      <w:r w:rsidRPr="000855B2">
        <w:rPr>
          <w:rFonts w:cs="Tahoma"/>
          <w:i/>
          <w:szCs w:val="22"/>
          <w:vertAlign w:val="subscript"/>
          <w:lang w:val="en-GB"/>
        </w:rPr>
        <w:t>av</w:t>
      </w:r>
      <w:r w:rsidRPr="000855B2">
        <w:rPr>
          <w:rFonts w:cs="Tahoma"/>
          <w:szCs w:val="22"/>
          <w:lang w:val="en-GB"/>
        </w:rPr>
        <w:t>)</w:t>
      </w:r>
      <w:r w:rsidR="00C1709E" w:rsidRPr="000855B2">
        <w:rPr>
          <w:rFonts w:cs="Tahoma"/>
          <w:szCs w:val="22"/>
          <w:lang w:val="en-GB"/>
        </w:rPr>
        <w:t xml:space="preserve"> and</w:t>
      </w:r>
      <w:r w:rsidRPr="000855B2">
        <w:rPr>
          <w:rFonts w:cs="Tahoma"/>
          <w:szCs w:val="22"/>
          <w:lang w:val="en-GB"/>
        </w:rPr>
        <w:t xml:space="preserve"> pollutant </w:t>
      </w:r>
      <w:r w:rsidRPr="000855B2">
        <w:rPr>
          <w:rFonts w:cs="Tahoma"/>
          <w:i/>
          <w:szCs w:val="22"/>
          <w:lang w:val="en-GB"/>
        </w:rPr>
        <w:t>i</w:t>
      </w:r>
      <w:r w:rsidR="00921B47" w:rsidRPr="000855B2">
        <w:rPr>
          <w:rFonts w:cs="Tahoma"/>
          <w:i/>
          <w:szCs w:val="22"/>
          <w:lang w:val="en-GB"/>
        </w:rPr>
        <w:t>,</w:t>
      </w:r>
      <w:r w:rsidRPr="000855B2">
        <w:rPr>
          <w:rFonts w:cs="Tahoma"/>
          <w:szCs w:val="22"/>
          <w:lang w:val="en-GB"/>
        </w:rPr>
        <w:t xml:space="preserve"> </w:t>
      </w:r>
    </w:p>
    <w:p w14:paraId="6B484782" w14:textId="77777777" w:rsidR="001D2587" w:rsidRPr="000855B2" w:rsidRDefault="001D2587" w:rsidP="00546C89">
      <w:pPr>
        <w:tabs>
          <w:tab w:val="left" w:pos="1080"/>
          <w:tab w:val="left" w:pos="1440"/>
        </w:tabs>
        <w:autoSpaceDE w:val="0"/>
        <w:autoSpaceDN w:val="0"/>
        <w:adjustRightInd w:val="0"/>
        <w:ind w:left="180"/>
        <w:rPr>
          <w:rFonts w:cs="Tahoma"/>
          <w:szCs w:val="22"/>
          <w:lang w:val="en-GB"/>
        </w:rPr>
      </w:pPr>
      <w:r w:rsidRPr="000855B2">
        <w:rPr>
          <w:rFonts w:cs="Tahoma"/>
          <w:bCs/>
          <w:szCs w:val="22"/>
          <w:lang w:val="en-GB"/>
        </w:rPr>
        <w:t>M</w:t>
      </w:r>
      <w:r w:rsidRPr="000855B2">
        <w:rPr>
          <w:rFonts w:cs="Tahoma"/>
          <w:bCs/>
          <w:szCs w:val="22"/>
          <w:vertAlign w:val="subscript"/>
          <w:lang w:val="en-GB"/>
        </w:rPr>
        <w:t>MEAN</w:t>
      </w:r>
      <w:r w:rsidRPr="000855B2">
        <w:rPr>
          <w:rFonts w:cs="Tahoma"/>
          <w:szCs w:val="22"/>
          <w:lang w:val="en-GB"/>
        </w:rPr>
        <w:tab/>
      </w:r>
      <w:r w:rsidR="00BA06B9" w:rsidRPr="000855B2">
        <w:rPr>
          <w:rFonts w:cs="Tahoma"/>
          <w:szCs w:val="22"/>
          <w:lang w:val="en-GB"/>
        </w:rPr>
        <w:t>=</w:t>
      </w:r>
      <w:r w:rsidR="00BA06B9" w:rsidRPr="000855B2">
        <w:rPr>
          <w:rFonts w:cs="Tahoma"/>
          <w:szCs w:val="22"/>
          <w:lang w:val="en-GB"/>
        </w:rPr>
        <w:tab/>
      </w:r>
      <w:r w:rsidR="00921B47" w:rsidRPr="000855B2">
        <w:rPr>
          <w:rFonts w:cs="Tahoma"/>
          <w:szCs w:val="22"/>
          <w:lang w:val="en-GB"/>
        </w:rPr>
        <w:t>t</w:t>
      </w:r>
      <w:r w:rsidRPr="000855B2">
        <w:rPr>
          <w:rFonts w:cs="Tahoma"/>
          <w:szCs w:val="22"/>
          <w:lang w:val="en-GB"/>
        </w:rPr>
        <w:t>he mean fleet mileage of vehicles for which correction is applied</w:t>
      </w:r>
      <w:r w:rsidR="00921B47" w:rsidRPr="000855B2">
        <w:rPr>
          <w:rFonts w:cs="Tahoma"/>
          <w:szCs w:val="22"/>
          <w:lang w:val="en-GB"/>
        </w:rPr>
        <w:t>,</w:t>
      </w:r>
    </w:p>
    <w:p w14:paraId="4EEC34F8" w14:textId="77777777" w:rsidR="001D2587" w:rsidRPr="000855B2" w:rsidRDefault="001D2587" w:rsidP="00546C89">
      <w:pPr>
        <w:tabs>
          <w:tab w:val="left" w:pos="1080"/>
          <w:tab w:val="left" w:pos="1440"/>
        </w:tabs>
        <w:autoSpaceDE w:val="0"/>
        <w:autoSpaceDN w:val="0"/>
        <w:adjustRightInd w:val="0"/>
        <w:ind w:left="180"/>
        <w:rPr>
          <w:rFonts w:cs="Tahoma"/>
          <w:szCs w:val="22"/>
          <w:lang w:val="en-GB"/>
        </w:rPr>
      </w:pPr>
      <w:r w:rsidRPr="000855B2">
        <w:rPr>
          <w:rFonts w:cs="Tahoma"/>
          <w:bCs/>
          <w:szCs w:val="22"/>
          <w:lang w:val="en-GB"/>
        </w:rPr>
        <w:t>A</w:t>
      </w:r>
      <w:r w:rsidRPr="000855B2">
        <w:rPr>
          <w:rFonts w:cs="Tahoma"/>
          <w:bCs/>
          <w:szCs w:val="22"/>
          <w:vertAlign w:val="subscript"/>
          <w:lang w:val="en-GB"/>
        </w:rPr>
        <w:t>M</w:t>
      </w:r>
      <w:r w:rsidRPr="000855B2">
        <w:rPr>
          <w:rFonts w:cs="Tahoma"/>
          <w:szCs w:val="22"/>
          <w:lang w:val="en-GB"/>
        </w:rPr>
        <w:tab/>
      </w:r>
      <w:r w:rsidR="00BA06B9" w:rsidRPr="000855B2">
        <w:rPr>
          <w:rFonts w:cs="Tahoma"/>
          <w:szCs w:val="22"/>
          <w:lang w:val="en-GB"/>
        </w:rPr>
        <w:t>=</w:t>
      </w:r>
      <w:r w:rsidR="00BA06B9" w:rsidRPr="000855B2">
        <w:rPr>
          <w:rFonts w:cs="Tahoma"/>
          <w:szCs w:val="22"/>
          <w:lang w:val="en-GB"/>
        </w:rPr>
        <w:tab/>
      </w:r>
      <w:r w:rsidR="00921B47" w:rsidRPr="000855B2">
        <w:rPr>
          <w:rFonts w:cs="Tahoma"/>
          <w:szCs w:val="22"/>
          <w:lang w:val="en-GB"/>
        </w:rPr>
        <w:t>t</w:t>
      </w:r>
      <w:r w:rsidRPr="000855B2">
        <w:rPr>
          <w:rFonts w:cs="Tahoma"/>
          <w:szCs w:val="22"/>
          <w:lang w:val="en-GB"/>
        </w:rPr>
        <w:t>he degradation of the emission performance per kilometre</w:t>
      </w:r>
      <w:r w:rsidR="00921B47" w:rsidRPr="000855B2">
        <w:rPr>
          <w:rFonts w:cs="Tahoma"/>
          <w:szCs w:val="22"/>
          <w:lang w:val="en-GB"/>
        </w:rPr>
        <w:t>,</w:t>
      </w:r>
    </w:p>
    <w:p w14:paraId="56B8F9EA" w14:textId="77777777" w:rsidR="001D2587" w:rsidRPr="000855B2" w:rsidRDefault="001D2587" w:rsidP="00546C89">
      <w:pPr>
        <w:tabs>
          <w:tab w:val="left" w:pos="1080"/>
          <w:tab w:val="left" w:pos="1440"/>
        </w:tabs>
        <w:autoSpaceDE w:val="0"/>
        <w:autoSpaceDN w:val="0"/>
        <w:adjustRightInd w:val="0"/>
        <w:ind w:left="180"/>
        <w:rPr>
          <w:rFonts w:cs="Tahoma"/>
          <w:szCs w:val="22"/>
          <w:lang w:val="en-GB"/>
        </w:rPr>
      </w:pPr>
      <w:r w:rsidRPr="000855B2">
        <w:rPr>
          <w:rFonts w:cs="Tahoma"/>
          <w:bCs/>
          <w:szCs w:val="22"/>
          <w:lang w:val="en-GB"/>
        </w:rPr>
        <w:t>B</w:t>
      </w:r>
      <w:r w:rsidRPr="000855B2">
        <w:rPr>
          <w:rFonts w:cs="Tahoma"/>
          <w:bCs/>
          <w:szCs w:val="22"/>
          <w:vertAlign w:val="subscript"/>
          <w:lang w:val="en-GB"/>
        </w:rPr>
        <w:t>M</w:t>
      </w:r>
      <w:r w:rsidRPr="000855B2">
        <w:rPr>
          <w:rFonts w:cs="Tahoma"/>
          <w:szCs w:val="22"/>
          <w:lang w:val="en-GB"/>
        </w:rPr>
        <w:tab/>
      </w:r>
      <w:r w:rsidR="00BA06B9" w:rsidRPr="000855B2">
        <w:rPr>
          <w:rFonts w:cs="Tahoma"/>
          <w:szCs w:val="22"/>
          <w:lang w:val="en-GB"/>
        </w:rPr>
        <w:t>=</w:t>
      </w:r>
      <w:r w:rsidR="00BA06B9" w:rsidRPr="000855B2">
        <w:rPr>
          <w:rFonts w:cs="Tahoma"/>
          <w:szCs w:val="22"/>
          <w:lang w:val="en-GB"/>
        </w:rPr>
        <w:tab/>
      </w:r>
      <w:r w:rsidR="00921B47" w:rsidRPr="000855B2">
        <w:rPr>
          <w:rFonts w:cs="Tahoma"/>
          <w:szCs w:val="22"/>
          <w:lang w:val="en-GB"/>
        </w:rPr>
        <w:t>t</w:t>
      </w:r>
      <w:r w:rsidRPr="000855B2">
        <w:rPr>
          <w:rFonts w:cs="Tahoma"/>
          <w:szCs w:val="22"/>
          <w:lang w:val="en-GB"/>
        </w:rPr>
        <w:t>he emission level of a fleet of brand new vehicles</w:t>
      </w:r>
      <w:r w:rsidR="00921B47" w:rsidRPr="000855B2">
        <w:rPr>
          <w:rFonts w:cs="Tahoma"/>
          <w:szCs w:val="22"/>
          <w:lang w:val="en-GB"/>
        </w:rPr>
        <w:t>.</w:t>
      </w:r>
    </w:p>
    <w:p w14:paraId="11586E76" w14:textId="77777777" w:rsidR="001D2587" w:rsidRPr="000855B2" w:rsidRDefault="001D2587" w:rsidP="00546C89">
      <w:pPr>
        <w:pStyle w:val="BodyText"/>
      </w:pPr>
      <w:r w:rsidRPr="000855B2">
        <w:rPr>
          <w:bCs/>
        </w:rPr>
        <w:t>B</w:t>
      </w:r>
      <w:r w:rsidRPr="000855B2">
        <w:rPr>
          <w:bCs/>
          <w:vertAlign w:val="subscript"/>
        </w:rPr>
        <w:t>M</w:t>
      </w:r>
      <w:r w:rsidRPr="000855B2">
        <w:rPr>
          <w:bCs/>
        </w:rPr>
        <w:t xml:space="preserve"> </w:t>
      </w:r>
      <w:r w:rsidRPr="000855B2">
        <w:t>is lower than 1 because the correction factors are determined using vehicle fleets with mileages ranging from 16</w:t>
      </w:r>
      <w:r w:rsidR="00921B47" w:rsidRPr="000855B2">
        <w:t> </w:t>
      </w:r>
      <w:r w:rsidRPr="000855B2">
        <w:t>000 to 50</w:t>
      </w:r>
      <w:r w:rsidR="00921B47" w:rsidRPr="000855B2">
        <w:t> </w:t>
      </w:r>
      <w:r w:rsidRPr="000855B2">
        <w:t>000</w:t>
      </w:r>
      <w:r w:rsidR="004A3634" w:rsidRPr="000855B2">
        <w:t> km</w:t>
      </w:r>
      <w:r w:rsidRPr="000855B2">
        <w:t xml:space="preserve">. Therefore, brand new vehicles are expected to emit less than the sample </w:t>
      </w:r>
      <w:r w:rsidR="00BA06B9" w:rsidRPr="000855B2">
        <w:t xml:space="preserve">of </w:t>
      </w:r>
      <w:r w:rsidRPr="000855B2">
        <w:t>vehicles</w:t>
      </w:r>
      <w:r w:rsidR="00BA06B9" w:rsidRPr="000855B2">
        <w:t xml:space="preserve"> upon which the emission factors are based</w:t>
      </w:r>
      <w:r w:rsidRPr="000855B2">
        <w:t>. It is assumed that emissions do not further degrade above 120</w:t>
      </w:r>
      <w:r w:rsidR="00921B47" w:rsidRPr="000855B2">
        <w:t> </w:t>
      </w:r>
      <w:r w:rsidRPr="000855B2">
        <w:t>000</w:t>
      </w:r>
      <w:r w:rsidR="004A3634" w:rsidRPr="000855B2">
        <w:t> km</w:t>
      </w:r>
      <w:r w:rsidRPr="000855B2">
        <w:t xml:space="preserve"> for </w:t>
      </w:r>
      <w:r w:rsidR="008D1415" w:rsidRPr="000855B2">
        <w:t>Euro </w:t>
      </w:r>
      <w:r w:rsidR="008A4916" w:rsidRPr="000855B2">
        <w:t>1</w:t>
      </w:r>
      <w:r w:rsidRPr="000855B2">
        <w:t xml:space="preserve"> and </w:t>
      </w:r>
      <w:r w:rsidR="008D1415" w:rsidRPr="000855B2">
        <w:t>Euro </w:t>
      </w:r>
      <w:r w:rsidR="008A4916" w:rsidRPr="000855B2">
        <w:t>2</w:t>
      </w:r>
      <w:r w:rsidRPr="000855B2">
        <w:t xml:space="preserve"> vehicles</w:t>
      </w:r>
      <w:r w:rsidR="00BA06B9" w:rsidRPr="000855B2">
        <w:t>,</w:t>
      </w:r>
      <w:r w:rsidRPr="000855B2">
        <w:t xml:space="preserve"> and </w:t>
      </w:r>
      <w:r w:rsidR="00BA06B9" w:rsidRPr="000855B2">
        <w:t xml:space="preserve">above </w:t>
      </w:r>
      <w:r w:rsidRPr="000855B2">
        <w:t>160</w:t>
      </w:r>
      <w:r w:rsidR="00921B47" w:rsidRPr="000855B2">
        <w:t> </w:t>
      </w:r>
      <w:r w:rsidRPr="000855B2">
        <w:t>000</w:t>
      </w:r>
      <w:r w:rsidR="004A3634" w:rsidRPr="000855B2">
        <w:t> km</w:t>
      </w:r>
      <w:r w:rsidRPr="000855B2">
        <w:t xml:space="preserve"> for </w:t>
      </w:r>
      <w:r w:rsidR="008D1415" w:rsidRPr="000855B2">
        <w:t>Euro </w:t>
      </w:r>
      <w:r w:rsidR="008A4916" w:rsidRPr="000855B2">
        <w:t>3</w:t>
      </w:r>
      <w:r w:rsidRPr="000855B2">
        <w:t xml:space="preserve"> and </w:t>
      </w:r>
      <w:r w:rsidR="005E4DC4">
        <w:t>on</w:t>
      </w:r>
      <w:r w:rsidRPr="000855B2">
        <w:t xml:space="preserve"> vehicles.</w:t>
      </w:r>
    </w:p>
    <w:p w14:paraId="0892604A" w14:textId="77777777" w:rsidR="001D2587" w:rsidRPr="000855B2" w:rsidRDefault="001D2587" w:rsidP="00546C89">
      <w:pPr>
        <w:pStyle w:val="BodyText"/>
      </w:pPr>
      <w:r w:rsidRPr="005E4DC4">
        <w:t xml:space="preserve">The effect of average speed on emission degradation is taken into account by combining the observed degradation lines </w:t>
      </w:r>
      <w:r w:rsidR="0038472B" w:rsidRPr="005E4DC4">
        <w:t>over the two driving modes (urban, rural).</w:t>
      </w:r>
      <w:r w:rsidRPr="005E4DC4">
        <w:t xml:space="preserve"> It is assumed that for speeds outside the region defined by the average speed of urban driving (19</w:t>
      </w:r>
      <w:r w:rsidR="004A3634" w:rsidRPr="005E4DC4">
        <w:t> km</w:t>
      </w:r>
      <w:r w:rsidRPr="005E4DC4">
        <w:t xml:space="preserve">/h) and </w:t>
      </w:r>
      <w:r w:rsidR="00BA06B9" w:rsidRPr="005E4DC4">
        <w:t>rural</w:t>
      </w:r>
      <w:r w:rsidRPr="005E4DC4">
        <w:t xml:space="preserve"> driving (63</w:t>
      </w:r>
      <w:r w:rsidR="004A3634" w:rsidRPr="005E4DC4">
        <w:t> km</w:t>
      </w:r>
      <w:r w:rsidRPr="005E4DC4">
        <w:t>/h), the degradation is</w:t>
      </w:r>
      <w:r w:rsidRPr="000855B2">
        <w:t xml:space="preserve"> independent of speed. Linear interpolation between the two values provides the emission degradation in the intermediate speed region. </w:t>
      </w:r>
    </w:p>
    <w:p w14:paraId="7284ABEE" w14:textId="77777777" w:rsidR="001D2587" w:rsidRPr="000855B2" w:rsidRDefault="001D2587">
      <w:pPr>
        <w:pStyle w:val="Heading5"/>
      </w:pPr>
      <w:bookmarkStart w:id="153" w:name="_Toc457131604"/>
      <w:bookmarkStart w:id="154" w:name="_Toc496264335"/>
      <w:r w:rsidRPr="000855B2">
        <w:t>Fuel effects</w:t>
      </w:r>
      <w:bookmarkStart w:id="155" w:name="_GoBack"/>
      <w:bookmarkEnd w:id="153"/>
      <w:bookmarkEnd w:id="154"/>
      <w:bookmarkEnd w:id="155"/>
    </w:p>
    <w:p w14:paraId="66C4BA60" w14:textId="745793E6" w:rsidR="001D2587" w:rsidRPr="000855B2" w:rsidRDefault="001D2587" w:rsidP="00546C89">
      <w:pPr>
        <w:pStyle w:val="BodyText"/>
      </w:pPr>
      <w:r w:rsidRPr="000855B2">
        <w:t>Fuels of improved specification be</w:t>
      </w:r>
      <w:r w:rsidR="00BA06B9" w:rsidRPr="000855B2">
        <w:t>ca</w:t>
      </w:r>
      <w:r w:rsidRPr="000855B2">
        <w:t>me mandatory in Europe in two steps</w:t>
      </w:r>
      <w:r w:rsidR="00BA06B9" w:rsidRPr="000855B2">
        <w:t>:</w:t>
      </w:r>
      <w:r w:rsidRPr="000855B2">
        <w:t xml:space="preserve"> January 2000 (Fuel 2000) and January 2005 (Fuel 2005) respectively. The specifications of th</w:t>
      </w:r>
      <w:r w:rsidR="00BA06B9" w:rsidRPr="000855B2">
        <w:t>e</w:t>
      </w:r>
      <w:r w:rsidRPr="000855B2">
        <w:t xml:space="preserve">se fuels are displayed in </w:t>
      </w:r>
      <w:r w:rsidR="00FB454C">
        <w:fldChar w:fldCharType="begin"/>
      </w:r>
      <w:r w:rsidR="00FB454C">
        <w:instrText xml:space="preserve"> REF _Ref140400644 \h  \* MERGEFORMAT </w:instrText>
      </w:r>
      <w:r w:rsidR="00FB454C">
        <w:fldChar w:fldCharType="separate"/>
      </w:r>
      <w:r w:rsidR="0071604C" w:rsidRPr="000855B2">
        <w:t>Table </w:t>
      </w:r>
      <w:r w:rsidR="0071604C">
        <w:t>3.31</w:t>
      </w:r>
      <w:r w:rsidR="00FB454C">
        <w:fldChar w:fldCharType="end"/>
      </w:r>
      <w:r w:rsidRPr="000855B2">
        <w:t xml:space="preserve"> (</w:t>
      </w:r>
      <w:r w:rsidR="005E4DC4">
        <w:t>petrol</w:t>
      </w:r>
      <w:r w:rsidRPr="000855B2">
        <w:t xml:space="preserve">) and </w:t>
      </w:r>
      <w:r w:rsidR="00FB454C">
        <w:fldChar w:fldCharType="begin"/>
      </w:r>
      <w:r w:rsidR="00FB454C">
        <w:instrText xml:space="preserve"> REF _Ref172035326 \h  \* MERGEFORMAT </w:instrText>
      </w:r>
      <w:r w:rsidR="00FB454C">
        <w:fldChar w:fldCharType="separate"/>
      </w:r>
      <w:r w:rsidR="0071604C" w:rsidRPr="000855B2">
        <w:t>Table </w:t>
      </w:r>
      <w:r w:rsidR="0071604C">
        <w:t>3.32</w:t>
      </w:r>
      <w:r w:rsidR="00FB454C">
        <w:fldChar w:fldCharType="end"/>
      </w:r>
      <w:r w:rsidRPr="000855B2">
        <w:t xml:space="preserve"> (</w:t>
      </w:r>
      <w:r w:rsidR="00BA06B9" w:rsidRPr="000855B2">
        <w:t>d</w:t>
      </w:r>
      <w:r w:rsidRPr="000855B2">
        <w:t xml:space="preserve">iesel). Because of their improved properties, the fuels result in lower emissions from vehicles. Therefore, the stringent emission standards of </w:t>
      </w:r>
      <w:r w:rsidR="008D1415" w:rsidRPr="000855B2">
        <w:t>Euro </w:t>
      </w:r>
      <w:r w:rsidRPr="000855B2">
        <w:t>3 technology (introduced ~2000) are achieved with Fuel 2000</w:t>
      </w:r>
      <w:r w:rsidR="00BA06B9" w:rsidRPr="000855B2">
        <w:t>,</w:t>
      </w:r>
      <w:r w:rsidRPr="000855B2">
        <w:t xml:space="preserve"> and the more stringent emission standards of </w:t>
      </w:r>
      <w:r w:rsidR="008D1415" w:rsidRPr="000855B2">
        <w:t>Euro </w:t>
      </w:r>
      <w:r w:rsidRPr="000855B2">
        <w:t xml:space="preserve">4 and 5 with Fuel 2005. </w:t>
      </w:r>
      <w:r w:rsidR="00FB454C">
        <w:fldChar w:fldCharType="begin"/>
      </w:r>
      <w:r w:rsidR="00FB454C">
        <w:instrText xml:space="preserve"> REF _Ref197845119 \h  \* MERGEFORMAT </w:instrText>
      </w:r>
      <w:r w:rsidR="00FB454C">
        <w:fldChar w:fldCharType="separate"/>
      </w:r>
      <w:r w:rsidR="0071604C" w:rsidRPr="000855B2">
        <w:t>Table </w:t>
      </w:r>
      <w:r w:rsidR="0071604C">
        <w:t>3.33</w:t>
      </w:r>
      <w:r w:rsidR="00FB454C">
        <w:fldChar w:fldCharType="end"/>
      </w:r>
      <w:r w:rsidR="00E405A5" w:rsidRPr="000855B2">
        <w:t xml:space="preserve"> </w:t>
      </w:r>
      <w:r w:rsidRPr="000855B2">
        <w:t>shows the base emission factors for fuel considered for each vehicle class.</w:t>
      </w:r>
    </w:p>
    <w:p w14:paraId="242EEAE4" w14:textId="105305D5" w:rsidR="001D2587" w:rsidRPr="000855B2" w:rsidRDefault="001D2587" w:rsidP="00546C89">
      <w:pPr>
        <w:pStyle w:val="BodyText"/>
      </w:pPr>
      <w:r w:rsidRPr="000855B2">
        <w:t>However</w:t>
      </w:r>
      <w:r w:rsidR="008A4916" w:rsidRPr="000855B2">
        <w:t>, the</w:t>
      </w:r>
      <w:r w:rsidRPr="000855B2">
        <w:t xml:space="preserve"> use of such fuels </w:t>
      </w:r>
      <w:r w:rsidR="008A4916" w:rsidRPr="000855B2">
        <w:t xml:space="preserve">also </w:t>
      </w:r>
      <w:r w:rsidRPr="000855B2">
        <w:t>results in reduced emissions from pre-</w:t>
      </w:r>
      <w:r w:rsidR="008D1415" w:rsidRPr="000855B2">
        <w:t>Euro </w:t>
      </w:r>
      <w:r w:rsidRPr="000855B2">
        <w:t>3 vehicle technologies, for which the 1996 market average fuel is considered as a basis (</w:t>
      </w:r>
      <w:r w:rsidR="00FB454C">
        <w:fldChar w:fldCharType="begin"/>
      </w:r>
      <w:r w:rsidR="00FB454C">
        <w:instrText xml:space="preserve"> REF _Ref197845119 \h  \* MERGEFORMAT </w:instrText>
      </w:r>
      <w:r w:rsidR="00FB454C">
        <w:fldChar w:fldCharType="separate"/>
      </w:r>
      <w:r w:rsidR="0071604C" w:rsidRPr="000855B2">
        <w:t>Table </w:t>
      </w:r>
      <w:r w:rsidR="0071604C">
        <w:t>3.33</w:t>
      </w:r>
      <w:r w:rsidR="00FB454C">
        <w:fldChar w:fldCharType="end"/>
      </w:r>
      <w:r w:rsidRPr="000855B2">
        <w:t>). Th</w:t>
      </w:r>
      <w:r w:rsidR="008A4916" w:rsidRPr="000855B2">
        <w:t>e</w:t>
      </w:r>
      <w:r w:rsidRPr="000855B2">
        <w:t>se reductions are appli</w:t>
      </w:r>
      <w:r w:rsidR="008A4916" w:rsidRPr="000855B2">
        <w:t>cable</w:t>
      </w:r>
      <w:r w:rsidRPr="000855B2">
        <w:t xml:space="preserve"> to </w:t>
      </w:r>
      <w:r w:rsidR="008A4916" w:rsidRPr="000855B2">
        <w:t xml:space="preserve">both </w:t>
      </w:r>
      <w:r w:rsidRPr="000855B2">
        <w:t>hot and cold</w:t>
      </w:r>
      <w:r w:rsidR="008A4916" w:rsidRPr="000855B2">
        <w:t>-</w:t>
      </w:r>
      <w:r w:rsidRPr="000855B2">
        <w:t xml:space="preserve">start emissions. To correct the hot emission factors, equations derived in the framework of the </w:t>
      </w:r>
      <w:r w:rsidR="00921B47" w:rsidRPr="000855B2">
        <w:rPr>
          <w:szCs w:val="21"/>
        </w:rPr>
        <w:t>The European Programme on Emissions, Fuels and Engine Technologies</w:t>
      </w:r>
      <w:r w:rsidR="00921B47" w:rsidRPr="000855B2">
        <w:t xml:space="preserve"> (</w:t>
      </w:r>
      <w:r w:rsidRPr="000855B2">
        <w:t>EPEFE</w:t>
      </w:r>
      <w:r w:rsidR="00921B47" w:rsidRPr="000855B2">
        <w:t>)</w:t>
      </w:r>
      <w:r w:rsidRPr="000855B2">
        <w:t xml:space="preserve"> programme (ACEA and E</w:t>
      </w:r>
      <w:r w:rsidR="00921B47" w:rsidRPr="000855B2">
        <w:t>uropia</w:t>
      </w:r>
      <w:r w:rsidRPr="000855B2">
        <w:t xml:space="preserve">, 1996) are applied. </w:t>
      </w:r>
      <w:r w:rsidR="00FB454C">
        <w:fldChar w:fldCharType="begin"/>
      </w:r>
      <w:r w:rsidR="00FB454C">
        <w:instrText xml:space="preserve"> REF _Ref140413093 \h  \* MERGEFORMAT </w:instrText>
      </w:r>
      <w:r w:rsidR="00FB454C">
        <w:fldChar w:fldCharType="separate"/>
      </w:r>
      <w:r w:rsidR="0071604C" w:rsidRPr="000855B2">
        <w:t>Table </w:t>
      </w:r>
      <w:r w:rsidR="0071604C">
        <w:t>3.82</w:t>
      </w:r>
      <w:r w:rsidR="00FB454C">
        <w:fldChar w:fldCharType="end"/>
      </w:r>
      <w:r w:rsidRPr="000855B2">
        <w:t xml:space="preserve">, </w:t>
      </w:r>
      <w:r w:rsidR="00FB454C">
        <w:fldChar w:fldCharType="begin"/>
      </w:r>
      <w:r w:rsidR="00FB454C">
        <w:instrText xml:space="preserve"> REF _Ref140413094 \h  \* MERGEFORMAT </w:instrText>
      </w:r>
      <w:r w:rsidR="00FB454C">
        <w:fldChar w:fldCharType="separate"/>
      </w:r>
      <w:r w:rsidR="0071604C" w:rsidRPr="000855B2">
        <w:t>Table </w:t>
      </w:r>
      <w:r w:rsidR="0071604C">
        <w:t>3.83</w:t>
      </w:r>
      <w:r w:rsidR="00FB454C">
        <w:fldChar w:fldCharType="end"/>
      </w:r>
      <w:r w:rsidRPr="000855B2">
        <w:t xml:space="preserve"> and </w:t>
      </w:r>
      <w:r w:rsidR="00FB454C">
        <w:fldChar w:fldCharType="begin"/>
      </w:r>
      <w:r w:rsidR="00FB454C">
        <w:instrText xml:space="preserve"> REF _Ref140413096 \h  \* MERGEFORMAT </w:instrText>
      </w:r>
      <w:r w:rsidR="00FB454C">
        <w:fldChar w:fldCharType="separate"/>
      </w:r>
      <w:r w:rsidR="0071604C" w:rsidRPr="000855B2">
        <w:t>Table </w:t>
      </w:r>
      <w:r w:rsidR="0071604C">
        <w:t>3.84</w:t>
      </w:r>
      <w:r w:rsidR="00FB454C">
        <w:fldChar w:fldCharType="end"/>
      </w:r>
      <w:r w:rsidRPr="000855B2">
        <w:t xml:space="preserve"> display the equations for different </w:t>
      </w:r>
      <w:r w:rsidR="006C3329">
        <w:t>vehicle categories and classes.</w:t>
      </w:r>
    </w:p>
    <w:p w14:paraId="36F5E387" w14:textId="5830D130" w:rsidR="001D2587" w:rsidRPr="000855B2" w:rsidRDefault="00A040D1" w:rsidP="00C92B1B">
      <w:pPr>
        <w:pStyle w:val="Caption"/>
      </w:pPr>
      <w:bookmarkStart w:id="156" w:name="_Ref140400644"/>
      <w:bookmarkStart w:id="157" w:name="_Toc496265318"/>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31</w:t>
      </w:r>
      <w:r w:rsidR="00FB454C">
        <w:rPr>
          <w:noProof/>
        </w:rPr>
        <w:fldChar w:fldCharType="end"/>
      </w:r>
      <w:bookmarkEnd w:id="156"/>
      <w:r w:rsidR="001D2587" w:rsidRPr="000855B2">
        <w:t xml:space="preserve">: </w:t>
      </w:r>
      <w:r w:rsidR="004E1503">
        <w:t>Petrol</w:t>
      </w:r>
      <w:r w:rsidR="001D2587" w:rsidRPr="000855B2">
        <w:t xml:space="preserve"> fuel specifications</w:t>
      </w:r>
      <w:bookmarkEnd w:id="157"/>
    </w:p>
    <w:tbl>
      <w:tblPr>
        <w:tblW w:w="776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107" w:type="dxa"/>
          <w:right w:w="107" w:type="dxa"/>
        </w:tblCellMar>
        <w:tblLook w:val="00A0" w:firstRow="1" w:lastRow="0" w:firstColumn="1" w:lastColumn="0" w:noHBand="0" w:noVBand="0"/>
      </w:tblPr>
      <w:tblGrid>
        <w:gridCol w:w="2835"/>
        <w:gridCol w:w="1808"/>
        <w:gridCol w:w="1476"/>
        <w:gridCol w:w="1643"/>
      </w:tblGrid>
      <w:tr w:rsidR="001D2587" w:rsidRPr="000855B2" w14:paraId="3BE72231" w14:textId="77777777" w:rsidTr="00246BA6">
        <w:tc>
          <w:tcPr>
            <w:tcW w:w="2835" w:type="dxa"/>
            <w:tcBorders>
              <w:bottom w:val="single" w:sz="12" w:space="0" w:color="auto"/>
            </w:tcBorders>
            <w:vAlign w:val="center"/>
          </w:tcPr>
          <w:p w14:paraId="12267C7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Property</w:t>
            </w:r>
          </w:p>
        </w:tc>
        <w:tc>
          <w:tcPr>
            <w:tcW w:w="1808" w:type="dxa"/>
            <w:tcBorders>
              <w:bottom w:val="single" w:sz="12" w:space="0" w:color="auto"/>
            </w:tcBorders>
            <w:vAlign w:val="center"/>
          </w:tcPr>
          <w:p w14:paraId="6981096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 xml:space="preserve">1996 </w:t>
            </w:r>
            <w:r w:rsidR="00B450F2" w:rsidRPr="000855B2">
              <w:rPr>
                <w:rFonts w:ascii="Open Sans" w:hAnsi="Open Sans" w:cs="Open Sans"/>
                <w:b/>
                <w:sz w:val="18"/>
                <w:lang w:val="en-GB"/>
              </w:rPr>
              <w:t>b</w:t>
            </w:r>
            <w:r w:rsidRPr="000855B2">
              <w:rPr>
                <w:rFonts w:ascii="Open Sans" w:hAnsi="Open Sans" w:cs="Open Sans"/>
                <w:b/>
                <w:sz w:val="18"/>
                <w:lang w:val="en-GB"/>
              </w:rPr>
              <w:t xml:space="preserve">ase </w:t>
            </w:r>
            <w:r w:rsidR="00B450F2" w:rsidRPr="000855B2">
              <w:rPr>
                <w:rFonts w:ascii="Open Sans" w:hAnsi="Open Sans" w:cs="Open Sans"/>
                <w:b/>
                <w:sz w:val="18"/>
                <w:lang w:val="en-GB"/>
              </w:rPr>
              <w:t>f</w:t>
            </w:r>
            <w:r w:rsidRPr="000855B2">
              <w:rPr>
                <w:rFonts w:ascii="Open Sans" w:hAnsi="Open Sans" w:cs="Open Sans"/>
                <w:b/>
                <w:sz w:val="18"/>
                <w:lang w:val="en-GB"/>
              </w:rPr>
              <w:t xml:space="preserve">uel </w:t>
            </w:r>
            <w:r w:rsidRPr="000855B2">
              <w:rPr>
                <w:rFonts w:ascii="Open Sans" w:hAnsi="Open Sans" w:cs="Open Sans"/>
                <w:b/>
                <w:sz w:val="18"/>
                <w:lang w:val="en-GB"/>
              </w:rPr>
              <w:br/>
              <w:t>(market average)</w:t>
            </w:r>
          </w:p>
        </w:tc>
        <w:tc>
          <w:tcPr>
            <w:tcW w:w="1476" w:type="dxa"/>
            <w:tcBorders>
              <w:bottom w:val="single" w:sz="12" w:space="0" w:color="auto"/>
            </w:tcBorders>
            <w:vAlign w:val="center"/>
          </w:tcPr>
          <w:p w14:paraId="165305D8"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2000</w:t>
            </w:r>
          </w:p>
        </w:tc>
        <w:tc>
          <w:tcPr>
            <w:tcW w:w="1643" w:type="dxa"/>
            <w:tcBorders>
              <w:bottom w:val="single" w:sz="12" w:space="0" w:color="auto"/>
            </w:tcBorders>
            <w:vAlign w:val="center"/>
          </w:tcPr>
          <w:p w14:paraId="0A13FD3F"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2005</w:t>
            </w:r>
          </w:p>
        </w:tc>
      </w:tr>
      <w:tr w:rsidR="001D2587" w:rsidRPr="000855B2" w14:paraId="515C07E9" w14:textId="77777777" w:rsidTr="00246BA6">
        <w:tc>
          <w:tcPr>
            <w:tcW w:w="2835" w:type="dxa"/>
            <w:tcBorders>
              <w:top w:val="single" w:sz="12" w:space="0" w:color="auto"/>
            </w:tcBorders>
          </w:tcPr>
          <w:p w14:paraId="2D179682"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Sulphur [ppm]</w:t>
            </w:r>
          </w:p>
        </w:tc>
        <w:tc>
          <w:tcPr>
            <w:tcW w:w="1808" w:type="dxa"/>
            <w:tcBorders>
              <w:top w:val="single" w:sz="12" w:space="0" w:color="auto"/>
            </w:tcBorders>
          </w:tcPr>
          <w:p w14:paraId="7CF5B17F"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165</w:t>
            </w:r>
          </w:p>
        </w:tc>
        <w:tc>
          <w:tcPr>
            <w:tcW w:w="1476" w:type="dxa"/>
            <w:tcBorders>
              <w:top w:val="single" w:sz="12" w:space="0" w:color="auto"/>
            </w:tcBorders>
          </w:tcPr>
          <w:p w14:paraId="78A73EC8"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130</w:t>
            </w:r>
          </w:p>
        </w:tc>
        <w:tc>
          <w:tcPr>
            <w:tcW w:w="1643" w:type="dxa"/>
            <w:tcBorders>
              <w:top w:val="single" w:sz="12" w:space="0" w:color="auto"/>
            </w:tcBorders>
          </w:tcPr>
          <w:p w14:paraId="4320835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40</w:t>
            </w:r>
          </w:p>
        </w:tc>
      </w:tr>
      <w:tr w:rsidR="001D2587" w:rsidRPr="000855B2" w14:paraId="46395262" w14:textId="77777777" w:rsidTr="00295554">
        <w:tc>
          <w:tcPr>
            <w:tcW w:w="2835" w:type="dxa"/>
            <w:vAlign w:val="center"/>
          </w:tcPr>
          <w:p w14:paraId="52A844EB"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RVP [kPa]</w:t>
            </w:r>
          </w:p>
        </w:tc>
        <w:tc>
          <w:tcPr>
            <w:tcW w:w="1808" w:type="dxa"/>
          </w:tcPr>
          <w:p w14:paraId="1C68CBF5" w14:textId="77777777" w:rsidR="00C62EE1"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68 (summer)</w:t>
            </w:r>
          </w:p>
          <w:p w14:paraId="7B652EA5"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81 (winter)</w:t>
            </w:r>
          </w:p>
        </w:tc>
        <w:tc>
          <w:tcPr>
            <w:tcW w:w="1476" w:type="dxa"/>
          </w:tcPr>
          <w:p w14:paraId="73BB7C6E" w14:textId="77777777" w:rsidR="00C62EE1"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60 (summer)</w:t>
            </w:r>
          </w:p>
          <w:p w14:paraId="7AA177F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70 (winter)</w:t>
            </w:r>
          </w:p>
        </w:tc>
        <w:tc>
          <w:tcPr>
            <w:tcW w:w="1643" w:type="dxa"/>
          </w:tcPr>
          <w:p w14:paraId="1F84A0F1" w14:textId="77777777" w:rsidR="00C62EE1"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60 (summer)</w:t>
            </w:r>
          </w:p>
          <w:p w14:paraId="3E1EFF6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70 (winter)</w:t>
            </w:r>
          </w:p>
        </w:tc>
      </w:tr>
      <w:tr w:rsidR="001D2587" w:rsidRPr="000855B2" w14:paraId="7CE15F95" w14:textId="77777777" w:rsidTr="00295554">
        <w:tc>
          <w:tcPr>
            <w:tcW w:w="2835" w:type="dxa"/>
          </w:tcPr>
          <w:p w14:paraId="201A6161"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Aromatics [vol.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2F168FA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39</w:t>
            </w:r>
          </w:p>
        </w:tc>
        <w:tc>
          <w:tcPr>
            <w:tcW w:w="1476" w:type="dxa"/>
          </w:tcPr>
          <w:p w14:paraId="0F926D4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37</w:t>
            </w:r>
          </w:p>
        </w:tc>
        <w:tc>
          <w:tcPr>
            <w:tcW w:w="1643" w:type="dxa"/>
          </w:tcPr>
          <w:p w14:paraId="7F766A85"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33</w:t>
            </w:r>
          </w:p>
        </w:tc>
      </w:tr>
      <w:tr w:rsidR="001D2587" w:rsidRPr="000855B2" w14:paraId="56054CBD" w14:textId="77777777" w:rsidTr="00295554">
        <w:tc>
          <w:tcPr>
            <w:tcW w:w="2835" w:type="dxa"/>
          </w:tcPr>
          <w:p w14:paraId="6D1CCD4A"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Benzene [vol.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04FC7AF6"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2.1</w:t>
            </w:r>
          </w:p>
        </w:tc>
        <w:tc>
          <w:tcPr>
            <w:tcW w:w="1476" w:type="dxa"/>
          </w:tcPr>
          <w:p w14:paraId="6505D235"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0.8</w:t>
            </w:r>
          </w:p>
        </w:tc>
        <w:tc>
          <w:tcPr>
            <w:tcW w:w="1643" w:type="dxa"/>
          </w:tcPr>
          <w:p w14:paraId="2B5E26D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0.8</w:t>
            </w:r>
          </w:p>
        </w:tc>
      </w:tr>
      <w:tr w:rsidR="001D2587" w:rsidRPr="000855B2" w14:paraId="60D47C45" w14:textId="77777777" w:rsidTr="00295554">
        <w:tc>
          <w:tcPr>
            <w:tcW w:w="2835" w:type="dxa"/>
          </w:tcPr>
          <w:p w14:paraId="245DDCCF"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Oxygen [wt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3FECA520"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0.4</w:t>
            </w:r>
          </w:p>
        </w:tc>
        <w:tc>
          <w:tcPr>
            <w:tcW w:w="1476" w:type="dxa"/>
          </w:tcPr>
          <w:p w14:paraId="748791B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643" w:type="dxa"/>
          </w:tcPr>
          <w:p w14:paraId="0FEF0D0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1.5</w:t>
            </w:r>
          </w:p>
        </w:tc>
      </w:tr>
      <w:tr w:rsidR="001D2587" w:rsidRPr="000855B2" w14:paraId="5A88F2FE" w14:textId="77777777" w:rsidTr="00295554">
        <w:tc>
          <w:tcPr>
            <w:tcW w:w="2835" w:type="dxa"/>
          </w:tcPr>
          <w:p w14:paraId="52B04705"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Olefins [vol. </w:t>
            </w:r>
            <w:r w:rsidR="006502D0" w:rsidRPr="000855B2">
              <w:rPr>
                <w:rFonts w:ascii="Open Sans" w:hAnsi="Open Sans" w:cs="Open Sans"/>
                <w:sz w:val="18"/>
                <w:lang w:val="en-GB"/>
              </w:rPr>
              <w:t> %</w:t>
            </w:r>
            <w:r w:rsidRPr="000855B2">
              <w:rPr>
                <w:rFonts w:ascii="Open Sans" w:hAnsi="Open Sans" w:cs="Open Sans"/>
                <w:sz w:val="18"/>
                <w:lang w:val="en-GB"/>
              </w:rPr>
              <w:t>]</w:t>
            </w:r>
          </w:p>
        </w:tc>
        <w:tc>
          <w:tcPr>
            <w:tcW w:w="1808" w:type="dxa"/>
          </w:tcPr>
          <w:p w14:paraId="4FA1707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476" w:type="dxa"/>
          </w:tcPr>
          <w:p w14:paraId="7F657E44"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643" w:type="dxa"/>
          </w:tcPr>
          <w:p w14:paraId="73A9F781"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10</w:t>
            </w:r>
          </w:p>
        </w:tc>
      </w:tr>
      <w:tr w:rsidR="001D2587" w:rsidRPr="000855B2" w14:paraId="5E3DC069" w14:textId="77777777" w:rsidTr="00295554">
        <w:tc>
          <w:tcPr>
            <w:tcW w:w="2835" w:type="dxa"/>
          </w:tcPr>
          <w:p w14:paraId="52DEE01A"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E100 [%]</w:t>
            </w:r>
          </w:p>
        </w:tc>
        <w:tc>
          <w:tcPr>
            <w:tcW w:w="1808" w:type="dxa"/>
          </w:tcPr>
          <w:p w14:paraId="4B481984"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52</w:t>
            </w:r>
          </w:p>
        </w:tc>
        <w:tc>
          <w:tcPr>
            <w:tcW w:w="1476" w:type="dxa"/>
          </w:tcPr>
          <w:p w14:paraId="2807AF27"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52</w:t>
            </w:r>
          </w:p>
        </w:tc>
        <w:tc>
          <w:tcPr>
            <w:tcW w:w="1643" w:type="dxa"/>
          </w:tcPr>
          <w:p w14:paraId="49D7289C"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52</w:t>
            </w:r>
          </w:p>
        </w:tc>
      </w:tr>
      <w:tr w:rsidR="001D2587" w:rsidRPr="000855B2" w14:paraId="07AE0738" w14:textId="77777777" w:rsidTr="00295554">
        <w:tc>
          <w:tcPr>
            <w:tcW w:w="2835" w:type="dxa"/>
          </w:tcPr>
          <w:p w14:paraId="020B70E3"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E150 [%]</w:t>
            </w:r>
          </w:p>
        </w:tc>
        <w:tc>
          <w:tcPr>
            <w:tcW w:w="1808" w:type="dxa"/>
          </w:tcPr>
          <w:p w14:paraId="0BF667C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86</w:t>
            </w:r>
          </w:p>
        </w:tc>
        <w:tc>
          <w:tcPr>
            <w:tcW w:w="1476" w:type="dxa"/>
          </w:tcPr>
          <w:p w14:paraId="06F89A7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86</w:t>
            </w:r>
          </w:p>
        </w:tc>
        <w:tc>
          <w:tcPr>
            <w:tcW w:w="1643" w:type="dxa"/>
          </w:tcPr>
          <w:p w14:paraId="0A4B5950"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86</w:t>
            </w:r>
          </w:p>
        </w:tc>
      </w:tr>
      <w:tr w:rsidR="001D2587" w:rsidRPr="000855B2" w14:paraId="550D5408" w14:textId="77777777" w:rsidTr="00295554">
        <w:tc>
          <w:tcPr>
            <w:tcW w:w="2835" w:type="dxa"/>
          </w:tcPr>
          <w:p w14:paraId="3A57A1E9"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Trace Lead [g/l]</w:t>
            </w:r>
          </w:p>
        </w:tc>
        <w:tc>
          <w:tcPr>
            <w:tcW w:w="1808" w:type="dxa"/>
          </w:tcPr>
          <w:p w14:paraId="4EEB4987"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0.005</w:t>
            </w:r>
          </w:p>
        </w:tc>
        <w:tc>
          <w:tcPr>
            <w:tcW w:w="1476" w:type="dxa"/>
          </w:tcPr>
          <w:p w14:paraId="3370A9D8"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0.00</w:t>
            </w:r>
            <w:r w:rsidR="00293A33" w:rsidRPr="000855B2">
              <w:rPr>
                <w:rFonts w:ascii="Open Sans" w:hAnsi="Open Sans" w:cs="Open Sans"/>
                <w:sz w:val="18"/>
                <w:lang w:val="en-GB"/>
              </w:rPr>
              <w:t>2</w:t>
            </w:r>
          </w:p>
        </w:tc>
        <w:tc>
          <w:tcPr>
            <w:tcW w:w="1643" w:type="dxa"/>
          </w:tcPr>
          <w:p w14:paraId="0430893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0.00</w:t>
            </w:r>
            <w:r w:rsidR="00293A33" w:rsidRPr="000855B2">
              <w:rPr>
                <w:rFonts w:ascii="Open Sans" w:hAnsi="Open Sans" w:cs="Open Sans"/>
                <w:sz w:val="18"/>
                <w:lang w:val="en-GB"/>
              </w:rPr>
              <w:t>002</w:t>
            </w:r>
          </w:p>
        </w:tc>
      </w:tr>
    </w:tbl>
    <w:p w14:paraId="7B5D8833" w14:textId="5F8A999F" w:rsidR="001D2587" w:rsidRPr="000855B2" w:rsidRDefault="00A040D1" w:rsidP="00C92B1B">
      <w:pPr>
        <w:pStyle w:val="Caption"/>
      </w:pPr>
      <w:bookmarkStart w:id="158" w:name="_Ref140400653"/>
      <w:bookmarkStart w:id="159" w:name="_Ref172035326"/>
      <w:bookmarkStart w:id="160" w:name="_Toc496265319"/>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32</w:t>
      </w:r>
      <w:r w:rsidR="00FB454C">
        <w:rPr>
          <w:noProof/>
        </w:rPr>
        <w:fldChar w:fldCharType="end"/>
      </w:r>
      <w:bookmarkEnd w:id="158"/>
      <w:bookmarkEnd w:id="159"/>
      <w:r w:rsidR="001D2587" w:rsidRPr="000855B2">
        <w:t>: Diesel fuel specifications</w:t>
      </w:r>
      <w:bookmarkEnd w:id="160"/>
    </w:p>
    <w:tbl>
      <w:tblPr>
        <w:tblW w:w="832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107" w:type="dxa"/>
          <w:right w:w="107" w:type="dxa"/>
        </w:tblCellMar>
        <w:tblLook w:val="00A0" w:firstRow="1" w:lastRow="0" w:firstColumn="1" w:lastColumn="0" w:noHBand="0" w:noVBand="0"/>
      </w:tblPr>
      <w:tblGrid>
        <w:gridCol w:w="2835"/>
        <w:gridCol w:w="1831"/>
        <w:gridCol w:w="1831"/>
        <w:gridCol w:w="1832"/>
      </w:tblGrid>
      <w:tr w:rsidR="001D2587" w:rsidRPr="000855B2" w14:paraId="6C8F6E7E" w14:textId="77777777" w:rsidTr="00246BA6">
        <w:tc>
          <w:tcPr>
            <w:tcW w:w="2835" w:type="dxa"/>
            <w:tcBorders>
              <w:bottom w:val="single" w:sz="12" w:space="0" w:color="auto"/>
            </w:tcBorders>
            <w:vAlign w:val="center"/>
          </w:tcPr>
          <w:p w14:paraId="4E3F0FC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Property</w:t>
            </w:r>
          </w:p>
        </w:tc>
        <w:tc>
          <w:tcPr>
            <w:tcW w:w="1831" w:type="dxa"/>
            <w:tcBorders>
              <w:bottom w:val="single" w:sz="12" w:space="0" w:color="auto"/>
            </w:tcBorders>
            <w:vAlign w:val="center"/>
          </w:tcPr>
          <w:p w14:paraId="644E0E4D"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 xml:space="preserve">1996 </w:t>
            </w:r>
            <w:r w:rsidR="00B450F2" w:rsidRPr="000855B2">
              <w:rPr>
                <w:rFonts w:ascii="Open Sans" w:hAnsi="Open Sans" w:cs="Open Sans"/>
                <w:b/>
                <w:sz w:val="18"/>
                <w:lang w:val="en-GB"/>
              </w:rPr>
              <w:t>b</w:t>
            </w:r>
            <w:r w:rsidRPr="000855B2">
              <w:rPr>
                <w:rFonts w:ascii="Open Sans" w:hAnsi="Open Sans" w:cs="Open Sans"/>
                <w:b/>
                <w:sz w:val="18"/>
                <w:lang w:val="en-GB"/>
              </w:rPr>
              <w:t xml:space="preserve">ase </w:t>
            </w:r>
            <w:r w:rsidR="00B450F2" w:rsidRPr="000855B2">
              <w:rPr>
                <w:rFonts w:ascii="Open Sans" w:hAnsi="Open Sans" w:cs="Open Sans"/>
                <w:b/>
                <w:sz w:val="18"/>
                <w:lang w:val="en-GB"/>
              </w:rPr>
              <w:t>f</w:t>
            </w:r>
            <w:r w:rsidRPr="000855B2">
              <w:rPr>
                <w:rFonts w:ascii="Open Sans" w:hAnsi="Open Sans" w:cs="Open Sans"/>
                <w:b/>
                <w:sz w:val="18"/>
                <w:lang w:val="en-GB"/>
              </w:rPr>
              <w:t xml:space="preserve">uel </w:t>
            </w:r>
            <w:r w:rsidRPr="000855B2">
              <w:rPr>
                <w:rFonts w:ascii="Open Sans" w:hAnsi="Open Sans" w:cs="Open Sans"/>
                <w:b/>
                <w:sz w:val="18"/>
                <w:lang w:val="en-GB"/>
              </w:rPr>
              <w:br/>
              <w:t>(market average)</w:t>
            </w:r>
          </w:p>
        </w:tc>
        <w:tc>
          <w:tcPr>
            <w:tcW w:w="1831" w:type="dxa"/>
            <w:tcBorders>
              <w:bottom w:val="single" w:sz="12" w:space="0" w:color="auto"/>
            </w:tcBorders>
            <w:vAlign w:val="center"/>
          </w:tcPr>
          <w:p w14:paraId="21879038"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2000</w:t>
            </w:r>
          </w:p>
        </w:tc>
        <w:tc>
          <w:tcPr>
            <w:tcW w:w="1832" w:type="dxa"/>
            <w:tcBorders>
              <w:bottom w:val="single" w:sz="12" w:space="0" w:color="auto"/>
            </w:tcBorders>
            <w:vAlign w:val="center"/>
          </w:tcPr>
          <w:p w14:paraId="68B46B90"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b/>
                <w:sz w:val="18"/>
                <w:lang w:val="en-GB"/>
              </w:rPr>
            </w:pPr>
            <w:r w:rsidRPr="000855B2">
              <w:rPr>
                <w:rFonts w:ascii="Open Sans" w:hAnsi="Open Sans" w:cs="Open Sans"/>
                <w:b/>
                <w:sz w:val="18"/>
                <w:lang w:val="en-GB"/>
              </w:rPr>
              <w:t>Fuel 2005</w:t>
            </w:r>
          </w:p>
        </w:tc>
      </w:tr>
      <w:tr w:rsidR="001D2587" w:rsidRPr="000855B2" w14:paraId="4F3FA3AE" w14:textId="77777777" w:rsidTr="00246BA6">
        <w:tc>
          <w:tcPr>
            <w:tcW w:w="2835" w:type="dxa"/>
            <w:tcBorders>
              <w:top w:val="single" w:sz="12" w:space="0" w:color="auto"/>
            </w:tcBorders>
          </w:tcPr>
          <w:p w14:paraId="558EC94A"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 xml:space="preserve">Cetane </w:t>
            </w:r>
            <w:r w:rsidR="00B450F2" w:rsidRPr="000855B2">
              <w:rPr>
                <w:rFonts w:ascii="Open Sans" w:hAnsi="Open Sans" w:cs="Open Sans"/>
                <w:sz w:val="18"/>
                <w:lang w:val="en-GB"/>
              </w:rPr>
              <w:t>n</w:t>
            </w:r>
            <w:r w:rsidRPr="000855B2">
              <w:rPr>
                <w:rFonts w:ascii="Open Sans" w:hAnsi="Open Sans" w:cs="Open Sans"/>
                <w:sz w:val="18"/>
                <w:lang w:val="en-GB"/>
              </w:rPr>
              <w:t>umber [-]</w:t>
            </w:r>
          </w:p>
        </w:tc>
        <w:tc>
          <w:tcPr>
            <w:tcW w:w="1831" w:type="dxa"/>
            <w:tcBorders>
              <w:top w:val="single" w:sz="12" w:space="0" w:color="auto"/>
            </w:tcBorders>
            <w:vAlign w:val="center"/>
          </w:tcPr>
          <w:p w14:paraId="61CCFCE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51</w:t>
            </w:r>
          </w:p>
        </w:tc>
        <w:tc>
          <w:tcPr>
            <w:tcW w:w="1831" w:type="dxa"/>
            <w:tcBorders>
              <w:top w:val="single" w:sz="12" w:space="0" w:color="auto"/>
            </w:tcBorders>
            <w:vAlign w:val="center"/>
          </w:tcPr>
          <w:p w14:paraId="100F7F78"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53</w:t>
            </w:r>
          </w:p>
        </w:tc>
        <w:tc>
          <w:tcPr>
            <w:tcW w:w="1832" w:type="dxa"/>
            <w:tcBorders>
              <w:top w:val="single" w:sz="12" w:space="0" w:color="auto"/>
            </w:tcBorders>
            <w:vAlign w:val="center"/>
          </w:tcPr>
          <w:p w14:paraId="3D99C5A2"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53</w:t>
            </w:r>
          </w:p>
        </w:tc>
      </w:tr>
      <w:tr w:rsidR="001D2587" w:rsidRPr="000855B2" w14:paraId="566C925D" w14:textId="77777777" w:rsidTr="00295554">
        <w:tc>
          <w:tcPr>
            <w:tcW w:w="2835" w:type="dxa"/>
          </w:tcPr>
          <w:p w14:paraId="57771D28"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Density at 15</w:t>
            </w:r>
            <w:r w:rsidR="00B450F2" w:rsidRPr="000855B2">
              <w:rPr>
                <w:rFonts w:ascii="Open Sans" w:hAnsi="Open Sans" w:cs="Open Sans"/>
                <w:sz w:val="18"/>
                <w:lang w:val="en-GB"/>
              </w:rPr>
              <w:t> </w:t>
            </w:r>
            <w:r w:rsidRPr="000855B2">
              <w:rPr>
                <w:rFonts w:ascii="Open Sans" w:hAnsi="Open Sans" w:cs="Open Sans"/>
                <w:sz w:val="18"/>
                <w:vertAlign w:val="superscript"/>
                <w:lang w:val="en-GB"/>
              </w:rPr>
              <w:t>o</w:t>
            </w:r>
            <w:r w:rsidRPr="000855B2">
              <w:rPr>
                <w:rFonts w:ascii="Open Sans" w:hAnsi="Open Sans" w:cs="Open Sans"/>
                <w:sz w:val="18"/>
                <w:lang w:val="en-GB"/>
              </w:rPr>
              <w:t>C [kg/m</w:t>
            </w:r>
            <w:r w:rsidRPr="000855B2">
              <w:rPr>
                <w:rFonts w:ascii="Open Sans" w:hAnsi="Open Sans" w:cs="Open Sans"/>
                <w:sz w:val="18"/>
                <w:vertAlign w:val="superscript"/>
                <w:lang w:val="en-GB"/>
              </w:rPr>
              <w:t>3</w:t>
            </w:r>
            <w:r w:rsidRPr="000855B2">
              <w:rPr>
                <w:rFonts w:ascii="Open Sans" w:hAnsi="Open Sans" w:cs="Open Sans"/>
                <w:sz w:val="18"/>
                <w:lang w:val="en-GB"/>
              </w:rPr>
              <w:t>]</w:t>
            </w:r>
          </w:p>
        </w:tc>
        <w:tc>
          <w:tcPr>
            <w:tcW w:w="1831" w:type="dxa"/>
            <w:vAlign w:val="center"/>
          </w:tcPr>
          <w:p w14:paraId="0FA6644C"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840</w:t>
            </w:r>
          </w:p>
        </w:tc>
        <w:tc>
          <w:tcPr>
            <w:tcW w:w="1831" w:type="dxa"/>
            <w:vAlign w:val="center"/>
          </w:tcPr>
          <w:p w14:paraId="7D62662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840</w:t>
            </w:r>
          </w:p>
        </w:tc>
        <w:tc>
          <w:tcPr>
            <w:tcW w:w="1832" w:type="dxa"/>
            <w:vAlign w:val="center"/>
          </w:tcPr>
          <w:p w14:paraId="42F5453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835</w:t>
            </w:r>
          </w:p>
        </w:tc>
      </w:tr>
      <w:tr w:rsidR="001D2587" w:rsidRPr="000855B2" w14:paraId="39042B5D" w14:textId="77777777" w:rsidTr="00295554">
        <w:tc>
          <w:tcPr>
            <w:tcW w:w="2835" w:type="dxa"/>
          </w:tcPr>
          <w:p w14:paraId="1E37D5A6"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T</w:t>
            </w:r>
            <w:r w:rsidRPr="000855B2">
              <w:rPr>
                <w:rFonts w:ascii="Open Sans" w:hAnsi="Open Sans" w:cs="Open Sans"/>
                <w:sz w:val="18"/>
                <w:vertAlign w:val="subscript"/>
                <w:lang w:val="en-GB"/>
              </w:rPr>
              <w:t>95</w:t>
            </w:r>
            <w:r w:rsidRPr="000855B2">
              <w:rPr>
                <w:rFonts w:ascii="Open Sans" w:hAnsi="Open Sans" w:cs="Open Sans"/>
                <w:sz w:val="18"/>
                <w:lang w:val="en-GB"/>
              </w:rPr>
              <w:t xml:space="preserve"> [</w:t>
            </w:r>
            <w:r w:rsidRPr="000855B2">
              <w:rPr>
                <w:rFonts w:ascii="Open Sans" w:hAnsi="Open Sans" w:cs="Open Sans"/>
                <w:sz w:val="18"/>
                <w:vertAlign w:val="superscript"/>
                <w:lang w:val="en-GB"/>
              </w:rPr>
              <w:t>o</w:t>
            </w:r>
            <w:r w:rsidRPr="000855B2">
              <w:rPr>
                <w:rFonts w:ascii="Open Sans" w:hAnsi="Open Sans" w:cs="Open Sans"/>
                <w:sz w:val="18"/>
                <w:lang w:val="en-GB"/>
              </w:rPr>
              <w:t>C]</w:t>
            </w:r>
          </w:p>
        </w:tc>
        <w:tc>
          <w:tcPr>
            <w:tcW w:w="1831" w:type="dxa"/>
            <w:vAlign w:val="center"/>
          </w:tcPr>
          <w:p w14:paraId="5F0C0F4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350</w:t>
            </w:r>
          </w:p>
        </w:tc>
        <w:tc>
          <w:tcPr>
            <w:tcW w:w="1831" w:type="dxa"/>
            <w:vAlign w:val="center"/>
          </w:tcPr>
          <w:p w14:paraId="6CB4008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330</w:t>
            </w:r>
          </w:p>
        </w:tc>
        <w:tc>
          <w:tcPr>
            <w:tcW w:w="1832" w:type="dxa"/>
            <w:vAlign w:val="center"/>
          </w:tcPr>
          <w:p w14:paraId="5085D33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320</w:t>
            </w:r>
          </w:p>
        </w:tc>
      </w:tr>
      <w:tr w:rsidR="001D2587" w:rsidRPr="000855B2" w14:paraId="03C2E770" w14:textId="77777777" w:rsidTr="00295554">
        <w:tc>
          <w:tcPr>
            <w:tcW w:w="2835" w:type="dxa"/>
          </w:tcPr>
          <w:p w14:paraId="70004E79"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PAH [%]</w:t>
            </w:r>
          </w:p>
        </w:tc>
        <w:tc>
          <w:tcPr>
            <w:tcW w:w="1831" w:type="dxa"/>
            <w:vAlign w:val="center"/>
          </w:tcPr>
          <w:p w14:paraId="56CF60EE"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9</w:t>
            </w:r>
          </w:p>
        </w:tc>
        <w:tc>
          <w:tcPr>
            <w:tcW w:w="1831" w:type="dxa"/>
            <w:vAlign w:val="center"/>
          </w:tcPr>
          <w:p w14:paraId="6CC676BB"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7</w:t>
            </w:r>
          </w:p>
        </w:tc>
        <w:tc>
          <w:tcPr>
            <w:tcW w:w="1832" w:type="dxa"/>
            <w:vAlign w:val="center"/>
          </w:tcPr>
          <w:p w14:paraId="14C5CFD5"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5</w:t>
            </w:r>
          </w:p>
        </w:tc>
      </w:tr>
      <w:tr w:rsidR="001D2587" w:rsidRPr="000855B2" w14:paraId="1BBA55CF" w14:textId="77777777" w:rsidTr="00295554">
        <w:tc>
          <w:tcPr>
            <w:tcW w:w="2835" w:type="dxa"/>
          </w:tcPr>
          <w:p w14:paraId="67356AFC"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Sulphur [ppm]</w:t>
            </w:r>
          </w:p>
        </w:tc>
        <w:tc>
          <w:tcPr>
            <w:tcW w:w="1831" w:type="dxa"/>
            <w:vAlign w:val="center"/>
          </w:tcPr>
          <w:p w14:paraId="07562156"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400</w:t>
            </w:r>
          </w:p>
        </w:tc>
        <w:tc>
          <w:tcPr>
            <w:tcW w:w="1831" w:type="dxa"/>
            <w:vAlign w:val="center"/>
          </w:tcPr>
          <w:p w14:paraId="0E49A747"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300</w:t>
            </w:r>
          </w:p>
        </w:tc>
        <w:tc>
          <w:tcPr>
            <w:tcW w:w="1832" w:type="dxa"/>
            <w:vAlign w:val="center"/>
          </w:tcPr>
          <w:p w14:paraId="3AA309C3"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40</w:t>
            </w:r>
          </w:p>
        </w:tc>
      </w:tr>
      <w:tr w:rsidR="001D2587" w:rsidRPr="000855B2" w14:paraId="158A606F" w14:textId="77777777" w:rsidTr="00295554">
        <w:tc>
          <w:tcPr>
            <w:tcW w:w="2835" w:type="dxa"/>
          </w:tcPr>
          <w:p w14:paraId="567AA31D" w14:textId="77777777" w:rsidR="001D2587" w:rsidRPr="000855B2" w:rsidRDefault="001D2587" w:rsidP="005C7955">
            <w:pPr>
              <w:pStyle w:val="Table"/>
              <w:keepNext w:val="0"/>
              <w:keepLines w:val="0"/>
              <w:suppressAutoHyphens w:val="0"/>
              <w:spacing w:line="240" w:lineRule="atLeast"/>
              <w:rPr>
                <w:rFonts w:ascii="Open Sans" w:hAnsi="Open Sans" w:cs="Open Sans"/>
                <w:sz w:val="18"/>
                <w:lang w:val="en-GB"/>
              </w:rPr>
            </w:pPr>
            <w:r w:rsidRPr="000855B2">
              <w:rPr>
                <w:rFonts w:ascii="Open Sans" w:hAnsi="Open Sans" w:cs="Open Sans"/>
                <w:sz w:val="18"/>
                <w:lang w:val="en-GB"/>
              </w:rPr>
              <w:t>Total Aromatics [%]</w:t>
            </w:r>
          </w:p>
        </w:tc>
        <w:tc>
          <w:tcPr>
            <w:tcW w:w="1831" w:type="dxa"/>
            <w:vAlign w:val="center"/>
          </w:tcPr>
          <w:p w14:paraId="39D0833A"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28</w:t>
            </w:r>
          </w:p>
        </w:tc>
        <w:tc>
          <w:tcPr>
            <w:tcW w:w="1831" w:type="dxa"/>
            <w:vAlign w:val="center"/>
          </w:tcPr>
          <w:p w14:paraId="0F470CEF"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26</w:t>
            </w:r>
          </w:p>
        </w:tc>
        <w:tc>
          <w:tcPr>
            <w:tcW w:w="1832" w:type="dxa"/>
            <w:vAlign w:val="center"/>
          </w:tcPr>
          <w:p w14:paraId="33C7DD87" w14:textId="77777777" w:rsidR="001D2587" w:rsidRPr="000855B2" w:rsidRDefault="001D2587" w:rsidP="005C7955">
            <w:pPr>
              <w:pStyle w:val="Table"/>
              <w:keepNext w:val="0"/>
              <w:keepLines w:val="0"/>
              <w:suppressAutoHyphens w:val="0"/>
              <w:spacing w:line="240" w:lineRule="atLeast"/>
              <w:jc w:val="center"/>
              <w:rPr>
                <w:rFonts w:ascii="Open Sans" w:hAnsi="Open Sans" w:cs="Open Sans"/>
                <w:sz w:val="18"/>
                <w:lang w:val="en-GB"/>
              </w:rPr>
            </w:pPr>
            <w:r w:rsidRPr="000855B2">
              <w:rPr>
                <w:rFonts w:ascii="Open Sans" w:hAnsi="Open Sans" w:cs="Open Sans"/>
                <w:sz w:val="18"/>
                <w:lang w:val="en-GB"/>
              </w:rPr>
              <w:t>24</w:t>
            </w:r>
          </w:p>
        </w:tc>
      </w:tr>
    </w:tbl>
    <w:p w14:paraId="78A23460" w14:textId="621DC8EA" w:rsidR="001D2587" w:rsidRPr="000855B2" w:rsidRDefault="00A040D1" w:rsidP="00C92B1B">
      <w:pPr>
        <w:pStyle w:val="Caption"/>
      </w:pPr>
      <w:bookmarkStart w:id="161" w:name="_Ref140400661"/>
      <w:bookmarkStart w:id="162" w:name="_Ref197845119"/>
      <w:bookmarkStart w:id="163" w:name="_Toc496265314"/>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33</w:t>
      </w:r>
      <w:r w:rsidR="00FB454C">
        <w:rPr>
          <w:noProof/>
        </w:rPr>
        <w:fldChar w:fldCharType="end"/>
      </w:r>
      <w:bookmarkEnd w:id="161"/>
      <w:bookmarkEnd w:id="162"/>
      <w:r w:rsidR="001D2587" w:rsidRPr="000855B2">
        <w:t>: Base fuels for each vehicle class</w:t>
      </w:r>
      <w:bookmarkEnd w:id="163"/>
    </w:p>
    <w:tbl>
      <w:tblPr>
        <w:tblW w:w="818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2835"/>
        <w:gridCol w:w="1668"/>
        <w:gridCol w:w="3685"/>
      </w:tblGrid>
      <w:tr w:rsidR="001D2587" w:rsidRPr="000855B2" w14:paraId="28DE3AF2" w14:textId="77777777" w:rsidTr="00246BA6">
        <w:trPr>
          <w:trHeight w:hRule="exact" w:val="400"/>
        </w:trPr>
        <w:tc>
          <w:tcPr>
            <w:tcW w:w="2835" w:type="dxa"/>
            <w:tcBorders>
              <w:bottom w:val="single" w:sz="12" w:space="0" w:color="auto"/>
            </w:tcBorders>
            <w:vAlign w:val="center"/>
          </w:tcPr>
          <w:p w14:paraId="01C02D9B"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Vehicle Class</w:t>
            </w:r>
          </w:p>
        </w:tc>
        <w:tc>
          <w:tcPr>
            <w:tcW w:w="1668" w:type="dxa"/>
            <w:tcBorders>
              <w:bottom w:val="single" w:sz="12" w:space="0" w:color="auto"/>
            </w:tcBorders>
            <w:vAlign w:val="center"/>
          </w:tcPr>
          <w:p w14:paraId="44A247FC"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Base Fuel</w:t>
            </w:r>
          </w:p>
        </w:tc>
        <w:tc>
          <w:tcPr>
            <w:tcW w:w="3685" w:type="dxa"/>
            <w:tcBorders>
              <w:bottom w:val="single" w:sz="12" w:space="0" w:color="auto"/>
            </w:tcBorders>
            <w:vAlign w:val="center"/>
          </w:tcPr>
          <w:p w14:paraId="20B05CA0"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Available Improved Fuel Qualities</w:t>
            </w:r>
          </w:p>
        </w:tc>
      </w:tr>
      <w:tr w:rsidR="001D2587" w:rsidRPr="000855B2" w14:paraId="4FD04A5E" w14:textId="77777777" w:rsidTr="00246BA6">
        <w:tc>
          <w:tcPr>
            <w:tcW w:w="2835" w:type="dxa"/>
            <w:tcBorders>
              <w:top w:val="single" w:sz="12" w:space="0" w:color="auto"/>
            </w:tcBorders>
          </w:tcPr>
          <w:p w14:paraId="70882111"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 xml:space="preserve">Pre- </w:t>
            </w:r>
            <w:r w:rsidR="008D1415" w:rsidRPr="000855B2">
              <w:rPr>
                <w:rFonts w:ascii="Open Sans" w:hAnsi="Open Sans" w:cs="Open Sans"/>
                <w:sz w:val="18"/>
                <w:lang w:val="en-GB"/>
              </w:rPr>
              <w:t>Euro </w:t>
            </w:r>
            <w:r w:rsidRPr="000855B2">
              <w:rPr>
                <w:rFonts w:ascii="Open Sans" w:hAnsi="Open Sans" w:cs="Open Sans"/>
                <w:sz w:val="18"/>
                <w:lang w:val="en-GB"/>
              </w:rPr>
              <w:t>3</w:t>
            </w:r>
          </w:p>
        </w:tc>
        <w:tc>
          <w:tcPr>
            <w:tcW w:w="1668" w:type="dxa"/>
            <w:tcBorders>
              <w:top w:val="single" w:sz="12" w:space="0" w:color="auto"/>
            </w:tcBorders>
          </w:tcPr>
          <w:p w14:paraId="31696A2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 xml:space="preserve">1996 </w:t>
            </w:r>
            <w:r w:rsidR="00B450F2" w:rsidRPr="000855B2">
              <w:rPr>
                <w:rFonts w:ascii="Open Sans" w:hAnsi="Open Sans" w:cs="Open Sans"/>
                <w:sz w:val="18"/>
                <w:lang w:val="en-GB"/>
              </w:rPr>
              <w:t>b</w:t>
            </w:r>
            <w:r w:rsidRPr="000855B2">
              <w:rPr>
                <w:rFonts w:ascii="Open Sans" w:hAnsi="Open Sans" w:cs="Open Sans"/>
                <w:sz w:val="18"/>
                <w:lang w:val="en-GB"/>
              </w:rPr>
              <w:t xml:space="preserve">ase </w:t>
            </w:r>
            <w:r w:rsidR="00B450F2" w:rsidRPr="000855B2">
              <w:rPr>
                <w:rFonts w:ascii="Open Sans" w:hAnsi="Open Sans" w:cs="Open Sans"/>
                <w:sz w:val="18"/>
                <w:lang w:val="en-GB"/>
              </w:rPr>
              <w:t>f</w:t>
            </w:r>
            <w:r w:rsidRPr="000855B2">
              <w:rPr>
                <w:rFonts w:ascii="Open Sans" w:hAnsi="Open Sans" w:cs="Open Sans"/>
                <w:sz w:val="18"/>
                <w:lang w:val="en-GB"/>
              </w:rPr>
              <w:t>uel</w:t>
            </w:r>
          </w:p>
        </w:tc>
        <w:tc>
          <w:tcPr>
            <w:tcW w:w="3685" w:type="dxa"/>
            <w:tcBorders>
              <w:top w:val="single" w:sz="12" w:space="0" w:color="auto"/>
            </w:tcBorders>
          </w:tcPr>
          <w:p w14:paraId="341975F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2000, Fuel 2005</w:t>
            </w:r>
          </w:p>
        </w:tc>
      </w:tr>
      <w:tr w:rsidR="001D2587" w:rsidRPr="000855B2" w14:paraId="7E24C81E" w14:textId="77777777" w:rsidTr="00295554">
        <w:tc>
          <w:tcPr>
            <w:tcW w:w="2835" w:type="dxa"/>
          </w:tcPr>
          <w:p w14:paraId="04C1E1BA" w14:textId="77777777" w:rsidR="001D2587" w:rsidRPr="000855B2" w:rsidRDefault="008D141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Euro </w:t>
            </w:r>
            <w:r w:rsidR="001D2587" w:rsidRPr="000855B2">
              <w:rPr>
                <w:rFonts w:ascii="Open Sans" w:hAnsi="Open Sans" w:cs="Open Sans"/>
                <w:sz w:val="18"/>
                <w:lang w:val="en-GB"/>
              </w:rPr>
              <w:t>3</w:t>
            </w:r>
          </w:p>
        </w:tc>
        <w:tc>
          <w:tcPr>
            <w:tcW w:w="1668" w:type="dxa"/>
          </w:tcPr>
          <w:p w14:paraId="1CFD4D6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2000</w:t>
            </w:r>
          </w:p>
        </w:tc>
        <w:tc>
          <w:tcPr>
            <w:tcW w:w="3685" w:type="dxa"/>
          </w:tcPr>
          <w:p w14:paraId="3C90128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2005</w:t>
            </w:r>
          </w:p>
        </w:tc>
      </w:tr>
      <w:tr w:rsidR="001D2587" w:rsidRPr="000855B2" w14:paraId="1245BDE8" w14:textId="77777777" w:rsidTr="00295554">
        <w:tc>
          <w:tcPr>
            <w:tcW w:w="2835" w:type="dxa"/>
          </w:tcPr>
          <w:p w14:paraId="641E34BC" w14:textId="77777777" w:rsidR="001D2587" w:rsidRPr="000855B2" w:rsidRDefault="008D141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Euro </w:t>
            </w:r>
            <w:r w:rsidR="001D2587" w:rsidRPr="000855B2">
              <w:rPr>
                <w:rFonts w:ascii="Open Sans" w:hAnsi="Open Sans" w:cs="Open Sans"/>
                <w:sz w:val="18"/>
                <w:lang w:val="en-GB"/>
              </w:rPr>
              <w:t>4</w:t>
            </w:r>
            <w:r w:rsidR="00882CA3">
              <w:rPr>
                <w:rFonts w:ascii="Open Sans" w:hAnsi="Open Sans" w:cs="Open Sans"/>
                <w:sz w:val="18"/>
                <w:lang w:val="en-GB"/>
              </w:rPr>
              <w:t xml:space="preserve"> and on</w:t>
            </w:r>
          </w:p>
        </w:tc>
        <w:tc>
          <w:tcPr>
            <w:tcW w:w="1668" w:type="dxa"/>
          </w:tcPr>
          <w:p w14:paraId="75DA0AA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Fuel 2005</w:t>
            </w:r>
          </w:p>
        </w:tc>
        <w:tc>
          <w:tcPr>
            <w:tcW w:w="3685" w:type="dxa"/>
          </w:tcPr>
          <w:p w14:paraId="48D79A42"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w:t>
            </w:r>
          </w:p>
        </w:tc>
      </w:tr>
    </w:tbl>
    <w:p w14:paraId="18931E49" w14:textId="77777777" w:rsidR="001D2587" w:rsidRPr="000855B2" w:rsidRDefault="001D2587" w:rsidP="00546C89">
      <w:pPr>
        <w:rPr>
          <w:lang w:val="en-GB"/>
        </w:rPr>
      </w:pPr>
      <w:r w:rsidRPr="000855B2">
        <w:rPr>
          <w:lang w:val="en-GB"/>
        </w:rPr>
        <w:t>The hot emission factors are corrected according to the equation:</w:t>
      </w:r>
    </w:p>
    <w:tbl>
      <w:tblPr>
        <w:tblW w:w="0" w:type="auto"/>
        <w:tblBorders>
          <w:insideH w:val="single" w:sz="4" w:space="0" w:color="auto"/>
        </w:tblBorders>
        <w:tblLook w:val="01E0" w:firstRow="1" w:lastRow="1" w:firstColumn="1" w:lastColumn="1" w:noHBand="0" w:noVBand="0"/>
      </w:tblPr>
      <w:tblGrid>
        <w:gridCol w:w="7709"/>
        <w:gridCol w:w="754"/>
      </w:tblGrid>
      <w:tr w:rsidR="001D2587" w:rsidRPr="000855B2" w14:paraId="6DB418B2" w14:textId="77777777">
        <w:tc>
          <w:tcPr>
            <w:tcW w:w="8240" w:type="dxa"/>
            <w:tcMar>
              <w:left w:w="0" w:type="dxa"/>
              <w:right w:w="0" w:type="dxa"/>
            </w:tcMar>
            <w:vAlign w:val="center"/>
          </w:tcPr>
          <w:p w14:paraId="5EFDA86A" w14:textId="77777777" w:rsidR="001D2587" w:rsidRPr="000855B2" w:rsidRDefault="001D2587" w:rsidP="00546C89">
            <w:pPr>
              <w:numPr>
                <w:ilvl w:val="12"/>
                <w:numId w:val="0"/>
              </w:numPr>
              <w:spacing w:before="120" w:after="120"/>
              <w:rPr>
                <w:lang w:val="en-GB"/>
              </w:rPr>
            </w:pPr>
            <w:r w:rsidRPr="000855B2">
              <w:rPr>
                <w:lang w:val="en-GB"/>
              </w:rPr>
              <w:t>FCe</w:t>
            </w:r>
            <w:r w:rsidRPr="000855B2">
              <w:rPr>
                <w:vertAlign w:val="subscript"/>
                <w:lang w:val="en-GB"/>
              </w:rPr>
              <w:t xml:space="preserve">HOT; </w:t>
            </w:r>
            <w:r w:rsidR="008A4916" w:rsidRPr="000855B2">
              <w:rPr>
                <w:vertAlign w:val="subscript"/>
                <w:lang w:val="en-GB"/>
              </w:rPr>
              <w:t>i</w:t>
            </w:r>
            <w:r w:rsidRPr="000855B2">
              <w:rPr>
                <w:vertAlign w:val="subscript"/>
                <w:lang w:val="en-GB"/>
              </w:rPr>
              <w:t xml:space="preserve">, </w:t>
            </w:r>
            <w:r w:rsidR="00C1709E" w:rsidRPr="000855B2">
              <w:rPr>
                <w:vertAlign w:val="subscript"/>
                <w:lang w:val="en-GB"/>
              </w:rPr>
              <w:t>k, r</w:t>
            </w:r>
            <w:r w:rsidRPr="000855B2">
              <w:rPr>
                <w:lang w:val="en-GB"/>
              </w:rPr>
              <w:t xml:space="preserve"> = FCorr</w:t>
            </w:r>
            <w:r w:rsidRPr="000855B2">
              <w:rPr>
                <w:vertAlign w:val="subscript"/>
                <w:lang w:val="en-GB"/>
              </w:rPr>
              <w:t>i</w:t>
            </w:r>
            <w:r w:rsidR="00C1709E" w:rsidRPr="000855B2">
              <w:rPr>
                <w:vertAlign w:val="subscript"/>
                <w:lang w:val="en-GB"/>
              </w:rPr>
              <w:t>, k</w:t>
            </w:r>
            <w:r w:rsidRPr="000855B2">
              <w:rPr>
                <w:vertAlign w:val="subscript"/>
                <w:lang w:val="en-GB"/>
              </w:rPr>
              <w:t>, Fuel</w:t>
            </w:r>
            <w:r w:rsidRPr="000855B2">
              <w:rPr>
                <w:lang w:val="en-GB"/>
              </w:rPr>
              <w:t xml:space="preserve"> / FCorr</w:t>
            </w:r>
            <w:r w:rsidR="00C1709E" w:rsidRPr="000855B2">
              <w:rPr>
                <w:vertAlign w:val="subscript"/>
                <w:lang w:val="en-GB"/>
              </w:rPr>
              <w:t>i, k</w:t>
            </w:r>
            <w:r w:rsidRPr="000855B2">
              <w:rPr>
                <w:vertAlign w:val="subscript"/>
                <w:lang w:val="en-GB"/>
              </w:rPr>
              <w:t>, Base</w:t>
            </w:r>
            <w:r w:rsidRPr="000855B2">
              <w:rPr>
                <w:lang w:val="en-GB"/>
              </w:rPr>
              <w:t xml:space="preserve"> × e</w:t>
            </w:r>
            <w:r w:rsidR="00C1709E" w:rsidRPr="000855B2">
              <w:rPr>
                <w:vertAlign w:val="subscript"/>
                <w:lang w:val="en-GB"/>
              </w:rPr>
              <w:t>HOT; i, k, r</w:t>
            </w:r>
            <w:r w:rsidRPr="000855B2">
              <w:rPr>
                <w:lang w:val="en-GB"/>
              </w:rPr>
              <w:tab/>
            </w:r>
          </w:p>
        </w:tc>
        <w:tc>
          <w:tcPr>
            <w:tcW w:w="787" w:type="dxa"/>
            <w:tcMar>
              <w:left w:w="0" w:type="dxa"/>
              <w:right w:w="0" w:type="dxa"/>
            </w:tcMar>
            <w:vAlign w:val="center"/>
          </w:tcPr>
          <w:p w14:paraId="4432D8CD" w14:textId="6A798571" w:rsidR="001D2587" w:rsidRPr="000855B2" w:rsidRDefault="001D2587" w:rsidP="00546C89">
            <w:pPr>
              <w:numPr>
                <w:ilvl w:val="12"/>
                <w:numId w:val="0"/>
              </w:numPr>
              <w:spacing w:before="120" w:after="120"/>
              <w:rPr>
                <w:lang w:val="en-GB"/>
              </w:rPr>
            </w:pPr>
            <w:bookmarkStart w:id="164" w:name="_Ref140576611"/>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24</w:t>
            </w:r>
            <w:r w:rsidR="00E17971">
              <w:rPr>
                <w:lang w:val="en-GB"/>
              </w:rPr>
              <w:fldChar w:fldCharType="end"/>
            </w:r>
            <w:r w:rsidRPr="000855B2">
              <w:rPr>
                <w:lang w:val="en-GB"/>
              </w:rPr>
              <w:t>)</w:t>
            </w:r>
            <w:bookmarkEnd w:id="164"/>
          </w:p>
        </w:tc>
      </w:tr>
    </w:tbl>
    <w:p w14:paraId="312457E8" w14:textId="77777777" w:rsidR="00B450F2" w:rsidRPr="000855B2" w:rsidRDefault="001D2587" w:rsidP="00546C89">
      <w:pPr>
        <w:spacing w:before="120"/>
        <w:rPr>
          <w:lang w:val="en-GB"/>
        </w:rPr>
      </w:pPr>
      <w:r w:rsidRPr="000855B2">
        <w:rPr>
          <w:lang w:val="en-GB"/>
        </w:rPr>
        <w:t>where,</w:t>
      </w:r>
    </w:p>
    <w:p w14:paraId="5A4D20D8" w14:textId="77777777" w:rsidR="001D2587" w:rsidRPr="000855B2" w:rsidRDefault="001D2587" w:rsidP="00546C89">
      <w:pPr>
        <w:tabs>
          <w:tab w:val="left" w:pos="1440"/>
        </w:tabs>
        <w:spacing w:after="120"/>
        <w:ind w:left="181"/>
        <w:rPr>
          <w:lang w:val="en-GB"/>
        </w:rPr>
      </w:pPr>
      <w:r w:rsidRPr="000855B2">
        <w:rPr>
          <w:lang w:val="en-GB"/>
        </w:rPr>
        <w:t>FCe</w:t>
      </w:r>
      <w:r w:rsidR="00C1709E" w:rsidRPr="000855B2">
        <w:rPr>
          <w:vertAlign w:val="subscript"/>
          <w:lang w:val="en-GB"/>
        </w:rPr>
        <w:t>HOT; i, k, r</w:t>
      </w:r>
      <w:r w:rsidRPr="000855B2">
        <w:rPr>
          <w:lang w:val="en-GB"/>
        </w:rPr>
        <w:t xml:space="preserve">: </w:t>
      </w:r>
      <w:r w:rsidRPr="000855B2">
        <w:rPr>
          <w:lang w:val="en-GB"/>
        </w:rPr>
        <w:tab/>
      </w:r>
      <w:r w:rsidR="008A4916" w:rsidRPr="000855B2">
        <w:rPr>
          <w:lang w:val="en-GB"/>
        </w:rPr>
        <w:t>=</w:t>
      </w:r>
      <w:r w:rsidR="008A4916" w:rsidRPr="000855B2">
        <w:rPr>
          <w:lang w:val="en-GB"/>
        </w:rPr>
        <w:tab/>
      </w:r>
      <w:r w:rsidR="00B450F2" w:rsidRPr="000855B2">
        <w:rPr>
          <w:lang w:val="en-GB"/>
        </w:rPr>
        <w:t>t</w:t>
      </w:r>
      <w:r w:rsidRPr="000855B2">
        <w:rPr>
          <w:lang w:val="en-GB"/>
        </w:rPr>
        <w:t>he hot emission factor</w:t>
      </w:r>
      <w:r w:rsidR="008A4916" w:rsidRPr="000855B2">
        <w:rPr>
          <w:lang w:val="en-GB"/>
        </w:rPr>
        <w:t>,</w:t>
      </w:r>
      <w:r w:rsidRPr="000855B2">
        <w:rPr>
          <w:lang w:val="en-GB"/>
        </w:rPr>
        <w:t xml:space="preserve"> corrected for the use of improved fuel for </w:t>
      </w:r>
      <w:r w:rsidRPr="000855B2">
        <w:rPr>
          <w:lang w:val="en-GB"/>
        </w:rPr>
        <w:br/>
        <w:t xml:space="preserve"> </w:t>
      </w:r>
      <w:r w:rsidRPr="000855B2">
        <w:rPr>
          <w:lang w:val="en-GB"/>
        </w:rPr>
        <w:tab/>
      </w:r>
      <w:r w:rsidRPr="000855B2">
        <w:rPr>
          <w:lang w:val="en-GB"/>
        </w:rPr>
        <w:tab/>
        <w:t xml:space="preserve">pollutant </w:t>
      </w:r>
      <w:r w:rsidR="008A4916" w:rsidRPr="000855B2">
        <w:rPr>
          <w:i/>
          <w:lang w:val="en-GB"/>
        </w:rPr>
        <w:t>i</w:t>
      </w:r>
      <w:r w:rsidR="00C1709E" w:rsidRPr="000855B2">
        <w:rPr>
          <w:lang w:val="en-GB"/>
        </w:rPr>
        <w:t xml:space="preserve"> of vehicle technology </w:t>
      </w:r>
      <w:r w:rsidR="00C1709E" w:rsidRPr="000855B2">
        <w:rPr>
          <w:i/>
          <w:lang w:val="en-GB"/>
        </w:rPr>
        <w:t>k</w:t>
      </w:r>
      <w:r w:rsidR="00C1709E" w:rsidRPr="000855B2">
        <w:rPr>
          <w:lang w:val="en-GB"/>
        </w:rPr>
        <w:t xml:space="preserve"> driven on road class </w:t>
      </w:r>
      <w:r w:rsidR="00C1709E" w:rsidRPr="000855B2">
        <w:rPr>
          <w:i/>
          <w:lang w:val="en-GB"/>
        </w:rPr>
        <w:t>r</w:t>
      </w:r>
      <w:r w:rsidR="00B450F2" w:rsidRPr="000855B2">
        <w:rPr>
          <w:lang w:val="en-GB"/>
        </w:rPr>
        <w:t>,</w:t>
      </w:r>
    </w:p>
    <w:p w14:paraId="5BF1D5D5" w14:textId="3B182502" w:rsidR="001D2587" w:rsidRPr="000855B2" w:rsidRDefault="001D2587" w:rsidP="00546C89">
      <w:pPr>
        <w:tabs>
          <w:tab w:val="left" w:pos="1440"/>
          <w:tab w:val="left" w:pos="2160"/>
        </w:tabs>
        <w:spacing w:after="120"/>
        <w:ind w:left="2160" w:hanging="1979"/>
        <w:rPr>
          <w:lang w:val="en-GB"/>
        </w:rPr>
      </w:pPr>
      <w:r w:rsidRPr="000855B2">
        <w:rPr>
          <w:lang w:val="en-GB"/>
        </w:rPr>
        <w:t>FCorr</w:t>
      </w:r>
      <w:r w:rsidR="00C1709E" w:rsidRPr="000855B2">
        <w:rPr>
          <w:vertAlign w:val="subscript"/>
          <w:lang w:val="en-GB"/>
        </w:rPr>
        <w:t>i, k</w:t>
      </w:r>
      <w:r w:rsidRPr="000855B2">
        <w:rPr>
          <w:vertAlign w:val="subscript"/>
          <w:lang w:val="en-GB"/>
        </w:rPr>
        <w:t>, Fuel</w:t>
      </w:r>
      <w:r w:rsidRPr="000855B2">
        <w:rPr>
          <w:lang w:val="en-GB"/>
        </w:rPr>
        <w:t>:</w:t>
      </w:r>
      <w:r w:rsidRPr="000855B2">
        <w:rPr>
          <w:lang w:val="en-GB"/>
        </w:rPr>
        <w:tab/>
      </w:r>
      <w:r w:rsidR="008A4916" w:rsidRPr="000855B2">
        <w:rPr>
          <w:lang w:val="en-GB"/>
        </w:rPr>
        <w:t>=</w:t>
      </w:r>
      <w:r w:rsidR="008A4916" w:rsidRPr="000855B2">
        <w:rPr>
          <w:lang w:val="en-GB"/>
        </w:rPr>
        <w:tab/>
      </w:r>
      <w:r w:rsidR="00B450F2" w:rsidRPr="000855B2">
        <w:rPr>
          <w:lang w:val="en-GB"/>
        </w:rPr>
        <w:t>t</w:t>
      </w:r>
      <w:r w:rsidRPr="000855B2">
        <w:rPr>
          <w:lang w:val="en-GB"/>
        </w:rPr>
        <w:t xml:space="preserve">he fuel correction for pollutant </w:t>
      </w:r>
      <w:r w:rsidRPr="000855B2">
        <w:rPr>
          <w:i/>
          <w:lang w:val="en-GB"/>
        </w:rPr>
        <w:t>i</w:t>
      </w:r>
      <w:r w:rsidR="00C1709E" w:rsidRPr="000855B2">
        <w:rPr>
          <w:lang w:val="en-GB"/>
        </w:rPr>
        <w:t>, vehicle technology</w:t>
      </w:r>
      <w:r w:rsidRPr="000855B2">
        <w:rPr>
          <w:lang w:val="en-GB"/>
        </w:rPr>
        <w:t xml:space="preserve"> </w:t>
      </w:r>
      <w:r w:rsidR="00C1709E" w:rsidRPr="000855B2">
        <w:rPr>
          <w:i/>
          <w:lang w:val="en-GB"/>
        </w:rPr>
        <w:t>k</w:t>
      </w:r>
      <w:r w:rsidRPr="000855B2">
        <w:rPr>
          <w:lang w:val="en-GB"/>
        </w:rPr>
        <w:t xml:space="preserve">, calculated with </w:t>
      </w:r>
      <w:r w:rsidRPr="000855B2">
        <w:rPr>
          <w:lang w:val="en-GB"/>
        </w:rPr>
        <w:br/>
        <w:t xml:space="preserve">equations given in </w:t>
      </w:r>
      <w:r w:rsidR="00FB454C">
        <w:fldChar w:fldCharType="begin"/>
      </w:r>
      <w:r w:rsidR="00FB454C">
        <w:instrText xml:space="preserve"> REF _Ref140413093 \h  \* MERGEFORMAT </w:instrText>
      </w:r>
      <w:r w:rsidR="00FB454C">
        <w:fldChar w:fldCharType="separate"/>
      </w:r>
      <w:r w:rsidR="0071604C" w:rsidRPr="0071604C">
        <w:rPr>
          <w:lang w:val="en-GB"/>
        </w:rPr>
        <w:t>Table 3.82</w:t>
      </w:r>
      <w:r w:rsidR="00FB454C">
        <w:fldChar w:fldCharType="end"/>
      </w:r>
      <w:r w:rsidRPr="000855B2">
        <w:rPr>
          <w:lang w:val="en-GB"/>
        </w:rPr>
        <w:t xml:space="preserve">, </w:t>
      </w:r>
      <w:r w:rsidR="00FB454C">
        <w:fldChar w:fldCharType="begin"/>
      </w:r>
      <w:r w:rsidR="00FB454C">
        <w:instrText xml:space="preserve"> REF _Ref140413094 \h  \* MERGEFORMAT </w:instrText>
      </w:r>
      <w:r w:rsidR="00FB454C">
        <w:fldChar w:fldCharType="separate"/>
      </w:r>
      <w:r w:rsidR="0071604C" w:rsidRPr="0071604C">
        <w:rPr>
          <w:lang w:val="en-GB"/>
        </w:rPr>
        <w:t>Table 3.83</w:t>
      </w:r>
      <w:r w:rsidR="00FB454C">
        <w:fldChar w:fldCharType="end"/>
      </w:r>
      <w:r w:rsidRPr="000855B2">
        <w:rPr>
          <w:lang w:val="en-GB"/>
        </w:rPr>
        <w:t xml:space="preserve"> and </w:t>
      </w:r>
      <w:r w:rsidR="00FB454C">
        <w:fldChar w:fldCharType="begin"/>
      </w:r>
      <w:r w:rsidR="00FB454C">
        <w:instrText xml:space="preserve"> REF _Ref140413096 \h  \* MERGEFORMAT </w:instrText>
      </w:r>
      <w:r w:rsidR="00FB454C">
        <w:fldChar w:fldCharType="separate"/>
      </w:r>
      <w:r w:rsidR="0071604C" w:rsidRPr="0071604C">
        <w:rPr>
          <w:lang w:val="en-GB"/>
        </w:rPr>
        <w:t>Table 3.84</w:t>
      </w:r>
      <w:r w:rsidR="00FB454C">
        <w:fldChar w:fldCharType="end"/>
      </w:r>
      <w:r w:rsidRPr="000855B2">
        <w:rPr>
          <w:lang w:val="en-GB"/>
        </w:rPr>
        <w:t xml:space="preserve"> for the available improved fuel qualities (</w:t>
      </w:r>
      <w:r w:rsidR="00FB454C">
        <w:fldChar w:fldCharType="begin"/>
      </w:r>
      <w:r w:rsidR="00FB454C">
        <w:instrText xml:space="preserve"> REF _Ref197845119 \h  \* MERGEFORMAT </w:instrText>
      </w:r>
      <w:r w:rsidR="00FB454C">
        <w:fldChar w:fldCharType="separate"/>
      </w:r>
      <w:r w:rsidR="0071604C" w:rsidRPr="0071604C">
        <w:rPr>
          <w:lang w:val="en-GB"/>
        </w:rPr>
        <w:t>Table 3.33</w:t>
      </w:r>
      <w:r w:rsidR="00FB454C">
        <w:fldChar w:fldCharType="end"/>
      </w:r>
      <w:r w:rsidRPr="000855B2">
        <w:rPr>
          <w:lang w:val="en-GB"/>
        </w:rPr>
        <w:t>)</w:t>
      </w:r>
      <w:r w:rsidR="00B450F2" w:rsidRPr="000855B2">
        <w:rPr>
          <w:lang w:val="en-GB"/>
        </w:rPr>
        <w:t>,</w:t>
      </w:r>
    </w:p>
    <w:p w14:paraId="67A544A3" w14:textId="34CC5B35" w:rsidR="001D2587" w:rsidRPr="000855B2" w:rsidRDefault="001D2587" w:rsidP="00546C89">
      <w:pPr>
        <w:tabs>
          <w:tab w:val="left" w:pos="1440"/>
          <w:tab w:val="left" w:pos="2160"/>
        </w:tabs>
        <w:spacing w:after="120"/>
        <w:ind w:left="2160" w:hanging="1979"/>
        <w:rPr>
          <w:lang w:val="en-GB"/>
        </w:rPr>
      </w:pPr>
      <w:r w:rsidRPr="000855B2">
        <w:rPr>
          <w:lang w:val="en-GB"/>
        </w:rPr>
        <w:t>FCorr</w:t>
      </w:r>
      <w:r w:rsidR="00C1709E" w:rsidRPr="000855B2">
        <w:rPr>
          <w:vertAlign w:val="subscript"/>
          <w:lang w:val="en-GB"/>
        </w:rPr>
        <w:t>i, k</w:t>
      </w:r>
      <w:r w:rsidRPr="000855B2">
        <w:rPr>
          <w:vertAlign w:val="subscript"/>
          <w:lang w:val="en-GB"/>
        </w:rPr>
        <w:t>, Base</w:t>
      </w:r>
      <w:r w:rsidRPr="000855B2">
        <w:rPr>
          <w:lang w:val="en-GB"/>
        </w:rPr>
        <w:t>:</w:t>
      </w:r>
      <w:r w:rsidRPr="000855B2">
        <w:rPr>
          <w:lang w:val="en-GB"/>
        </w:rPr>
        <w:tab/>
      </w:r>
      <w:r w:rsidR="008A4916" w:rsidRPr="000855B2">
        <w:rPr>
          <w:lang w:val="en-GB"/>
        </w:rPr>
        <w:t>=</w:t>
      </w:r>
      <w:r w:rsidR="008A4916" w:rsidRPr="000855B2">
        <w:rPr>
          <w:lang w:val="en-GB"/>
        </w:rPr>
        <w:tab/>
      </w:r>
      <w:r w:rsidR="00B450F2" w:rsidRPr="000855B2">
        <w:rPr>
          <w:lang w:val="en-GB"/>
        </w:rPr>
        <w:t>t</w:t>
      </w:r>
      <w:r w:rsidRPr="000855B2">
        <w:rPr>
          <w:lang w:val="en-GB"/>
        </w:rPr>
        <w:t xml:space="preserve">he fuel correction for pollutant </w:t>
      </w:r>
      <w:r w:rsidRPr="000855B2">
        <w:rPr>
          <w:i/>
          <w:lang w:val="en-GB"/>
        </w:rPr>
        <w:t>i</w:t>
      </w:r>
      <w:r w:rsidRPr="000855B2">
        <w:rPr>
          <w:lang w:val="en-GB"/>
        </w:rPr>
        <w:t xml:space="preserve">, calculated with equations given in </w:t>
      </w:r>
      <w:r w:rsidR="00FB454C">
        <w:fldChar w:fldCharType="begin"/>
      </w:r>
      <w:r w:rsidR="00FB454C">
        <w:instrText xml:space="preserve"> REF _Ref140413093 \h  \* MERGEFORMAT </w:instrText>
      </w:r>
      <w:r w:rsidR="00FB454C">
        <w:fldChar w:fldCharType="separate"/>
      </w:r>
      <w:r w:rsidR="0071604C" w:rsidRPr="0071604C">
        <w:rPr>
          <w:lang w:val="en-GB"/>
        </w:rPr>
        <w:t>Table 3.82</w:t>
      </w:r>
      <w:r w:rsidR="00FB454C">
        <w:fldChar w:fldCharType="end"/>
      </w:r>
      <w:r w:rsidRPr="000855B2">
        <w:rPr>
          <w:lang w:val="en-GB"/>
        </w:rPr>
        <w:t xml:space="preserve">, </w:t>
      </w:r>
      <w:r w:rsidR="00FB454C">
        <w:fldChar w:fldCharType="begin"/>
      </w:r>
      <w:r w:rsidR="00FB454C">
        <w:instrText xml:space="preserve"> REF _Ref140413094 \h  \* MERGEFORMAT </w:instrText>
      </w:r>
      <w:r w:rsidR="00FB454C">
        <w:fldChar w:fldCharType="separate"/>
      </w:r>
      <w:r w:rsidR="0071604C" w:rsidRPr="0071604C">
        <w:rPr>
          <w:lang w:val="en-GB"/>
        </w:rPr>
        <w:t>Table 3.83</w:t>
      </w:r>
      <w:r w:rsidR="00FB454C">
        <w:fldChar w:fldCharType="end"/>
      </w:r>
      <w:r w:rsidRPr="000855B2">
        <w:rPr>
          <w:lang w:val="en-GB"/>
        </w:rPr>
        <w:t xml:space="preserve"> and </w:t>
      </w:r>
      <w:r w:rsidR="00FB454C">
        <w:fldChar w:fldCharType="begin"/>
      </w:r>
      <w:r w:rsidR="00FB454C">
        <w:instrText xml:space="preserve"> REF _Ref140413096 \h  \* MERGEFORMAT </w:instrText>
      </w:r>
      <w:r w:rsidR="00FB454C">
        <w:fldChar w:fldCharType="separate"/>
      </w:r>
      <w:r w:rsidR="0071604C" w:rsidRPr="0071604C">
        <w:rPr>
          <w:lang w:val="en-GB"/>
        </w:rPr>
        <w:t>Table 3.84</w:t>
      </w:r>
      <w:r w:rsidR="00FB454C">
        <w:fldChar w:fldCharType="end"/>
      </w:r>
      <w:r w:rsidRPr="000855B2">
        <w:rPr>
          <w:lang w:val="en-GB"/>
        </w:rPr>
        <w:t xml:space="preserve"> for the base fuel quality of vehicle </w:t>
      </w:r>
      <w:r w:rsidR="00C1709E" w:rsidRPr="000855B2">
        <w:rPr>
          <w:lang w:val="en-GB"/>
        </w:rPr>
        <w:t>technology</w:t>
      </w:r>
      <w:r w:rsidRPr="000855B2">
        <w:rPr>
          <w:lang w:val="en-GB"/>
        </w:rPr>
        <w:t xml:space="preserve"> </w:t>
      </w:r>
      <w:r w:rsidR="00C1709E" w:rsidRPr="000855B2">
        <w:rPr>
          <w:i/>
          <w:lang w:val="en-GB"/>
        </w:rPr>
        <w:t>k</w:t>
      </w:r>
      <w:r w:rsidRPr="000855B2">
        <w:rPr>
          <w:lang w:val="en-GB"/>
        </w:rPr>
        <w:t xml:space="preserve"> (</w:t>
      </w:r>
      <w:r w:rsidR="00FB454C">
        <w:fldChar w:fldCharType="begin"/>
      </w:r>
      <w:r w:rsidR="00FB454C">
        <w:instrText xml:space="preserve"> REF _Ref197845119 \h  \* MERGEFORMAT </w:instrText>
      </w:r>
      <w:r w:rsidR="00FB454C">
        <w:fldChar w:fldCharType="separate"/>
      </w:r>
      <w:r w:rsidR="0071604C" w:rsidRPr="0071604C">
        <w:rPr>
          <w:lang w:val="en-GB"/>
        </w:rPr>
        <w:t>Table 3.33</w:t>
      </w:r>
      <w:r w:rsidR="00FB454C">
        <w:fldChar w:fldCharType="end"/>
      </w:r>
      <w:r w:rsidRPr="000855B2">
        <w:rPr>
          <w:lang w:val="en-GB"/>
        </w:rPr>
        <w:t>)</w:t>
      </w:r>
      <w:r w:rsidR="008A4916" w:rsidRPr="000855B2">
        <w:rPr>
          <w:lang w:val="en-GB"/>
        </w:rPr>
        <w:t>.</w:t>
      </w:r>
    </w:p>
    <w:p w14:paraId="4A470F82" w14:textId="7058044D" w:rsidR="001D2587" w:rsidRDefault="008A4916" w:rsidP="00546C89">
      <w:pPr>
        <w:pStyle w:val="BodyText"/>
      </w:pPr>
      <w:r w:rsidRPr="000855B2">
        <w:t>E</w:t>
      </w:r>
      <w:r w:rsidR="001D2587" w:rsidRPr="000855B2">
        <w:t xml:space="preserve">quation </w:t>
      </w:r>
      <w:r w:rsidR="00FB454C">
        <w:fldChar w:fldCharType="begin"/>
      </w:r>
      <w:r w:rsidR="00FB454C">
        <w:instrText xml:space="preserve"> REF _Ref140576611 \h  \* MERGEFORMAT </w:instrText>
      </w:r>
      <w:r w:rsidR="00FB454C">
        <w:fldChar w:fldCharType="separate"/>
      </w:r>
      <w:r w:rsidR="0071604C" w:rsidRPr="000855B2">
        <w:t>(</w:t>
      </w:r>
      <w:r w:rsidR="0071604C">
        <w:rPr>
          <w:noProof/>
        </w:rPr>
        <w:t>24</w:t>
      </w:r>
      <w:r w:rsidR="0071604C" w:rsidRPr="000855B2">
        <w:rPr>
          <w:noProof/>
        </w:rPr>
        <w:t>)</w:t>
      </w:r>
      <w:r w:rsidR="00FB454C">
        <w:fldChar w:fldCharType="end"/>
      </w:r>
      <w:r w:rsidR="001D2587" w:rsidRPr="000855B2">
        <w:t xml:space="preserve"> should not be used to provide the deterioration of emissions </w:t>
      </w:r>
      <w:r w:rsidRPr="000855B2">
        <w:t>where</w:t>
      </w:r>
      <w:r w:rsidR="001D2587" w:rsidRPr="000855B2">
        <w:t xml:space="preserve"> an older fuel is used in a newer technology (</w:t>
      </w:r>
      <w:r w:rsidR="00D73F59" w:rsidRPr="000855B2">
        <w:t>e.g</w:t>
      </w:r>
      <w:r w:rsidR="001D2587" w:rsidRPr="000855B2">
        <w:rPr>
          <w:i/>
        </w:rPr>
        <w:t>.</w:t>
      </w:r>
      <w:r w:rsidR="001D2587" w:rsidRPr="000855B2">
        <w:t xml:space="preserve"> use of Fuel 2000 in </w:t>
      </w:r>
      <w:r w:rsidR="008D1415" w:rsidRPr="000855B2">
        <w:t>Euro </w:t>
      </w:r>
      <w:r w:rsidR="001D2587" w:rsidRPr="000855B2">
        <w:t>4 vehicles</w:t>
      </w:r>
      <w:r w:rsidRPr="000855B2">
        <w:t>)</w:t>
      </w:r>
      <w:r w:rsidR="001D2587" w:rsidRPr="000855B2">
        <w:t xml:space="preserve"> by inversion of FC coefficients. The emission factor calculated via equation </w:t>
      </w:r>
      <w:r w:rsidR="00FB454C">
        <w:fldChar w:fldCharType="begin"/>
      </w:r>
      <w:r w:rsidR="00FB454C">
        <w:instrText xml:space="preserve"> REF _Ref140576611 \h  \* MERGEFORMAT </w:instrText>
      </w:r>
      <w:r w:rsidR="00FB454C">
        <w:fldChar w:fldCharType="separate"/>
      </w:r>
      <w:r w:rsidR="0071604C" w:rsidRPr="000855B2">
        <w:t>(</w:t>
      </w:r>
      <w:r w:rsidR="0071604C">
        <w:rPr>
          <w:noProof/>
        </w:rPr>
        <w:t>24</w:t>
      </w:r>
      <w:r w:rsidR="0071604C" w:rsidRPr="000855B2">
        <w:rPr>
          <w:noProof/>
        </w:rPr>
        <w:t>)</w:t>
      </w:r>
      <w:r w:rsidR="00FB454C">
        <w:fldChar w:fldCharType="end"/>
      </w:r>
      <w:r w:rsidR="001D2587" w:rsidRPr="000855B2">
        <w:t xml:space="preserve"> should be introduced in equations </w:t>
      </w:r>
      <w:r w:rsidR="00FB454C">
        <w:fldChar w:fldCharType="begin"/>
      </w:r>
      <w:r w:rsidR="00FB454C">
        <w:instrText xml:space="preserve"> REF _Ref140576510 \h  \* MERGEFORMAT </w:instrText>
      </w:r>
      <w:r w:rsidR="00FB454C">
        <w:fldChar w:fldCharType="separate"/>
      </w:r>
      <w:r w:rsidR="0071604C" w:rsidRPr="000855B2">
        <w:t>(</w:t>
      </w:r>
      <w:r w:rsidR="0071604C">
        <w:rPr>
          <w:noProof/>
        </w:rPr>
        <w:t>8</w:t>
      </w:r>
      <w:r w:rsidR="0071604C" w:rsidRPr="000855B2">
        <w:rPr>
          <w:noProof/>
        </w:rPr>
        <w:t>)</w:t>
      </w:r>
      <w:r w:rsidR="00FB454C">
        <w:fldChar w:fldCharType="end"/>
      </w:r>
      <w:r w:rsidR="001D2587" w:rsidRPr="000855B2">
        <w:t xml:space="preserve"> and </w:t>
      </w:r>
      <w:r w:rsidR="00FB454C">
        <w:fldChar w:fldCharType="begin"/>
      </w:r>
      <w:r w:rsidR="00FB454C">
        <w:instrText xml:space="preserve"> REF _Ref140576425 \h  \* MERGEFORMAT </w:instrText>
      </w:r>
      <w:r w:rsidR="00FB454C">
        <w:fldChar w:fldCharType="separate"/>
      </w:r>
      <w:r w:rsidR="0071604C" w:rsidRPr="000855B2">
        <w:t>(</w:t>
      </w:r>
      <w:r w:rsidR="0071604C">
        <w:rPr>
          <w:noProof/>
        </w:rPr>
        <w:t>10</w:t>
      </w:r>
      <w:r w:rsidR="0071604C" w:rsidRPr="000855B2">
        <w:rPr>
          <w:noProof/>
        </w:rPr>
        <w:t>)</w:t>
      </w:r>
      <w:r w:rsidR="00FB454C">
        <w:fldChar w:fldCharType="end"/>
      </w:r>
      <w:r w:rsidR="001D2587" w:rsidRPr="000855B2">
        <w:t xml:space="preserve"> or </w:t>
      </w:r>
      <w:r w:rsidR="00FB454C">
        <w:fldChar w:fldCharType="begin"/>
      </w:r>
      <w:r w:rsidR="00FB454C">
        <w:instrText xml:space="preserve"> REF _Ref140576437 \h  \* MERGEFORMAT </w:instrText>
      </w:r>
      <w:r w:rsidR="00FB454C">
        <w:fldChar w:fldCharType="separate"/>
      </w:r>
      <w:r w:rsidR="0071604C" w:rsidRPr="000855B2">
        <w:t>(</w:t>
      </w:r>
      <w:r w:rsidR="0071604C">
        <w:rPr>
          <w:noProof/>
        </w:rPr>
        <w:t>11</w:t>
      </w:r>
      <w:r w:rsidR="0071604C" w:rsidRPr="000855B2">
        <w:rPr>
          <w:noProof/>
        </w:rPr>
        <w:t>)</w:t>
      </w:r>
      <w:r w:rsidR="00FB454C">
        <w:fldChar w:fldCharType="end"/>
      </w:r>
      <w:r w:rsidR="001D2587" w:rsidRPr="000855B2">
        <w:t xml:space="preserve"> respectively to estimate hot and cold</w:t>
      </w:r>
      <w:r w:rsidRPr="000855B2">
        <w:t>-</w:t>
      </w:r>
      <w:r w:rsidR="001D2587" w:rsidRPr="000855B2">
        <w:t>start emissions.</w:t>
      </w:r>
    </w:p>
    <w:p w14:paraId="29F37F90" w14:textId="77777777" w:rsidR="001D2587" w:rsidRPr="000855B2" w:rsidRDefault="001D2587" w:rsidP="00AC1E78">
      <w:pPr>
        <w:pStyle w:val="Heading3"/>
      </w:pPr>
      <w:bookmarkStart w:id="165" w:name="_Ref197485961"/>
      <w:r w:rsidRPr="000855B2">
        <w:t xml:space="preserve">Relevant </w:t>
      </w:r>
      <w:r w:rsidR="00B450F2" w:rsidRPr="000855B2">
        <w:t>a</w:t>
      </w:r>
      <w:r w:rsidRPr="000855B2">
        <w:t xml:space="preserve">ctivity </w:t>
      </w:r>
      <w:r w:rsidR="00B450F2" w:rsidRPr="000855B2">
        <w:t>s</w:t>
      </w:r>
      <w:r w:rsidRPr="000855B2">
        <w:t>tatistics</w:t>
      </w:r>
      <w:bookmarkEnd w:id="165"/>
    </w:p>
    <w:p w14:paraId="7D71871C" w14:textId="7BA9E825" w:rsidR="001D2587" w:rsidRPr="000855B2" w:rsidRDefault="001D2587" w:rsidP="00546C89">
      <w:pPr>
        <w:pStyle w:val="BodyText"/>
      </w:pPr>
      <w:r w:rsidRPr="000855B2">
        <w:t xml:space="preserve">In principle, vehicle statistics are readily available </w:t>
      </w:r>
      <w:r w:rsidR="00C62EE1" w:rsidRPr="000855B2">
        <w:t>from</w:t>
      </w:r>
      <w:r w:rsidRPr="000855B2">
        <w:t xml:space="preserve"> the national statistical offices of all countries</w:t>
      </w:r>
      <w:r w:rsidR="00C62EE1" w:rsidRPr="000855B2">
        <w:t>,</w:t>
      </w:r>
      <w:r w:rsidRPr="000855B2">
        <w:t xml:space="preserve"> and </w:t>
      </w:r>
      <w:r w:rsidR="00C62EE1" w:rsidRPr="000855B2">
        <w:t>from</w:t>
      </w:r>
      <w:r w:rsidRPr="000855B2">
        <w:t xml:space="preserve"> international statistical organisations and institutes (</w:t>
      </w:r>
      <w:r w:rsidR="00D73F59" w:rsidRPr="000855B2">
        <w:t>e.g</w:t>
      </w:r>
      <w:r w:rsidRPr="000855B2">
        <w:t xml:space="preserve">. </w:t>
      </w:r>
      <w:r w:rsidR="00B450F2" w:rsidRPr="000855B2">
        <w:t>Eurostat</w:t>
      </w:r>
      <w:r w:rsidRPr="000855B2">
        <w:t xml:space="preserve">, </w:t>
      </w:r>
      <w:smartTag w:uri="urn:schemas-microsoft-com:office:smarttags" w:element="stockticker">
        <w:r w:rsidRPr="000855B2">
          <w:t>IRF</w:t>
        </w:r>
      </w:smartTag>
      <w:r w:rsidRPr="000855B2">
        <w:t>). However, it must be stressed that these statistics are almost exclusively vehicle</w:t>
      </w:r>
      <w:r w:rsidR="00C62EE1" w:rsidRPr="000855B2">
        <w:t>-</w:t>
      </w:r>
      <w:r w:rsidRPr="000855B2">
        <w:t>oriented (</w:t>
      </w:r>
      <w:r w:rsidR="00D205E2" w:rsidRPr="000855B2">
        <w:t>i.e</w:t>
      </w:r>
      <w:r w:rsidRPr="000855B2">
        <w:rPr>
          <w:i/>
        </w:rPr>
        <w:t>.</w:t>
      </w:r>
      <w:r w:rsidRPr="000855B2">
        <w:t xml:space="preserve"> comprising fleet data), with information about </w:t>
      </w:r>
      <w:r w:rsidR="00C62EE1" w:rsidRPr="000855B2">
        <w:t>a</w:t>
      </w:r>
      <w:r w:rsidRPr="000855B2">
        <w:t>ggregate</w:t>
      </w:r>
      <w:r w:rsidR="00C62EE1" w:rsidRPr="000855B2">
        <w:t>d</w:t>
      </w:r>
      <w:r w:rsidRPr="000855B2">
        <w:t xml:space="preserve"> categories only (</w:t>
      </w:r>
      <w:r w:rsidR="00D73F59" w:rsidRPr="000855B2">
        <w:t>e.g</w:t>
      </w:r>
      <w:r w:rsidRPr="000855B2">
        <w:rPr>
          <w:i/>
        </w:rPr>
        <w:t>.</w:t>
      </w:r>
      <w:r w:rsidRPr="000855B2">
        <w:t xml:space="preserve"> passenger cars, trucks, buses, motorcycles). In addition, little information referring to </w:t>
      </w:r>
      <w:r w:rsidR="00C62EE1" w:rsidRPr="000855B2">
        <w:t xml:space="preserve">the </w:t>
      </w:r>
      <w:r w:rsidRPr="000855B2">
        <w:t xml:space="preserve">age and technology distribution can be found in a consistent form, </w:t>
      </w:r>
      <w:r w:rsidR="00C62EE1" w:rsidRPr="000855B2">
        <w:t>and</w:t>
      </w:r>
      <w:r w:rsidRPr="000855B2">
        <w:t xml:space="preserve"> very little information is available as regards activity (with the exception of fuel statistics). In addition</w:t>
      </w:r>
      <w:r w:rsidR="00C62EE1" w:rsidRPr="000855B2">
        <w:t>,</w:t>
      </w:r>
      <w:r w:rsidRPr="000855B2">
        <w:t xml:space="preserve"> more detailed traffic data required for the calculations (such as average trip length for cold start emissions) are available only in a few countries. </w:t>
      </w:r>
      <w:r w:rsidR="001E7194" w:rsidRPr="000855B2">
        <w:t>Detailed data on vehicle stocks for all EU</w:t>
      </w:r>
      <w:r w:rsidR="00B450F2" w:rsidRPr="000855B2">
        <w:t>-</w:t>
      </w:r>
      <w:r w:rsidR="001E7194" w:rsidRPr="000855B2">
        <w:t xml:space="preserve">27 countries and CH, HR, NO, TR can be also found </w:t>
      </w:r>
      <w:r w:rsidR="001E7194" w:rsidRPr="00D75127">
        <w:t xml:space="preserve">on the </w:t>
      </w:r>
      <w:r w:rsidR="00461783" w:rsidRPr="00D75127">
        <w:t>COPERT</w:t>
      </w:r>
      <w:r w:rsidR="001E7194" w:rsidRPr="00D75127">
        <w:t xml:space="preserve"> </w:t>
      </w:r>
      <w:r w:rsidR="00CD677F" w:rsidRPr="00D75127">
        <w:t>web-site (</w:t>
      </w:r>
      <w:hyperlink r:id="rId51" w:history="1">
        <w:r w:rsidR="00CD677F" w:rsidRPr="00D75127">
          <w:rPr>
            <w:rStyle w:val="Hyperlink"/>
          </w:rPr>
          <w:t>http://www.emisia.com/copert</w:t>
        </w:r>
      </w:hyperlink>
      <w:r w:rsidR="00CD677F" w:rsidRPr="00D75127">
        <w:t>)</w:t>
      </w:r>
      <w:r w:rsidR="001E7194" w:rsidRPr="00D75127">
        <w:t>. These</w:t>
      </w:r>
      <w:r w:rsidR="001E7194" w:rsidRPr="000855B2">
        <w:t xml:space="preserve"> data have no official status but are a result of a research project (Ntziachristos </w:t>
      </w:r>
      <w:r w:rsidR="00D73F59" w:rsidRPr="000855B2">
        <w:t>et al</w:t>
      </w:r>
      <w:r w:rsidR="001E7194" w:rsidRPr="000855B2">
        <w:rPr>
          <w:i/>
        </w:rPr>
        <w:t>.</w:t>
      </w:r>
      <w:r w:rsidR="001E7194" w:rsidRPr="000855B2">
        <w:t>, 2008). However, they can be used as a good guide in the absence of more detailed information.</w:t>
      </w:r>
      <w:r w:rsidR="00DE5E47" w:rsidRPr="000855B2">
        <w:t xml:space="preserve"> </w:t>
      </w:r>
      <w:r w:rsidR="001E7194" w:rsidRPr="000855B2">
        <w:t>D</w:t>
      </w:r>
      <w:r w:rsidRPr="000855B2">
        <w:t xml:space="preserve">ata </w:t>
      </w:r>
      <w:r w:rsidR="001E7194" w:rsidRPr="000855B2">
        <w:t xml:space="preserve">for several other countries </w:t>
      </w:r>
      <w:r w:rsidRPr="000855B2">
        <w:t xml:space="preserve">can be produced in an indirect way. The following </w:t>
      </w:r>
      <w:r w:rsidR="00C62EE1" w:rsidRPr="000855B2">
        <w:t xml:space="preserve">may </w:t>
      </w:r>
      <w:r w:rsidRPr="000855B2">
        <w:t>be helpful</w:t>
      </w:r>
      <w:r w:rsidR="00C62EE1" w:rsidRPr="000855B2">
        <w:t xml:space="preserve"> in this respect</w:t>
      </w:r>
      <w:r w:rsidRPr="000855B2">
        <w:t>:</w:t>
      </w:r>
    </w:p>
    <w:p w14:paraId="0759282C" w14:textId="77777777" w:rsidR="001D2587" w:rsidRPr="000855B2" w:rsidRDefault="00B450F2" w:rsidP="009D781A">
      <w:pPr>
        <w:numPr>
          <w:ilvl w:val="0"/>
          <w:numId w:val="4"/>
        </w:numPr>
        <w:tabs>
          <w:tab w:val="left" w:pos="360"/>
        </w:tabs>
        <w:spacing w:before="60" w:after="80"/>
        <w:ind w:left="357" w:hanging="357"/>
        <w:rPr>
          <w:lang w:val="en-GB"/>
        </w:rPr>
      </w:pPr>
      <w:r w:rsidRPr="000855B2">
        <w:rPr>
          <w:i/>
          <w:lang w:val="en-GB"/>
        </w:rPr>
        <w:lastRenderedPageBreak/>
        <w:t>a</w:t>
      </w:r>
      <w:r w:rsidR="001D2587" w:rsidRPr="000855B2">
        <w:rPr>
          <w:i/>
          <w:lang w:val="en-GB"/>
        </w:rPr>
        <w:t>ge and technology distribution</w:t>
      </w:r>
      <w:r w:rsidR="001D2587" w:rsidRPr="000855B2">
        <w:rPr>
          <w:lang w:val="en-GB"/>
        </w:rPr>
        <w:t xml:space="preserve">: </w:t>
      </w:r>
      <w:r w:rsidRPr="000855B2">
        <w:rPr>
          <w:lang w:val="en-GB"/>
        </w:rPr>
        <w:t>t</w:t>
      </w:r>
      <w:r w:rsidR="001D2587" w:rsidRPr="000855B2">
        <w:rPr>
          <w:lang w:val="en-GB"/>
        </w:rPr>
        <w:t xml:space="preserve">he (generally available) time series on fleet evolution and annual new registrations can be used </w:t>
      </w:r>
      <w:r w:rsidR="00C62EE1" w:rsidRPr="000855B2">
        <w:rPr>
          <w:lang w:val="en-GB"/>
        </w:rPr>
        <w:t>to derive</w:t>
      </w:r>
      <w:r w:rsidR="001D2587" w:rsidRPr="000855B2">
        <w:rPr>
          <w:lang w:val="en-GB"/>
        </w:rPr>
        <w:t xml:space="preserve"> estimates of appropriate scrappage rates. By combining the above with implementation dates of certain technologies, a relatively good picture of the fleet composition </w:t>
      </w:r>
      <w:r w:rsidR="00C62EE1" w:rsidRPr="000855B2">
        <w:rPr>
          <w:lang w:val="en-GB"/>
        </w:rPr>
        <w:t>in</w:t>
      </w:r>
      <w:r w:rsidR="001D2587" w:rsidRPr="000855B2">
        <w:rPr>
          <w:lang w:val="en-GB"/>
        </w:rPr>
        <w:t xml:space="preserve"> specific years can be </w:t>
      </w:r>
      <w:r w:rsidR="00C62EE1" w:rsidRPr="000855B2">
        <w:rPr>
          <w:lang w:val="en-GB"/>
        </w:rPr>
        <w:t>obtained</w:t>
      </w:r>
      <w:r w:rsidRPr="000855B2">
        <w:rPr>
          <w:lang w:val="en-GB"/>
        </w:rPr>
        <w:t>;</w:t>
      </w:r>
    </w:p>
    <w:p w14:paraId="0266E226" w14:textId="4D87D8CF" w:rsidR="001D2587" w:rsidRPr="000855B2" w:rsidRDefault="00B450F2" w:rsidP="009D781A">
      <w:pPr>
        <w:numPr>
          <w:ilvl w:val="0"/>
          <w:numId w:val="4"/>
        </w:numPr>
        <w:tabs>
          <w:tab w:val="left" w:pos="360"/>
        </w:tabs>
        <w:spacing w:before="60" w:after="80"/>
        <w:ind w:left="357" w:hanging="357"/>
        <w:rPr>
          <w:lang w:val="en-GB"/>
        </w:rPr>
      </w:pPr>
      <w:r w:rsidRPr="000855B2">
        <w:rPr>
          <w:i/>
          <w:lang w:val="en-GB"/>
        </w:rPr>
        <w:t>m</w:t>
      </w:r>
      <w:r w:rsidR="001D2587" w:rsidRPr="000855B2">
        <w:rPr>
          <w:i/>
          <w:lang w:val="en-GB"/>
        </w:rPr>
        <w:t>ileage driven and mileage split</w:t>
      </w:r>
      <w:r w:rsidR="001D2587" w:rsidRPr="000855B2">
        <w:rPr>
          <w:lang w:val="en-GB"/>
        </w:rPr>
        <w:t xml:space="preserve">: </w:t>
      </w:r>
      <w:r w:rsidR="00353239">
        <w:rPr>
          <w:lang w:val="en-GB"/>
        </w:rPr>
        <w:t>energy/fuel</w:t>
      </w:r>
      <w:r w:rsidR="001D2587" w:rsidRPr="000855B2">
        <w:rPr>
          <w:lang w:val="en-GB"/>
        </w:rPr>
        <w:t xml:space="preserve"> consumption </w:t>
      </w:r>
      <w:r w:rsidR="00C62EE1" w:rsidRPr="000855B2">
        <w:rPr>
          <w:lang w:val="en-GB"/>
        </w:rPr>
        <w:t xml:space="preserve">calculated </w:t>
      </w:r>
      <w:r w:rsidR="001D2587" w:rsidRPr="000855B2">
        <w:rPr>
          <w:lang w:val="en-GB"/>
        </w:rPr>
        <w:t>on the basis of appropriate assumptions for annual mileage of the different vehicle categories can be balanced</w:t>
      </w:r>
      <w:r w:rsidR="001E7194" w:rsidRPr="000855B2">
        <w:rPr>
          <w:lang w:val="en-GB"/>
        </w:rPr>
        <w:t xml:space="preserve"> with available fuel statistics.</w:t>
      </w:r>
      <w:r w:rsidR="001D2587" w:rsidRPr="000855B2">
        <w:rPr>
          <w:lang w:val="en-GB"/>
        </w:rPr>
        <w:t xml:space="preserve"> By applying </w:t>
      </w:r>
      <w:r w:rsidR="00353239">
        <w:rPr>
          <w:lang w:val="en-GB"/>
        </w:rPr>
        <w:t>the abovementioned energy balance methodology</w:t>
      </w:r>
      <w:r w:rsidR="001D2587" w:rsidRPr="000855B2">
        <w:rPr>
          <w:lang w:val="en-GB"/>
        </w:rPr>
        <w:t>, it is possible to reach acceptable estimates of mileage.</w:t>
      </w:r>
    </w:p>
    <w:p w14:paraId="3FFE8E31" w14:textId="773FCDB5" w:rsidR="001D2587" w:rsidRPr="000855B2" w:rsidRDefault="001D2587" w:rsidP="00546C89">
      <w:pPr>
        <w:pStyle w:val="BodyText"/>
      </w:pPr>
      <w:bookmarkStart w:id="166" w:name="_Toc410491487"/>
      <w:bookmarkStart w:id="167" w:name="_Toc410491681"/>
      <w:r w:rsidRPr="000855B2">
        <w:t>For the calculation of cold</w:t>
      </w:r>
      <w:r w:rsidR="00B450F2" w:rsidRPr="000855B2">
        <w:t>-</w:t>
      </w:r>
      <w:r w:rsidRPr="000855B2">
        <w:t xml:space="preserve">start related emissions, the mean trip length is necessary. </w:t>
      </w:r>
      <w:r w:rsidR="00FB454C">
        <w:fldChar w:fldCharType="begin"/>
      </w:r>
      <w:r w:rsidR="00FB454C">
        <w:instrText xml:space="preserve"> REF _Ref200258416 \h  \* MERGEFORMAT </w:instrText>
      </w:r>
      <w:r w:rsidR="00FB454C">
        <w:fldChar w:fldCharType="separate"/>
      </w:r>
      <w:r w:rsidR="0071604C" w:rsidRPr="000855B2">
        <w:t>Table </w:t>
      </w:r>
      <w:r w:rsidR="0071604C">
        <w:t>3.34</w:t>
      </w:r>
      <w:r w:rsidR="00FB454C">
        <w:fldChar w:fldCharType="end"/>
      </w:r>
      <w:r w:rsidR="004E2450" w:rsidRPr="000855B2">
        <w:t xml:space="preserve"> </w:t>
      </w:r>
      <w:r w:rsidRPr="000855B2">
        <w:t xml:space="preserve">provides the figures submitted by national experts in a previous </w:t>
      </w:r>
      <w:r w:rsidR="00461783">
        <w:t>COPERT</w:t>
      </w:r>
      <w:r w:rsidRPr="000855B2">
        <w:t xml:space="preserve"> exercise. </w:t>
      </w:r>
      <w:r w:rsidR="004E2450" w:rsidRPr="000855B2">
        <w:t>Although</w:t>
      </w:r>
      <w:r w:rsidRPr="000855B2">
        <w:t xml:space="preserve"> these data refer to </w:t>
      </w:r>
      <w:r w:rsidR="004E2450" w:rsidRPr="000855B2">
        <w:t xml:space="preserve">traffic conditions </w:t>
      </w:r>
      <w:r w:rsidRPr="000855B2">
        <w:t xml:space="preserve">a decade ago, they can still be used </w:t>
      </w:r>
      <w:r w:rsidR="004E2450" w:rsidRPr="000855B2">
        <w:t xml:space="preserve">with confidence </w:t>
      </w:r>
      <w:r w:rsidRPr="000855B2">
        <w:t xml:space="preserve">because mean trip </w:t>
      </w:r>
      <w:r w:rsidR="004E2450" w:rsidRPr="000855B2">
        <w:t xml:space="preserve">length </w:t>
      </w:r>
      <w:r w:rsidRPr="000855B2">
        <w:t>is a highly aggregate value which little varies from year</w:t>
      </w:r>
      <w:r w:rsidR="00B450F2" w:rsidRPr="000855B2">
        <w:t>-</w:t>
      </w:r>
      <w:r w:rsidRPr="000855B2">
        <w:t>to</w:t>
      </w:r>
      <w:r w:rsidR="00B450F2" w:rsidRPr="000855B2">
        <w:t>-</w:t>
      </w:r>
      <w:r w:rsidRPr="000855B2">
        <w:t xml:space="preserve">year. </w:t>
      </w:r>
    </w:p>
    <w:p w14:paraId="23A1C519" w14:textId="77777777" w:rsidR="001E7194" w:rsidRPr="000855B2" w:rsidRDefault="001E7194" w:rsidP="00AC1E78">
      <w:pPr>
        <w:pStyle w:val="Heading3"/>
      </w:pPr>
      <w:bookmarkStart w:id="168" w:name="_Ref144978860"/>
      <w:r w:rsidRPr="000855B2">
        <w:t>Emissions factors</w:t>
      </w:r>
      <w:bookmarkEnd w:id="168"/>
    </w:p>
    <w:p w14:paraId="10130BA7" w14:textId="77777777" w:rsidR="001E7194" w:rsidRPr="000855B2" w:rsidRDefault="001E7194" w:rsidP="00546C89">
      <w:pPr>
        <w:pStyle w:val="BodyText"/>
      </w:pPr>
      <w:r w:rsidRPr="000855B2">
        <w:t>The Tie</w:t>
      </w:r>
      <w:r w:rsidR="00E0302E" w:rsidRPr="000855B2">
        <w:t>r 3</w:t>
      </w:r>
      <w:r w:rsidRPr="000855B2">
        <w:t xml:space="preserve"> emission factors for non-catalyst </w:t>
      </w:r>
      <w:r w:rsidR="005E4DC4">
        <w:t>petrol</w:t>
      </w:r>
      <w:r w:rsidRPr="000855B2">
        <w:t xml:space="preserve"> cars were developed by the </w:t>
      </w:r>
      <w:r w:rsidR="000116F1" w:rsidRPr="000855B2">
        <w:t>Corinair</w:t>
      </w:r>
      <w:r w:rsidRPr="000855B2">
        <w:t xml:space="preserve"> Working Group (Eggleston </w:t>
      </w:r>
      <w:r w:rsidR="00D73F59" w:rsidRPr="000855B2">
        <w:t>et al</w:t>
      </w:r>
      <w:r w:rsidRPr="000855B2">
        <w:rPr>
          <w:i/>
        </w:rPr>
        <w:t>.</w:t>
      </w:r>
      <w:r w:rsidRPr="000855B2">
        <w:t xml:space="preserve">, 1993), taking into account the results of comprehensive studies carried out in France, Germany, Greece, Italy, the Netherlands and the United Kingdom. In addition, some data measured in Austria, Sweden and Switzerland were incorporated. For </w:t>
      </w:r>
      <w:r w:rsidR="005E4DC4">
        <w:t>petrol</w:t>
      </w:r>
      <w:r w:rsidRPr="000855B2">
        <w:t xml:space="preserve"> catalyst-equipped cars, improved diesel cars (91/441/</w:t>
      </w:r>
      <w:smartTag w:uri="urn:schemas-microsoft-com:office:smarttags" w:element="stockticker">
        <w:r w:rsidRPr="000855B2">
          <w:t>EEC</w:t>
        </w:r>
      </w:smartTag>
      <w:r w:rsidRPr="000855B2">
        <w:t xml:space="preserve"> and later) and diesel heavy-duty vehicles, the emission factors are derived from the results of the </w:t>
      </w:r>
      <w:r w:rsidR="00CC5B0C" w:rsidRPr="000855B2">
        <w:t>Artemis</w:t>
      </w:r>
      <w:r w:rsidRPr="000855B2">
        <w:t xml:space="preserve"> project. The emission factors for </w:t>
      </w:r>
      <w:r w:rsidR="00CF67A4" w:rsidRPr="000855B2">
        <w:t>light commercial</w:t>
      </w:r>
      <w:r w:rsidRPr="000855B2">
        <w:t xml:space="preserve"> vehicles originate from the MEET project, and those for two-wheel vehicles are taken from various DG Enterprise studies.</w:t>
      </w:r>
    </w:p>
    <w:p w14:paraId="45B2C8A7" w14:textId="51F6CE74" w:rsidR="001D2587" w:rsidRPr="000855B2" w:rsidRDefault="00A040D1" w:rsidP="00C92B1B">
      <w:pPr>
        <w:pStyle w:val="Caption"/>
      </w:pPr>
      <w:bookmarkStart w:id="169" w:name="_Ref140400354"/>
      <w:bookmarkStart w:id="170" w:name="_Ref200258416"/>
      <w:bookmarkStart w:id="171" w:name="_Toc410491488"/>
      <w:bookmarkStart w:id="172" w:name="_Toc410491682"/>
      <w:bookmarkEnd w:id="166"/>
      <w:bookmarkEnd w:id="167"/>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34</w:t>
      </w:r>
      <w:r w:rsidR="00FB454C">
        <w:rPr>
          <w:noProof/>
        </w:rPr>
        <w:fldChar w:fldCharType="end"/>
      </w:r>
      <w:bookmarkEnd w:id="169"/>
      <w:bookmarkEnd w:id="170"/>
      <w:r w:rsidR="001D2587" w:rsidRPr="000855B2">
        <w:t xml:space="preserve">: </w:t>
      </w:r>
      <w:bookmarkEnd w:id="171"/>
      <w:bookmarkEnd w:id="172"/>
      <w:r w:rsidR="001D2587" w:rsidRPr="000855B2">
        <w:t xml:space="preserve">Examples of average estimated trip length values- </w:t>
      </w:r>
      <w:r w:rsidR="001D2587" w:rsidRPr="000855B2">
        <w:rPr>
          <w:i/>
        </w:rPr>
        <w:t>l</w:t>
      </w:r>
      <w:r w:rsidR="001D2587" w:rsidRPr="000855B2">
        <w:rPr>
          <w:i/>
          <w:vertAlign w:val="subscript"/>
        </w:rPr>
        <w:t>trip</w:t>
      </w:r>
      <w:r w:rsidR="000F3E28" w:rsidRPr="000855B2">
        <w:t xml:space="preserve"> — </w:t>
      </w:r>
      <w:r w:rsidR="001D2587" w:rsidRPr="000855B2">
        <w:t xml:space="preserve">as taken by </w:t>
      </w:r>
      <w:r w:rsidR="00461783">
        <w:t>COPERT</w:t>
      </w:r>
      <w:r w:rsidR="001D2587" w:rsidRPr="000855B2">
        <w:t xml:space="preserve"> 1990 updated run</w:t>
      </w:r>
    </w:p>
    <w:tbl>
      <w:tblPr>
        <w:tblW w:w="64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602"/>
        <w:gridCol w:w="1602"/>
        <w:gridCol w:w="1602"/>
        <w:gridCol w:w="1603"/>
      </w:tblGrid>
      <w:tr w:rsidR="001D2587" w:rsidRPr="000855B2" w14:paraId="6A9EA1E4" w14:textId="77777777" w:rsidTr="00246BA6">
        <w:trPr>
          <w:trHeight w:val="247"/>
        </w:trPr>
        <w:tc>
          <w:tcPr>
            <w:tcW w:w="1602" w:type="dxa"/>
            <w:tcBorders>
              <w:bottom w:val="single" w:sz="12" w:space="0" w:color="auto"/>
            </w:tcBorders>
          </w:tcPr>
          <w:p w14:paraId="76C89757"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Country</w:t>
            </w:r>
          </w:p>
        </w:tc>
        <w:tc>
          <w:tcPr>
            <w:tcW w:w="1602" w:type="dxa"/>
            <w:tcBorders>
              <w:bottom w:val="single" w:sz="12" w:space="0" w:color="auto"/>
            </w:tcBorders>
          </w:tcPr>
          <w:p w14:paraId="0862DB4C"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 xml:space="preserve">Trip </w:t>
            </w:r>
            <w:r w:rsidR="00B450F2" w:rsidRPr="000855B2">
              <w:rPr>
                <w:rFonts w:cs="Open Sans"/>
                <w:b/>
                <w:snapToGrid w:val="0"/>
                <w:sz w:val="18"/>
                <w:lang w:eastAsia="en-US"/>
              </w:rPr>
              <w:t>l</w:t>
            </w:r>
            <w:r w:rsidRPr="000855B2">
              <w:rPr>
                <w:rFonts w:cs="Open Sans"/>
                <w:b/>
                <w:snapToGrid w:val="0"/>
                <w:sz w:val="18"/>
                <w:lang w:eastAsia="en-US"/>
              </w:rPr>
              <w:t>ength [km]</w:t>
            </w:r>
          </w:p>
        </w:tc>
        <w:tc>
          <w:tcPr>
            <w:tcW w:w="1602" w:type="dxa"/>
            <w:tcBorders>
              <w:bottom w:val="single" w:sz="12" w:space="0" w:color="auto"/>
            </w:tcBorders>
          </w:tcPr>
          <w:p w14:paraId="53839B4B"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Country</w:t>
            </w:r>
          </w:p>
        </w:tc>
        <w:tc>
          <w:tcPr>
            <w:tcW w:w="1603" w:type="dxa"/>
            <w:tcBorders>
              <w:bottom w:val="single" w:sz="12" w:space="0" w:color="auto"/>
            </w:tcBorders>
          </w:tcPr>
          <w:p w14:paraId="7AE97E49" w14:textId="77777777" w:rsidR="001D2587" w:rsidRPr="000855B2" w:rsidRDefault="001D2587" w:rsidP="006C3329">
            <w:pPr>
              <w:pStyle w:val="TableText"/>
              <w:keepNext/>
              <w:keepLines/>
              <w:suppressAutoHyphens/>
              <w:spacing w:before="0" w:line="240" w:lineRule="atLeast"/>
              <w:rPr>
                <w:rFonts w:cs="Open Sans"/>
                <w:b/>
                <w:snapToGrid w:val="0"/>
                <w:sz w:val="18"/>
                <w:lang w:eastAsia="en-US"/>
              </w:rPr>
            </w:pPr>
            <w:r w:rsidRPr="000855B2">
              <w:rPr>
                <w:rFonts w:cs="Open Sans"/>
                <w:b/>
                <w:snapToGrid w:val="0"/>
                <w:sz w:val="18"/>
                <w:lang w:eastAsia="en-US"/>
              </w:rPr>
              <w:t xml:space="preserve">Trip </w:t>
            </w:r>
            <w:r w:rsidR="00B450F2" w:rsidRPr="000855B2">
              <w:rPr>
                <w:rFonts w:cs="Open Sans"/>
                <w:b/>
                <w:snapToGrid w:val="0"/>
                <w:sz w:val="18"/>
                <w:lang w:eastAsia="en-US"/>
              </w:rPr>
              <w:t>l</w:t>
            </w:r>
            <w:r w:rsidRPr="000855B2">
              <w:rPr>
                <w:rFonts w:cs="Open Sans"/>
                <w:b/>
                <w:snapToGrid w:val="0"/>
                <w:sz w:val="18"/>
                <w:lang w:eastAsia="en-US"/>
              </w:rPr>
              <w:t>ength [km]</w:t>
            </w:r>
          </w:p>
        </w:tc>
      </w:tr>
      <w:tr w:rsidR="001D2587" w:rsidRPr="000855B2" w14:paraId="32CD29A7" w14:textId="77777777" w:rsidTr="00246BA6">
        <w:trPr>
          <w:trHeight w:val="247"/>
        </w:trPr>
        <w:tc>
          <w:tcPr>
            <w:tcW w:w="1602" w:type="dxa"/>
            <w:tcBorders>
              <w:top w:val="single" w:sz="12" w:space="0" w:color="auto"/>
            </w:tcBorders>
          </w:tcPr>
          <w:p w14:paraId="62B58CE8"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Austria</w:t>
            </w:r>
          </w:p>
        </w:tc>
        <w:tc>
          <w:tcPr>
            <w:tcW w:w="1602" w:type="dxa"/>
            <w:tcBorders>
              <w:top w:val="single" w:sz="12" w:space="0" w:color="auto"/>
            </w:tcBorders>
          </w:tcPr>
          <w:p w14:paraId="69EB7B64"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Borders>
              <w:top w:val="single" w:sz="12" w:space="0" w:color="auto"/>
            </w:tcBorders>
          </w:tcPr>
          <w:p w14:paraId="09E9A6BD"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Hungary</w:t>
            </w:r>
          </w:p>
        </w:tc>
        <w:tc>
          <w:tcPr>
            <w:tcW w:w="1603" w:type="dxa"/>
            <w:tcBorders>
              <w:top w:val="single" w:sz="12" w:space="0" w:color="auto"/>
            </w:tcBorders>
          </w:tcPr>
          <w:p w14:paraId="63AE5A5A"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r>
      <w:tr w:rsidR="001D2587" w:rsidRPr="000855B2" w14:paraId="0E1EFC7D" w14:textId="77777777" w:rsidTr="001843DE">
        <w:trPr>
          <w:trHeight w:val="247"/>
        </w:trPr>
        <w:tc>
          <w:tcPr>
            <w:tcW w:w="1602" w:type="dxa"/>
          </w:tcPr>
          <w:p w14:paraId="03C3C849"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Belgium</w:t>
            </w:r>
          </w:p>
        </w:tc>
        <w:tc>
          <w:tcPr>
            <w:tcW w:w="1602" w:type="dxa"/>
          </w:tcPr>
          <w:p w14:paraId="08E7391E"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2986E7E6"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Ireland</w:t>
            </w:r>
          </w:p>
        </w:tc>
        <w:tc>
          <w:tcPr>
            <w:tcW w:w="1603" w:type="dxa"/>
          </w:tcPr>
          <w:p w14:paraId="377B3EA4"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14</w:t>
            </w:r>
          </w:p>
        </w:tc>
      </w:tr>
      <w:tr w:rsidR="001D2587" w:rsidRPr="000855B2" w14:paraId="00D582BF" w14:textId="77777777" w:rsidTr="001843DE">
        <w:trPr>
          <w:trHeight w:val="247"/>
        </w:trPr>
        <w:tc>
          <w:tcPr>
            <w:tcW w:w="1602" w:type="dxa"/>
          </w:tcPr>
          <w:p w14:paraId="55C8F1E5"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Denmark</w:t>
            </w:r>
          </w:p>
        </w:tc>
        <w:tc>
          <w:tcPr>
            <w:tcW w:w="1602" w:type="dxa"/>
          </w:tcPr>
          <w:p w14:paraId="18F4B7A9"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9</w:t>
            </w:r>
          </w:p>
        </w:tc>
        <w:tc>
          <w:tcPr>
            <w:tcW w:w="1602" w:type="dxa"/>
          </w:tcPr>
          <w:p w14:paraId="7F367D39"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Italy</w:t>
            </w:r>
          </w:p>
        </w:tc>
        <w:tc>
          <w:tcPr>
            <w:tcW w:w="1603" w:type="dxa"/>
          </w:tcPr>
          <w:p w14:paraId="686EE1B3"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r>
      <w:tr w:rsidR="001D2587" w:rsidRPr="000855B2" w14:paraId="3367D2C0" w14:textId="77777777" w:rsidTr="001843DE">
        <w:trPr>
          <w:trHeight w:val="247"/>
        </w:trPr>
        <w:tc>
          <w:tcPr>
            <w:tcW w:w="1602" w:type="dxa"/>
          </w:tcPr>
          <w:p w14:paraId="1A059063"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Germany</w:t>
            </w:r>
          </w:p>
        </w:tc>
        <w:tc>
          <w:tcPr>
            <w:tcW w:w="1602" w:type="dxa"/>
          </w:tcPr>
          <w:p w14:paraId="6280E5E1"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14</w:t>
            </w:r>
          </w:p>
        </w:tc>
        <w:tc>
          <w:tcPr>
            <w:tcW w:w="1602" w:type="dxa"/>
          </w:tcPr>
          <w:p w14:paraId="05FFCBC3"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Luxembourg</w:t>
            </w:r>
          </w:p>
        </w:tc>
        <w:tc>
          <w:tcPr>
            <w:tcW w:w="1603" w:type="dxa"/>
          </w:tcPr>
          <w:p w14:paraId="4138998F"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15</w:t>
            </w:r>
          </w:p>
        </w:tc>
      </w:tr>
      <w:tr w:rsidR="001D2587" w:rsidRPr="000855B2" w14:paraId="306CAE8D" w14:textId="77777777" w:rsidTr="001843DE">
        <w:trPr>
          <w:trHeight w:val="247"/>
        </w:trPr>
        <w:tc>
          <w:tcPr>
            <w:tcW w:w="1602" w:type="dxa"/>
          </w:tcPr>
          <w:p w14:paraId="310CD463"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Spain</w:t>
            </w:r>
          </w:p>
        </w:tc>
        <w:tc>
          <w:tcPr>
            <w:tcW w:w="1602" w:type="dxa"/>
          </w:tcPr>
          <w:p w14:paraId="543C9C20"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343E6060"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Netherlands</w:t>
            </w:r>
          </w:p>
        </w:tc>
        <w:tc>
          <w:tcPr>
            <w:tcW w:w="1603" w:type="dxa"/>
          </w:tcPr>
          <w:p w14:paraId="58041A2A"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13.1</w:t>
            </w:r>
          </w:p>
        </w:tc>
      </w:tr>
      <w:tr w:rsidR="001D2587" w:rsidRPr="000855B2" w14:paraId="01E000DF" w14:textId="77777777" w:rsidTr="001843DE">
        <w:trPr>
          <w:trHeight w:val="247"/>
        </w:trPr>
        <w:tc>
          <w:tcPr>
            <w:tcW w:w="1602" w:type="dxa"/>
          </w:tcPr>
          <w:p w14:paraId="54712346"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France</w:t>
            </w:r>
          </w:p>
        </w:tc>
        <w:tc>
          <w:tcPr>
            <w:tcW w:w="1602" w:type="dxa"/>
          </w:tcPr>
          <w:p w14:paraId="13631C49"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5C40C68E"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Portugal</w:t>
            </w:r>
          </w:p>
        </w:tc>
        <w:tc>
          <w:tcPr>
            <w:tcW w:w="1603" w:type="dxa"/>
          </w:tcPr>
          <w:p w14:paraId="3C0E0B9B"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10</w:t>
            </w:r>
          </w:p>
        </w:tc>
      </w:tr>
      <w:tr w:rsidR="001D2587" w:rsidRPr="000855B2" w14:paraId="00E25D3C" w14:textId="77777777" w:rsidTr="001843DE">
        <w:trPr>
          <w:trHeight w:val="247"/>
        </w:trPr>
        <w:tc>
          <w:tcPr>
            <w:tcW w:w="1602" w:type="dxa"/>
          </w:tcPr>
          <w:p w14:paraId="098E0A09"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Finland</w:t>
            </w:r>
          </w:p>
        </w:tc>
        <w:tc>
          <w:tcPr>
            <w:tcW w:w="1602" w:type="dxa"/>
          </w:tcPr>
          <w:p w14:paraId="2923B664"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17</w:t>
            </w:r>
          </w:p>
        </w:tc>
        <w:tc>
          <w:tcPr>
            <w:tcW w:w="1602" w:type="dxa"/>
          </w:tcPr>
          <w:p w14:paraId="5A18F0DC"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UK</w:t>
            </w:r>
          </w:p>
        </w:tc>
        <w:tc>
          <w:tcPr>
            <w:tcW w:w="1603" w:type="dxa"/>
          </w:tcPr>
          <w:p w14:paraId="09DD1103"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10</w:t>
            </w:r>
          </w:p>
        </w:tc>
      </w:tr>
      <w:tr w:rsidR="001D2587" w:rsidRPr="000855B2" w14:paraId="1C917355" w14:textId="77777777" w:rsidTr="001843DE">
        <w:trPr>
          <w:trHeight w:val="247"/>
        </w:trPr>
        <w:tc>
          <w:tcPr>
            <w:tcW w:w="1602" w:type="dxa"/>
          </w:tcPr>
          <w:p w14:paraId="071F82AB"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r w:rsidRPr="000855B2">
              <w:rPr>
                <w:rFonts w:cs="Open Sans"/>
                <w:snapToGrid w:val="0"/>
                <w:sz w:val="18"/>
                <w:lang w:eastAsia="en-US"/>
              </w:rPr>
              <w:t>Greece</w:t>
            </w:r>
          </w:p>
        </w:tc>
        <w:tc>
          <w:tcPr>
            <w:tcW w:w="1602" w:type="dxa"/>
          </w:tcPr>
          <w:p w14:paraId="5EE4929E"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r w:rsidRPr="000855B2">
              <w:rPr>
                <w:rFonts w:cs="Open Sans"/>
                <w:snapToGrid w:val="0"/>
                <w:sz w:val="18"/>
                <w:lang w:eastAsia="en-US"/>
              </w:rPr>
              <w:t>12</w:t>
            </w:r>
          </w:p>
        </w:tc>
        <w:tc>
          <w:tcPr>
            <w:tcW w:w="1602" w:type="dxa"/>
          </w:tcPr>
          <w:p w14:paraId="01D99B18" w14:textId="77777777" w:rsidR="001D2587" w:rsidRPr="000855B2" w:rsidRDefault="001D2587" w:rsidP="005C7955">
            <w:pPr>
              <w:pStyle w:val="TableText"/>
              <w:keepNext/>
              <w:keepLines/>
              <w:suppressAutoHyphens/>
              <w:spacing w:before="0" w:line="240" w:lineRule="atLeast"/>
              <w:jc w:val="left"/>
              <w:rPr>
                <w:rFonts w:cs="Open Sans"/>
                <w:snapToGrid w:val="0"/>
                <w:sz w:val="18"/>
                <w:lang w:eastAsia="en-US"/>
              </w:rPr>
            </w:pPr>
          </w:p>
        </w:tc>
        <w:tc>
          <w:tcPr>
            <w:tcW w:w="1603" w:type="dxa"/>
          </w:tcPr>
          <w:p w14:paraId="141FA1DE" w14:textId="77777777" w:rsidR="001D2587" w:rsidRPr="000855B2" w:rsidRDefault="001D2587" w:rsidP="005C7955">
            <w:pPr>
              <w:pStyle w:val="TableText"/>
              <w:keepNext/>
              <w:keepLines/>
              <w:suppressAutoHyphens/>
              <w:spacing w:before="0" w:line="240" w:lineRule="atLeast"/>
              <w:rPr>
                <w:rFonts w:cs="Open Sans"/>
                <w:snapToGrid w:val="0"/>
                <w:sz w:val="18"/>
                <w:lang w:eastAsia="en-US"/>
              </w:rPr>
            </w:pPr>
          </w:p>
        </w:tc>
      </w:tr>
    </w:tbl>
    <w:p w14:paraId="13023868" w14:textId="092738FE" w:rsidR="001D2587" w:rsidRPr="000855B2" w:rsidRDefault="00A040D1" w:rsidP="00C92B1B">
      <w:pPr>
        <w:pStyle w:val="Caption"/>
      </w:pPr>
      <w:bookmarkStart w:id="173" w:name="_Ref140400845"/>
      <w:bookmarkStart w:id="174" w:name="_Toc482876814"/>
      <w:bookmarkStart w:id="175" w:name="_Toc496265267"/>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35</w:t>
      </w:r>
      <w:r w:rsidR="00FB454C">
        <w:rPr>
          <w:noProof/>
        </w:rPr>
        <w:fldChar w:fldCharType="end"/>
      </w:r>
      <w:bookmarkEnd w:id="173"/>
      <w:r w:rsidR="001D2587" w:rsidRPr="000855B2">
        <w:t>: Coding used for the methodological approaches adopted for each vehicle category</w:t>
      </w:r>
      <w:bookmarkEnd w:id="174"/>
      <w:bookmarkEnd w:id="175"/>
    </w:p>
    <w:p w14:paraId="573AADEB" w14:textId="77777777" w:rsidR="001D2587" w:rsidRPr="000855B2" w:rsidRDefault="007E5273" w:rsidP="006C3329">
      <w:pPr>
        <w:jc w:val="left"/>
        <w:rPr>
          <w:lang w:val="en-GB"/>
        </w:rPr>
      </w:pPr>
      <w:r>
        <w:rPr>
          <w:noProof/>
          <w:lang w:val="en-US" w:eastAsia="en-US"/>
        </w:rPr>
        <w:drawing>
          <wp:inline distT="0" distB="0" distL="0" distR="0" wp14:anchorId="10A2132E" wp14:editId="34C68CF9">
            <wp:extent cx="3488690" cy="6035040"/>
            <wp:effectExtent l="19050" t="0" r="0" b="0"/>
            <wp:docPr id="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r="23232"/>
                    <a:stretch>
                      <a:fillRect/>
                    </a:stretch>
                  </pic:blipFill>
                  <pic:spPr bwMode="auto">
                    <a:xfrm>
                      <a:off x="0" y="0"/>
                      <a:ext cx="3488690" cy="6035040"/>
                    </a:xfrm>
                    <a:prstGeom prst="rect">
                      <a:avLst/>
                    </a:prstGeom>
                    <a:noFill/>
                    <a:ln w="9525">
                      <a:noFill/>
                      <a:miter lim="800000"/>
                      <a:headEnd/>
                      <a:tailEnd/>
                    </a:ln>
                  </pic:spPr>
                </pic:pic>
              </a:graphicData>
            </a:graphic>
          </wp:inline>
        </w:drawing>
      </w:r>
    </w:p>
    <w:p w14:paraId="012EFCCC" w14:textId="2F9A9943" w:rsidR="000D58E5" w:rsidRPr="000855B2" w:rsidRDefault="000D58E5" w:rsidP="00546C89">
      <w:pPr>
        <w:pStyle w:val="BodyText"/>
      </w:pPr>
      <w:r w:rsidRPr="000855B2">
        <w:lastRenderedPageBreak/>
        <w:t>The emission factors can be broadly separated into two classes according to the pollutant: those for which a detailed evaluation is necessary and possible, and those for which simpler ‘bulk’ emission factors or equations can be provided. The pollutants CO, VOCs and NO</w:t>
      </w:r>
      <w:r w:rsidRPr="000855B2">
        <w:rPr>
          <w:vertAlign w:val="subscript"/>
        </w:rPr>
        <w:t>x</w:t>
      </w:r>
      <w:r w:rsidRPr="000855B2">
        <w:t xml:space="preserve"> and PM (as well as </w:t>
      </w:r>
      <w:r w:rsidR="00C02BA0">
        <w:t>energy</w:t>
      </w:r>
      <w:r w:rsidRPr="000855B2">
        <w:t xml:space="preserve"> consumption) are in the first category, whereas SO</w:t>
      </w:r>
      <w:r w:rsidRPr="000855B2">
        <w:rPr>
          <w:vertAlign w:val="subscript"/>
        </w:rPr>
        <w:t>2</w:t>
      </w:r>
      <w:r w:rsidRPr="000855B2">
        <w:t>, NH</w:t>
      </w:r>
      <w:r w:rsidRPr="000855B2">
        <w:rPr>
          <w:vertAlign w:val="subscript"/>
        </w:rPr>
        <w:t>3</w:t>
      </w:r>
      <w:r w:rsidRPr="000855B2">
        <w:t>, Pb, CO</w:t>
      </w:r>
      <w:r w:rsidRPr="000855B2">
        <w:rPr>
          <w:vertAlign w:val="subscript"/>
        </w:rPr>
        <w:t>2</w:t>
      </w:r>
      <w:r w:rsidRPr="000855B2">
        <w:t>, N</w:t>
      </w:r>
      <w:r w:rsidRPr="000855B2">
        <w:rPr>
          <w:vertAlign w:val="subscript"/>
        </w:rPr>
        <w:t>2</w:t>
      </w:r>
      <w:r w:rsidRPr="000855B2">
        <w:t>O and (partly) CH</w:t>
      </w:r>
      <w:r w:rsidRPr="000855B2">
        <w:rPr>
          <w:vertAlign w:val="subscript"/>
        </w:rPr>
        <w:t>4</w:t>
      </w:r>
      <w:r w:rsidRPr="000855B2">
        <w:t xml:space="preserve"> are the second one.</w:t>
      </w:r>
    </w:p>
    <w:p w14:paraId="02A4CB38" w14:textId="74AB8C57" w:rsidR="007011A7" w:rsidRPr="000855B2" w:rsidRDefault="000D58E5" w:rsidP="00546C89">
      <w:pPr>
        <w:pStyle w:val="BodyText"/>
      </w:pPr>
      <w:r w:rsidRPr="000855B2">
        <w:t>The presentation of the emission factors firstly covers CO, VOCs, NO</w:t>
      </w:r>
      <w:r w:rsidRPr="000855B2">
        <w:rPr>
          <w:vertAlign w:val="subscript"/>
        </w:rPr>
        <w:t>x</w:t>
      </w:r>
      <w:r w:rsidRPr="000855B2">
        <w:t xml:space="preserve"> and PM (the pollutants which have been regulated in legislation), and </w:t>
      </w:r>
      <w:r w:rsidR="00C02BA0">
        <w:t>energy</w:t>
      </w:r>
      <w:r w:rsidRPr="000855B2">
        <w:t xml:space="preserve"> consumption, for the individual </w:t>
      </w:r>
      <w:smartTag w:uri="urn:schemas-microsoft-com:office:smarttags" w:element="stockticker">
        <w:r w:rsidRPr="000855B2">
          <w:t>SNAP</w:t>
        </w:r>
      </w:smartTag>
      <w:r w:rsidRPr="000855B2">
        <w:t xml:space="preserve"> activities. The ‘bulk’ emission factors for unregulated pollutants</w:t>
      </w:r>
      <w:r w:rsidR="000F3E28" w:rsidRPr="000855B2">
        <w:t xml:space="preserve"> — </w:t>
      </w:r>
      <w:r w:rsidRPr="000855B2">
        <w:t>SO</w:t>
      </w:r>
      <w:r w:rsidRPr="000855B2">
        <w:rPr>
          <w:vertAlign w:val="subscript"/>
        </w:rPr>
        <w:t>2</w:t>
      </w:r>
      <w:r w:rsidRPr="000855B2">
        <w:t>, NH</w:t>
      </w:r>
      <w:r w:rsidRPr="000855B2">
        <w:rPr>
          <w:vertAlign w:val="subscript"/>
        </w:rPr>
        <w:t>3</w:t>
      </w:r>
      <w:r w:rsidRPr="000855B2">
        <w:t>, Pb, CO</w:t>
      </w:r>
      <w:r w:rsidRPr="000855B2">
        <w:rPr>
          <w:vertAlign w:val="subscript"/>
        </w:rPr>
        <w:t>2</w:t>
      </w:r>
      <w:r w:rsidRPr="000855B2">
        <w:t>, N</w:t>
      </w:r>
      <w:r w:rsidRPr="000855B2">
        <w:rPr>
          <w:vertAlign w:val="subscript"/>
        </w:rPr>
        <w:t>2</w:t>
      </w:r>
      <w:r w:rsidRPr="000855B2">
        <w:t>O and CH</w:t>
      </w:r>
      <w:r w:rsidRPr="000855B2">
        <w:rPr>
          <w:vertAlign w:val="subscript"/>
        </w:rPr>
        <w:t>4</w:t>
      </w:r>
      <w:r w:rsidR="000F3E28" w:rsidRPr="000855B2">
        <w:t xml:space="preserve"> — </w:t>
      </w:r>
      <w:r w:rsidRPr="000855B2">
        <w:t xml:space="preserve">are then addressed. </w:t>
      </w:r>
      <w:r w:rsidR="00FB454C">
        <w:fldChar w:fldCharType="begin"/>
      </w:r>
      <w:r w:rsidR="00FB454C">
        <w:instrText xml:space="preserve"> REF _Ref140400845 \h  \* MERGEFORMAT </w:instrText>
      </w:r>
      <w:r w:rsidR="00FB454C">
        <w:fldChar w:fldCharType="separate"/>
      </w:r>
      <w:r w:rsidR="0071604C" w:rsidRPr="000855B2">
        <w:t>Table </w:t>
      </w:r>
      <w:r w:rsidR="0071604C">
        <w:t>3.35</w:t>
      </w:r>
      <w:r w:rsidR="00FB454C">
        <w:fldChar w:fldCharType="end"/>
      </w:r>
      <w:r w:rsidRPr="000855B2">
        <w:t xml:space="preserve"> and </w:t>
      </w:r>
      <w:r w:rsidR="00FB454C">
        <w:fldChar w:fldCharType="begin"/>
      </w:r>
      <w:r w:rsidR="00FB454C">
        <w:instrText xml:space="preserve"> REF _Ref140400863 \h  \* MERGEFORMAT </w:instrText>
      </w:r>
      <w:r w:rsidR="00FB454C">
        <w:fldChar w:fldCharType="separate"/>
      </w:r>
      <w:r w:rsidR="0071604C" w:rsidRPr="000855B2">
        <w:t>Table </w:t>
      </w:r>
      <w:r w:rsidR="0071604C">
        <w:t>3.36</w:t>
      </w:r>
      <w:r w:rsidR="00FB454C">
        <w:fldChar w:fldCharType="end"/>
      </w:r>
      <w:r w:rsidRPr="000855B2">
        <w:t xml:space="preserve"> show the level of detail which is necessary for the calculation of emissions from each vehicle technology.</w:t>
      </w:r>
    </w:p>
    <w:p w14:paraId="0714E429" w14:textId="49FBE507" w:rsidR="001D2587" w:rsidRPr="000855B2" w:rsidRDefault="00A040D1" w:rsidP="00C92B1B">
      <w:pPr>
        <w:pStyle w:val="Caption"/>
      </w:pPr>
      <w:bookmarkStart w:id="176" w:name="_Ref140400863"/>
      <w:bookmarkStart w:id="177" w:name="_Toc388276131"/>
      <w:bookmarkStart w:id="178" w:name="_Toc402632389"/>
      <w:bookmarkStart w:id="179" w:name="_Toc402632443"/>
      <w:bookmarkStart w:id="180" w:name="_Toc482876815"/>
      <w:bookmarkStart w:id="181" w:name="_Toc496265268"/>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36</w:t>
      </w:r>
      <w:r w:rsidR="00FB454C">
        <w:rPr>
          <w:noProof/>
        </w:rPr>
        <w:fldChar w:fldCharType="end"/>
      </w:r>
      <w:bookmarkEnd w:id="176"/>
      <w:r w:rsidR="001D2587" w:rsidRPr="000855B2">
        <w:t>: Summary of calculation methods applied for the different vehicle classes and pollutants</w:t>
      </w:r>
      <w:bookmarkEnd w:id="177"/>
      <w:bookmarkEnd w:id="178"/>
      <w:bookmarkEnd w:id="179"/>
      <w:bookmarkEnd w:id="180"/>
      <w:bookmarkEnd w:id="181"/>
    </w:p>
    <w:tbl>
      <w:tblPr>
        <w:tblW w:w="8721"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2582"/>
        <w:gridCol w:w="431"/>
        <w:gridCol w:w="397"/>
        <w:gridCol w:w="873"/>
        <w:gridCol w:w="584"/>
        <w:gridCol w:w="550"/>
        <w:gridCol w:w="482"/>
        <w:gridCol w:w="583"/>
        <w:gridCol w:w="460"/>
        <w:gridCol w:w="447"/>
        <w:gridCol w:w="397"/>
        <w:gridCol w:w="538"/>
        <w:gridCol w:w="397"/>
      </w:tblGrid>
      <w:tr w:rsidR="001D2587" w:rsidRPr="000855B2" w14:paraId="39152A32" w14:textId="77777777" w:rsidTr="006C3329">
        <w:trPr>
          <w:trHeight w:val="377"/>
        </w:trPr>
        <w:tc>
          <w:tcPr>
            <w:tcW w:w="2582" w:type="dxa"/>
            <w:tcBorders>
              <w:top w:val="double" w:sz="4" w:space="0" w:color="auto"/>
              <w:left w:val="double" w:sz="4" w:space="0" w:color="auto"/>
              <w:bottom w:val="single" w:sz="12" w:space="0" w:color="000000"/>
              <w:right w:val="nil"/>
            </w:tcBorders>
            <w:vAlign w:val="center"/>
          </w:tcPr>
          <w:p w14:paraId="4781BC71"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 xml:space="preserve">Vehicle </w:t>
            </w:r>
            <w:r w:rsidR="00B450F2"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ategory</w:t>
            </w:r>
          </w:p>
        </w:tc>
        <w:tc>
          <w:tcPr>
            <w:tcW w:w="431" w:type="dxa"/>
            <w:tcBorders>
              <w:top w:val="double" w:sz="4" w:space="0" w:color="auto"/>
              <w:left w:val="single" w:sz="2" w:space="0" w:color="000000"/>
              <w:bottom w:val="single" w:sz="12" w:space="0" w:color="000000"/>
              <w:right w:val="single" w:sz="2" w:space="0" w:color="000000"/>
            </w:tcBorders>
            <w:vAlign w:val="center"/>
          </w:tcPr>
          <w:p w14:paraId="57270773"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NO</w:t>
            </w:r>
            <w:r w:rsidRPr="000855B2">
              <w:rPr>
                <w:rFonts w:ascii="Open Sans" w:hAnsi="Open Sans" w:cs="Open Sans"/>
                <w:b/>
                <w:snapToGrid w:val="0"/>
                <w:sz w:val="16"/>
                <w:szCs w:val="18"/>
                <w:vertAlign w:val="subscript"/>
                <w:lang w:val="en-GB" w:eastAsia="en-US"/>
              </w:rPr>
              <w:t>x</w:t>
            </w:r>
          </w:p>
        </w:tc>
        <w:tc>
          <w:tcPr>
            <w:tcW w:w="397" w:type="dxa"/>
            <w:tcBorders>
              <w:top w:val="double" w:sz="4" w:space="0" w:color="auto"/>
              <w:left w:val="single" w:sz="2" w:space="0" w:color="000000"/>
              <w:bottom w:val="single" w:sz="12" w:space="0" w:color="000000"/>
              <w:right w:val="single" w:sz="2" w:space="0" w:color="000000"/>
            </w:tcBorders>
            <w:vAlign w:val="center"/>
          </w:tcPr>
          <w:p w14:paraId="0F55A3B1"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CO</w:t>
            </w:r>
          </w:p>
        </w:tc>
        <w:tc>
          <w:tcPr>
            <w:tcW w:w="873" w:type="dxa"/>
            <w:tcBorders>
              <w:top w:val="double" w:sz="4" w:space="0" w:color="auto"/>
              <w:left w:val="single" w:sz="2" w:space="0" w:color="000000"/>
              <w:bottom w:val="single" w:sz="12" w:space="0" w:color="000000"/>
              <w:right w:val="single" w:sz="2" w:space="0" w:color="000000"/>
            </w:tcBorders>
            <w:vAlign w:val="center"/>
          </w:tcPr>
          <w:p w14:paraId="637579C4"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NMVOC</w:t>
            </w:r>
          </w:p>
        </w:tc>
        <w:tc>
          <w:tcPr>
            <w:tcW w:w="584" w:type="dxa"/>
            <w:tcBorders>
              <w:top w:val="double" w:sz="4" w:space="0" w:color="auto"/>
              <w:left w:val="single" w:sz="2" w:space="0" w:color="000000"/>
              <w:bottom w:val="single" w:sz="12" w:space="0" w:color="000000"/>
              <w:right w:val="single" w:sz="2" w:space="0" w:color="000000"/>
            </w:tcBorders>
            <w:vAlign w:val="center"/>
          </w:tcPr>
          <w:p w14:paraId="2CCD4472"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CH</w:t>
            </w:r>
            <w:r w:rsidRPr="000855B2">
              <w:rPr>
                <w:rFonts w:ascii="Open Sans" w:hAnsi="Open Sans" w:cs="Open Sans"/>
                <w:b/>
                <w:snapToGrid w:val="0"/>
                <w:sz w:val="16"/>
                <w:szCs w:val="18"/>
                <w:vertAlign w:val="subscript"/>
                <w:lang w:val="en-GB" w:eastAsia="en-US"/>
              </w:rPr>
              <w:t>4</w:t>
            </w:r>
          </w:p>
        </w:tc>
        <w:tc>
          <w:tcPr>
            <w:tcW w:w="550" w:type="dxa"/>
            <w:tcBorders>
              <w:top w:val="double" w:sz="4" w:space="0" w:color="auto"/>
              <w:left w:val="single" w:sz="2" w:space="0" w:color="000000"/>
              <w:bottom w:val="single" w:sz="12" w:space="0" w:color="000000"/>
              <w:right w:val="single" w:sz="2" w:space="0" w:color="000000"/>
            </w:tcBorders>
            <w:vAlign w:val="center"/>
          </w:tcPr>
          <w:p w14:paraId="59C7A700"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PM</w:t>
            </w:r>
          </w:p>
        </w:tc>
        <w:tc>
          <w:tcPr>
            <w:tcW w:w="482" w:type="dxa"/>
            <w:tcBorders>
              <w:top w:val="double" w:sz="4" w:space="0" w:color="auto"/>
              <w:left w:val="single" w:sz="2" w:space="0" w:color="000000"/>
              <w:bottom w:val="single" w:sz="12" w:space="0" w:color="000000"/>
              <w:right w:val="single" w:sz="2" w:space="0" w:color="000000"/>
            </w:tcBorders>
            <w:vAlign w:val="center"/>
          </w:tcPr>
          <w:p w14:paraId="5B5E7FD1"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N</w:t>
            </w:r>
            <w:r w:rsidRPr="000855B2">
              <w:rPr>
                <w:rFonts w:ascii="Open Sans" w:hAnsi="Open Sans" w:cs="Open Sans"/>
                <w:b/>
                <w:snapToGrid w:val="0"/>
                <w:sz w:val="16"/>
                <w:szCs w:val="18"/>
                <w:vertAlign w:val="subscript"/>
                <w:lang w:val="en-GB" w:eastAsia="en-US"/>
              </w:rPr>
              <w:t>2</w:t>
            </w:r>
            <w:r w:rsidRPr="000855B2">
              <w:rPr>
                <w:rFonts w:ascii="Open Sans" w:hAnsi="Open Sans" w:cs="Open Sans"/>
                <w:b/>
                <w:snapToGrid w:val="0"/>
                <w:sz w:val="16"/>
                <w:szCs w:val="18"/>
                <w:lang w:val="en-GB" w:eastAsia="en-US"/>
              </w:rPr>
              <w:t>O</w:t>
            </w:r>
          </w:p>
        </w:tc>
        <w:tc>
          <w:tcPr>
            <w:tcW w:w="583" w:type="dxa"/>
            <w:tcBorders>
              <w:top w:val="double" w:sz="4" w:space="0" w:color="auto"/>
              <w:left w:val="single" w:sz="2" w:space="0" w:color="000000"/>
              <w:bottom w:val="single" w:sz="12" w:space="0" w:color="000000"/>
              <w:right w:val="single" w:sz="2" w:space="0" w:color="000000"/>
            </w:tcBorders>
            <w:vAlign w:val="center"/>
          </w:tcPr>
          <w:p w14:paraId="535A6671"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NH</w:t>
            </w:r>
            <w:r w:rsidRPr="000855B2">
              <w:rPr>
                <w:rFonts w:ascii="Open Sans" w:hAnsi="Open Sans" w:cs="Open Sans"/>
                <w:b/>
                <w:snapToGrid w:val="0"/>
                <w:sz w:val="16"/>
                <w:szCs w:val="18"/>
                <w:vertAlign w:val="subscript"/>
                <w:lang w:val="en-GB" w:eastAsia="en-US"/>
              </w:rPr>
              <w:t>3</w:t>
            </w:r>
          </w:p>
        </w:tc>
        <w:tc>
          <w:tcPr>
            <w:tcW w:w="460" w:type="dxa"/>
            <w:tcBorders>
              <w:top w:val="double" w:sz="4" w:space="0" w:color="auto"/>
              <w:left w:val="single" w:sz="2" w:space="0" w:color="000000"/>
              <w:bottom w:val="single" w:sz="12" w:space="0" w:color="000000"/>
              <w:right w:val="single" w:sz="2" w:space="0" w:color="000000"/>
            </w:tcBorders>
            <w:vAlign w:val="center"/>
          </w:tcPr>
          <w:p w14:paraId="4E18DE02"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SO</w:t>
            </w:r>
            <w:r w:rsidRPr="000855B2">
              <w:rPr>
                <w:rFonts w:ascii="Open Sans" w:hAnsi="Open Sans" w:cs="Open Sans"/>
                <w:b/>
                <w:snapToGrid w:val="0"/>
                <w:sz w:val="16"/>
                <w:szCs w:val="18"/>
                <w:vertAlign w:val="subscript"/>
                <w:lang w:val="en-GB" w:eastAsia="en-US"/>
              </w:rPr>
              <w:t>2</w:t>
            </w:r>
          </w:p>
        </w:tc>
        <w:tc>
          <w:tcPr>
            <w:tcW w:w="447" w:type="dxa"/>
            <w:tcBorders>
              <w:top w:val="double" w:sz="4" w:space="0" w:color="auto"/>
              <w:left w:val="single" w:sz="2" w:space="0" w:color="000000"/>
              <w:bottom w:val="single" w:sz="12" w:space="0" w:color="000000"/>
              <w:right w:val="single" w:sz="2" w:space="0" w:color="000000"/>
            </w:tcBorders>
            <w:vAlign w:val="center"/>
          </w:tcPr>
          <w:p w14:paraId="2B09CE37" w14:textId="77777777" w:rsidR="001D2587" w:rsidRPr="000855B2" w:rsidRDefault="001D2587" w:rsidP="0039615D">
            <w:pPr>
              <w:pStyle w:val="Table"/>
              <w:jc w:val="center"/>
              <w:rPr>
                <w:rFonts w:ascii="Open Sans" w:hAnsi="Open Sans" w:cs="Open Sans"/>
                <w:b/>
                <w:snapToGrid w:val="0"/>
                <w:sz w:val="16"/>
                <w:szCs w:val="18"/>
                <w:vertAlign w:val="subscript"/>
                <w:lang w:val="en-GB" w:eastAsia="en-US"/>
              </w:rPr>
            </w:pPr>
            <w:r w:rsidRPr="000855B2">
              <w:rPr>
                <w:rFonts w:ascii="Open Sans" w:hAnsi="Open Sans" w:cs="Open Sans"/>
                <w:b/>
                <w:snapToGrid w:val="0"/>
                <w:sz w:val="16"/>
                <w:szCs w:val="18"/>
                <w:lang w:val="en-GB" w:eastAsia="en-US"/>
              </w:rPr>
              <w:t>CO</w:t>
            </w:r>
            <w:r w:rsidRPr="000855B2">
              <w:rPr>
                <w:rFonts w:ascii="Open Sans" w:hAnsi="Open Sans" w:cs="Open Sans"/>
                <w:b/>
                <w:snapToGrid w:val="0"/>
                <w:sz w:val="16"/>
                <w:szCs w:val="18"/>
                <w:vertAlign w:val="subscript"/>
                <w:lang w:val="en-GB" w:eastAsia="en-US"/>
              </w:rPr>
              <w:t>2</w:t>
            </w:r>
          </w:p>
        </w:tc>
        <w:tc>
          <w:tcPr>
            <w:tcW w:w="397" w:type="dxa"/>
            <w:tcBorders>
              <w:top w:val="double" w:sz="4" w:space="0" w:color="auto"/>
              <w:left w:val="single" w:sz="2" w:space="0" w:color="000000"/>
              <w:bottom w:val="single" w:sz="12" w:space="0" w:color="000000"/>
              <w:right w:val="single" w:sz="2" w:space="0" w:color="000000"/>
            </w:tcBorders>
            <w:vAlign w:val="center"/>
          </w:tcPr>
          <w:p w14:paraId="3238E581"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Pb</w:t>
            </w:r>
          </w:p>
        </w:tc>
        <w:tc>
          <w:tcPr>
            <w:tcW w:w="538" w:type="dxa"/>
            <w:tcBorders>
              <w:top w:val="double" w:sz="4" w:space="0" w:color="auto"/>
              <w:left w:val="single" w:sz="2" w:space="0" w:color="000000"/>
              <w:bottom w:val="single" w:sz="12" w:space="0" w:color="000000"/>
              <w:right w:val="single" w:sz="2" w:space="0" w:color="000000"/>
            </w:tcBorders>
            <w:vAlign w:val="center"/>
          </w:tcPr>
          <w:p w14:paraId="4BC95151" w14:textId="77777777" w:rsidR="001D2587" w:rsidRPr="000855B2" w:rsidRDefault="001D2587" w:rsidP="0039615D">
            <w:pPr>
              <w:pStyle w:val="Table"/>
              <w:jc w:val="center"/>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HM</w:t>
            </w:r>
          </w:p>
        </w:tc>
        <w:tc>
          <w:tcPr>
            <w:tcW w:w="397" w:type="dxa"/>
            <w:tcBorders>
              <w:top w:val="double" w:sz="4" w:space="0" w:color="auto"/>
              <w:left w:val="nil"/>
              <w:bottom w:val="single" w:sz="12" w:space="0" w:color="000000"/>
              <w:right w:val="double" w:sz="4" w:space="0" w:color="auto"/>
            </w:tcBorders>
            <w:vAlign w:val="center"/>
          </w:tcPr>
          <w:p w14:paraId="054166E6" w14:textId="4CA5B69D" w:rsidR="001D2587" w:rsidRPr="000855B2" w:rsidRDefault="001A3E82" w:rsidP="0039615D">
            <w:pPr>
              <w:pStyle w:val="Table"/>
              <w:jc w:val="center"/>
              <w:rPr>
                <w:rFonts w:ascii="Open Sans" w:hAnsi="Open Sans" w:cs="Open Sans"/>
                <w:b/>
                <w:snapToGrid w:val="0"/>
                <w:sz w:val="16"/>
                <w:szCs w:val="18"/>
                <w:lang w:val="en-GB" w:eastAsia="en-US"/>
              </w:rPr>
            </w:pPr>
            <w:r>
              <w:rPr>
                <w:rFonts w:ascii="Open Sans" w:hAnsi="Open Sans" w:cs="Open Sans"/>
                <w:b/>
                <w:snapToGrid w:val="0"/>
                <w:sz w:val="16"/>
                <w:szCs w:val="18"/>
                <w:lang w:val="en-GB" w:eastAsia="en-US"/>
              </w:rPr>
              <w:t>E</w:t>
            </w:r>
            <w:r w:rsidR="001D2587" w:rsidRPr="000855B2">
              <w:rPr>
                <w:rFonts w:ascii="Open Sans" w:hAnsi="Open Sans" w:cs="Open Sans"/>
                <w:b/>
                <w:snapToGrid w:val="0"/>
                <w:sz w:val="16"/>
                <w:szCs w:val="18"/>
                <w:lang w:val="en-GB" w:eastAsia="en-US"/>
              </w:rPr>
              <w:t>C</w:t>
            </w:r>
          </w:p>
        </w:tc>
      </w:tr>
      <w:tr w:rsidR="001D2587" w:rsidRPr="000855B2" w14:paraId="53DFC9CD" w14:textId="77777777" w:rsidTr="006C3329">
        <w:trPr>
          <w:trHeight w:val="240"/>
        </w:trPr>
        <w:tc>
          <w:tcPr>
            <w:tcW w:w="2582" w:type="dxa"/>
            <w:tcBorders>
              <w:top w:val="nil"/>
              <w:left w:val="double" w:sz="4" w:space="0" w:color="auto"/>
              <w:bottom w:val="single" w:sz="6" w:space="0" w:color="000000"/>
              <w:right w:val="nil"/>
            </w:tcBorders>
            <w:vAlign w:val="center"/>
          </w:tcPr>
          <w:p w14:paraId="7C00932E" w14:textId="77777777" w:rsidR="001D2587" w:rsidRPr="000855B2" w:rsidRDefault="004E1503" w:rsidP="0039615D">
            <w:pPr>
              <w:pStyle w:val="Table"/>
              <w:rPr>
                <w:rFonts w:ascii="Open Sans" w:hAnsi="Open Sans" w:cs="Open Sans"/>
                <w:b/>
                <w:snapToGrid w:val="0"/>
                <w:sz w:val="16"/>
                <w:szCs w:val="18"/>
                <w:lang w:val="en-GB" w:eastAsia="en-US"/>
              </w:rPr>
            </w:pPr>
            <w:r>
              <w:rPr>
                <w:rFonts w:ascii="Open Sans" w:hAnsi="Open Sans" w:cs="Open Sans"/>
                <w:b/>
                <w:snapToGrid w:val="0"/>
                <w:sz w:val="16"/>
                <w:szCs w:val="18"/>
                <w:lang w:val="en-GB" w:eastAsia="en-US"/>
              </w:rPr>
              <w:t>Petrol</w:t>
            </w:r>
            <w:r w:rsidR="001D2587" w:rsidRPr="000855B2">
              <w:rPr>
                <w:rFonts w:ascii="Open Sans" w:hAnsi="Open Sans" w:cs="Open Sans"/>
                <w:b/>
                <w:snapToGrid w:val="0"/>
                <w:sz w:val="16"/>
                <w:szCs w:val="18"/>
                <w:lang w:val="en-GB" w:eastAsia="en-US"/>
              </w:rPr>
              <w:t xml:space="preserve"> </w:t>
            </w:r>
            <w:r w:rsidR="00E5749D" w:rsidRPr="000855B2">
              <w:rPr>
                <w:rFonts w:ascii="Open Sans" w:hAnsi="Open Sans" w:cs="Open Sans"/>
                <w:b/>
                <w:snapToGrid w:val="0"/>
                <w:sz w:val="16"/>
                <w:szCs w:val="18"/>
                <w:lang w:val="en-GB" w:eastAsia="en-US"/>
              </w:rPr>
              <w:t>p</w:t>
            </w:r>
            <w:r w:rsidR="001D2587"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001D2587" w:rsidRPr="000855B2">
              <w:rPr>
                <w:rFonts w:ascii="Open Sans" w:hAnsi="Open Sans" w:cs="Open Sans"/>
                <w:b/>
                <w:snapToGrid w:val="0"/>
                <w:sz w:val="16"/>
                <w:szCs w:val="18"/>
                <w:lang w:val="en-GB" w:eastAsia="en-US"/>
              </w:rPr>
              <w:t>ars</w:t>
            </w:r>
          </w:p>
        </w:tc>
        <w:tc>
          <w:tcPr>
            <w:tcW w:w="431" w:type="dxa"/>
            <w:tcBorders>
              <w:top w:val="nil"/>
              <w:left w:val="single" w:sz="2" w:space="0" w:color="000000"/>
              <w:bottom w:val="single" w:sz="6" w:space="0" w:color="000000"/>
              <w:right w:val="single" w:sz="2" w:space="0" w:color="000000"/>
            </w:tcBorders>
            <w:vAlign w:val="center"/>
          </w:tcPr>
          <w:p w14:paraId="3D1B55CE"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5CB790AF"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0936630B"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06824BD5"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4FA3CBA5"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59C86BA8"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78D6E964"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67C4879A"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79931CE6"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1BC88A5C"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7770A6FD"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37C32143" w14:textId="77777777" w:rsidR="001D2587" w:rsidRPr="000855B2" w:rsidRDefault="001D2587" w:rsidP="0039615D">
            <w:pPr>
              <w:pStyle w:val="Table"/>
              <w:jc w:val="center"/>
              <w:rPr>
                <w:rFonts w:ascii="Open Sans" w:hAnsi="Open Sans" w:cs="Open Sans"/>
                <w:snapToGrid w:val="0"/>
                <w:sz w:val="16"/>
                <w:szCs w:val="18"/>
                <w:lang w:val="en-GB" w:eastAsia="en-US"/>
              </w:rPr>
            </w:pPr>
          </w:p>
        </w:tc>
      </w:tr>
      <w:tr w:rsidR="001D2587" w:rsidRPr="000855B2" w14:paraId="62A92979"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4B4D9BBB"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Pre-ECE</w:t>
            </w:r>
          </w:p>
        </w:tc>
        <w:tc>
          <w:tcPr>
            <w:tcW w:w="431" w:type="dxa"/>
            <w:tcBorders>
              <w:top w:val="single" w:sz="6" w:space="0" w:color="000000"/>
              <w:left w:val="single" w:sz="2" w:space="0" w:color="000000"/>
              <w:bottom w:val="single" w:sz="6" w:space="0" w:color="000000"/>
              <w:right w:val="single" w:sz="2" w:space="0" w:color="000000"/>
            </w:tcBorders>
            <w:vAlign w:val="center"/>
          </w:tcPr>
          <w:p w14:paraId="7B5C421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1D60D23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266E2C2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B9FA9C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6741358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4BB0183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3D9F014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1801CDB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183D26F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7D0DA56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0F8E628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64671BF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77C89EEF"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0EA8F721"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15/00-01</w:t>
            </w:r>
          </w:p>
        </w:tc>
        <w:tc>
          <w:tcPr>
            <w:tcW w:w="431" w:type="dxa"/>
            <w:tcBorders>
              <w:top w:val="single" w:sz="6" w:space="0" w:color="000000"/>
              <w:left w:val="single" w:sz="2" w:space="0" w:color="000000"/>
              <w:bottom w:val="single" w:sz="6" w:space="0" w:color="000000"/>
              <w:right w:val="single" w:sz="2" w:space="0" w:color="000000"/>
            </w:tcBorders>
            <w:vAlign w:val="center"/>
          </w:tcPr>
          <w:p w14:paraId="031D5D3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188EEC7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3E125C0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160B43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55EE3C4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2F8B66A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11ED0B7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4DDE0AC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5A4F7A3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36112DC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4C153CC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65C954D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44274845"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6862711"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15/02</w:t>
            </w:r>
          </w:p>
        </w:tc>
        <w:tc>
          <w:tcPr>
            <w:tcW w:w="431" w:type="dxa"/>
            <w:tcBorders>
              <w:top w:val="single" w:sz="6" w:space="0" w:color="000000"/>
              <w:left w:val="single" w:sz="2" w:space="0" w:color="000000"/>
              <w:bottom w:val="single" w:sz="6" w:space="0" w:color="000000"/>
              <w:right w:val="single" w:sz="2" w:space="0" w:color="000000"/>
            </w:tcBorders>
            <w:vAlign w:val="center"/>
          </w:tcPr>
          <w:p w14:paraId="439594E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5C7E916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7E9CDF5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3307B3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55F40E2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0ECFBCD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528C79A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72246EB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AB9056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27120C6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7A7385B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CDEA33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0BBA1668"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320C651F"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15/03</w:t>
            </w:r>
          </w:p>
        </w:tc>
        <w:tc>
          <w:tcPr>
            <w:tcW w:w="431" w:type="dxa"/>
            <w:tcBorders>
              <w:top w:val="single" w:sz="6" w:space="0" w:color="000000"/>
              <w:left w:val="single" w:sz="2" w:space="0" w:color="000000"/>
              <w:bottom w:val="single" w:sz="6" w:space="0" w:color="000000"/>
              <w:right w:val="single" w:sz="2" w:space="0" w:color="000000"/>
            </w:tcBorders>
            <w:vAlign w:val="center"/>
          </w:tcPr>
          <w:p w14:paraId="209018E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53170F3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36AF492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7D975D3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32E13D8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0602902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2B610AC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44E7294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326FFA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3A2A7D5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0B182E9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9BFBCC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71A16C98"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7CFA4DC6"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ECE 15/04</w:t>
            </w:r>
          </w:p>
        </w:tc>
        <w:tc>
          <w:tcPr>
            <w:tcW w:w="431" w:type="dxa"/>
            <w:tcBorders>
              <w:top w:val="single" w:sz="6" w:space="0" w:color="000000"/>
              <w:left w:val="single" w:sz="2" w:space="0" w:color="000000"/>
              <w:bottom w:val="single" w:sz="6" w:space="0" w:color="000000"/>
              <w:right w:val="single" w:sz="2" w:space="0" w:color="000000"/>
            </w:tcBorders>
            <w:vAlign w:val="center"/>
          </w:tcPr>
          <w:p w14:paraId="2986956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2B1E364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4114516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4383A49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2C4D722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3221C28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542F6B0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3A2A1D8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CBA7A2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18EE503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0989150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6AF91B8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5A505DC5"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58CFF4BC"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Improved </w:t>
            </w:r>
            <w:r w:rsidR="00E5749D" w:rsidRPr="000855B2">
              <w:rPr>
                <w:rFonts w:ascii="Open Sans" w:hAnsi="Open Sans" w:cs="Open Sans"/>
                <w:snapToGrid w:val="0"/>
                <w:sz w:val="16"/>
                <w:szCs w:val="18"/>
                <w:lang w:val="en-GB" w:eastAsia="en-US"/>
              </w:rPr>
              <w:t>c</w:t>
            </w:r>
            <w:r w:rsidRPr="000855B2">
              <w:rPr>
                <w:rFonts w:ascii="Open Sans" w:hAnsi="Open Sans" w:cs="Open Sans"/>
                <w:snapToGrid w:val="0"/>
                <w:sz w:val="16"/>
                <w:szCs w:val="18"/>
                <w:lang w:val="en-GB" w:eastAsia="en-US"/>
              </w:rPr>
              <w:t>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3CECB15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5F5BC5F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5EC6AED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072EF9C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30300DB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3E8A426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5923247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343BC7E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470790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19DFDD6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3C3DACE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2520119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1B09A499"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582A2F13"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Open </w:t>
            </w:r>
            <w:r w:rsidR="00E5749D" w:rsidRPr="000855B2">
              <w:rPr>
                <w:rFonts w:ascii="Open Sans" w:hAnsi="Open Sans" w:cs="Open Sans"/>
                <w:snapToGrid w:val="0"/>
                <w:sz w:val="16"/>
                <w:szCs w:val="18"/>
                <w:lang w:val="en-GB" w:eastAsia="en-US"/>
              </w:rPr>
              <w:t>l</w:t>
            </w:r>
            <w:r w:rsidRPr="000855B2">
              <w:rPr>
                <w:rFonts w:ascii="Open Sans" w:hAnsi="Open Sans" w:cs="Open Sans"/>
                <w:snapToGrid w:val="0"/>
                <w:sz w:val="16"/>
                <w:szCs w:val="18"/>
                <w:lang w:val="en-GB" w:eastAsia="en-US"/>
              </w:rPr>
              <w:t>oop</w:t>
            </w:r>
          </w:p>
        </w:tc>
        <w:tc>
          <w:tcPr>
            <w:tcW w:w="431" w:type="dxa"/>
            <w:tcBorders>
              <w:top w:val="single" w:sz="6" w:space="0" w:color="000000"/>
              <w:left w:val="single" w:sz="2" w:space="0" w:color="000000"/>
              <w:bottom w:val="single" w:sz="6" w:space="0" w:color="000000"/>
              <w:right w:val="single" w:sz="2" w:space="0" w:color="000000"/>
            </w:tcBorders>
            <w:vAlign w:val="center"/>
          </w:tcPr>
          <w:p w14:paraId="655CC3F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32D5DEC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51D127A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5FEC037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7C4CFFF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3104482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0C50B43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0F1F919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4920B98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077B277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1AA5165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A57880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2CD11E20"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5BFC3C53"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Euro 1 to Euro </w:t>
            </w:r>
            <w:r w:rsidR="00197F22" w:rsidRPr="000855B2">
              <w:rPr>
                <w:rFonts w:ascii="Open Sans" w:hAnsi="Open Sans" w:cs="Open Sans"/>
                <w:snapToGrid w:val="0"/>
                <w:sz w:val="16"/>
                <w:szCs w:val="18"/>
                <w:lang w:val="en-GB" w:eastAsia="en-US"/>
              </w:rPr>
              <w:t>6</w:t>
            </w:r>
          </w:p>
        </w:tc>
        <w:tc>
          <w:tcPr>
            <w:tcW w:w="431" w:type="dxa"/>
            <w:tcBorders>
              <w:top w:val="single" w:sz="6" w:space="0" w:color="000000"/>
              <w:left w:val="single" w:sz="2" w:space="0" w:color="000000"/>
              <w:bottom w:val="single" w:sz="6" w:space="0" w:color="000000"/>
              <w:right w:val="single" w:sz="2" w:space="0" w:color="000000"/>
            </w:tcBorders>
            <w:vAlign w:val="center"/>
          </w:tcPr>
          <w:p w14:paraId="76A3259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6BE5680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5AD560B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46EC038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single" w:sz="6" w:space="0" w:color="000000"/>
              <w:right w:val="single" w:sz="2" w:space="0" w:color="000000"/>
            </w:tcBorders>
            <w:vAlign w:val="center"/>
          </w:tcPr>
          <w:p w14:paraId="6751257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2F173FF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29FEAD1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2A443A6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1682625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23031E9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49B933D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61058BC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0FE66C1F"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D7D859E" w14:textId="77777777" w:rsidR="001D2587" w:rsidRPr="000855B2" w:rsidRDefault="001D2587"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 xml:space="preserve">Diesel </w:t>
            </w:r>
            <w:r w:rsidR="00E5749D" w:rsidRPr="000855B2">
              <w:rPr>
                <w:rFonts w:ascii="Open Sans" w:hAnsi="Open Sans" w:cs="Open Sans"/>
                <w:b/>
                <w:snapToGrid w:val="0"/>
                <w:sz w:val="16"/>
                <w:szCs w:val="18"/>
                <w:lang w:val="en-GB" w:eastAsia="en-US"/>
              </w:rPr>
              <w:t>p</w:t>
            </w:r>
            <w:r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ars</w:t>
            </w:r>
          </w:p>
        </w:tc>
        <w:tc>
          <w:tcPr>
            <w:tcW w:w="431" w:type="dxa"/>
            <w:tcBorders>
              <w:top w:val="single" w:sz="6" w:space="0" w:color="000000"/>
              <w:left w:val="single" w:sz="2" w:space="0" w:color="000000"/>
              <w:bottom w:val="single" w:sz="6" w:space="0" w:color="000000"/>
              <w:right w:val="single" w:sz="2" w:space="0" w:color="000000"/>
            </w:tcBorders>
            <w:vAlign w:val="center"/>
          </w:tcPr>
          <w:p w14:paraId="037BEFFE"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single" w:sz="6" w:space="0" w:color="000000"/>
              <w:left w:val="single" w:sz="2" w:space="0" w:color="000000"/>
              <w:bottom w:val="single" w:sz="6" w:space="0" w:color="000000"/>
              <w:right w:val="single" w:sz="2" w:space="0" w:color="000000"/>
            </w:tcBorders>
            <w:vAlign w:val="center"/>
          </w:tcPr>
          <w:p w14:paraId="44B2A4D6"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873" w:type="dxa"/>
            <w:tcBorders>
              <w:top w:val="single" w:sz="6" w:space="0" w:color="000000"/>
              <w:left w:val="single" w:sz="2" w:space="0" w:color="000000"/>
              <w:bottom w:val="single" w:sz="6" w:space="0" w:color="000000"/>
              <w:right w:val="single" w:sz="2" w:space="0" w:color="000000"/>
            </w:tcBorders>
            <w:vAlign w:val="center"/>
          </w:tcPr>
          <w:p w14:paraId="146A7D1D"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4" w:type="dxa"/>
            <w:tcBorders>
              <w:top w:val="single" w:sz="6" w:space="0" w:color="000000"/>
              <w:left w:val="single" w:sz="2" w:space="0" w:color="000000"/>
              <w:bottom w:val="single" w:sz="6" w:space="0" w:color="000000"/>
              <w:right w:val="single" w:sz="2" w:space="0" w:color="000000"/>
            </w:tcBorders>
            <w:vAlign w:val="center"/>
          </w:tcPr>
          <w:p w14:paraId="544E6D11"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50" w:type="dxa"/>
            <w:tcBorders>
              <w:top w:val="single" w:sz="6" w:space="0" w:color="000000"/>
              <w:left w:val="single" w:sz="2" w:space="0" w:color="000000"/>
              <w:bottom w:val="single" w:sz="6" w:space="0" w:color="000000"/>
              <w:right w:val="single" w:sz="2" w:space="0" w:color="000000"/>
            </w:tcBorders>
            <w:vAlign w:val="center"/>
          </w:tcPr>
          <w:p w14:paraId="5FBB1378"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82" w:type="dxa"/>
            <w:tcBorders>
              <w:top w:val="single" w:sz="6" w:space="0" w:color="000000"/>
              <w:left w:val="single" w:sz="2" w:space="0" w:color="000000"/>
              <w:bottom w:val="single" w:sz="6" w:space="0" w:color="000000"/>
              <w:right w:val="single" w:sz="2" w:space="0" w:color="000000"/>
            </w:tcBorders>
            <w:vAlign w:val="center"/>
          </w:tcPr>
          <w:p w14:paraId="26E6CAD2"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83" w:type="dxa"/>
            <w:tcBorders>
              <w:top w:val="single" w:sz="6" w:space="0" w:color="000000"/>
              <w:left w:val="single" w:sz="2" w:space="0" w:color="000000"/>
              <w:bottom w:val="single" w:sz="6" w:space="0" w:color="000000"/>
              <w:right w:val="single" w:sz="2" w:space="0" w:color="000000"/>
            </w:tcBorders>
            <w:vAlign w:val="center"/>
          </w:tcPr>
          <w:p w14:paraId="7EFFA729"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60" w:type="dxa"/>
            <w:tcBorders>
              <w:top w:val="single" w:sz="6" w:space="0" w:color="000000"/>
              <w:left w:val="single" w:sz="2" w:space="0" w:color="000000"/>
              <w:bottom w:val="single" w:sz="6" w:space="0" w:color="000000"/>
              <w:right w:val="single" w:sz="2" w:space="0" w:color="000000"/>
            </w:tcBorders>
            <w:vAlign w:val="center"/>
          </w:tcPr>
          <w:p w14:paraId="30BCDE09"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447" w:type="dxa"/>
            <w:tcBorders>
              <w:top w:val="single" w:sz="6" w:space="0" w:color="000000"/>
              <w:left w:val="single" w:sz="2" w:space="0" w:color="000000"/>
              <w:bottom w:val="single" w:sz="6" w:space="0" w:color="000000"/>
              <w:right w:val="single" w:sz="2" w:space="0" w:color="000000"/>
            </w:tcBorders>
            <w:vAlign w:val="center"/>
          </w:tcPr>
          <w:p w14:paraId="589EC8C6"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single" w:sz="6" w:space="0" w:color="000000"/>
              <w:left w:val="single" w:sz="2" w:space="0" w:color="000000"/>
              <w:bottom w:val="single" w:sz="6" w:space="0" w:color="000000"/>
              <w:right w:val="single" w:sz="2" w:space="0" w:color="000000"/>
            </w:tcBorders>
            <w:vAlign w:val="center"/>
          </w:tcPr>
          <w:p w14:paraId="5E893509"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538" w:type="dxa"/>
            <w:tcBorders>
              <w:top w:val="single" w:sz="6" w:space="0" w:color="000000"/>
              <w:left w:val="single" w:sz="2" w:space="0" w:color="000000"/>
              <w:bottom w:val="single" w:sz="6" w:space="0" w:color="000000"/>
              <w:right w:val="single" w:sz="2" w:space="0" w:color="000000"/>
            </w:tcBorders>
            <w:vAlign w:val="center"/>
          </w:tcPr>
          <w:p w14:paraId="50C483B1" w14:textId="77777777" w:rsidR="001D2587" w:rsidRPr="000855B2" w:rsidRDefault="001D2587" w:rsidP="0039615D">
            <w:pPr>
              <w:pStyle w:val="Table"/>
              <w:jc w:val="center"/>
              <w:rPr>
                <w:rFonts w:ascii="Open Sans" w:hAnsi="Open Sans" w:cs="Open Sans"/>
                <w:snapToGrid w:val="0"/>
                <w:sz w:val="16"/>
                <w:szCs w:val="18"/>
                <w:lang w:val="en-GB" w:eastAsia="en-US"/>
              </w:rPr>
            </w:pPr>
          </w:p>
        </w:tc>
        <w:tc>
          <w:tcPr>
            <w:tcW w:w="397" w:type="dxa"/>
            <w:tcBorders>
              <w:top w:val="single" w:sz="6" w:space="0" w:color="000000"/>
              <w:left w:val="nil"/>
              <w:bottom w:val="single" w:sz="6" w:space="0" w:color="000000"/>
              <w:right w:val="double" w:sz="4" w:space="0" w:color="auto"/>
            </w:tcBorders>
            <w:vAlign w:val="center"/>
          </w:tcPr>
          <w:p w14:paraId="1DFD0CF2" w14:textId="77777777" w:rsidR="001D2587" w:rsidRPr="000855B2" w:rsidRDefault="001D2587" w:rsidP="0039615D">
            <w:pPr>
              <w:pStyle w:val="Table"/>
              <w:jc w:val="center"/>
              <w:rPr>
                <w:rFonts w:ascii="Open Sans" w:hAnsi="Open Sans" w:cs="Open Sans"/>
                <w:snapToGrid w:val="0"/>
                <w:sz w:val="16"/>
                <w:szCs w:val="18"/>
                <w:lang w:val="en-GB" w:eastAsia="en-US"/>
              </w:rPr>
            </w:pPr>
          </w:p>
        </w:tc>
      </w:tr>
      <w:tr w:rsidR="001D2587" w:rsidRPr="000855B2" w14:paraId="1BFE694A" w14:textId="77777777" w:rsidTr="006C3329">
        <w:trPr>
          <w:trHeight w:val="240"/>
        </w:trPr>
        <w:tc>
          <w:tcPr>
            <w:tcW w:w="2582" w:type="dxa"/>
            <w:tcBorders>
              <w:top w:val="single" w:sz="6" w:space="0" w:color="000000"/>
              <w:left w:val="double" w:sz="4" w:space="0" w:color="auto"/>
              <w:bottom w:val="nil"/>
              <w:right w:val="nil"/>
            </w:tcBorders>
            <w:vAlign w:val="center"/>
          </w:tcPr>
          <w:p w14:paraId="15CE8A53"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Conventional</w:t>
            </w:r>
          </w:p>
        </w:tc>
        <w:tc>
          <w:tcPr>
            <w:tcW w:w="431" w:type="dxa"/>
            <w:tcBorders>
              <w:top w:val="single" w:sz="6" w:space="0" w:color="000000"/>
              <w:left w:val="single" w:sz="2" w:space="0" w:color="000000"/>
              <w:bottom w:val="nil"/>
              <w:right w:val="single" w:sz="2" w:space="0" w:color="000000"/>
            </w:tcBorders>
            <w:vAlign w:val="center"/>
          </w:tcPr>
          <w:p w14:paraId="2F9D5A4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nil"/>
              <w:right w:val="single" w:sz="2" w:space="0" w:color="000000"/>
            </w:tcBorders>
            <w:vAlign w:val="center"/>
          </w:tcPr>
          <w:p w14:paraId="429E5F7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nil"/>
              <w:right w:val="single" w:sz="2" w:space="0" w:color="000000"/>
            </w:tcBorders>
            <w:vAlign w:val="center"/>
          </w:tcPr>
          <w:p w14:paraId="50C13F1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nil"/>
              <w:right w:val="single" w:sz="2" w:space="0" w:color="000000"/>
            </w:tcBorders>
            <w:vAlign w:val="center"/>
          </w:tcPr>
          <w:p w14:paraId="209ED7B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nil"/>
              <w:right w:val="single" w:sz="2" w:space="0" w:color="000000"/>
            </w:tcBorders>
            <w:vAlign w:val="center"/>
          </w:tcPr>
          <w:p w14:paraId="08C61FF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nil"/>
              <w:right w:val="single" w:sz="2" w:space="0" w:color="000000"/>
            </w:tcBorders>
            <w:vAlign w:val="center"/>
          </w:tcPr>
          <w:p w14:paraId="33C5C93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nil"/>
              <w:right w:val="single" w:sz="2" w:space="0" w:color="000000"/>
            </w:tcBorders>
            <w:vAlign w:val="center"/>
          </w:tcPr>
          <w:p w14:paraId="45C5CF9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nil"/>
              <w:right w:val="single" w:sz="2" w:space="0" w:color="000000"/>
            </w:tcBorders>
            <w:vAlign w:val="center"/>
          </w:tcPr>
          <w:p w14:paraId="50BA0164"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nil"/>
              <w:right w:val="single" w:sz="2" w:space="0" w:color="000000"/>
            </w:tcBorders>
            <w:vAlign w:val="center"/>
          </w:tcPr>
          <w:p w14:paraId="0AD426E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nil"/>
              <w:right w:val="single" w:sz="2" w:space="0" w:color="000000"/>
            </w:tcBorders>
            <w:vAlign w:val="center"/>
          </w:tcPr>
          <w:p w14:paraId="07E45F8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nil"/>
              <w:right w:val="single" w:sz="2" w:space="0" w:color="000000"/>
            </w:tcBorders>
            <w:vAlign w:val="center"/>
          </w:tcPr>
          <w:p w14:paraId="5F30A29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nil"/>
              <w:right w:val="double" w:sz="4" w:space="0" w:color="auto"/>
            </w:tcBorders>
            <w:vAlign w:val="center"/>
          </w:tcPr>
          <w:p w14:paraId="67D9722F"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7E6E6443" w14:textId="77777777" w:rsidTr="006C3329">
        <w:trPr>
          <w:trHeight w:val="240"/>
        </w:trPr>
        <w:tc>
          <w:tcPr>
            <w:tcW w:w="2582" w:type="dxa"/>
            <w:tcBorders>
              <w:top w:val="single" w:sz="6" w:space="0" w:color="000000"/>
              <w:left w:val="double" w:sz="4" w:space="0" w:color="auto"/>
              <w:bottom w:val="single" w:sz="12" w:space="0" w:color="000000"/>
              <w:right w:val="nil"/>
            </w:tcBorders>
            <w:vAlign w:val="center"/>
          </w:tcPr>
          <w:p w14:paraId="0A1A0B29" w14:textId="77777777" w:rsidR="001D2587" w:rsidRPr="000855B2" w:rsidRDefault="001D2587"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Euro </w:t>
            </w:r>
            <w:r w:rsidR="00E5749D" w:rsidRPr="000855B2">
              <w:rPr>
                <w:rFonts w:ascii="Open Sans" w:hAnsi="Open Sans" w:cs="Open Sans"/>
                <w:snapToGrid w:val="0"/>
                <w:sz w:val="16"/>
                <w:szCs w:val="18"/>
                <w:lang w:val="en-GB" w:eastAsia="en-US"/>
              </w:rPr>
              <w:t xml:space="preserve">1 </w:t>
            </w:r>
            <w:r w:rsidRPr="000855B2">
              <w:rPr>
                <w:rFonts w:ascii="Open Sans" w:hAnsi="Open Sans" w:cs="Open Sans"/>
                <w:snapToGrid w:val="0"/>
                <w:sz w:val="16"/>
                <w:szCs w:val="18"/>
                <w:lang w:val="en-GB" w:eastAsia="en-US"/>
              </w:rPr>
              <w:t xml:space="preserve">to Euro </w:t>
            </w:r>
            <w:r w:rsidR="00197F22" w:rsidRPr="000855B2">
              <w:rPr>
                <w:rFonts w:ascii="Open Sans" w:hAnsi="Open Sans" w:cs="Open Sans"/>
                <w:snapToGrid w:val="0"/>
                <w:sz w:val="16"/>
                <w:szCs w:val="18"/>
                <w:lang w:val="en-GB" w:eastAsia="en-US"/>
              </w:rPr>
              <w:t>6</w:t>
            </w:r>
          </w:p>
        </w:tc>
        <w:tc>
          <w:tcPr>
            <w:tcW w:w="431" w:type="dxa"/>
            <w:tcBorders>
              <w:top w:val="single" w:sz="6" w:space="0" w:color="000000"/>
              <w:left w:val="single" w:sz="2" w:space="0" w:color="000000"/>
              <w:bottom w:val="single" w:sz="12" w:space="0" w:color="000000"/>
              <w:right w:val="single" w:sz="2" w:space="0" w:color="000000"/>
            </w:tcBorders>
            <w:vAlign w:val="center"/>
          </w:tcPr>
          <w:p w14:paraId="242ADE1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12" w:space="0" w:color="000000"/>
              <w:right w:val="single" w:sz="2" w:space="0" w:color="000000"/>
            </w:tcBorders>
            <w:vAlign w:val="center"/>
          </w:tcPr>
          <w:p w14:paraId="1B97DD8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12" w:space="0" w:color="000000"/>
              <w:right w:val="single" w:sz="2" w:space="0" w:color="000000"/>
            </w:tcBorders>
            <w:vAlign w:val="center"/>
          </w:tcPr>
          <w:p w14:paraId="2C1B03A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12" w:space="0" w:color="000000"/>
              <w:right w:val="single" w:sz="2" w:space="0" w:color="000000"/>
            </w:tcBorders>
            <w:vAlign w:val="center"/>
          </w:tcPr>
          <w:p w14:paraId="2366DAB5"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single" w:sz="12" w:space="0" w:color="000000"/>
              <w:right w:val="single" w:sz="2" w:space="0" w:color="000000"/>
            </w:tcBorders>
            <w:vAlign w:val="center"/>
          </w:tcPr>
          <w:p w14:paraId="3BE1137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single" w:sz="12" w:space="0" w:color="000000"/>
              <w:right w:val="single" w:sz="2" w:space="0" w:color="000000"/>
            </w:tcBorders>
            <w:vAlign w:val="center"/>
          </w:tcPr>
          <w:p w14:paraId="44B4A18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12" w:space="0" w:color="000000"/>
              <w:right w:val="single" w:sz="2" w:space="0" w:color="000000"/>
            </w:tcBorders>
            <w:vAlign w:val="center"/>
          </w:tcPr>
          <w:p w14:paraId="60A5CE6C"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12" w:space="0" w:color="000000"/>
              <w:right w:val="single" w:sz="2" w:space="0" w:color="000000"/>
            </w:tcBorders>
            <w:vAlign w:val="center"/>
          </w:tcPr>
          <w:p w14:paraId="53ECF44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12" w:space="0" w:color="000000"/>
              <w:right w:val="single" w:sz="2" w:space="0" w:color="000000"/>
            </w:tcBorders>
            <w:vAlign w:val="center"/>
          </w:tcPr>
          <w:p w14:paraId="446428F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12" w:space="0" w:color="000000"/>
              <w:right w:val="single" w:sz="2" w:space="0" w:color="000000"/>
            </w:tcBorders>
            <w:vAlign w:val="center"/>
          </w:tcPr>
          <w:p w14:paraId="5184C8D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12" w:space="0" w:color="000000"/>
              <w:right w:val="single" w:sz="2" w:space="0" w:color="000000"/>
            </w:tcBorders>
            <w:vAlign w:val="center"/>
          </w:tcPr>
          <w:p w14:paraId="6E1A185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12" w:space="0" w:color="000000"/>
              <w:right w:val="double" w:sz="4" w:space="0" w:color="auto"/>
            </w:tcBorders>
            <w:vAlign w:val="center"/>
          </w:tcPr>
          <w:p w14:paraId="7A2527A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0C178CAD" w14:textId="77777777" w:rsidTr="006C3329">
        <w:trPr>
          <w:trHeight w:val="240"/>
        </w:trPr>
        <w:tc>
          <w:tcPr>
            <w:tcW w:w="2582" w:type="dxa"/>
            <w:tcBorders>
              <w:top w:val="nil"/>
              <w:left w:val="double" w:sz="4" w:space="0" w:color="auto"/>
              <w:bottom w:val="single" w:sz="12" w:space="0" w:color="000000"/>
              <w:right w:val="nil"/>
            </w:tcBorders>
            <w:vAlign w:val="center"/>
          </w:tcPr>
          <w:p w14:paraId="6C096CA0" w14:textId="77777777" w:rsidR="001D2587" w:rsidRPr="000855B2" w:rsidRDefault="001D2587"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 xml:space="preserve">LPG </w:t>
            </w:r>
            <w:r w:rsidR="00E5749D" w:rsidRPr="000855B2">
              <w:rPr>
                <w:rFonts w:ascii="Open Sans" w:hAnsi="Open Sans" w:cs="Open Sans"/>
                <w:b/>
                <w:snapToGrid w:val="0"/>
                <w:sz w:val="16"/>
                <w:szCs w:val="18"/>
                <w:lang w:val="en-GB" w:eastAsia="en-US"/>
              </w:rPr>
              <w:t>p</w:t>
            </w:r>
            <w:r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ars</w:t>
            </w:r>
          </w:p>
        </w:tc>
        <w:tc>
          <w:tcPr>
            <w:tcW w:w="431" w:type="dxa"/>
            <w:tcBorders>
              <w:top w:val="nil"/>
              <w:left w:val="single" w:sz="2" w:space="0" w:color="000000"/>
              <w:bottom w:val="single" w:sz="12" w:space="0" w:color="000000"/>
              <w:right w:val="single" w:sz="2" w:space="0" w:color="000000"/>
            </w:tcBorders>
            <w:vAlign w:val="center"/>
          </w:tcPr>
          <w:p w14:paraId="409933EE"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nil"/>
              <w:left w:val="single" w:sz="2" w:space="0" w:color="000000"/>
              <w:bottom w:val="single" w:sz="12" w:space="0" w:color="000000"/>
              <w:right w:val="single" w:sz="2" w:space="0" w:color="000000"/>
            </w:tcBorders>
            <w:vAlign w:val="center"/>
          </w:tcPr>
          <w:p w14:paraId="506A0A6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nil"/>
              <w:left w:val="single" w:sz="2" w:space="0" w:color="000000"/>
              <w:bottom w:val="single" w:sz="12" w:space="0" w:color="000000"/>
              <w:right w:val="single" w:sz="2" w:space="0" w:color="000000"/>
            </w:tcBorders>
            <w:vAlign w:val="center"/>
          </w:tcPr>
          <w:p w14:paraId="0F1DDC3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nil"/>
              <w:left w:val="single" w:sz="2" w:space="0" w:color="000000"/>
              <w:bottom w:val="single" w:sz="12" w:space="0" w:color="000000"/>
              <w:right w:val="single" w:sz="2" w:space="0" w:color="000000"/>
            </w:tcBorders>
            <w:vAlign w:val="center"/>
          </w:tcPr>
          <w:p w14:paraId="07954EA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nil"/>
              <w:left w:val="single" w:sz="2" w:space="0" w:color="000000"/>
              <w:bottom w:val="single" w:sz="12" w:space="0" w:color="000000"/>
              <w:right w:val="single" w:sz="2" w:space="0" w:color="000000"/>
            </w:tcBorders>
            <w:vAlign w:val="center"/>
          </w:tcPr>
          <w:p w14:paraId="05F6D9A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6A096B2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nil"/>
              <w:left w:val="single" w:sz="2" w:space="0" w:color="000000"/>
              <w:bottom w:val="single" w:sz="12" w:space="0" w:color="000000"/>
              <w:right w:val="single" w:sz="2" w:space="0" w:color="000000"/>
            </w:tcBorders>
            <w:vAlign w:val="center"/>
          </w:tcPr>
          <w:p w14:paraId="065FD46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60" w:type="dxa"/>
            <w:tcBorders>
              <w:top w:val="nil"/>
              <w:left w:val="single" w:sz="2" w:space="0" w:color="000000"/>
              <w:bottom w:val="single" w:sz="12" w:space="0" w:color="000000"/>
              <w:right w:val="single" w:sz="2" w:space="0" w:color="000000"/>
            </w:tcBorders>
            <w:vAlign w:val="center"/>
          </w:tcPr>
          <w:p w14:paraId="2564B0E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47" w:type="dxa"/>
            <w:tcBorders>
              <w:top w:val="nil"/>
              <w:left w:val="single" w:sz="2" w:space="0" w:color="000000"/>
              <w:bottom w:val="single" w:sz="12" w:space="0" w:color="000000"/>
              <w:right w:val="single" w:sz="2" w:space="0" w:color="000000"/>
            </w:tcBorders>
            <w:vAlign w:val="center"/>
          </w:tcPr>
          <w:p w14:paraId="22E3C2A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16AF124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538" w:type="dxa"/>
            <w:tcBorders>
              <w:top w:val="nil"/>
              <w:left w:val="single" w:sz="2" w:space="0" w:color="000000"/>
              <w:bottom w:val="single" w:sz="12" w:space="0" w:color="000000"/>
              <w:right w:val="single" w:sz="2" w:space="0" w:color="000000"/>
            </w:tcBorders>
            <w:vAlign w:val="center"/>
          </w:tcPr>
          <w:p w14:paraId="555CFB9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397" w:type="dxa"/>
            <w:tcBorders>
              <w:top w:val="nil"/>
              <w:left w:val="nil"/>
              <w:bottom w:val="single" w:sz="12" w:space="0" w:color="000000"/>
              <w:right w:val="double" w:sz="4" w:space="0" w:color="auto"/>
            </w:tcBorders>
            <w:vAlign w:val="center"/>
          </w:tcPr>
          <w:p w14:paraId="6B2BD858"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1D2587" w:rsidRPr="000855B2" w14:paraId="54D2F86C" w14:textId="77777777" w:rsidTr="006C3329">
        <w:trPr>
          <w:trHeight w:val="240"/>
        </w:trPr>
        <w:tc>
          <w:tcPr>
            <w:tcW w:w="2582" w:type="dxa"/>
            <w:tcBorders>
              <w:top w:val="nil"/>
              <w:left w:val="double" w:sz="4" w:space="0" w:color="auto"/>
              <w:bottom w:val="single" w:sz="12" w:space="0" w:color="000000"/>
              <w:right w:val="nil"/>
            </w:tcBorders>
            <w:vAlign w:val="center"/>
          </w:tcPr>
          <w:p w14:paraId="7E7C811E" w14:textId="77777777" w:rsidR="001D2587" w:rsidRPr="000855B2" w:rsidRDefault="001D2587"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2</w:t>
            </w:r>
            <w:r w:rsidR="00E5749D" w:rsidRPr="000855B2">
              <w:rPr>
                <w:rFonts w:ascii="Open Sans" w:hAnsi="Open Sans" w:cs="Open Sans"/>
                <w:b/>
                <w:snapToGrid w:val="0"/>
                <w:sz w:val="16"/>
                <w:szCs w:val="18"/>
                <w:lang w:val="en-GB" w:eastAsia="en-US"/>
              </w:rPr>
              <w:t>-s</w:t>
            </w:r>
            <w:r w:rsidRPr="000855B2">
              <w:rPr>
                <w:rFonts w:ascii="Open Sans" w:hAnsi="Open Sans" w:cs="Open Sans"/>
                <w:b/>
                <w:snapToGrid w:val="0"/>
                <w:sz w:val="16"/>
                <w:szCs w:val="18"/>
                <w:lang w:val="en-GB" w:eastAsia="en-US"/>
              </w:rPr>
              <w:t xml:space="preserve">troke </w:t>
            </w:r>
            <w:r w:rsidR="00E5749D" w:rsidRPr="000855B2">
              <w:rPr>
                <w:rFonts w:ascii="Open Sans" w:hAnsi="Open Sans" w:cs="Open Sans"/>
                <w:b/>
                <w:snapToGrid w:val="0"/>
                <w:sz w:val="16"/>
                <w:szCs w:val="18"/>
                <w:lang w:val="en-GB" w:eastAsia="en-US"/>
              </w:rPr>
              <w:t>p</w:t>
            </w:r>
            <w:r w:rsidRPr="000855B2">
              <w:rPr>
                <w:rFonts w:ascii="Open Sans" w:hAnsi="Open Sans" w:cs="Open Sans"/>
                <w:b/>
                <w:snapToGrid w:val="0"/>
                <w:sz w:val="16"/>
                <w:szCs w:val="18"/>
                <w:lang w:val="en-GB" w:eastAsia="en-US"/>
              </w:rPr>
              <w:t xml:space="preserve">assenger </w:t>
            </w:r>
            <w:r w:rsidR="00E5749D" w:rsidRPr="000855B2">
              <w:rPr>
                <w:rFonts w:ascii="Open Sans" w:hAnsi="Open Sans" w:cs="Open Sans"/>
                <w:b/>
                <w:snapToGrid w:val="0"/>
                <w:sz w:val="16"/>
                <w:szCs w:val="18"/>
                <w:lang w:val="en-GB" w:eastAsia="en-US"/>
              </w:rPr>
              <w:t>c</w:t>
            </w:r>
            <w:r w:rsidRPr="000855B2">
              <w:rPr>
                <w:rFonts w:ascii="Open Sans" w:hAnsi="Open Sans" w:cs="Open Sans"/>
                <w:b/>
                <w:snapToGrid w:val="0"/>
                <w:sz w:val="16"/>
                <w:szCs w:val="18"/>
                <w:lang w:val="en-GB" w:eastAsia="en-US"/>
              </w:rPr>
              <w:t>ars</w:t>
            </w:r>
          </w:p>
        </w:tc>
        <w:tc>
          <w:tcPr>
            <w:tcW w:w="431" w:type="dxa"/>
            <w:tcBorders>
              <w:top w:val="nil"/>
              <w:left w:val="single" w:sz="2" w:space="0" w:color="000000"/>
              <w:bottom w:val="single" w:sz="12" w:space="0" w:color="000000"/>
              <w:right w:val="single" w:sz="2" w:space="0" w:color="000000"/>
            </w:tcBorders>
            <w:vAlign w:val="center"/>
          </w:tcPr>
          <w:p w14:paraId="0972458D"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397" w:type="dxa"/>
            <w:tcBorders>
              <w:top w:val="nil"/>
              <w:left w:val="single" w:sz="2" w:space="0" w:color="000000"/>
              <w:bottom w:val="single" w:sz="12" w:space="0" w:color="000000"/>
              <w:right w:val="single" w:sz="2" w:space="0" w:color="000000"/>
            </w:tcBorders>
            <w:vAlign w:val="center"/>
          </w:tcPr>
          <w:p w14:paraId="7FE2EA3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873" w:type="dxa"/>
            <w:tcBorders>
              <w:top w:val="nil"/>
              <w:left w:val="single" w:sz="2" w:space="0" w:color="000000"/>
              <w:bottom w:val="single" w:sz="12" w:space="0" w:color="000000"/>
              <w:right w:val="single" w:sz="2" w:space="0" w:color="000000"/>
            </w:tcBorders>
            <w:vAlign w:val="center"/>
          </w:tcPr>
          <w:p w14:paraId="3F3F4DF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4" w:type="dxa"/>
            <w:tcBorders>
              <w:top w:val="nil"/>
              <w:left w:val="single" w:sz="2" w:space="0" w:color="000000"/>
              <w:bottom w:val="single" w:sz="12" w:space="0" w:color="000000"/>
              <w:right w:val="single" w:sz="2" w:space="0" w:color="000000"/>
            </w:tcBorders>
            <w:vAlign w:val="center"/>
          </w:tcPr>
          <w:p w14:paraId="7A9DDF01"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nil"/>
              <w:left w:val="single" w:sz="2" w:space="0" w:color="000000"/>
              <w:bottom w:val="single" w:sz="12" w:space="0" w:color="000000"/>
              <w:right w:val="single" w:sz="2" w:space="0" w:color="000000"/>
            </w:tcBorders>
            <w:vAlign w:val="center"/>
          </w:tcPr>
          <w:p w14:paraId="15811C02"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151C28E9"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nil"/>
              <w:left w:val="single" w:sz="2" w:space="0" w:color="000000"/>
              <w:bottom w:val="single" w:sz="12" w:space="0" w:color="000000"/>
              <w:right w:val="single" w:sz="2" w:space="0" w:color="000000"/>
            </w:tcBorders>
            <w:vAlign w:val="center"/>
          </w:tcPr>
          <w:p w14:paraId="745A1E40"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nil"/>
              <w:left w:val="single" w:sz="2" w:space="0" w:color="000000"/>
              <w:bottom w:val="single" w:sz="12" w:space="0" w:color="000000"/>
              <w:right w:val="single" w:sz="2" w:space="0" w:color="000000"/>
            </w:tcBorders>
            <w:vAlign w:val="center"/>
          </w:tcPr>
          <w:p w14:paraId="40477283"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nil"/>
              <w:left w:val="single" w:sz="2" w:space="0" w:color="000000"/>
              <w:bottom w:val="single" w:sz="12" w:space="0" w:color="000000"/>
              <w:right w:val="single" w:sz="2" w:space="0" w:color="000000"/>
            </w:tcBorders>
            <w:vAlign w:val="center"/>
          </w:tcPr>
          <w:p w14:paraId="1000EFC6"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0EFB2CCA"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nil"/>
              <w:left w:val="single" w:sz="2" w:space="0" w:color="000000"/>
              <w:bottom w:val="single" w:sz="12" w:space="0" w:color="000000"/>
              <w:right w:val="single" w:sz="2" w:space="0" w:color="000000"/>
            </w:tcBorders>
            <w:vAlign w:val="center"/>
          </w:tcPr>
          <w:p w14:paraId="54F1FB27"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nil"/>
              <w:bottom w:val="single" w:sz="12" w:space="0" w:color="000000"/>
              <w:right w:val="double" w:sz="4" w:space="0" w:color="auto"/>
            </w:tcBorders>
            <w:vAlign w:val="center"/>
          </w:tcPr>
          <w:p w14:paraId="623CE2BB" w14:textId="77777777" w:rsidR="001D2587" w:rsidRPr="000855B2" w:rsidRDefault="001D2587"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r>
      <w:tr w:rsidR="00927630" w:rsidRPr="000855B2" w14:paraId="37960C7F" w14:textId="77777777" w:rsidTr="006C3329">
        <w:trPr>
          <w:trHeight w:val="240"/>
        </w:trPr>
        <w:tc>
          <w:tcPr>
            <w:tcW w:w="2582" w:type="dxa"/>
            <w:tcBorders>
              <w:top w:val="nil"/>
              <w:left w:val="double" w:sz="4" w:space="0" w:color="auto"/>
              <w:bottom w:val="single" w:sz="12" w:space="0" w:color="000000"/>
              <w:right w:val="nil"/>
            </w:tcBorders>
            <w:vAlign w:val="center"/>
          </w:tcPr>
          <w:p w14:paraId="3C9134EE"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E85 passenger cars</w:t>
            </w:r>
          </w:p>
        </w:tc>
        <w:tc>
          <w:tcPr>
            <w:tcW w:w="431" w:type="dxa"/>
            <w:tcBorders>
              <w:top w:val="nil"/>
              <w:left w:val="single" w:sz="2" w:space="0" w:color="000000"/>
              <w:bottom w:val="single" w:sz="12" w:space="0" w:color="000000"/>
              <w:right w:val="single" w:sz="2" w:space="0" w:color="000000"/>
            </w:tcBorders>
            <w:vAlign w:val="center"/>
          </w:tcPr>
          <w:p w14:paraId="29A8654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nil"/>
              <w:left w:val="single" w:sz="2" w:space="0" w:color="000000"/>
              <w:bottom w:val="single" w:sz="12" w:space="0" w:color="000000"/>
              <w:right w:val="single" w:sz="2" w:space="0" w:color="000000"/>
            </w:tcBorders>
            <w:vAlign w:val="center"/>
          </w:tcPr>
          <w:p w14:paraId="3C4328D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nil"/>
              <w:left w:val="single" w:sz="2" w:space="0" w:color="000000"/>
              <w:bottom w:val="single" w:sz="12" w:space="0" w:color="000000"/>
              <w:right w:val="single" w:sz="2" w:space="0" w:color="000000"/>
            </w:tcBorders>
            <w:vAlign w:val="center"/>
          </w:tcPr>
          <w:p w14:paraId="7781BEB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nil"/>
              <w:left w:val="single" w:sz="2" w:space="0" w:color="000000"/>
              <w:bottom w:val="single" w:sz="12" w:space="0" w:color="000000"/>
              <w:right w:val="single" w:sz="2" w:space="0" w:color="000000"/>
            </w:tcBorders>
            <w:vAlign w:val="center"/>
          </w:tcPr>
          <w:p w14:paraId="477DE4F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nil"/>
              <w:left w:val="single" w:sz="2" w:space="0" w:color="000000"/>
              <w:bottom w:val="single" w:sz="12" w:space="0" w:color="000000"/>
              <w:right w:val="single" w:sz="2" w:space="0" w:color="000000"/>
            </w:tcBorders>
            <w:vAlign w:val="center"/>
          </w:tcPr>
          <w:p w14:paraId="43C6C9C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3C389C0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nil"/>
              <w:left w:val="single" w:sz="2" w:space="0" w:color="000000"/>
              <w:bottom w:val="single" w:sz="12" w:space="0" w:color="000000"/>
              <w:right w:val="single" w:sz="2" w:space="0" w:color="000000"/>
            </w:tcBorders>
            <w:vAlign w:val="center"/>
          </w:tcPr>
          <w:p w14:paraId="62C6C19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nil"/>
              <w:left w:val="single" w:sz="2" w:space="0" w:color="000000"/>
              <w:bottom w:val="single" w:sz="12" w:space="0" w:color="000000"/>
              <w:right w:val="single" w:sz="2" w:space="0" w:color="000000"/>
            </w:tcBorders>
            <w:vAlign w:val="center"/>
          </w:tcPr>
          <w:p w14:paraId="7DFD79C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nil"/>
              <w:left w:val="single" w:sz="2" w:space="0" w:color="000000"/>
              <w:bottom w:val="single" w:sz="12" w:space="0" w:color="000000"/>
              <w:right w:val="single" w:sz="2" w:space="0" w:color="000000"/>
            </w:tcBorders>
            <w:vAlign w:val="center"/>
          </w:tcPr>
          <w:p w14:paraId="00366CF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42FE075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nil"/>
              <w:left w:val="single" w:sz="2" w:space="0" w:color="000000"/>
              <w:bottom w:val="single" w:sz="12" w:space="0" w:color="000000"/>
              <w:right w:val="single" w:sz="2" w:space="0" w:color="000000"/>
            </w:tcBorders>
            <w:vAlign w:val="center"/>
          </w:tcPr>
          <w:p w14:paraId="266C210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nil"/>
              <w:bottom w:val="single" w:sz="12" w:space="0" w:color="000000"/>
              <w:right w:val="double" w:sz="4" w:space="0" w:color="auto"/>
            </w:tcBorders>
            <w:vAlign w:val="center"/>
          </w:tcPr>
          <w:p w14:paraId="1D3C911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75F0F328" w14:textId="77777777" w:rsidTr="006C3329">
        <w:trPr>
          <w:trHeight w:val="240"/>
        </w:trPr>
        <w:tc>
          <w:tcPr>
            <w:tcW w:w="2582" w:type="dxa"/>
            <w:tcBorders>
              <w:top w:val="nil"/>
              <w:left w:val="double" w:sz="4" w:space="0" w:color="auto"/>
              <w:bottom w:val="single" w:sz="12" w:space="0" w:color="000000"/>
              <w:right w:val="nil"/>
            </w:tcBorders>
            <w:vAlign w:val="center"/>
          </w:tcPr>
          <w:p w14:paraId="126A3D61"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CNG passenger cars</w:t>
            </w:r>
          </w:p>
        </w:tc>
        <w:tc>
          <w:tcPr>
            <w:tcW w:w="431" w:type="dxa"/>
            <w:tcBorders>
              <w:top w:val="nil"/>
              <w:left w:val="single" w:sz="2" w:space="0" w:color="000000"/>
              <w:bottom w:val="single" w:sz="12" w:space="0" w:color="000000"/>
              <w:right w:val="single" w:sz="2" w:space="0" w:color="000000"/>
            </w:tcBorders>
            <w:vAlign w:val="center"/>
          </w:tcPr>
          <w:p w14:paraId="10C1728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nil"/>
              <w:left w:val="single" w:sz="2" w:space="0" w:color="000000"/>
              <w:bottom w:val="single" w:sz="12" w:space="0" w:color="000000"/>
              <w:right w:val="single" w:sz="2" w:space="0" w:color="000000"/>
            </w:tcBorders>
            <w:vAlign w:val="center"/>
          </w:tcPr>
          <w:p w14:paraId="6853790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nil"/>
              <w:left w:val="single" w:sz="2" w:space="0" w:color="000000"/>
              <w:bottom w:val="single" w:sz="12" w:space="0" w:color="000000"/>
              <w:right w:val="single" w:sz="2" w:space="0" w:color="000000"/>
            </w:tcBorders>
            <w:vAlign w:val="center"/>
          </w:tcPr>
          <w:p w14:paraId="65573FD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nil"/>
              <w:left w:val="single" w:sz="2" w:space="0" w:color="000000"/>
              <w:bottom w:val="single" w:sz="12" w:space="0" w:color="000000"/>
              <w:right w:val="single" w:sz="2" w:space="0" w:color="000000"/>
            </w:tcBorders>
            <w:vAlign w:val="center"/>
          </w:tcPr>
          <w:p w14:paraId="5F39C2D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nil"/>
              <w:left w:val="single" w:sz="2" w:space="0" w:color="000000"/>
              <w:bottom w:val="single" w:sz="12" w:space="0" w:color="000000"/>
              <w:right w:val="single" w:sz="2" w:space="0" w:color="000000"/>
            </w:tcBorders>
            <w:vAlign w:val="center"/>
          </w:tcPr>
          <w:p w14:paraId="45F4D63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nil"/>
              <w:left w:val="single" w:sz="2" w:space="0" w:color="000000"/>
              <w:bottom w:val="single" w:sz="12" w:space="0" w:color="000000"/>
              <w:right w:val="single" w:sz="2" w:space="0" w:color="000000"/>
            </w:tcBorders>
            <w:vAlign w:val="center"/>
          </w:tcPr>
          <w:p w14:paraId="5CCA346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nil"/>
              <w:left w:val="single" w:sz="2" w:space="0" w:color="000000"/>
              <w:bottom w:val="single" w:sz="12" w:space="0" w:color="000000"/>
              <w:right w:val="single" w:sz="2" w:space="0" w:color="000000"/>
            </w:tcBorders>
            <w:vAlign w:val="center"/>
          </w:tcPr>
          <w:p w14:paraId="544A018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nil"/>
              <w:left w:val="single" w:sz="2" w:space="0" w:color="000000"/>
              <w:bottom w:val="single" w:sz="12" w:space="0" w:color="000000"/>
              <w:right w:val="single" w:sz="2" w:space="0" w:color="000000"/>
            </w:tcBorders>
            <w:vAlign w:val="center"/>
          </w:tcPr>
          <w:p w14:paraId="3629804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nil"/>
              <w:left w:val="single" w:sz="2" w:space="0" w:color="000000"/>
              <w:bottom w:val="single" w:sz="12" w:space="0" w:color="000000"/>
              <w:right w:val="single" w:sz="2" w:space="0" w:color="000000"/>
            </w:tcBorders>
            <w:vAlign w:val="center"/>
          </w:tcPr>
          <w:p w14:paraId="712AA3F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single" w:sz="2" w:space="0" w:color="000000"/>
              <w:bottom w:val="single" w:sz="12" w:space="0" w:color="000000"/>
              <w:right w:val="single" w:sz="2" w:space="0" w:color="000000"/>
            </w:tcBorders>
            <w:vAlign w:val="center"/>
          </w:tcPr>
          <w:p w14:paraId="0BE03C5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nil"/>
              <w:left w:val="single" w:sz="2" w:space="0" w:color="000000"/>
              <w:bottom w:val="single" w:sz="12" w:space="0" w:color="000000"/>
              <w:right w:val="single" w:sz="2" w:space="0" w:color="000000"/>
            </w:tcBorders>
            <w:vAlign w:val="center"/>
          </w:tcPr>
          <w:p w14:paraId="34772C0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nil"/>
              <w:left w:val="nil"/>
              <w:bottom w:val="single" w:sz="12" w:space="0" w:color="000000"/>
              <w:right w:val="double" w:sz="4" w:space="0" w:color="auto"/>
            </w:tcBorders>
            <w:vAlign w:val="center"/>
          </w:tcPr>
          <w:p w14:paraId="5AE09CE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44C5E8B7" w14:textId="77777777" w:rsidTr="006C3329">
        <w:trPr>
          <w:trHeight w:val="240"/>
        </w:trPr>
        <w:tc>
          <w:tcPr>
            <w:tcW w:w="2582" w:type="dxa"/>
            <w:tcBorders>
              <w:top w:val="nil"/>
              <w:left w:val="double" w:sz="4" w:space="0" w:color="auto"/>
              <w:bottom w:val="single" w:sz="6" w:space="0" w:color="000000"/>
              <w:right w:val="nil"/>
            </w:tcBorders>
            <w:vAlign w:val="center"/>
          </w:tcPr>
          <w:p w14:paraId="37AD352D"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Light commercial vehicles</w:t>
            </w:r>
          </w:p>
        </w:tc>
        <w:tc>
          <w:tcPr>
            <w:tcW w:w="431" w:type="dxa"/>
            <w:tcBorders>
              <w:top w:val="nil"/>
              <w:left w:val="single" w:sz="2" w:space="0" w:color="000000"/>
              <w:bottom w:val="single" w:sz="6" w:space="0" w:color="000000"/>
              <w:right w:val="single" w:sz="2" w:space="0" w:color="000000"/>
            </w:tcBorders>
            <w:vAlign w:val="center"/>
          </w:tcPr>
          <w:p w14:paraId="0ADDCBB4"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79DC6F63"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18AA0F3F"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4F17951D"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56C06056"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2D3CA52D"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0A997256"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3BC40F8E"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6B958AE8"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62FEDBB1"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663F076A"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1B0C5FDA" w14:textId="77777777" w:rsidR="00927630" w:rsidRPr="000855B2" w:rsidRDefault="00927630" w:rsidP="0039615D">
            <w:pPr>
              <w:pStyle w:val="Table"/>
              <w:jc w:val="center"/>
              <w:rPr>
                <w:rFonts w:ascii="Open Sans" w:hAnsi="Open Sans" w:cs="Open Sans"/>
                <w:snapToGrid w:val="0"/>
                <w:sz w:val="16"/>
                <w:szCs w:val="18"/>
                <w:lang w:val="en-GB" w:eastAsia="en-US"/>
              </w:rPr>
            </w:pPr>
          </w:p>
        </w:tc>
      </w:tr>
      <w:tr w:rsidR="00927630" w:rsidRPr="000855B2" w14:paraId="4BE2D1CB"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777D88FF" w14:textId="77777777" w:rsidR="00927630" w:rsidRPr="000855B2" w:rsidRDefault="004E1503" w:rsidP="0039615D">
            <w:pPr>
              <w:pStyle w:val="Table"/>
              <w:rPr>
                <w:rFonts w:ascii="Open Sans" w:hAnsi="Open Sans" w:cs="Open Sans"/>
                <w:snapToGrid w:val="0"/>
                <w:sz w:val="16"/>
                <w:szCs w:val="18"/>
                <w:lang w:val="en-GB" w:eastAsia="en-US"/>
              </w:rPr>
            </w:pPr>
            <w:r>
              <w:rPr>
                <w:rFonts w:ascii="Open Sans" w:hAnsi="Open Sans" w:cs="Open Sans"/>
                <w:snapToGrid w:val="0"/>
                <w:sz w:val="16"/>
                <w:szCs w:val="18"/>
                <w:lang w:val="en-GB" w:eastAsia="en-US"/>
              </w:rPr>
              <w:t>Petrol</w:t>
            </w:r>
            <w:r w:rsidR="00927630" w:rsidRPr="000855B2">
              <w:rPr>
                <w:rFonts w:ascii="Open Sans" w:hAnsi="Open Sans" w:cs="Open Sans"/>
                <w:snapToGrid w:val="0"/>
                <w:sz w:val="16"/>
                <w:szCs w:val="18"/>
                <w:lang w:val="en-GB" w:eastAsia="en-US"/>
              </w:rPr>
              <w:t xml:space="preserve"> &lt; 3.5 t conventional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25FD9AA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0D22771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7E3FB4A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6D032C5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6" w:space="0" w:color="000000"/>
              <w:right w:val="single" w:sz="2" w:space="0" w:color="000000"/>
            </w:tcBorders>
            <w:vAlign w:val="center"/>
          </w:tcPr>
          <w:p w14:paraId="2DC8B0D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0734FA9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167EBF4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177C349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12FAA17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3410D11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0432DD3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2E5D49B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58A85272"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5797356E" w14:textId="77777777" w:rsidR="00927630" w:rsidRPr="00765ABC" w:rsidRDefault="004E1503" w:rsidP="0039615D">
            <w:pPr>
              <w:pStyle w:val="Table"/>
              <w:rPr>
                <w:rFonts w:ascii="Open Sans" w:hAnsi="Open Sans" w:cs="Open Sans"/>
                <w:snapToGrid w:val="0"/>
                <w:sz w:val="16"/>
                <w:szCs w:val="18"/>
                <w:lang w:val="it-IT" w:eastAsia="en-US"/>
              </w:rPr>
            </w:pPr>
            <w:r>
              <w:rPr>
                <w:rFonts w:ascii="Open Sans" w:hAnsi="Open Sans" w:cs="Open Sans"/>
                <w:snapToGrid w:val="0"/>
                <w:sz w:val="16"/>
                <w:szCs w:val="18"/>
                <w:lang w:val="it-IT" w:eastAsia="en-US"/>
              </w:rPr>
              <w:t>Petrol</w:t>
            </w:r>
            <w:r w:rsidR="00927630" w:rsidRPr="00765ABC">
              <w:rPr>
                <w:rFonts w:ascii="Open Sans" w:hAnsi="Open Sans" w:cs="Open Sans"/>
                <w:snapToGrid w:val="0"/>
                <w:sz w:val="16"/>
                <w:szCs w:val="18"/>
                <w:lang w:val="it-IT" w:eastAsia="en-US"/>
              </w:rPr>
              <w:t xml:space="preserve"> &lt; 3.5 t Euro 1 to Euro </w:t>
            </w:r>
            <w:r w:rsidR="00197F22" w:rsidRPr="00765ABC">
              <w:rPr>
                <w:rFonts w:ascii="Open Sans" w:hAnsi="Open Sans" w:cs="Open Sans"/>
                <w:snapToGrid w:val="0"/>
                <w:sz w:val="16"/>
                <w:szCs w:val="18"/>
                <w:lang w:val="it-IT" w:eastAsia="en-US"/>
              </w:rPr>
              <w:t>6</w:t>
            </w:r>
          </w:p>
        </w:tc>
        <w:tc>
          <w:tcPr>
            <w:tcW w:w="431" w:type="dxa"/>
            <w:tcBorders>
              <w:top w:val="single" w:sz="6" w:space="0" w:color="000000"/>
              <w:left w:val="single" w:sz="2" w:space="0" w:color="000000"/>
              <w:bottom w:val="single" w:sz="6" w:space="0" w:color="000000"/>
              <w:right w:val="single" w:sz="2" w:space="0" w:color="000000"/>
            </w:tcBorders>
            <w:vAlign w:val="center"/>
          </w:tcPr>
          <w:p w14:paraId="5EE9B14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6" w:space="0" w:color="000000"/>
              <w:right w:val="single" w:sz="2" w:space="0" w:color="000000"/>
            </w:tcBorders>
            <w:vAlign w:val="center"/>
          </w:tcPr>
          <w:p w14:paraId="4641BA7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6" w:space="0" w:color="000000"/>
              <w:right w:val="single" w:sz="2" w:space="0" w:color="000000"/>
            </w:tcBorders>
            <w:vAlign w:val="center"/>
          </w:tcPr>
          <w:p w14:paraId="629C503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6" w:space="0" w:color="000000"/>
              <w:right w:val="single" w:sz="2" w:space="0" w:color="000000"/>
            </w:tcBorders>
            <w:vAlign w:val="center"/>
          </w:tcPr>
          <w:p w14:paraId="21BEED2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50" w:type="dxa"/>
            <w:tcBorders>
              <w:top w:val="single" w:sz="6" w:space="0" w:color="000000"/>
              <w:left w:val="single" w:sz="2" w:space="0" w:color="000000"/>
              <w:bottom w:val="single" w:sz="6" w:space="0" w:color="000000"/>
              <w:right w:val="single" w:sz="2" w:space="0" w:color="000000"/>
            </w:tcBorders>
            <w:vAlign w:val="center"/>
          </w:tcPr>
          <w:p w14:paraId="349DE05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27B35EC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6" w:space="0" w:color="000000"/>
              <w:right w:val="single" w:sz="2" w:space="0" w:color="000000"/>
            </w:tcBorders>
            <w:vAlign w:val="center"/>
          </w:tcPr>
          <w:p w14:paraId="274748C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6" w:space="0" w:color="000000"/>
              <w:right w:val="single" w:sz="2" w:space="0" w:color="000000"/>
            </w:tcBorders>
            <w:vAlign w:val="center"/>
          </w:tcPr>
          <w:p w14:paraId="74C0411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0E8D71F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635AA29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271C771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0A1166F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63162ABD" w14:textId="77777777" w:rsidTr="006C3329">
        <w:trPr>
          <w:trHeight w:val="240"/>
        </w:trPr>
        <w:tc>
          <w:tcPr>
            <w:tcW w:w="2582" w:type="dxa"/>
            <w:tcBorders>
              <w:top w:val="single" w:sz="6" w:space="0" w:color="000000"/>
              <w:left w:val="double" w:sz="4" w:space="0" w:color="auto"/>
              <w:bottom w:val="nil"/>
              <w:right w:val="nil"/>
            </w:tcBorders>
            <w:vAlign w:val="center"/>
          </w:tcPr>
          <w:p w14:paraId="4C6FC025"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Diesel &lt; 3.5 t conventional</w:t>
            </w:r>
          </w:p>
        </w:tc>
        <w:tc>
          <w:tcPr>
            <w:tcW w:w="431" w:type="dxa"/>
            <w:tcBorders>
              <w:top w:val="single" w:sz="6" w:space="0" w:color="000000"/>
              <w:left w:val="single" w:sz="2" w:space="0" w:color="000000"/>
              <w:bottom w:val="nil"/>
              <w:right w:val="single" w:sz="2" w:space="0" w:color="000000"/>
            </w:tcBorders>
            <w:vAlign w:val="center"/>
          </w:tcPr>
          <w:p w14:paraId="762B386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nil"/>
              <w:right w:val="single" w:sz="2" w:space="0" w:color="000000"/>
            </w:tcBorders>
            <w:vAlign w:val="center"/>
          </w:tcPr>
          <w:p w14:paraId="731F0BD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nil"/>
              <w:right w:val="single" w:sz="2" w:space="0" w:color="000000"/>
            </w:tcBorders>
            <w:vAlign w:val="center"/>
          </w:tcPr>
          <w:p w14:paraId="0916749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nil"/>
              <w:right w:val="single" w:sz="2" w:space="0" w:color="000000"/>
            </w:tcBorders>
            <w:vAlign w:val="center"/>
          </w:tcPr>
          <w:p w14:paraId="3D83F9A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nil"/>
              <w:right w:val="single" w:sz="2" w:space="0" w:color="000000"/>
            </w:tcBorders>
            <w:vAlign w:val="center"/>
          </w:tcPr>
          <w:p w14:paraId="0B0D875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nil"/>
              <w:right w:val="single" w:sz="2" w:space="0" w:color="000000"/>
            </w:tcBorders>
            <w:vAlign w:val="center"/>
          </w:tcPr>
          <w:p w14:paraId="210DB7E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nil"/>
              <w:right w:val="single" w:sz="2" w:space="0" w:color="000000"/>
            </w:tcBorders>
            <w:vAlign w:val="center"/>
          </w:tcPr>
          <w:p w14:paraId="2654BB3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nil"/>
              <w:right w:val="single" w:sz="2" w:space="0" w:color="000000"/>
            </w:tcBorders>
            <w:vAlign w:val="center"/>
          </w:tcPr>
          <w:p w14:paraId="1B9FCDF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nil"/>
              <w:right w:val="single" w:sz="2" w:space="0" w:color="000000"/>
            </w:tcBorders>
            <w:vAlign w:val="center"/>
          </w:tcPr>
          <w:p w14:paraId="5CADE03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nil"/>
              <w:right w:val="single" w:sz="2" w:space="0" w:color="000000"/>
            </w:tcBorders>
            <w:vAlign w:val="center"/>
          </w:tcPr>
          <w:p w14:paraId="157F632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nil"/>
              <w:right w:val="single" w:sz="2" w:space="0" w:color="000000"/>
            </w:tcBorders>
            <w:vAlign w:val="center"/>
          </w:tcPr>
          <w:p w14:paraId="530B28A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nil"/>
              <w:right w:val="double" w:sz="4" w:space="0" w:color="auto"/>
            </w:tcBorders>
            <w:vAlign w:val="center"/>
          </w:tcPr>
          <w:p w14:paraId="6E2380E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3ED81223" w14:textId="77777777" w:rsidTr="006C3329">
        <w:trPr>
          <w:trHeight w:val="240"/>
        </w:trPr>
        <w:tc>
          <w:tcPr>
            <w:tcW w:w="2582" w:type="dxa"/>
            <w:tcBorders>
              <w:top w:val="single" w:sz="6" w:space="0" w:color="000000"/>
              <w:left w:val="double" w:sz="4" w:space="0" w:color="auto"/>
              <w:bottom w:val="single" w:sz="12" w:space="0" w:color="000000"/>
              <w:right w:val="nil"/>
            </w:tcBorders>
            <w:vAlign w:val="center"/>
          </w:tcPr>
          <w:p w14:paraId="64726D4C"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Diesel &lt; 3.5 t Euro 1 to Euro </w:t>
            </w:r>
            <w:r w:rsidR="00197F22" w:rsidRPr="000855B2">
              <w:rPr>
                <w:rFonts w:ascii="Open Sans" w:hAnsi="Open Sans" w:cs="Open Sans"/>
                <w:snapToGrid w:val="0"/>
                <w:sz w:val="16"/>
                <w:szCs w:val="18"/>
                <w:lang w:val="en-GB" w:eastAsia="en-US"/>
              </w:rPr>
              <w:t>6</w:t>
            </w:r>
          </w:p>
        </w:tc>
        <w:tc>
          <w:tcPr>
            <w:tcW w:w="431" w:type="dxa"/>
            <w:tcBorders>
              <w:top w:val="single" w:sz="6" w:space="0" w:color="000000"/>
              <w:left w:val="single" w:sz="2" w:space="0" w:color="000000"/>
              <w:bottom w:val="single" w:sz="12" w:space="0" w:color="000000"/>
              <w:right w:val="single" w:sz="2" w:space="0" w:color="000000"/>
            </w:tcBorders>
            <w:vAlign w:val="center"/>
          </w:tcPr>
          <w:p w14:paraId="14D7F83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397" w:type="dxa"/>
            <w:tcBorders>
              <w:top w:val="single" w:sz="6" w:space="0" w:color="000000"/>
              <w:left w:val="single" w:sz="2" w:space="0" w:color="000000"/>
              <w:bottom w:val="single" w:sz="12" w:space="0" w:color="000000"/>
              <w:right w:val="single" w:sz="2" w:space="0" w:color="000000"/>
            </w:tcBorders>
            <w:vAlign w:val="center"/>
          </w:tcPr>
          <w:p w14:paraId="3C5B312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873" w:type="dxa"/>
            <w:tcBorders>
              <w:top w:val="single" w:sz="6" w:space="0" w:color="000000"/>
              <w:left w:val="single" w:sz="2" w:space="0" w:color="000000"/>
              <w:bottom w:val="single" w:sz="12" w:space="0" w:color="000000"/>
              <w:right w:val="single" w:sz="2" w:space="0" w:color="000000"/>
            </w:tcBorders>
            <w:vAlign w:val="center"/>
          </w:tcPr>
          <w:p w14:paraId="117860D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584" w:type="dxa"/>
            <w:tcBorders>
              <w:top w:val="single" w:sz="6" w:space="0" w:color="000000"/>
              <w:left w:val="single" w:sz="2" w:space="0" w:color="000000"/>
              <w:bottom w:val="single" w:sz="12" w:space="0" w:color="000000"/>
              <w:right w:val="single" w:sz="2" w:space="0" w:color="000000"/>
            </w:tcBorders>
            <w:vAlign w:val="center"/>
          </w:tcPr>
          <w:p w14:paraId="52288F4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50" w:type="dxa"/>
            <w:tcBorders>
              <w:top w:val="single" w:sz="6" w:space="0" w:color="000000"/>
              <w:left w:val="single" w:sz="2" w:space="0" w:color="000000"/>
              <w:bottom w:val="single" w:sz="12" w:space="0" w:color="000000"/>
              <w:right w:val="single" w:sz="2" w:space="0" w:color="000000"/>
            </w:tcBorders>
            <w:vAlign w:val="center"/>
          </w:tcPr>
          <w:p w14:paraId="790E130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c>
          <w:tcPr>
            <w:tcW w:w="482" w:type="dxa"/>
            <w:tcBorders>
              <w:top w:val="single" w:sz="6" w:space="0" w:color="000000"/>
              <w:left w:val="single" w:sz="2" w:space="0" w:color="000000"/>
              <w:bottom w:val="single" w:sz="12" w:space="0" w:color="000000"/>
              <w:right w:val="single" w:sz="2" w:space="0" w:color="000000"/>
            </w:tcBorders>
            <w:vAlign w:val="center"/>
          </w:tcPr>
          <w:p w14:paraId="2BFBD04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583" w:type="dxa"/>
            <w:tcBorders>
              <w:top w:val="single" w:sz="6" w:space="0" w:color="000000"/>
              <w:left w:val="single" w:sz="2" w:space="0" w:color="000000"/>
              <w:bottom w:val="single" w:sz="12" w:space="0" w:color="000000"/>
              <w:right w:val="single" w:sz="2" w:space="0" w:color="000000"/>
            </w:tcBorders>
            <w:vAlign w:val="center"/>
          </w:tcPr>
          <w:p w14:paraId="7671EF3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A2</w:t>
            </w:r>
          </w:p>
        </w:tc>
        <w:tc>
          <w:tcPr>
            <w:tcW w:w="460" w:type="dxa"/>
            <w:tcBorders>
              <w:top w:val="single" w:sz="6" w:space="0" w:color="000000"/>
              <w:left w:val="single" w:sz="2" w:space="0" w:color="000000"/>
              <w:bottom w:val="single" w:sz="12" w:space="0" w:color="000000"/>
              <w:right w:val="single" w:sz="2" w:space="0" w:color="000000"/>
            </w:tcBorders>
            <w:vAlign w:val="center"/>
          </w:tcPr>
          <w:p w14:paraId="0BF2C60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12" w:space="0" w:color="000000"/>
              <w:right w:val="single" w:sz="2" w:space="0" w:color="000000"/>
            </w:tcBorders>
            <w:vAlign w:val="center"/>
          </w:tcPr>
          <w:p w14:paraId="7BA3EB7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12" w:space="0" w:color="000000"/>
              <w:right w:val="single" w:sz="2" w:space="0" w:color="000000"/>
            </w:tcBorders>
            <w:vAlign w:val="center"/>
          </w:tcPr>
          <w:p w14:paraId="5A8CDD7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12" w:space="0" w:color="000000"/>
              <w:right w:val="single" w:sz="2" w:space="0" w:color="000000"/>
            </w:tcBorders>
            <w:vAlign w:val="center"/>
          </w:tcPr>
          <w:p w14:paraId="69180E4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12" w:space="0" w:color="000000"/>
              <w:right w:val="double" w:sz="4" w:space="0" w:color="auto"/>
            </w:tcBorders>
            <w:vAlign w:val="center"/>
          </w:tcPr>
          <w:p w14:paraId="5AE92FB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A1</w:t>
            </w:r>
          </w:p>
        </w:tc>
      </w:tr>
      <w:tr w:rsidR="00927630" w:rsidRPr="000855B2" w14:paraId="48D38A8F" w14:textId="77777777" w:rsidTr="006C3329">
        <w:trPr>
          <w:trHeight w:val="240"/>
        </w:trPr>
        <w:tc>
          <w:tcPr>
            <w:tcW w:w="2582" w:type="dxa"/>
            <w:tcBorders>
              <w:top w:val="nil"/>
              <w:left w:val="double" w:sz="4" w:space="0" w:color="auto"/>
              <w:bottom w:val="single" w:sz="6" w:space="0" w:color="000000"/>
              <w:right w:val="nil"/>
            </w:tcBorders>
            <w:vAlign w:val="center"/>
          </w:tcPr>
          <w:p w14:paraId="023CAB53"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Heavy-duty vehicles &gt; 3.5 t</w:t>
            </w:r>
          </w:p>
        </w:tc>
        <w:tc>
          <w:tcPr>
            <w:tcW w:w="431" w:type="dxa"/>
            <w:tcBorders>
              <w:top w:val="nil"/>
              <w:left w:val="single" w:sz="2" w:space="0" w:color="000000"/>
              <w:bottom w:val="single" w:sz="6" w:space="0" w:color="000000"/>
              <w:right w:val="single" w:sz="2" w:space="0" w:color="000000"/>
            </w:tcBorders>
            <w:vAlign w:val="center"/>
          </w:tcPr>
          <w:p w14:paraId="6C854420"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4F936993"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6546172C"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4CF3ECF8"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44D6B4D8"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7BE498A2"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0BC07AB6"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7230555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43468714"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03B8E502"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67362FED"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24D98BC3" w14:textId="77777777" w:rsidR="00927630" w:rsidRPr="000855B2" w:rsidRDefault="00927630" w:rsidP="0039615D">
            <w:pPr>
              <w:pStyle w:val="Table"/>
              <w:jc w:val="center"/>
              <w:rPr>
                <w:rFonts w:ascii="Open Sans" w:hAnsi="Open Sans" w:cs="Open Sans"/>
                <w:snapToGrid w:val="0"/>
                <w:sz w:val="16"/>
                <w:szCs w:val="18"/>
                <w:lang w:val="en-GB" w:eastAsia="en-US"/>
              </w:rPr>
            </w:pPr>
          </w:p>
        </w:tc>
      </w:tr>
      <w:tr w:rsidR="00927630" w:rsidRPr="000855B2" w14:paraId="21783076"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76777E2A" w14:textId="77777777" w:rsidR="00927630" w:rsidRPr="000855B2" w:rsidRDefault="004E1503" w:rsidP="0039615D">
            <w:pPr>
              <w:pStyle w:val="Table"/>
              <w:rPr>
                <w:rFonts w:ascii="Open Sans" w:hAnsi="Open Sans" w:cs="Open Sans"/>
                <w:snapToGrid w:val="0"/>
                <w:sz w:val="16"/>
                <w:szCs w:val="18"/>
                <w:lang w:val="en-GB" w:eastAsia="en-US"/>
              </w:rPr>
            </w:pPr>
            <w:r>
              <w:rPr>
                <w:rFonts w:ascii="Open Sans" w:hAnsi="Open Sans" w:cs="Open Sans"/>
                <w:snapToGrid w:val="0"/>
                <w:sz w:val="16"/>
                <w:szCs w:val="18"/>
                <w:lang w:val="en-GB" w:eastAsia="en-US"/>
              </w:rPr>
              <w:t>Petrol</w:t>
            </w:r>
            <w:r w:rsidR="00927630" w:rsidRPr="000855B2">
              <w:rPr>
                <w:rFonts w:ascii="Open Sans" w:hAnsi="Open Sans" w:cs="Open Sans"/>
                <w:snapToGrid w:val="0"/>
                <w:sz w:val="16"/>
                <w:szCs w:val="18"/>
                <w:lang w:val="en-GB" w:eastAsia="en-US"/>
              </w:rPr>
              <w:t xml:space="preserve"> conventional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613018E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397" w:type="dxa"/>
            <w:tcBorders>
              <w:top w:val="single" w:sz="6" w:space="0" w:color="000000"/>
              <w:left w:val="single" w:sz="2" w:space="0" w:color="000000"/>
              <w:bottom w:val="single" w:sz="6" w:space="0" w:color="000000"/>
              <w:right w:val="single" w:sz="2" w:space="0" w:color="000000"/>
            </w:tcBorders>
            <w:vAlign w:val="center"/>
          </w:tcPr>
          <w:p w14:paraId="0D3740E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873" w:type="dxa"/>
            <w:tcBorders>
              <w:top w:val="single" w:sz="6" w:space="0" w:color="000000"/>
              <w:left w:val="single" w:sz="2" w:space="0" w:color="000000"/>
              <w:bottom w:val="single" w:sz="6" w:space="0" w:color="000000"/>
              <w:right w:val="single" w:sz="2" w:space="0" w:color="000000"/>
            </w:tcBorders>
            <w:vAlign w:val="center"/>
          </w:tcPr>
          <w:p w14:paraId="1BC1137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4" w:type="dxa"/>
            <w:tcBorders>
              <w:top w:val="single" w:sz="6" w:space="0" w:color="000000"/>
              <w:left w:val="single" w:sz="2" w:space="0" w:color="000000"/>
              <w:bottom w:val="single" w:sz="6" w:space="0" w:color="000000"/>
              <w:right w:val="single" w:sz="2" w:space="0" w:color="000000"/>
            </w:tcBorders>
            <w:vAlign w:val="center"/>
          </w:tcPr>
          <w:p w14:paraId="59139AC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6024F3F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04B055B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7BD571D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467E65C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A13878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5A43A9D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70D6E4A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7F0FF00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r>
      <w:tr w:rsidR="00927630" w:rsidRPr="000855B2" w14:paraId="1E817DB6"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1AE7D258"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Diesel conventional</w:t>
            </w:r>
          </w:p>
        </w:tc>
        <w:tc>
          <w:tcPr>
            <w:tcW w:w="431" w:type="dxa"/>
            <w:tcBorders>
              <w:top w:val="single" w:sz="6" w:space="0" w:color="000000"/>
              <w:left w:val="single" w:sz="2" w:space="0" w:color="000000"/>
              <w:bottom w:val="single" w:sz="6" w:space="0" w:color="000000"/>
              <w:right w:val="single" w:sz="2" w:space="0" w:color="000000"/>
            </w:tcBorders>
            <w:vAlign w:val="center"/>
          </w:tcPr>
          <w:p w14:paraId="4A7D4BA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43CBABF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7791175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1438708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5442508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single" w:sz="6" w:space="0" w:color="000000"/>
              <w:right w:val="single" w:sz="2" w:space="0" w:color="000000"/>
            </w:tcBorders>
            <w:vAlign w:val="center"/>
          </w:tcPr>
          <w:p w14:paraId="0F18F2B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4B24008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3F349DF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609D210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07085BD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66B8023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C3A2A9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6E9FCA4A"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8C07D31" w14:textId="77777777" w:rsidR="00927630" w:rsidRPr="00765ABC" w:rsidRDefault="00927630" w:rsidP="0039615D">
            <w:pPr>
              <w:pStyle w:val="Table"/>
              <w:rPr>
                <w:rFonts w:ascii="Open Sans" w:hAnsi="Open Sans" w:cs="Open Sans"/>
                <w:snapToGrid w:val="0"/>
                <w:sz w:val="16"/>
                <w:szCs w:val="18"/>
                <w:lang w:val="it-IT" w:eastAsia="en-US"/>
              </w:rPr>
            </w:pPr>
            <w:r w:rsidRPr="00765ABC">
              <w:rPr>
                <w:rFonts w:ascii="Open Sans" w:hAnsi="Open Sans" w:cs="Open Sans"/>
                <w:snapToGrid w:val="0"/>
                <w:sz w:val="16"/>
                <w:szCs w:val="18"/>
                <w:lang w:val="it-IT" w:eastAsia="en-US"/>
              </w:rPr>
              <w:t xml:space="preserve">Diesel Euro I to Euro </w:t>
            </w:r>
            <w:r w:rsidR="00197F22" w:rsidRPr="00765ABC">
              <w:rPr>
                <w:rFonts w:ascii="Open Sans" w:hAnsi="Open Sans" w:cs="Open Sans"/>
                <w:snapToGrid w:val="0"/>
                <w:sz w:val="16"/>
                <w:szCs w:val="18"/>
                <w:lang w:val="it-IT" w:eastAsia="en-US"/>
              </w:rPr>
              <w:t>VI</w:t>
            </w:r>
          </w:p>
        </w:tc>
        <w:tc>
          <w:tcPr>
            <w:tcW w:w="431" w:type="dxa"/>
            <w:tcBorders>
              <w:top w:val="single" w:sz="6" w:space="0" w:color="000000"/>
              <w:left w:val="single" w:sz="2" w:space="0" w:color="000000"/>
              <w:bottom w:val="single" w:sz="6" w:space="0" w:color="000000"/>
              <w:right w:val="single" w:sz="2" w:space="0" w:color="000000"/>
            </w:tcBorders>
            <w:vAlign w:val="center"/>
          </w:tcPr>
          <w:p w14:paraId="3B8FA4F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10B9056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2511208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1D1A9CC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20FDA38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single" w:sz="6" w:space="0" w:color="000000"/>
              <w:right w:val="single" w:sz="2" w:space="0" w:color="000000"/>
            </w:tcBorders>
            <w:vAlign w:val="center"/>
          </w:tcPr>
          <w:p w14:paraId="3D769FE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0AE1F79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19E3B04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4EED45A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7F96705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49615EF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37846EE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47F5CE37" w14:textId="77777777" w:rsidTr="006C3329">
        <w:trPr>
          <w:trHeight w:val="240"/>
        </w:trPr>
        <w:tc>
          <w:tcPr>
            <w:tcW w:w="2582" w:type="dxa"/>
            <w:tcBorders>
              <w:top w:val="single" w:sz="6" w:space="0" w:color="000000"/>
              <w:left w:val="double" w:sz="4" w:space="0" w:color="auto"/>
              <w:bottom w:val="nil"/>
              <w:right w:val="nil"/>
            </w:tcBorders>
            <w:vAlign w:val="center"/>
          </w:tcPr>
          <w:p w14:paraId="03207D6F"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Buses and coaches conventional</w:t>
            </w:r>
          </w:p>
        </w:tc>
        <w:tc>
          <w:tcPr>
            <w:tcW w:w="431" w:type="dxa"/>
            <w:tcBorders>
              <w:top w:val="single" w:sz="6" w:space="0" w:color="000000"/>
              <w:left w:val="single" w:sz="2" w:space="0" w:color="000000"/>
              <w:bottom w:val="nil"/>
              <w:right w:val="single" w:sz="2" w:space="0" w:color="000000"/>
            </w:tcBorders>
            <w:vAlign w:val="center"/>
          </w:tcPr>
          <w:p w14:paraId="1078CB3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nil"/>
              <w:right w:val="single" w:sz="2" w:space="0" w:color="000000"/>
            </w:tcBorders>
            <w:vAlign w:val="center"/>
          </w:tcPr>
          <w:p w14:paraId="0519BAA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nil"/>
              <w:right w:val="single" w:sz="2" w:space="0" w:color="000000"/>
            </w:tcBorders>
            <w:vAlign w:val="center"/>
          </w:tcPr>
          <w:p w14:paraId="471B75A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nil"/>
              <w:right w:val="single" w:sz="2" w:space="0" w:color="000000"/>
            </w:tcBorders>
            <w:vAlign w:val="center"/>
          </w:tcPr>
          <w:p w14:paraId="037E979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nil"/>
              <w:right w:val="single" w:sz="2" w:space="0" w:color="000000"/>
            </w:tcBorders>
            <w:vAlign w:val="center"/>
          </w:tcPr>
          <w:p w14:paraId="2A8932C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nil"/>
              <w:right w:val="single" w:sz="2" w:space="0" w:color="000000"/>
            </w:tcBorders>
            <w:vAlign w:val="center"/>
          </w:tcPr>
          <w:p w14:paraId="6C6CB58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nil"/>
              <w:right w:val="single" w:sz="2" w:space="0" w:color="000000"/>
            </w:tcBorders>
            <w:vAlign w:val="center"/>
          </w:tcPr>
          <w:p w14:paraId="217C1A3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nil"/>
              <w:right w:val="single" w:sz="2" w:space="0" w:color="000000"/>
            </w:tcBorders>
            <w:vAlign w:val="center"/>
          </w:tcPr>
          <w:p w14:paraId="310574E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nil"/>
              <w:right w:val="single" w:sz="2" w:space="0" w:color="000000"/>
            </w:tcBorders>
            <w:vAlign w:val="center"/>
          </w:tcPr>
          <w:p w14:paraId="3961ECF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nil"/>
              <w:right w:val="single" w:sz="2" w:space="0" w:color="000000"/>
            </w:tcBorders>
            <w:vAlign w:val="center"/>
          </w:tcPr>
          <w:p w14:paraId="7CCC00D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nil"/>
              <w:right w:val="single" w:sz="2" w:space="0" w:color="000000"/>
            </w:tcBorders>
            <w:vAlign w:val="center"/>
          </w:tcPr>
          <w:p w14:paraId="394A0F4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nil"/>
              <w:right w:val="double" w:sz="4" w:space="0" w:color="auto"/>
            </w:tcBorders>
            <w:vAlign w:val="center"/>
          </w:tcPr>
          <w:p w14:paraId="6938ED5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092E67E8" w14:textId="77777777" w:rsidTr="006C3329">
        <w:trPr>
          <w:trHeight w:val="240"/>
        </w:trPr>
        <w:tc>
          <w:tcPr>
            <w:tcW w:w="2582" w:type="dxa"/>
            <w:tcBorders>
              <w:top w:val="single" w:sz="6" w:space="0" w:color="000000"/>
              <w:left w:val="double" w:sz="4" w:space="0" w:color="auto"/>
              <w:bottom w:val="single" w:sz="12" w:space="0" w:color="000000"/>
              <w:right w:val="nil"/>
            </w:tcBorders>
            <w:vAlign w:val="center"/>
          </w:tcPr>
          <w:p w14:paraId="3BF4E2E1"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 xml:space="preserve">Buses and coaches Euro I to </w:t>
            </w:r>
            <w:r w:rsidR="00197F22" w:rsidRPr="000855B2">
              <w:rPr>
                <w:rFonts w:ascii="Open Sans" w:hAnsi="Open Sans" w:cs="Open Sans"/>
                <w:snapToGrid w:val="0"/>
                <w:sz w:val="16"/>
                <w:szCs w:val="18"/>
                <w:lang w:val="en-GB" w:eastAsia="en-US"/>
              </w:rPr>
              <w:t>VI</w:t>
            </w:r>
          </w:p>
        </w:tc>
        <w:tc>
          <w:tcPr>
            <w:tcW w:w="431" w:type="dxa"/>
            <w:tcBorders>
              <w:top w:val="single" w:sz="6" w:space="0" w:color="000000"/>
              <w:left w:val="single" w:sz="2" w:space="0" w:color="000000"/>
              <w:bottom w:val="single" w:sz="12" w:space="0" w:color="000000"/>
              <w:right w:val="single" w:sz="2" w:space="0" w:color="000000"/>
            </w:tcBorders>
            <w:vAlign w:val="center"/>
          </w:tcPr>
          <w:p w14:paraId="3CB0B5D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12" w:space="0" w:color="000000"/>
              <w:right w:val="single" w:sz="2" w:space="0" w:color="000000"/>
            </w:tcBorders>
            <w:vAlign w:val="center"/>
          </w:tcPr>
          <w:p w14:paraId="623CECB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12" w:space="0" w:color="000000"/>
              <w:right w:val="single" w:sz="2" w:space="0" w:color="000000"/>
            </w:tcBorders>
            <w:vAlign w:val="center"/>
          </w:tcPr>
          <w:p w14:paraId="5652331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12" w:space="0" w:color="000000"/>
              <w:right w:val="single" w:sz="2" w:space="0" w:color="000000"/>
            </w:tcBorders>
            <w:vAlign w:val="center"/>
          </w:tcPr>
          <w:p w14:paraId="2A7F214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12" w:space="0" w:color="000000"/>
              <w:right w:val="single" w:sz="2" w:space="0" w:color="000000"/>
            </w:tcBorders>
            <w:vAlign w:val="center"/>
          </w:tcPr>
          <w:p w14:paraId="6A2C301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482" w:type="dxa"/>
            <w:tcBorders>
              <w:top w:val="single" w:sz="6" w:space="0" w:color="000000"/>
              <w:left w:val="single" w:sz="2" w:space="0" w:color="000000"/>
              <w:bottom w:val="single" w:sz="12" w:space="0" w:color="000000"/>
              <w:right w:val="single" w:sz="2" w:space="0" w:color="000000"/>
            </w:tcBorders>
            <w:vAlign w:val="center"/>
          </w:tcPr>
          <w:p w14:paraId="3C3D4B3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12" w:space="0" w:color="000000"/>
              <w:right w:val="single" w:sz="2" w:space="0" w:color="000000"/>
            </w:tcBorders>
            <w:vAlign w:val="center"/>
          </w:tcPr>
          <w:p w14:paraId="167ADED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12" w:space="0" w:color="000000"/>
              <w:right w:val="single" w:sz="2" w:space="0" w:color="000000"/>
            </w:tcBorders>
            <w:vAlign w:val="center"/>
          </w:tcPr>
          <w:p w14:paraId="02C4770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12" w:space="0" w:color="000000"/>
              <w:right w:val="single" w:sz="2" w:space="0" w:color="000000"/>
            </w:tcBorders>
            <w:vAlign w:val="center"/>
          </w:tcPr>
          <w:p w14:paraId="461686C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12" w:space="0" w:color="000000"/>
              <w:right w:val="single" w:sz="2" w:space="0" w:color="000000"/>
            </w:tcBorders>
            <w:vAlign w:val="center"/>
          </w:tcPr>
          <w:p w14:paraId="693E691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12" w:space="0" w:color="000000"/>
              <w:right w:val="single" w:sz="2" w:space="0" w:color="000000"/>
            </w:tcBorders>
            <w:vAlign w:val="center"/>
          </w:tcPr>
          <w:p w14:paraId="1A51DF6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12" w:space="0" w:color="000000"/>
              <w:right w:val="double" w:sz="4" w:space="0" w:color="auto"/>
            </w:tcBorders>
            <w:vAlign w:val="center"/>
          </w:tcPr>
          <w:p w14:paraId="51F3988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14741BD5" w14:textId="77777777" w:rsidTr="006C3329">
        <w:trPr>
          <w:trHeight w:val="240"/>
        </w:trPr>
        <w:tc>
          <w:tcPr>
            <w:tcW w:w="2582" w:type="dxa"/>
            <w:tcBorders>
              <w:top w:val="nil"/>
              <w:left w:val="double" w:sz="4" w:space="0" w:color="auto"/>
              <w:bottom w:val="single" w:sz="6" w:space="0" w:color="000000"/>
              <w:right w:val="nil"/>
            </w:tcBorders>
            <w:vAlign w:val="center"/>
          </w:tcPr>
          <w:p w14:paraId="5454D6FE" w14:textId="77777777" w:rsidR="00927630" w:rsidRPr="000855B2" w:rsidRDefault="00927630" w:rsidP="0039615D">
            <w:pPr>
              <w:pStyle w:val="Table"/>
              <w:rPr>
                <w:rFonts w:ascii="Open Sans" w:hAnsi="Open Sans" w:cs="Open Sans"/>
                <w:b/>
                <w:snapToGrid w:val="0"/>
                <w:sz w:val="16"/>
                <w:szCs w:val="18"/>
                <w:lang w:val="en-GB" w:eastAsia="en-US"/>
              </w:rPr>
            </w:pPr>
            <w:r w:rsidRPr="000855B2">
              <w:rPr>
                <w:rFonts w:ascii="Open Sans" w:hAnsi="Open Sans" w:cs="Open Sans"/>
                <w:b/>
                <w:snapToGrid w:val="0"/>
                <w:sz w:val="16"/>
                <w:szCs w:val="18"/>
                <w:lang w:val="en-GB" w:eastAsia="en-US"/>
              </w:rPr>
              <w:t>Two-wheel vehicles</w:t>
            </w:r>
          </w:p>
        </w:tc>
        <w:tc>
          <w:tcPr>
            <w:tcW w:w="431" w:type="dxa"/>
            <w:tcBorders>
              <w:top w:val="nil"/>
              <w:left w:val="single" w:sz="2" w:space="0" w:color="000000"/>
              <w:bottom w:val="single" w:sz="6" w:space="0" w:color="000000"/>
              <w:right w:val="single" w:sz="2" w:space="0" w:color="000000"/>
            </w:tcBorders>
            <w:vAlign w:val="center"/>
          </w:tcPr>
          <w:p w14:paraId="55C8B274"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0F72E05D"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873" w:type="dxa"/>
            <w:tcBorders>
              <w:top w:val="nil"/>
              <w:left w:val="single" w:sz="2" w:space="0" w:color="000000"/>
              <w:bottom w:val="single" w:sz="6" w:space="0" w:color="000000"/>
              <w:right w:val="single" w:sz="2" w:space="0" w:color="000000"/>
            </w:tcBorders>
            <w:vAlign w:val="center"/>
          </w:tcPr>
          <w:p w14:paraId="4516098E"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4" w:type="dxa"/>
            <w:tcBorders>
              <w:top w:val="nil"/>
              <w:left w:val="single" w:sz="2" w:space="0" w:color="000000"/>
              <w:bottom w:val="single" w:sz="6" w:space="0" w:color="000000"/>
              <w:right w:val="single" w:sz="2" w:space="0" w:color="000000"/>
            </w:tcBorders>
            <w:vAlign w:val="center"/>
          </w:tcPr>
          <w:p w14:paraId="79796825"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50" w:type="dxa"/>
            <w:tcBorders>
              <w:top w:val="nil"/>
              <w:left w:val="single" w:sz="2" w:space="0" w:color="000000"/>
              <w:bottom w:val="single" w:sz="6" w:space="0" w:color="000000"/>
              <w:right w:val="single" w:sz="2" w:space="0" w:color="000000"/>
            </w:tcBorders>
            <w:vAlign w:val="center"/>
          </w:tcPr>
          <w:p w14:paraId="419D524C"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82" w:type="dxa"/>
            <w:tcBorders>
              <w:top w:val="nil"/>
              <w:left w:val="single" w:sz="2" w:space="0" w:color="000000"/>
              <w:bottom w:val="single" w:sz="6" w:space="0" w:color="000000"/>
              <w:right w:val="single" w:sz="2" w:space="0" w:color="000000"/>
            </w:tcBorders>
            <w:vAlign w:val="center"/>
          </w:tcPr>
          <w:p w14:paraId="4B6AF504"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83" w:type="dxa"/>
            <w:tcBorders>
              <w:top w:val="nil"/>
              <w:left w:val="single" w:sz="2" w:space="0" w:color="000000"/>
              <w:bottom w:val="single" w:sz="6" w:space="0" w:color="000000"/>
              <w:right w:val="single" w:sz="2" w:space="0" w:color="000000"/>
            </w:tcBorders>
            <w:vAlign w:val="center"/>
          </w:tcPr>
          <w:p w14:paraId="61467843"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60" w:type="dxa"/>
            <w:tcBorders>
              <w:top w:val="nil"/>
              <w:left w:val="single" w:sz="2" w:space="0" w:color="000000"/>
              <w:bottom w:val="single" w:sz="6" w:space="0" w:color="000000"/>
              <w:right w:val="single" w:sz="2" w:space="0" w:color="000000"/>
            </w:tcBorders>
            <w:vAlign w:val="center"/>
          </w:tcPr>
          <w:p w14:paraId="67808C10"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447" w:type="dxa"/>
            <w:tcBorders>
              <w:top w:val="nil"/>
              <w:left w:val="single" w:sz="2" w:space="0" w:color="000000"/>
              <w:bottom w:val="single" w:sz="6" w:space="0" w:color="000000"/>
              <w:right w:val="single" w:sz="2" w:space="0" w:color="000000"/>
            </w:tcBorders>
            <w:vAlign w:val="center"/>
          </w:tcPr>
          <w:p w14:paraId="498A26F7"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single" w:sz="2" w:space="0" w:color="000000"/>
              <w:bottom w:val="single" w:sz="6" w:space="0" w:color="000000"/>
              <w:right w:val="single" w:sz="2" w:space="0" w:color="000000"/>
            </w:tcBorders>
            <w:vAlign w:val="center"/>
          </w:tcPr>
          <w:p w14:paraId="5405B3D0"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538" w:type="dxa"/>
            <w:tcBorders>
              <w:top w:val="nil"/>
              <w:left w:val="single" w:sz="2" w:space="0" w:color="000000"/>
              <w:bottom w:val="single" w:sz="6" w:space="0" w:color="000000"/>
              <w:right w:val="single" w:sz="2" w:space="0" w:color="000000"/>
            </w:tcBorders>
            <w:vAlign w:val="center"/>
          </w:tcPr>
          <w:p w14:paraId="79D0037B" w14:textId="77777777" w:rsidR="00927630" w:rsidRPr="000855B2" w:rsidRDefault="00927630" w:rsidP="0039615D">
            <w:pPr>
              <w:pStyle w:val="Table"/>
              <w:jc w:val="center"/>
              <w:rPr>
                <w:rFonts w:ascii="Open Sans" w:hAnsi="Open Sans" w:cs="Open Sans"/>
                <w:snapToGrid w:val="0"/>
                <w:sz w:val="16"/>
                <w:szCs w:val="18"/>
                <w:lang w:val="en-GB" w:eastAsia="en-US"/>
              </w:rPr>
            </w:pPr>
          </w:p>
        </w:tc>
        <w:tc>
          <w:tcPr>
            <w:tcW w:w="397" w:type="dxa"/>
            <w:tcBorders>
              <w:top w:val="nil"/>
              <w:left w:val="nil"/>
              <w:bottom w:val="single" w:sz="6" w:space="0" w:color="000000"/>
              <w:right w:val="double" w:sz="4" w:space="0" w:color="auto"/>
            </w:tcBorders>
            <w:vAlign w:val="center"/>
          </w:tcPr>
          <w:p w14:paraId="3C228C7B" w14:textId="77777777" w:rsidR="00927630" w:rsidRPr="000855B2" w:rsidRDefault="00927630" w:rsidP="0039615D">
            <w:pPr>
              <w:pStyle w:val="Table"/>
              <w:jc w:val="center"/>
              <w:rPr>
                <w:rFonts w:ascii="Open Sans" w:hAnsi="Open Sans" w:cs="Open Sans"/>
                <w:snapToGrid w:val="0"/>
                <w:sz w:val="16"/>
                <w:szCs w:val="18"/>
                <w:lang w:val="en-GB" w:eastAsia="en-US"/>
              </w:rPr>
            </w:pPr>
          </w:p>
        </w:tc>
      </w:tr>
      <w:tr w:rsidR="00927630" w:rsidRPr="000855B2" w14:paraId="3DDA773A"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455C895A" w14:textId="77777777" w:rsidR="00927630" w:rsidRPr="000855B2" w:rsidRDefault="00927630" w:rsidP="0005742F">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Mopeds &lt; 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0A0E2CC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c>
          <w:tcPr>
            <w:tcW w:w="397" w:type="dxa"/>
            <w:tcBorders>
              <w:top w:val="single" w:sz="6" w:space="0" w:color="000000"/>
              <w:left w:val="single" w:sz="2" w:space="0" w:color="000000"/>
              <w:bottom w:val="single" w:sz="6" w:space="0" w:color="000000"/>
              <w:right w:val="single" w:sz="2" w:space="0" w:color="000000"/>
            </w:tcBorders>
            <w:vAlign w:val="center"/>
          </w:tcPr>
          <w:p w14:paraId="5CD84AB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c>
          <w:tcPr>
            <w:tcW w:w="873" w:type="dxa"/>
            <w:tcBorders>
              <w:top w:val="single" w:sz="6" w:space="0" w:color="000000"/>
              <w:left w:val="single" w:sz="2" w:space="0" w:color="000000"/>
              <w:bottom w:val="single" w:sz="6" w:space="0" w:color="000000"/>
              <w:right w:val="single" w:sz="2" w:space="0" w:color="000000"/>
            </w:tcBorders>
            <w:vAlign w:val="center"/>
          </w:tcPr>
          <w:p w14:paraId="70B6734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c>
          <w:tcPr>
            <w:tcW w:w="584" w:type="dxa"/>
            <w:tcBorders>
              <w:top w:val="single" w:sz="6" w:space="0" w:color="000000"/>
              <w:left w:val="single" w:sz="2" w:space="0" w:color="000000"/>
              <w:bottom w:val="single" w:sz="6" w:space="0" w:color="000000"/>
              <w:right w:val="single" w:sz="2" w:space="0" w:color="000000"/>
            </w:tcBorders>
            <w:vAlign w:val="center"/>
          </w:tcPr>
          <w:p w14:paraId="2271DBE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050E6791"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14A7EB1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08F17FE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33C5B35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427ED1D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164459B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573318C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5E4951F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B2</w:t>
            </w:r>
          </w:p>
        </w:tc>
      </w:tr>
      <w:tr w:rsidR="00927630" w:rsidRPr="000855B2" w14:paraId="2CE871D8"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011CC7A3"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2-stroke &gt; 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48236A5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11B3794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2D41614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403DC69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1CF995D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2DF5DE9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4C68913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629775F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6796860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149FFAC8"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58648E6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24B773F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05B2C180"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6C643E43"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4-stroke 50</w:t>
            </w:r>
            <w:r w:rsidRPr="000855B2">
              <w:rPr>
                <w:rFonts w:ascii="Open Sans" w:hAnsi="Open Sans" w:cs="Open Sans"/>
                <w:sz w:val="16"/>
                <w:lang w:val="en-GB"/>
              </w:rPr>
              <w:t>–</w:t>
            </w:r>
            <w:r w:rsidRPr="000855B2">
              <w:rPr>
                <w:rFonts w:ascii="Open Sans" w:hAnsi="Open Sans" w:cs="Open Sans"/>
                <w:snapToGrid w:val="0"/>
                <w:sz w:val="16"/>
                <w:szCs w:val="18"/>
                <w:lang w:val="en-GB" w:eastAsia="en-US"/>
              </w:rPr>
              <w:t>250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5CB5858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3AD0692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685FDB1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40649882"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6E3B91E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7E5A6E7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6E4BBF3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6AF2820E"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7474496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2C30A0B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6091DA5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56729B0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710B5C96" w14:textId="77777777" w:rsidTr="006C3329">
        <w:trPr>
          <w:trHeight w:val="240"/>
        </w:trPr>
        <w:tc>
          <w:tcPr>
            <w:tcW w:w="2582" w:type="dxa"/>
            <w:tcBorders>
              <w:top w:val="single" w:sz="6" w:space="0" w:color="000000"/>
              <w:left w:val="double" w:sz="4" w:space="0" w:color="auto"/>
              <w:bottom w:val="single" w:sz="6" w:space="0" w:color="000000"/>
              <w:right w:val="nil"/>
            </w:tcBorders>
            <w:vAlign w:val="center"/>
          </w:tcPr>
          <w:p w14:paraId="35B6106F" w14:textId="77777777" w:rsidR="00927630" w:rsidRPr="000855B2" w:rsidRDefault="00927630" w:rsidP="00AF7907">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4-stroke 250</w:t>
            </w:r>
            <w:r w:rsidRPr="000855B2">
              <w:rPr>
                <w:rFonts w:ascii="Open Sans" w:hAnsi="Open Sans" w:cs="Open Sans"/>
                <w:sz w:val="16"/>
                <w:lang w:val="en-GB"/>
              </w:rPr>
              <w:t>–</w:t>
            </w:r>
            <w:r w:rsidRPr="000855B2">
              <w:rPr>
                <w:rFonts w:ascii="Open Sans" w:hAnsi="Open Sans" w:cs="Open Sans"/>
                <w:snapToGrid w:val="0"/>
                <w:sz w:val="16"/>
                <w:szCs w:val="18"/>
                <w:lang w:val="en-GB" w:eastAsia="en-US"/>
              </w:rPr>
              <w:t>750 cm³</w:t>
            </w:r>
          </w:p>
        </w:tc>
        <w:tc>
          <w:tcPr>
            <w:tcW w:w="431" w:type="dxa"/>
            <w:tcBorders>
              <w:top w:val="single" w:sz="6" w:space="0" w:color="000000"/>
              <w:left w:val="single" w:sz="2" w:space="0" w:color="000000"/>
              <w:bottom w:val="single" w:sz="6" w:space="0" w:color="000000"/>
              <w:right w:val="single" w:sz="2" w:space="0" w:color="000000"/>
            </w:tcBorders>
            <w:vAlign w:val="center"/>
          </w:tcPr>
          <w:p w14:paraId="24A1505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single" w:sz="6" w:space="0" w:color="000000"/>
              <w:right w:val="single" w:sz="2" w:space="0" w:color="000000"/>
            </w:tcBorders>
            <w:vAlign w:val="center"/>
          </w:tcPr>
          <w:p w14:paraId="5B94B1B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single" w:sz="6" w:space="0" w:color="000000"/>
              <w:right w:val="single" w:sz="2" w:space="0" w:color="000000"/>
            </w:tcBorders>
            <w:vAlign w:val="center"/>
          </w:tcPr>
          <w:p w14:paraId="727185B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single" w:sz="6" w:space="0" w:color="000000"/>
              <w:right w:val="single" w:sz="2" w:space="0" w:color="000000"/>
            </w:tcBorders>
            <w:vAlign w:val="center"/>
          </w:tcPr>
          <w:p w14:paraId="082413C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single" w:sz="6" w:space="0" w:color="000000"/>
              <w:right w:val="single" w:sz="2" w:space="0" w:color="000000"/>
            </w:tcBorders>
            <w:vAlign w:val="center"/>
          </w:tcPr>
          <w:p w14:paraId="6B177FA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single" w:sz="6" w:space="0" w:color="000000"/>
              <w:right w:val="single" w:sz="2" w:space="0" w:color="000000"/>
            </w:tcBorders>
            <w:vAlign w:val="center"/>
          </w:tcPr>
          <w:p w14:paraId="7F88F2A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single" w:sz="6" w:space="0" w:color="000000"/>
              <w:right w:val="single" w:sz="2" w:space="0" w:color="000000"/>
            </w:tcBorders>
            <w:vAlign w:val="center"/>
          </w:tcPr>
          <w:p w14:paraId="43D1A12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single" w:sz="6" w:space="0" w:color="000000"/>
              <w:right w:val="single" w:sz="2" w:space="0" w:color="000000"/>
            </w:tcBorders>
            <w:vAlign w:val="center"/>
          </w:tcPr>
          <w:p w14:paraId="5C1FF65C"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single" w:sz="6" w:space="0" w:color="000000"/>
              <w:right w:val="single" w:sz="2" w:space="0" w:color="000000"/>
            </w:tcBorders>
            <w:vAlign w:val="center"/>
          </w:tcPr>
          <w:p w14:paraId="513B132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single" w:sz="6" w:space="0" w:color="000000"/>
              <w:right w:val="single" w:sz="2" w:space="0" w:color="000000"/>
            </w:tcBorders>
            <w:vAlign w:val="center"/>
          </w:tcPr>
          <w:p w14:paraId="625B3A1A"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single" w:sz="6" w:space="0" w:color="000000"/>
              <w:right w:val="single" w:sz="2" w:space="0" w:color="000000"/>
            </w:tcBorders>
            <w:vAlign w:val="center"/>
          </w:tcPr>
          <w:p w14:paraId="60D0DD59"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single" w:sz="6" w:space="0" w:color="000000"/>
              <w:right w:val="double" w:sz="4" w:space="0" w:color="auto"/>
            </w:tcBorders>
            <w:vAlign w:val="center"/>
          </w:tcPr>
          <w:p w14:paraId="47C87A5F"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r w:rsidR="00927630" w:rsidRPr="000855B2" w14:paraId="79F71DCA" w14:textId="77777777" w:rsidTr="006C3329">
        <w:trPr>
          <w:trHeight w:val="240"/>
        </w:trPr>
        <w:tc>
          <w:tcPr>
            <w:tcW w:w="2582" w:type="dxa"/>
            <w:tcBorders>
              <w:top w:val="single" w:sz="6" w:space="0" w:color="000000"/>
              <w:left w:val="double" w:sz="4" w:space="0" w:color="auto"/>
              <w:bottom w:val="double" w:sz="4" w:space="0" w:color="auto"/>
              <w:right w:val="nil"/>
            </w:tcBorders>
            <w:vAlign w:val="center"/>
          </w:tcPr>
          <w:p w14:paraId="5BEBCAAC" w14:textId="77777777" w:rsidR="00927630" w:rsidRPr="000855B2" w:rsidRDefault="00927630" w:rsidP="0039615D">
            <w:pPr>
              <w:pStyle w:val="Table"/>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Motorcycles 4-stroke &gt; 750 cm³</w:t>
            </w:r>
          </w:p>
        </w:tc>
        <w:tc>
          <w:tcPr>
            <w:tcW w:w="431" w:type="dxa"/>
            <w:tcBorders>
              <w:top w:val="single" w:sz="6" w:space="0" w:color="000000"/>
              <w:left w:val="single" w:sz="2" w:space="0" w:color="000000"/>
              <w:bottom w:val="double" w:sz="4" w:space="0" w:color="auto"/>
              <w:right w:val="single" w:sz="2" w:space="0" w:color="000000"/>
            </w:tcBorders>
            <w:vAlign w:val="center"/>
          </w:tcPr>
          <w:p w14:paraId="7FCAFCC6"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397" w:type="dxa"/>
            <w:tcBorders>
              <w:top w:val="single" w:sz="6" w:space="0" w:color="000000"/>
              <w:left w:val="single" w:sz="2" w:space="0" w:color="000000"/>
              <w:bottom w:val="double" w:sz="4" w:space="0" w:color="auto"/>
              <w:right w:val="single" w:sz="2" w:space="0" w:color="000000"/>
            </w:tcBorders>
            <w:vAlign w:val="center"/>
          </w:tcPr>
          <w:p w14:paraId="29504565"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873" w:type="dxa"/>
            <w:tcBorders>
              <w:top w:val="single" w:sz="6" w:space="0" w:color="000000"/>
              <w:left w:val="single" w:sz="2" w:space="0" w:color="000000"/>
              <w:bottom w:val="double" w:sz="4" w:space="0" w:color="auto"/>
              <w:right w:val="single" w:sz="2" w:space="0" w:color="000000"/>
            </w:tcBorders>
            <w:vAlign w:val="center"/>
          </w:tcPr>
          <w:p w14:paraId="07830B23"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c>
          <w:tcPr>
            <w:tcW w:w="584" w:type="dxa"/>
            <w:tcBorders>
              <w:top w:val="single" w:sz="6" w:space="0" w:color="000000"/>
              <w:left w:val="single" w:sz="2" w:space="0" w:color="000000"/>
              <w:bottom w:val="double" w:sz="4" w:space="0" w:color="auto"/>
              <w:right w:val="single" w:sz="2" w:space="0" w:color="000000"/>
            </w:tcBorders>
            <w:vAlign w:val="center"/>
          </w:tcPr>
          <w:p w14:paraId="494EF03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50" w:type="dxa"/>
            <w:tcBorders>
              <w:top w:val="single" w:sz="6" w:space="0" w:color="000000"/>
              <w:left w:val="single" w:sz="2" w:space="0" w:color="000000"/>
              <w:bottom w:val="double" w:sz="4" w:space="0" w:color="auto"/>
              <w:right w:val="single" w:sz="2" w:space="0" w:color="000000"/>
            </w:tcBorders>
            <w:vAlign w:val="center"/>
          </w:tcPr>
          <w:p w14:paraId="74625827"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w:t>
            </w:r>
          </w:p>
        </w:tc>
        <w:tc>
          <w:tcPr>
            <w:tcW w:w="482" w:type="dxa"/>
            <w:tcBorders>
              <w:top w:val="single" w:sz="6" w:space="0" w:color="000000"/>
              <w:left w:val="single" w:sz="2" w:space="0" w:color="000000"/>
              <w:bottom w:val="double" w:sz="4" w:space="0" w:color="auto"/>
              <w:right w:val="single" w:sz="2" w:space="0" w:color="000000"/>
            </w:tcBorders>
            <w:vAlign w:val="center"/>
          </w:tcPr>
          <w:p w14:paraId="7BDCB8C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583" w:type="dxa"/>
            <w:tcBorders>
              <w:top w:val="single" w:sz="6" w:space="0" w:color="000000"/>
              <w:left w:val="single" w:sz="2" w:space="0" w:color="000000"/>
              <w:bottom w:val="double" w:sz="4" w:space="0" w:color="auto"/>
              <w:right w:val="single" w:sz="2" w:space="0" w:color="000000"/>
            </w:tcBorders>
            <w:vAlign w:val="center"/>
          </w:tcPr>
          <w:p w14:paraId="5DA926E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C</w:t>
            </w:r>
          </w:p>
        </w:tc>
        <w:tc>
          <w:tcPr>
            <w:tcW w:w="460" w:type="dxa"/>
            <w:tcBorders>
              <w:top w:val="single" w:sz="6" w:space="0" w:color="000000"/>
              <w:left w:val="single" w:sz="2" w:space="0" w:color="000000"/>
              <w:bottom w:val="double" w:sz="4" w:space="0" w:color="auto"/>
              <w:right w:val="single" w:sz="2" w:space="0" w:color="000000"/>
            </w:tcBorders>
            <w:vAlign w:val="center"/>
          </w:tcPr>
          <w:p w14:paraId="3D46FEF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447" w:type="dxa"/>
            <w:tcBorders>
              <w:top w:val="single" w:sz="6" w:space="0" w:color="000000"/>
              <w:left w:val="single" w:sz="2" w:space="0" w:color="000000"/>
              <w:bottom w:val="double" w:sz="4" w:space="0" w:color="auto"/>
              <w:right w:val="single" w:sz="2" w:space="0" w:color="000000"/>
            </w:tcBorders>
            <w:vAlign w:val="center"/>
          </w:tcPr>
          <w:p w14:paraId="67B0B574"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single" w:sz="2" w:space="0" w:color="000000"/>
              <w:bottom w:val="double" w:sz="4" w:space="0" w:color="auto"/>
              <w:right w:val="single" w:sz="2" w:space="0" w:color="000000"/>
            </w:tcBorders>
            <w:vAlign w:val="center"/>
          </w:tcPr>
          <w:p w14:paraId="012E0DEB"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538" w:type="dxa"/>
            <w:tcBorders>
              <w:top w:val="single" w:sz="6" w:space="0" w:color="000000"/>
              <w:left w:val="single" w:sz="2" w:space="0" w:color="000000"/>
              <w:bottom w:val="double" w:sz="4" w:space="0" w:color="auto"/>
              <w:right w:val="single" w:sz="2" w:space="0" w:color="000000"/>
            </w:tcBorders>
            <w:vAlign w:val="center"/>
          </w:tcPr>
          <w:p w14:paraId="5ED89DA0"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D</w:t>
            </w:r>
          </w:p>
        </w:tc>
        <w:tc>
          <w:tcPr>
            <w:tcW w:w="397" w:type="dxa"/>
            <w:tcBorders>
              <w:top w:val="single" w:sz="6" w:space="0" w:color="000000"/>
              <w:left w:val="nil"/>
              <w:bottom w:val="double" w:sz="4" w:space="0" w:color="auto"/>
              <w:right w:val="double" w:sz="4" w:space="0" w:color="auto"/>
            </w:tcBorders>
            <w:vAlign w:val="center"/>
          </w:tcPr>
          <w:p w14:paraId="3723F83D" w14:textId="77777777" w:rsidR="00927630" w:rsidRPr="000855B2" w:rsidRDefault="00927630" w:rsidP="0039615D">
            <w:pPr>
              <w:pStyle w:val="Table"/>
              <w:jc w:val="center"/>
              <w:rPr>
                <w:rFonts w:ascii="Open Sans" w:hAnsi="Open Sans" w:cs="Open Sans"/>
                <w:snapToGrid w:val="0"/>
                <w:sz w:val="16"/>
                <w:szCs w:val="18"/>
                <w:lang w:val="en-GB" w:eastAsia="en-US"/>
              </w:rPr>
            </w:pPr>
            <w:r w:rsidRPr="000855B2">
              <w:rPr>
                <w:rFonts w:ascii="Open Sans" w:hAnsi="Open Sans" w:cs="Open Sans"/>
                <w:snapToGrid w:val="0"/>
                <w:sz w:val="16"/>
                <w:szCs w:val="18"/>
                <w:lang w:val="en-GB" w:eastAsia="en-US"/>
              </w:rPr>
              <w:t>B1</w:t>
            </w:r>
          </w:p>
        </w:tc>
      </w:tr>
    </w:tbl>
    <w:p w14:paraId="183EC23A" w14:textId="77777777" w:rsidR="007749D9" w:rsidRPr="000855B2" w:rsidRDefault="007749D9">
      <w:pPr>
        <w:rPr>
          <w:lang w:val="en-GB"/>
        </w:rPr>
      </w:pPr>
    </w:p>
    <w:p w14:paraId="3AADD7A7" w14:textId="77777777" w:rsidR="007749D9" w:rsidRDefault="004E1503" w:rsidP="007749D9">
      <w:pPr>
        <w:pStyle w:val="Heading4"/>
      </w:pPr>
      <w:r>
        <w:lastRenderedPageBreak/>
        <w:t>Petrol</w:t>
      </w:r>
      <w:r w:rsidR="007749D9" w:rsidRPr="000855B2">
        <w:t xml:space="preserve"> passenger cars</w:t>
      </w:r>
    </w:p>
    <w:p w14:paraId="3A36FE6E" w14:textId="77777777" w:rsidR="00D75127" w:rsidRPr="005B17F2" w:rsidRDefault="00D75127" w:rsidP="00D75127">
      <w:pPr>
        <w:rPr>
          <w:u w:val="single"/>
          <w:lang w:val="en-GB"/>
        </w:rPr>
      </w:pPr>
      <w:r w:rsidRPr="005B17F2">
        <w:rPr>
          <w:u w:val="single"/>
          <w:lang w:val="en-GB"/>
        </w:rPr>
        <w:t>Hot Emissions</w:t>
      </w:r>
    </w:p>
    <w:p w14:paraId="6ACB96DA" w14:textId="2A0D5FC0" w:rsidR="00D75127" w:rsidRPr="005B17F2" w:rsidRDefault="00DE316B" w:rsidP="00D75127">
      <w:r w:rsidRPr="005B17F2">
        <w:t>Hot emission factors are speed dependant</w:t>
      </w:r>
      <w:r w:rsidR="008A24D2" w:rsidRPr="005B17F2">
        <w:t xml:space="preserve"> and are expressed in g/km</w:t>
      </w:r>
      <w:r w:rsidRPr="005B17F2">
        <w:t xml:space="preserve">. They differ </w:t>
      </w:r>
      <w:r w:rsidR="008A24D2" w:rsidRPr="005B17F2">
        <w:t>by fuel,</w:t>
      </w:r>
      <w:r w:rsidRPr="005B17F2">
        <w:t xml:space="preserve"> vehicle class and engine technology. In previous versions of </w:t>
      </w:r>
      <w:r w:rsidR="008A24D2" w:rsidRPr="005B17F2">
        <w:t xml:space="preserve">this </w:t>
      </w:r>
      <w:r w:rsidRPr="005B17F2">
        <w:t xml:space="preserve">chapter </w:t>
      </w:r>
      <w:r w:rsidR="008A24D2" w:rsidRPr="005B17F2">
        <w:t xml:space="preserve">a number of </w:t>
      </w:r>
      <w:r w:rsidRPr="005B17F2">
        <w:t xml:space="preserve">functions were </w:t>
      </w:r>
      <w:r w:rsidR="008A24D2" w:rsidRPr="005B17F2">
        <w:t xml:space="preserve">provided </w:t>
      </w:r>
      <w:r w:rsidRPr="005B17F2">
        <w:t xml:space="preserve">to calculate hot emission factors for the </w:t>
      </w:r>
      <w:r w:rsidR="008A24D2" w:rsidRPr="005B17F2">
        <w:t xml:space="preserve">different vehicle </w:t>
      </w:r>
      <w:r w:rsidRPr="005B17F2">
        <w:t xml:space="preserve">categories. </w:t>
      </w:r>
      <w:r w:rsidR="008A24D2" w:rsidRPr="005B17F2">
        <w:t>All these functions are now</w:t>
      </w:r>
      <w:r w:rsidRPr="005B17F2">
        <w:t xml:space="preserve"> consolidate</w:t>
      </w:r>
      <w:r w:rsidR="008A24D2" w:rsidRPr="005B17F2">
        <w:t>d</w:t>
      </w:r>
      <w:r w:rsidRPr="005B17F2">
        <w:t xml:space="preserve"> </w:t>
      </w:r>
      <w:r w:rsidR="008A24D2" w:rsidRPr="005B17F2">
        <w:t>in</w:t>
      </w:r>
      <w:r w:rsidRPr="005B17F2">
        <w:t xml:space="preserve">to a </w:t>
      </w:r>
      <w:r w:rsidR="008A24D2" w:rsidRPr="005B17F2">
        <w:t xml:space="preserve">single </w:t>
      </w:r>
      <w:r w:rsidRPr="005B17F2">
        <w:t xml:space="preserve">equation. </w:t>
      </w:r>
      <w:r w:rsidR="00D75127" w:rsidRPr="005B17F2">
        <w:t xml:space="preserve">Due to the large number of </w:t>
      </w:r>
      <w:r w:rsidR="00263D48" w:rsidRPr="005B17F2">
        <w:t>the equation coefficients</w:t>
      </w:r>
      <w:r w:rsidR="005E4D06" w:rsidRPr="005B17F2">
        <w:t xml:space="preserve"> </w:t>
      </w:r>
      <w:r w:rsidR="00D75127" w:rsidRPr="005B17F2">
        <w:t xml:space="preserve">required to calculate emissions </w:t>
      </w:r>
      <w:r w:rsidR="005E4D06" w:rsidRPr="005B17F2">
        <w:t xml:space="preserve">for all the different vehicle </w:t>
      </w:r>
      <w:r w:rsidR="00D75127" w:rsidRPr="005B17F2">
        <w:t xml:space="preserve">categories, all relevant </w:t>
      </w:r>
      <w:r w:rsidR="005E4D06" w:rsidRPr="005B17F2">
        <w:t xml:space="preserve">figures </w:t>
      </w:r>
      <w:r w:rsidR="00D75127" w:rsidRPr="005B17F2">
        <w:t xml:space="preserve">can be found </w:t>
      </w:r>
      <w:r w:rsidR="00F26B9F" w:rsidRPr="005B17F2">
        <w:t xml:space="preserve">in </w:t>
      </w:r>
      <w:r w:rsidR="00010CA5">
        <w:t>Appendix 3</w:t>
      </w:r>
      <w:r w:rsidR="00D75127" w:rsidRPr="005B17F2">
        <w:t>. The emissions covered by the methodology are CO, VOC, NO</w:t>
      </w:r>
      <w:r w:rsidR="00D75127" w:rsidRPr="005B17F2">
        <w:rPr>
          <w:vertAlign w:val="subscript"/>
        </w:rPr>
        <w:t>x</w:t>
      </w:r>
      <w:r w:rsidR="00D75127" w:rsidRPr="005B17F2">
        <w:t xml:space="preserve">, PM and </w:t>
      </w:r>
      <w:r w:rsidR="00C02BA0" w:rsidRPr="005B17F2">
        <w:t>energy</w:t>
      </w:r>
      <w:r w:rsidR="00D75127" w:rsidRPr="005B17F2">
        <w:t xml:space="preserve"> consumption.</w:t>
      </w:r>
    </w:p>
    <w:p w14:paraId="1F6721AF" w14:textId="413C7346" w:rsidR="00017B39" w:rsidRPr="005B17F2" w:rsidRDefault="00D75127" w:rsidP="00017B39">
      <w:pPr>
        <w:rPr>
          <w:lang w:val="en-US"/>
        </w:rPr>
      </w:pPr>
      <w:r w:rsidRPr="005B17F2">
        <w:t xml:space="preserve">The following </w:t>
      </w:r>
      <w:r w:rsidR="005E4D06" w:rsidRPr="005B17F2">
        <w:t xml:space="preserve">generic </w:t>
      </w:r>
      <w:r w:rsidRPr="005B17F2">
        <w:t xml:space="preserve">equation can be used to calculate the speed </w:t>
      </w:r>
      <w:r w:rsidR="00727425" w:rsidRPr="005B17F2">
        <w:t xml:space="preserve">(V) </w:t>
      </w:r>
      <w:r w:rsidRPr="005B17F2">
        <w:t>dependant emission factor</w:t>
      </w:r>
      <w:r w:rsidR="005E4D06" w:rsidRPr="005B17F2">
        <w:t>s</w:t>
      </w:r>
      <w:r w:rsidR="00727425" w:rsidRPr="005B17F2">
        <w:t xml:space="preserve"> (EF) </w:t>
      </w:r>
      <w:r w:rsidRPr="005B17F2">
        <w:t xml:space="preserve">for </w:t>
      </w:r>
      <w:r w:rsidR="00DE316B" w:rsidRPr="005B17F2">
        <w:t>all</w:t>
      </w:r>
      <w:r w:rsidRPr="005B17F2">
        <w:t xml:space="preserve"> </w:t>
      </w:r>
      <w:r w:rsidR="005E4D06" w:rsidRPr="005B17F2">
        <w:t>vehicle classses</w:t>
      </w:r>
      <w:r w:rsidRPr="005B17F2">
        <w:t xml:space="preserve"> and pollutants</w:t>
      </w:r>
      <w:r w:rsidR="00017B39" w:rsidRPr="005B17F2">
        <w:t>.</w:t>
      </w:r>
      <w:r w:rsidR="0027035E" w:rsidRPr="005B17F2">
        <w:t xml:space="preserve"> Where necessary a reduction factor (RF) </w:t>
      </w:r>
      <w:r w:rsidR="005B17F2">
        <w:t>is</w:t>
      </w:r>
      <w:r w:rsidR="0027035E" w:rsidRPr="005B17F2">
        <w:t xml:space="preserve"> applied.</w:t>
      </w:r>
    </w:p>
    <w:tbl>
      <w:tblPr>
        <w:tblStyle w:val="TableGrid"/>
        <w:tblW w:w="836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851"/>
      </w:tblGrid>
      <w:tr w:rsidR="00017B39" w:rsidRPr="005B17F2" w14:paraId="1EE675B6" w14:textId="77777777" w:rsidTr="00017B39">
        <w:tc>
          <w:tcPr>
            <w:tcW w:w="7513" w:type="dxa"/>
          </w:tcPr>
          <w:p w14:paraId="5283ED0C" w14:textId="1AD659EB" w:rsidR="00017B39" w:rsidRPr="005B17F2" w:rsidRDefault="00017B39" w:rsidP="00727425">
            <w:r w:rsidRPr="005B17F2">
              <w:rPr>
                <w:sz w:val="16"/>
                <w:lang w:val="it-IT"/>
              </w:rPr>
              <w:t>EF = (</w:t>
            </w:r>
            <w:r w:rsidR="00727425" w:rsidRPr="005B17F2">
              <w:rPr>
                <w:sz w:val="16"/>
                <w:lang w:val="it-IT"/>
              </w:rPr>
              <w:t>Alpha</w:t>
            </w:r>
            <w:r w:rsidR="00565E6D" w:rsidRPr="005B17F2">
              <w:rPr>
                <w:sz w:val="16"/>
                <w:lang w:val="it-IT"/>
              </w:rPr>
              <w:t xml:space="preserve"> x</w:t>
            </w:r>
            <w:r w:rsidRPr="005B17F2">
              <w:rPr>
                <w:sz w:val="16"/>
                <w:lang w:val="it-IT"/>
              </w:rPr>
              <w:t xml:space="preserve"> </w:t>
            </w:r>
            <w:r w:rsidR="00C219E1" w:rsidRPr="005B17F2">
              <w:rPr>
                <w:sz w:val="16"/>
                <w:lang w:val="it-IT"/>
              </w:rPr>
              <w:t>V</w:t>
            </w:r>
            <w:r w:rsidR="00C219E1" w:rsidRPr="005B17F2">
              <w:rPr>
                <w:sz w:val="16"/>
                <w:vertAlign w:val="superscript"/>
                <w:lang w:val="it-IT"/>
              </w:rPr>
              <w:t>2</w:t>
            </w:r>
            <w:r w:rsidR="00C219E1" w:rsidRPr="005B17F2">
              <w:rPr>
                <w:sz w:val="16"/>
                <w:lang w:val="it-IT"/>
              </w:rPr>
              <w:t xml:space="preserve"> </w:t>
            </w:r>
            <w:r w:rsidRPr="005B17F2">
              <w:rPr>
                <w:sz w:val="16"/>
                <w:lang w:val="it-IT"/>
              </w:rPr>
              <w:t xml:space="preserve">+ </w:t>
            </w:r>
            <w:r w:rsidR="00727425" w:rsidRPr="005B17F2">
              <w:rPr>
                <w:sz w:val="16"/>
                <w:lang w:val="it-IT"/>
              </w:rPr>
              <w:t>Beta</w:t>
            </w:r>
            <w:r w:rsidR="00565E6D" w:rsidRPr="005B17F2">
              <w:rPr>
                <w:sz w:val="16"/>
                <w:lang w:val="it-IT"/>
              </w:rPr>
              <w:t xml:space="preserve"> x</w:t>
            </w:r>
            <w:r w:rsidRPr="005B17F2">
              <w:rPr>
                <w:sz w:val="16"/>
                <w:lang w:val="it-IT"/>
              </w:rPr>
              <w:t xml:space="preserve"> V + </w:t>
            </w:r>
            <w:r w:rsidR="00727425" w:rsidRPr="005B17F2">
              <w:rPr>
                <w:sz w:val="16"/>
                <w:lang w:val="it-IT"/>
              </w:rPr>
              <w:t>Gamma</w:t>
            </w:r>
            <w:r w:rsidR="00C219E1" w:rsidRPr="005B17F2">
              <w:rPr>
                <w:sz w:val="16"/>
                <w:lang w:val="it-IT"/>
              </w:rPr>
              <w:t xml:space="preserve"> + </w:t>
            </w:r>
            <w:r w:rsidR="00727425" w:rsidRPr="005B17F2">
              <w:rPr>
                <w:sz w:val="16"/>
                <w:lang w:val="it-IT"/>
              </w:rPr>
              <w:t>Delta</w:t>
            </w:r>
            <w:r w:rsidR="00C219E1" w:rsidRPr="005B17F2">
              <w:rPr>
                <w:sz w:val="16"/>
                <w:lang w:val="it-IT"/>
              </w:rPr>
              <w:t xml:space="preserve"> / V</w:t>
            </w:r>
            <w:r w:rsidRPr="005B17F2">
              <w:rPr>
                <w:sz w:val="16"/>
                <w:lang w:val="it-IT"/>
              </w:rPr>
              <w:t>)</w:t>
            </w:r>
            <w:r w:rsidR="008B2912" w:rsidRPr="005B17F2">
              <w:rPr>
                <w:sz w:val="16"/>
                <w:lang w:val="it-IT"/>
              </w:rPr>
              <w:t xml:space="preserve"> </w:t>
            </w:r>
            <w:r w:rsidRPr="005B17F2">
              <w:rPr>
                <w:sz w:val="16"/>
                <w:lang w:val="it-IT"/>
              </w:rPr>
              <w:t>/</w:t>
            </w:r>
            <w:r w:rsidR="008B2912" w:rsidRPr="005B17F2">
              <w:rPr>
                <w:sz w:val="16"/>
                <w:lang w:val="it-IT"/>
              </w:rPr>
              <w:t xml:space="preserve"> </w:t>
            </w:r>
            <w:r w:rsidRPr="005B17F2">
              <w:rPr>
                <w:sz w:val="16"/>
                <w:lang w:val="it-IT"/>
              </w:rPr>
              <w:t>(</w:t>
            </w:r>
            <w:r w:rsidR="00727425" w:rsidRPr="005B17F2">
              <w:rPr>
                <w:sz w:val="16"/>
                <w:lang w:val="it-IT"/>
              </w:rPr>
              <w:t>Epsilon</w:t>
            </w:r>
            <w:r w:rsidR="00565E6D" w:rsidRPr="005B17F2">
              <w:rPr>
                <w:sz w:val="16"/>
                <w:lang w:val="it-IT"/>
              </w:rPr>
              <w:t xml:space="preserve"> x</w:t>
            </w:r>
            <w:r w:rsidR="00C219E1" w:rsidRPr="005B17F2">
              <w:rPr>
                <w:sz w:val="16"/>
                <w:lang w:val="it-IT"/>
              </w:rPr>
              <w:t xml:space="preserve"> V</w:t>
            </w:r>
            <w:r w:rsidR="00C219E1" w:rsidRPr="005B17F2">
              <w:rPr>
                <w:sz w:val="16"/>
                <w:vertAlign w:val="superscript"/>
                <w:lang w:val="it-IT"/>
              </w:rPr>
              <w:t>2</w:t>
            </w:r>
            <w:r w:rsidR="00C219E1" w:rsidRPr="005B17F2">
              <w:rPr>
                <w:sz w:val="16"/>
                <w:lang w:val="it-IT"/>
              </w:rPr>
              <w:t xml:space="preserve"> </w:t>
            </w:r>
            <w:r w:rsidRPr="005B17F2">
              <w:rPr>
                <w:sz w:val="16"/>
                <w:lang w:val="it-IT"/>
              </w:rPr>
              <w:t xml:space="preserve">+ </w:t>
            </w:r>
            <w:r w:rsidR="005E4D06" w:rsidRPr="005B17F2">
              <w:rPr>
                <w:sz w:val="16"/>
                <w:lang w:val="it-IT"/>
              </w:rPr>
              <w:t xml:space="preserve">Zeta </w:t>
            </w:r>
            <w:r w:rsidR="00565E6D" w:rsidRPr="005B17F2">
              <w:rPr>
                <w:sz w:val="16"/>
                <w:lang w:val="it-IT"/>
              </w:rPr>
              <w:t>x</w:t>
            </w:r>
            <w:r w:rsidRPr="005B17F2">
              <w:rPr>
                <w:sz w:val="16"/>
                <w:lang w:val="it-IT"/>
              </w:rPr>
              <w:t xml:space="preserve"> V + </w:t>
            </w:r>
            <w:r w:rsidR="005E4D06" w:rsidRPr="005B17F2">
              <w:rPr>
                <w:sz w:val="16"/>
                <w:lang w:val="it-IT"/>
              </w:rPr>
              <w:t>Eta</w:t>
            </w:r>
            <w:r w:rsidRPr="005B17F2">
              <w:rPr>
                <w:sz w:val="16"/>
                <w:lang w:val="it-IT"/>
              </w:rPr>
              <w:t>)</w:t>
            </w:r>
            <w:r w:rsidR="008B2912" w:rsidRPr="005B17F2">
              <w:rPr>
                <w:sz w:val="16"/>
                <w:lang w:val="it-IT"/>
              </w:rPr>
              <w:t xml:space="preserve"> </w:t>
            </w:r>
            <w:r w:rsidR="008C7645" w:rsidRPr="005B17F2">
              <w:rPr>
                <w:sz w:val="16"/>
                <w:lang w:val="it-IT"/>
              </w:rPr>
              <w:t>x</w:t>
            </w:r>
            <w:r w:rsidR="008B2912" w:rsidRPr="005B17F2">
              <w:rPr>
                <w:sz w:val="16"/>
                <w:lang w:val="it-IT"/>
              </w:rPr>
              <w:t xml:space="preserve"> </w:t>
            </w:r>
            <w:r w:rsidR="008C7645" w:rsidRPr="005B17F2">
              <w:rPr>
                <w:sz w:val="16"/>
                <w:lang w:val="it-IT"/>
              </w:rPr>
              <w:t>(1 - RF)</w:t>
            </w:r>
          </w:p>
        </w:tc>
        <w:tc>
          <w:tcPr>
            <w:tcW w:w="851" w:type="dxa"/>
          </w:tcPr>
          <w:p w14:paraId="2A29C139" w14:textId="354CD2B3" w:rsidR="00017B39" w:rsidRPr="005B17F2" w:rsidRDefault="00DE316B" w:rsidP="00017B39">
            <w:bookmarkStart w:id="182" w:name="_Ref476242130"/>
            <w:bookmarkStart w:id="183" w:name="_Ref476581033"/>
            <w:r w:rsidRPr="005B17F2">
              <w:t>(</w:t>
            </w:r>
            <w:r w:rsidR="00E17971" w:rsidRPr="005B17F2">
              <w:fldChar w:fldCharType="begin"/>
            </w:r>
            <w:r w:rsidR="00017B39" w:rsidRPr="005B17F2">
              <w:instrText xml:space="preserve"> SEQ Εξίσωση \* ARABIC </w:instrText>
            </w:r>
            <w:r w:rsidR="00E17971" w:rsidRPr="005B17F2">
              <w:fldChar w:fldCharType="separate"/>
            </w:r>
            <w:r w:rsidR="0071604C">
              <w:rPr>
                <w:noProof/>
              </w:rPr>
              <w:t>25</w:t>
            </w:r>
            <w:r w:rsidR="00E17971" w:rsidRPr="005B17F2">
              <w:fldChar w:fldCharType="end"/>
            </w:r>
            <w:bookmarkEnd w:id="182"/>
            <w:r w:rsidRPr="005B17F2">
              <w:t>)</w:t>
            </w:r>
            <w:bookmarkEnd w:id="183"/>
          </w:p>
        </w:tc>
      </w:tr>
    </w:tbl>
    <w:p w14:paraId="0A3E7DF8" w14:textId="6836C706" w:rsidR="009E6B24" w:rsidRDefault="009E6B24" w:rsidP="00D75127">
      <w:pPr>
        <w:rPr>
          <w:u w:val="single"/>
          <w:lang w:val="en-GB"/>
        </w:rPr>
      </w:pPr>
    </w:p>
    <w:p w14:paraId="1A734513" w14:textId="77777777" w:rsidR="00D75127" w:rsidRPr="000855B2" w:rsidRDefault="00D75127" w:rsidP="00D75127">
      <w:pPr>
        <w:rPr>
          <w:u w:val="single"/>
          <w:lang w:val="en-GB"/>
        </w:rPr>
      </w:pPr>
      <w:r w:rsidRPr="00017B39">
        <w:rPr>
          <w:u w:val="single"/>
          <w:lang w:val="en-GB"/>
        </w:rPr>
        <w:t>Cold start emissions</w:t>
      </w:r>
    </w:p>
    <w:p w14:paraId="532DA34C" w14:textId="77777777" w:rsidR="006C3329" w:rsidRPr="000855B2" w:rsidRDefault="006C3329" w:rsidP="006C3329">
      <w:pPr>
        <w:pStyle w:val="Heading5"/>
        <w:spacing w:after="120"/>
      </w:pPr>
      <w:r w:rsidRPr="000855B2">
        <w:t>Pre Euro 1</w:t>
      </w:r>
      <w:r>
        <w:t xml:space="preserve"> vehicles</w:t>
      </w:r>
    </w:p>
    <w:p w14:paraId="18DE79B2" w14:textId="3CDB9372" w:rsidR="001D2587" w:rsidRPr="000855B2" w:rsidRDefault="00FB454C" w:rsidP="00546C89">
      <w:pPr>
        <w:pStyle w:val="BodyText"/>
      </w:pPr>
      <w:r>
        <w:fldChar w:fldCharType="begin"/>
      </w:r>
      <w:r>
        <w:instrText xml:space="preserve"> REF _Ref140400956 \h  \* MERGEFORMAT </w:instrText>
      </w:r>
      <w:r>
        <w:fldChar w:fldCharType="separate"/>
      </w:r>
      <w:r w:rsidR="0071604C" w:rsidRPr="000855B2">
        <w:t>Table </w:t>
      </w:r>
      <w:r w:rsidR="0071604C">
        <w:t>3.37</w:t>
      </w:r>
      <w:r>
        <w:fldChar w:fldCharType="end"/>
      </w:r>
      <w:r w:rsidR="001D2587" w:rsidRPr="000855B2">
        <w:t xml:space="preserve"> provides e</w:t>
      </w:r>
      <w:r w:rsidR="001D2587" w:rsidRPr="000855B2">
        <w:rPr>
          <w:vertAlign w:val="superscript"/>
        </w:rPr>
        <w:t>COLD</w:t>
      </w:r>
      <w:r w:rsidR="001D2587" w:rsidRPr="000855B2">
        <w:t>/e</w:t>
      </w:r>
      <w:r w:rsidR="001D2587" w:rsidRPr="000855B2">
        <w:rPr>
          <w:vertAlign w:val="superscript"/>
        </w:rPr>
        <w:t>HOT</w:t>
      </w:r>
      <w:r w:rsidR="001D2587" w:rsidRPr="000855B2">
        <w:t xml:space="preserve"> emission </w:t>
      </w:r>
      <w:r w:rsidR="0027709C" w:rsidRPr="000855B2">
        <w:t>quotients</w:t>
      </w:r>
      <w:r w:rsidR="001D2587" w:rsidRPr="000855B2">
        <w:t xml:space="preserve"> for </w:t>
      </w:r>
      <w:r w:rsidR="0027709C" w:rsidRPr="000855B2">
        <w:t xml:space="preserve">the </w:t>
      </w:r>
      <w:r w:rsidR="001D2587" w:rsidRPr="000855B2">
        <w:t xml:space="preserve">pollutants </w:t>
      </w:r>
      <w:r w:rsidR="0027709C" w:rsidRPr="000855B2">
        <w:t>in</w:t>
      </w:r>
      <w:r w:rsidR="001D2587" w:rsidRPr="000855B2">
        <w:t xml:space="preserve"> Group 1. The </w:t>
      </w:r>
      <w:r w:rsidR="001D2587" w:rsidRPr="000855B2">
        <w:rPr>
          <w:i/>
        </w:rPr>
        <w:sym w:font="Symbol" w:char="F062"/>
      </w:r>
      <w:r w:rsidR="001D2587" w:rsidRPr="000855B2">
        <w:t xml:space="preserve">-parameter is calculated by means of </w:t>
      </w:r>
      <w:r w:rsidR="0027709C" w:rsidRPr="000855B2">
        <w:t xml:space="preserve">the </w:t>
      </w:r>
      <w:r w:rsidR="001D2587" w:rsidRPr="000855B2">
        <w:t xml:space="preserve">equation provided </w:t>
      </w:r>
      <w:r w:rsidR="00D75127">
        <w:rPr>
          <w:lang w:val="en-US"/>
        </w:rPr>
        <w:t>in</w:t>
      </w:r>
      <w:r w:rsidR="004A6CE9">
        <w:rPr>
          <w:lang w:val="en-US"/>
        </w:rPr>
        <w:t xml:space="preserve"> </w:t>
      </w:r>
      <w:r w:rsidR="00E17971">
        <w:rPr>
          <w:lang w:val="en-US"/>
        </w:rPr>
        <w:fldChar w:fldCharType="begin"/>
      </w:r>
      <w:r w:rsidR="004A6CE9">
        <w:rPr>
          <w:lang w:val="en-US"/>
        </w:rPr>
        <w:instrText xml:space="preserve"> REF _Ref480562861 \h </w:instrText>
      </w:r>
      <w:r w:rsidR="00E17971">
        <w:rPr>
          <w:lang w:val="en-US"/>
        </w:rPr>
      </w:r>
      <w:r w:rsidR="00E17971">
        <w:rPr>
          <w:lang w:val="en-US"/>
        </w:rPr>
        <w:fldChar w:fldCharType="separate"/>
      </w:r>
      <w:r w:rsidR="0071604C" w:rsidRPr="000855B2">
        <w:t>Table </w:t>
      </w:r>
      <w:r w:rsidR="0071604C">
        <w:rPr>
          <w:noProof/>
        </w:rPr>
        <w:t>3</w:t>
      </w:r>
      <w:r w:rsidR="0071604C">
        <w:t>.</w:t>
      </w:r>
      <w:r w:rsidR="0071604C">
        <w:rPr>
          <w:noProof/>
        </w:rPr>
        <w:t>38</w:t>
      </w:r>
      <w:r w:rsidR="00E17971">
        <w:rPr>
          <w:lang w:val="en-US"/>
        </w:rPr>
        <w:fldChar w:fldCharType="end"/>
      </w:r>
      <w:r w:rsidR="001D2587" w:rsidRPr="000855B2">
        <w:t xml:space="preserve">. </w:t>
      </w:r>
      <w:r w:rsidR="0069595F" w:rsidRPr="000855B2">
        <w:t>The</w:t>
      </w:r>
      <w:r w:rsidR="0027709C" w:rsidRPr="000855B2">
        <w:t xml:space="preserve"> i</w:t>
      </w:r>
      <w:r w:rsidR="001D2587" w:rsidRPr="000855B2">
        <w:t xml:space="preserve">ntroduction of the values in equation </w:t>
      </w:r>
      <w:r>
        <w:fldChar w:fldCharType="begin"/>
      </w:r>
      <w:r>
        <w:instrText xml:space="preserve"> REF _Ref140576425 \h  \* MERGEFORMAT </w:instrText>
      </w:r>
      <w:r>
        <w:fldChar w:fldCharType="separate"/>
      </w:r>
      <w:r w:rsidR="0071604C" w:rsidRPr="000855B2">
        <w:t>(</w:t>
      </w:r>
      <w:r w:rsidR="0071604C">
        <w:rPr>
          <w:noProof/>
        </w:rPr>
        <w:t>10</w:t>
      </w:r>
      <w:r w:rsidR="0071604C" w:rsidRPr="000855B2">
        <w:rPr>
          <w:noProof/>
        </w:rPr>
        <w:t>)</w:t>
      </w:r>
      <w:r>
        <w:fldChar w:fldCharType="end"/>
      </w:r>
      <w:r w:rsidR="001D2587" w:rsidRPr="000855B2">
        <w:t>, together with the hot emission factors quoted previously</w:t>
      </w:r>
      <w:r w:rsidR="0027709C" w:rsidRPr="000855B2">
        <w:t>,</w:t>
      </w:r>
      <w:r w:rsidR="001D2587" w:rsidRPr="000855B2">
        <w:t xml:space="preserve"> provides estimates of cold</w:t>
      </w:r>
      <w:r w:rsidR="0027709C" w:rsidRPr="000855B2">
        <w:t>-</w:t>
      </w:r>
      <w:r w:rsidR="001D2587" w:rsidRPr="000855B2">
        <w:t xml:space="preserve">start emissions. Again, the </w:t>
      </w:r>
      <w:r w:rsidR="0027709C" w:rsidRPr="000855B2">
        <w:t>quotients were</w:t>
      </w:r>
      <w:r w:rsidR="001D2587" w:rsidRPr="000855B2">
        <w:t xml:space="preserve"> produced during older </w:t>
      </w:r>
      <w:r w:rsidR="00461783">
        <w:t>COPERT</w:t>
      </w:r>
      <w:r w:rsidR="001D2587" w:rsidRPr="000855B2">
        <w:t xml:space="preserve"> versions.</w:t>
      </w:r>
    </w:p>
    <w:p w14:paraId="29EF6866" w14:textId="1ED9AB68" w:rsidR="001D2587" w:rsidRPr="000855B2" w:rsidRDefault="00A040D1" w:rsidP="00C92B1B">
      <w:pPr>
        <w:pStyle w:val="Caption"/>
      </w:pPr>
      <w:bookmarkStart w:id="184" w:name="_Ref140400956"/>
      <w:bookmarkStart w:id="185" w:name="_Ref248822577"/>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37</w:t>
      </w:r>
      <w:r w:rsidR="00FB454C">
        <w:rPr>
          <w:noProof/>
        </w:rPr>
        <w:fldChar w:fldCharType="end"/>
      </w:r>
      <w:bookmarkEnd w:id="184"/>
      <w:bookmarkEnd w:id="185"/>
      <w:r w:rsidR="001D2587" w:rsidRPr="000855B2">
        <w:t xml:space="preserve">: </w:t>
      </w:r>
      <w:r w:rsidR="0027709C" w:rsidRPr="000855B2">
        <w:t xml:space="preserve">Cold-start </w:t>
      </w:r>
      <w:r w:rsidR="001D2587" w:rsidRPr="000855B2">
        <w:t xml:space="preserve">emission </w:t>
      </w:r>
      <w:r w:rsidR="0027709C" w:rsidRPr="000855B2">
        <w:t>quotient</w:t>
      </w:r>
      <w:r w:rsidR="001D2587" w:rsidRPr="000855B2">
        <w:t xml:space="preserve"> </w:t>
      </w:r>
      <w:r w:rsidR="0027709C" w:rsidRPr="000855B2">
        <w:t>(e</w:t>
      </w:r>
      <w:r w:rsidR="0027709C" w:rsidRPr="000855B2">
        <w:rPr>
          <w:vertAlign w:val="superscript"/>
        </w:rPr>
        <w:t>COLD</w:t>
      </w:r>
      <w:r w:rsidR="0027709C" w:rsidRPr="000855B2">
        <w:t>/e</w:t>
      </w:r>
      <w:r w:rsidR="001D2587" w:rsidRPr="000855B2">
        <w:rPr>
          <w:vertAlign w:val="superscript"/>
        </w:rPr>
        <w:t>HOT</w:t>
      </w:r>
      <w:r w:rsidR="0027709C" w:rsidRPr="000855B2">
        <w:t>)</w:t>
      </w:r>
      <w:r w:rsidR="001D2587" w:rsidRPr="000855B2">
        <w:t xml:space="preserve"> for conventional </w:t>
      </w:r>
      <w:r w:rsidR="005E4DC4">
        <w:t>petrol</w:t>
      </w:r>
      <w:r w:rsidR="001D2587" w:rsidRPr="000855B2">
        <w:t xml:space="preserve"> vehicles (temperature range of –10</w:t>
      </w:r>
      <w:r w:rsidR="002B1FFD" w:rsidRPr="000855B2">
        <w:t> °C</w:t>
      </w:r>
      <w:r w:rsidR="001D2587" w:rsidRPr="000855B2">
        <w:t xml:space="preserve"> to 30</w:t>
      </w:r>
      <w:r w:rsidR="002B1FFD" w:rsidRPr="000855B2">
        <w:t> °C</w:t>
      </w:r>
      <w:r w:rsidR="001D2587" w:rsidRPr="000855B2">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874"/>
        <w:gridCol w:w="2126"/>
      </w:tblGrid>
      <w:tr w:rsidR="0027709C" w:rsidRPr="000855B2" w14:paraId="4EA6896A" w14:textId="77777777" w:rsidTr="005B17F2">
        <w:trPr>
          <w:cantSplit/>
          <w:trHeight w:val="262"/>
        </w:trPr>
        <w:tc>
          <w:tcPr>
            <w:tcW w:w="1874" w:type="dxa"/>
            <w:tcBorders>
              <w:bottom w:val="single" w:sz="12" w:space="0" w:color="auto"/>
            </w:tcBorders>
            <w:shd w:val="clear" w:color="000000" w:fill="FFFFFF"/>
            <w:vAlign w:val="center"/>
          </w:tcPr>
          <w:p w14:paraId="6084D683" w14:textId="650349D9" w:rsidR="0027709C" w:rsidRPr="000855B2" w:rsidRDefault="0027709C"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 xml:space="preserve">Pollutant or </w:t>
            </w:r>
            <w:r w:rsidR="00632F81">
              <w:rPr>
                <w:rFonts w:ascii="Open Sans" w:hAnsi="Open Sans" w:cs="Open Sans"/>
                <w:b/>
                <w:sz w:val="18"/>
                <w:lang w:val="en-GB"/>
              </w:rPr>
              <w:t>E</w:t>
            </w:r>
            <w:r w:rsidRPr="000855B2">
              <w:rPr>
                <w:rFonts w:ascii="Open Sans" w:hAnsi="Open Sans" w:cs="Open Sans"/>
                <w:b/>
                <w:sz w:val="18"/>
                <w:lang w:val="en-GB"/>
              </w:rPr>
              <w:t>C</w:t>
            </w:r>
          </w:p>
        </w:tc>
        <w:tc>
          <w:tcPr>
            <w:tcW w:w="2126" w:type="dxa"/>
            <w:tcBorders>
              <w:left w:val="nil"/>
              <w:bottom w:val="single" w:sz="12" w:space="0" w:color="auto"/>
            </w:tcBorders>
            <w:shd w:val="clear" w:color="000000" w:fill="FFFFFF"/>
            <w:vAlign w:val="center"/>
          </w:tcPr>
          <w:p w14:paraId="6326480A" w14:textId="77777777" w:rsidR="0027709C" w:rsidRPr="000855B2" w:rsidRDefault="0027709C"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w:t>
            </w:r>
            <w:r w:rsidRPr="000855B2">
              <w:rPr>
                <w:rFonts w:ascii="Open Sans" w:hAnsi="Open Sans" w:cs="Open Sans"/>
                <w:b/>
                <w:sz w:val="18"/>
                <w:vertAlign w:val="superscript"/>
                <w:lang w:val="en-GB"/>
              </w:rPr>
              <w:t>COLD</w:t>
            </w:r>
            <w:r w:rsidRPr="000855B2">
              <w:rPr>
                <w:rFonts w:ascii="Open Sans" w:hAnsi="Open Sans" w:cs="Open Sans"/>
                <w:b/>
                <w:sz w:val="18"/>
                <w:lang w:val="en-GB"/>
              </w:rPr>
              <w:t xml:space="preserve"> / e</w:t>
            </w:r>
            <w:r w:rsidRPr="000855B2">
              <w:rPr>
                <w:rFonts w:ascii="Open Sans" w:hAnsi="Open Sans" w:cs="Open Sans"/>
                <w:b/>
                <w:sz w:val="18"/>
                <w:vertAlign w:val="superscript"/>
                <w:lang w:val="en-GB"/>
              </w:rPr>
              <w:t>HOT</w:t>
            </w:r>
          </w:p>
        </w:tc>
      </w:tr>
      <w:tr w:rsidR="001D2587" w:rsidRPr="000855B2" w14:paraId="34E88075" w14:textId="77777777" w:rsidTr="005B17F2">
        <w:trPr>
          <w:cantSplit/>
          <w:trHeight w:val="240"/>
        </w:trPr>
        <w:tc>
          <w:tcPr>
            <w:tcW w:w="1874" w:type="dxa"/>
            <w:tcBorders>
              <w:top w:val="single" w:sz="12" w:space="0" w:color="auto"/>
            </w:tcBorders>
          </w:tcPr>
          <w:p w14:paraId="65F282EB"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CO</w:t>
            </w:r>
          </w:p>
        </w:tc>
        <w:tc>
          <w:tcPr>
            <w:tcW w:w="2126" w:type="dxa"/>
            <w:tcBorders>
              <w:top w:val="single" w:sz="12" w:space="0" w:color="auto"/>
            </w:tcBorders>
          </w:tcPr>
          <w:p w14:paraId="2395624A"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3.7 - 0.09  t</w:t>
            </w:r>
            <w:r w:rsidRPr="000855B2">
              <w:rPr>
                <w:rFonts w:ascii="Open Sans" w:hAnsi="Open Sans" w:cs="Open Sans"/>
                <w:sz w:val="18"/>
                <w:vertAlign w:val="subscript"/>
                <w:lang w:val="en-GB"/>
              </w:rPr>
              <w:t>a</w:t>
            </w:r>
          </w:p>
        </w:tc>
      </w:tr>
      <w:tr w:rsidR="001D2587" w:rsidRPr="000855B2" w14:paraId="49BC8D6F" w14:textId="77777777" w:rsidTr="005B17F2">
        <w:trPr>
          <w:cantSplit/>
          <w:trHeight w:val="240"/>
        </w:trPr>
        <w:tc>
          <w:tcPr>
            <w:tcW w:w="1874" w:type="dxa"/>
          </w:tcPr>
          <w:p w14:paraId="5694DE98"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NO</w:t>
            </w:r>
            <w:r w:rsidRPr="000855B2">
              <w:rPr>
                <w:rFonts w:ascii="Open Sans" w:hAnsi="Open Sans" w:cs="Open Sans"/>
                <w:sz w:val="18"/>
                <w:vertAlign w:val="subscript"/>
                <w:lang w:val="en-GB"/>
              </w:rPr>
              <w:t>x</w:t>
            </w:r>
          </w:p>
        </w:tc>
        <w:tc>
          <w:tcPr>
            <w:tcW w:w="2126" w:type="dxa"/>
          </w:tcPr>
          <w:p w14:paraId="282C621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1.14 - 0.006  t</w:t>
            </w:r>
            <w:r w:rsidRPr="000855B2">
              <w:rPr>
                <w:rFonts w:ascii="Open Sans" w:hAnsi="Open Sans" w:cs="Open Sans"/>
                <w:sz w:val="18"/>
                <w:vertAlign w:val="subscript"/>
                <w:lang w:val="en-GB"/>
              </w:rPr>
              <w:t>a</w:t>
            </w:r>
          </w:p>
        </w:tc>
      </w:tr>
      <w:tr w:rsidR="001D2587" w:rsidRPr="000855B2" w14:paraId="67410F26" w14:textId="77777777" w:rsidTr="005B17F2">
        <w:trPr>
          <w:cantSplit/>
          <w:trHeight w:val="240"/>
        </w:trPr>
        <w:tc>
          <w:tcPr>
            <w:tcW w:w="1874" w:type="dxa"/>
          </w:tcPr>
          <w:p w14:paraId="618ABD2E"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VOC</w:t>
            </w:r>
          </w:p>
        </w:tc>
        <w:tc>
          <w:tcPr>
            <w:tcW w:w="2126" w:type="dxa"/>
          </w:tcPr>
          <w:p w14:paraId="2288701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2.8 - 0.06  t</w:t>
            </w:r>
            <w:r w:rsidRPr="000855B2">
              <w:rPr>
                <w:rFonts w:ascii="Open Sans" w:hAnsi="Open Sans" w:cs="Open Sans"/>
                <w:sz w:val="18"/>
                <w:vertAlign w:val="subscript"/>
                <w:lang w:val="en-GB"/>
              </w:rPr>
              <w:t>a</w:t>
            </w:r>
          </w:p>
        </w:tc>
      </w:tr>
      <w:tr w:rsidR="001D2587" w:rsidRPr="000855B2" w14:paraId="171A7BE1" w14:textId="77777777" w:rsidTr="005B17F2">
        <w:trPr>
          <w:cantSplit/>
          <w:trHeight w:val="240"/>
        </w:trPr>
        <w:tc>
          <w:tcPr>
            <w:tcW w:w="1874" w:type="dxa"/>
          </w:tcPr>
          <w:p w14:paraId="45EF1B1E" w14:textId="3634F228" w:rsidR="001D2587" w:rsidRPr="000855B2" w:rsidRDefault="00632F81" w:rsidP="005C7955">
            <w:pPr>
              <w:pStyle w:val="Table"/>
              <w:spacing w:line="240" w:lineRule="atLeast"/>
              <w:rPr>
                <w:rFonts w:ascii="Open Sans" w:hAnsi="Open Sans" w:cs="Open Sans"/>
                <w:sz w:val="18"/>
                <w:lang w:val="en-GB"/>
              </w:rPr>
            </w:pPr>
            <w:r>
              <w:rPr>
                <w:rFonts w:ascii="Open Sans" w:hAnsi="Open Sans" w:cs="Open Sans"/>
                <w:sz w:val="18"/>
                <w:lang w:val="en-GB"/>
              </w:rPr>
              <w:t>Energy</w:t>
            </w:r>
            <w:r w:rsidRPr="000855B2">
              <w:rPr>
                <w:rFonts w:ascii="Open Sans" w:hAnsi="Open Sans" w:cs="Open Sans"/>
                <w:sz w:val="18"/>
                <w:lang w:val="en-GB"/>
              </w:rPr>
              <w:t xml:space="preserve"> </w:t>
            </w:r>
            <w:r w:rsidR="00264170" w:rsidRPr="000855B2">
              <w:rPr>
                <w:rFonts w:ascii="Open Sans" w:hAnsi="Open Sans" w:cs="Open Sans"/>
                <w:sz w:val="18"/>
                <w:lang w:val="en-GB"/>
              </w:rPr>
              <w:t>c</w:t>
            </w:r>
            <w:r w:rsidR="001D2587" w:rsidRPr="000855B2">
              <w:rPr>
                <w:rFonts w:ascii="Open Sans" w:hAnsi="Open Sans" w:cs="Open Sans"/>
                <w:sz w:val="18"/>
                <w:lang w:val="en-GB"/>
              </w:rPr>
              <w:t>onsumption</w:t>
            </w:r>
          </w:p>
        </w:tc>
        <w:tc>
          <w:tcPr>
            <w:tcW w:w="2126" w:type="dxa"/>
          </w:tcPr>
          <w:p w14:paraId="00F02079"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1.47 - 0.009  t</w:t>
            </w:r>
            <w:r w:rsidRPr="000855B2">
              <w:rPr>
                <w:rFonts w:ascii="Open Sans" w:hAnsi="Open Sans" w:cs="Open Sans"/>
                <w:sz w:val="18"/>
                <w:vertAlign w:val="subscript"/>
                <w:lang w:val="en-GB"/>
              </w:rPr>
              <w:t>a</w:t>
            </w:r>
          </w:p>
        </w:tc>
      </w:tr>
    </w:tbl>
    <w:p w14:paraId="6E0F29DF" w14:textId="58CF5455" w:rsidR="001D2587" w:rsidRPr="000855B2" w:rsidRDefault="00A040D1" w:rsidP="00C92B1B">
      <w:pPr>
        <w:pStyle w:val="Caption"/>
      </w:pPr>
      <w:bookmarkStart w:id="186" w:name="_Ref140400973"/>
      <w:bookmarkStart w:id="187" w:name="_Ref248822603"/>
      <w:bookmarkStart w:id="188" w:name="_Ref480562861"/>
      <w:bookmarkStart w:id="189" w:name="_Toc388276155"/>
      <w:bookmarkStart w:id="190" w:name="_Toc402632413"/>
      <w:bookmarkStart w:id="191" w:name="_Toc402632467"/>
      <w:bookmarkStart w:id="192" w:name="_Toc482876839"/>
      <w:bookmarkStart w:id="193" w:name="_Toc496265292"/>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38</w:t>
      </w:r>
      <w:r w:rsidR="00FB454C">
        <w:rPr>
          <w:noProof/>
        </w:rPr>
        <w:fldChar w:fldCharType="end"/>
      </w:r>
      <w:bookmarkEnd w:id="186"/>
      <w:bookmarkEnd w:id="187"/>
      <w:bookmarkEnd w:id="188"/>
      <w:r w:rsidR="001D2587" w:rsidRPr="000855B2">
        <w:t xml:space="preserve">: Cold mileage percentage </w:t>
      </w:r>
      <w:r w:rsidR="001D2587" w:rsidRPr="000855B2">
        <w:rPr>
          <w:i/>
        </w:rPr>
        <w:sym w:font="Symbol" w:char="F062"/>
      </w:r>
      <w:bookmarkEnd w:id="189"/>
      <w:bookmarkEnd w:id="190"/>
      <w:bookmarkEnd w:id="191"/>
      <w:bookmarkEnd w:id="192"/>
      <w:bookmarkEnd w:id="193"/>
    </w:p>
    <w:tbl>
      <w:tblPr>
        <w:tblW w:w="6976"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30" w:type="dxa"/>
          <w:right w:w="30" w:type="dxa"/>
        </w:tblCellMar>
        <w:tblLook w:val="00A0" w:firstRow="1" w:lastRow="0" w:firstColumn="1" w:lastColumn="0" w:noHBand="0" w:noVBand="0"/>
      </w:tblPr>
      <w:tblGrid>
        <w:gridCol w:w="2440"/>
        <w:gridCol w:w="4536"/>
      </w:tblGrid>
      <w:tr w:rsidR="001D2587" w:rsidRPr="000855B2" w14:paraId="48D2FF13" w14:textId="77777777" w:rsidTr="00246BA6">
        <w:trPr>
          <w:cantSplit/>
          <w:trHeight w:val="274"/>
        </w:trPr>
        <w:tc>
          <w:tcPr>
            <w:tcW w:w="2440" w:type="dxa"/>
            <w:tcBorders>
              <w:bottom w:val="single" w:sz="12" w:space="0" w:color="auto"/>
            </w:tcBorders>
            <w:vAlign w:val="center"/>
          </w:tcPr>
          <w:p w14:paraId="56C65220"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Calculations based on</w:t>
            </w:r>
          </w:p>
        </w:tc>
        <w:tc>
          <w:tcPr>
            <w:tcW w:w="4536" w:type="dxa"/>
            <w:tcBorders>
              <w:bottom w:val="single" w:sz="12" w:space="0" w:color="auto"/>
            </w:tcBorders>
            <w:vAlign w:val="center"/>
          </w:tcPr>
          <w:p w14:paraId="11496C78"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i/>
                <w:sz w:val="18"/>
                <w:lang w:val="en-GB"/>
              </w:rPr>
              <w:sym w:font="Symbol" w:char="F062"/>
            </w:r>
            <w:r w:rsidRPr="000855B2">
              <w:rPr>
                <w:rFonts w:ascii="Open Sans" w:hAnsi="Open Sans" w:cs="Open Sans"/>
                <w:b/>
                <w:sz w:val="18"/>
                <w:lang w:val="en-GB"/>
              </w:rPr>
              <w:t>-parameter (Beta parameter)</w:t>
            </w:r>
          </w:p>
        </w:tc>
      </w:tr>
      <w:tr w:rsidR="001D2587" w:rsidRPr="000855B2" w14:paraId="125F8918" w14:textId="77777777" w:rsidTr="00246BA6">
        <w:trPr>
          <w:cantSplit/>
          <w:trHeight w:hRule="exact" w:val="320"/>
        </w:trPr>
        <w:tc>
          <w:tcPr>
            <w:tcW w:w="2440" w:type="dxa"/>
            <w:tcBorders>
              <w:top w:val="single" w:sz="12" w:space="0" w:color="auto"/>
            </w:tcBorders>
            <w:vAlign w:val="center"/>
          </w:tcPr>
          <w:p w14:paraId="619060AE"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Estimated l</w:t>
            </w:r>
            <w:r w:rsidRPr="000855B2">
              <w:rPr>
                <w:rFonts w:ascii="Open Sans" w:hAnsi="Open Sans" w:cs="Open Sans"/>
                <w:sz w:val="18"/>
                <w:vertAlign w:val="subscript"/>
                <w:lang w:val="en-GB"/>
              </w:rPr>
              <w:t>trip</w:t>
            </w:r>
          </w:p>
        </w:tc>
        <w:tc>
          <w:tcPr>
            <w:tcW w:w="4536" w:type="dxa"/>
            <w:tcBorders>
              <w:top w:val="single" w:sz="12" w:space="0" w:color="auto"/>
            </w:tcBorders>
            <w:vAlign w:val="center"/>
          </w:tcPr>
          <w:p w14:paraId="7AD9D8CF"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0.6474 - 0.02545 × l</w:t>
            </w:r>
            <w:r w:rsidRPr="000855B2">
              <w:rPr>
                <w:rFonts w:ascii="Open Sans" w:hAnsi="Open Sans" w:cs="Open Sans"/>
                <w:sz w:val="18"/>
                <w:vertAlign w:val="subscript"/>
                <w:lang w:val="en-GB"/>
              </w:rPr>
              <w:t>trip</w:t>
            </w:r>
            <w:r w:rsidRPr="000855B2">
              <w:rPr>
                <w:rFonts w:ascii="Open Sans" w:hAnsi="Open Sans" w:cs="Open Sans"/>
                <w:sz w:val="18"/>
                <w:lang w:val="en-GB"/>
              </w:rPr>
              <w:t xml:space="preserve"> - (0.00974 - 0.000385 × l</w:t>
            </w:r>
            <w:r w:rsidRPr="000855B2">
              <w:rPr>
                <w:rFonts w:ascii="Open Sans" w:hAnsi="Open Sans" w:cs="Open Sans"/>
                <w:sz w:val="18"/>
                <w:vertAlign w:val="subscript"/>
                <w:lang w:val="en-GB"/>
              </w:rPr>
              <w:t>trip</w:t>
            </w:r>
            <w:r w:rsidRPr="000855B2">
              <w:rPr>
                <w:rFonts w:ascii="Open Sans" w:hAnsi="Open Sans" w:cs="Open Sans"/>
                <w:sz w:val="18"/>
                <w:lang w:val="en-GB"/>
              </w:rPr>
              <w:t>) × t</w:t>
            </w:r>
            <w:r w:rsidRPr="000855B2">
              <w:rPr>
                <w:rFonts w:ascii="Open Sans" w:hAnsi="Open Sans" w:cs="Open Sans"/>
                <w:sz w:val="18"/>
                <w:vertAlign w:val="subscript"/>
                <w:lang w:val="en-GB"/>
              </w:rPr>
              <w:t>a</w:t>
            </w:r>
          </w:p>
        </w:tc>
      </w:tr>
    </w:tbl>
    <w:p w14:paraId="761B15FD" w14:textId="77777777" w:rsidR="001D2587" w:rsidRDefault="001D2587" w:rsidP="0027709C">
      <w:pPr>
        <w:pStyle w:val="Heading5"/>
        <w:spacing w:after="120"/>
      </w:pPr>
      <w:r w:rsidRPr="000855B2">
        <w:t xml:space="preserve">Euro 1 </w:t>
      </w:r>
      <w:r w:rsidR="00DA7AB6" w:rsidRPr="000855B2">
        <w:t>and later</w:t>
      </w:r>
      <w:r w:rsidR="006C3329">
        <w:t xml:space="preserve"> vehicles</w:t>
      </w:r>
    </w:p>
    <w:p w14:paraId="08277490" w14:textId="6C69C708" w:rsidR="001D2587" w:rsidRPr="000855B2" w:rsidRDefault="00A040D1" w:rsidP="00C92B1B">
      <w:pPr>
        <w:pStyle w:val="Caption"/>
      </w:pPr>
      <w:bookmarkStart w:id="194" w:name="_Ref140402173"/>
      <w:bookmarkStart w:id="195" w:name="_Ref393731119"/>
      <w:bookmarkStart w:id="196" w:name="_Toc496265294"/>
      <w:bookmarkStart w:id="197" w:name="_Ref395083490"/>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39</w:t>
      </w:r>
      <w:r w:rsidR="00FB454C">
        <w:rPr>
          <w:noProof/>
        </w:rPr>
        <w:fldChar w:fldCharType="end"/>
      </w:r>
      <w:bookmarkEnd w:id="194"/>
      <w:bookmarkEnd w:id="195"/>
      <w:r w:rsidR="001D2587" w:rsidRPr="000855B2">
        <w:t>: Over-emission ratios e</w:t>
      </w:r>
      <w:r w:rsidR="001D2587" w:rsidRPr="000855B2">
        <w:rPr>
          <w:vertAlign w:val="superscript"/>
        </w:rPr>
        <w:t>COLD</w:t>
      </w:r>
      <w:r w:rsidR="001D2587" w:rsidRPr="000855B2">
        <w:t xml:space="preserve"> / e</w:t>
      </w:r>
      <w:r w:rsidR="001D2587" w:rsidRPr="000855B2">
        <w:rPr>
          <w:vertAlign w:val="superscript"/>
        </w:rPr>
        <w:t>HOT</w:t>
      </w:r>
      <w:r w:rsidR="001D2587" w:rsidRPr="000855B2">
        <w:t xml:space="preserve"> for Euro 1 and later </w:t>
      </w:r>
      <w:r w:rsidR="005E4DC4">
        <w:t>petrol</w:t>
      </w:r>
      <w:r w:rsidR="001D2587" w:rsidRPr="000855B2">
        <w:t xml:space="preserve"> vehicles (</w:t>
      </w:r>
      <w:r w:rsidR="001D2587" w:rsidRPr="000855B2">
        <w:rPr>
          <w:i/>
        </w:rPr>
        <w:t>V</w:t>
      </w:r>
      <w:r w:rsidR="001D2587" w:rsidRPr="000855B2">
        <w:t xml:space="preserve">: speed in km/h, </w:t>
      </w:r>
      <w:r w:rsidR="001D2587" w:rsidRPr="000855B2">
        <w:rPr>
          <w:i/>
        </w:rPr>
        <w:t>t</w:t>
      </w:r>
      <w:r w:rsidR="001D2587" w:rsidRPr="000855B2">
        <w:rPr>
          <w:i/>
          <w:vertAlign w:val="subscript"/>
        </w:rPr>
        <w:t>a</w:t>
      </w:r>
      <w:r w:rsidR="001D2587" w:rsidRPr="000855B2">
        <w:t>: temperature in °C)</w:t>
      </w:r>
      <w:bookmarkEnd w:id="196"/>
      <w:bookmarkEnd w:id="197"/>
    </w:p>
    <w:tbl>
      <w:tblPr>
        <w:tblW w:w="8094"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30" w:type="dxa"/>
          <w:right w:w="30" w:type="dxa"/>
        </w:tblCellMar>
        <w:tblLook w:val="00A0" w:firstRow="1" w:lastRow="0" w:firstColumn="1" w:lastColumn="0" w:noHBand="0" w:noVBand="0"/>
      </w:tblPr>
      <w:tblGrid>
        <w:gridCol w:w="851"/>
        <w:gridCol w:w="1431"/>
        <w:gridCol w:w="1508"/>
        <w:gridCol w:w="1012"/>
        <w:gridCol w:w="1134"/>
        <w:gridCol w:w="1024"/>
        <w:gridCol w:w="1134"/>
      </w:tblGrid>
      <w:tr w:rsidR="004C535F" w:rsidRPr="000855B2" w14:paraId="4E10682D" w14:textId="77777777" w:rsidTr="00B5546B">
        <w:trPr>
          <w:cantSplit/>
          <w:trHeight w:val="247"/>
        </w:trPr>
        <w:tc>
          <w:tcPr>
            <w:tcW w:w="851" w:type="dxa"/>
            <w:vMerge w:val="restart"/>
            <w:vAlign w:val="center"/>
          </w:tcPr>
          <w:p w14:paraId="6CAF7048"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Case</w:t>
            </w:r>
          </w:p>
        </w:tc>
        <w:tc>
          <w:tcPr>
            <w:tcW w:w="1431" w:type="dxa"/>
            <w:vMerge w:val="restart"/>
            <w:vAlign w:val="center"/>
          </w:tcPr>
          <w:p w14:paraId="21736E4C"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Category</w:t>
            </w:r>
          </w:p>
        </w:tc>
        <w:tc>
          <w:tcPr>
            <w:tcW w:w="1508" w:type="dxa"/>
            <w:vMerge w:val="restart"/>
            <w:vAlign w:val="center"/>
          </w:tcPr>
          <w:p w14:paraId="645B2210"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Speed</w:t>
            </w:r>
          </w:p>
          <w:p w14:paraId="1736B275"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[km/h]</w:t>
            </w:r>
          </w:p>
        </w:tc>
        <w:tc>
          <w:tcPr>
            <w:tcW w:w="1012" w:type="dxa"/>
            <w:vMerge w:val="restart"/>
            <w:vAlign w:val="center"/>
          </w:tcPr>
          <w:p w14:paraId="2868E289"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Temp</w:t>
            </w:r>
          </w:p>
          <w:p w14:paraId="5AC765CE"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w:t>
            </w:r>
          </w:p>
        </w:tc>
        <w:tc>
          <w:tcPr>
            <w:tcW w:w="3292" w:type="dxa"/>
            <w:gridSpan w:val="3"/>
            <w:vAlign w:val="center"/>
          </w:tcPr>
          <w:p w14:paraId="2E9966FB"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e</w:t>
            </w:r>
            <w:r w:rsidRPr="000855B2">
              <w:rPr>
                <w:rFonts w:ascii="Open Sans" w:hAnsi="Open Sans" w:cs="Open Sans"/>
                <w:b/>
                <w:snapToGrid w:val="0"/>
                <w:sz w:val="18"/>
                <w:vertAlign w:val="superscript"/>
                <w:lang w:val="en-GB" w:eastAsia="en-US"/>
              </w:rPr>
              <w:t>COLD</w:t>
            </w:r>
            <w:r w:rsidRPr="000855B2">
              <w:rPr>
                <w:rFonts w:ascii="Open Sans" w:hAnsi="Open Sans" w:cs="Open Sans"/>
                <w:b/>
                <w:snapToGrid w:val="0"/>
                <w:sz w:val="18"/>
                <w:lang w:val="en-GB" w:eastAsia="en-US"/>
              </w:rPr>
              <w:t>/e</w:t>
            </w:r>
            <w:r w:rsidRPr="000855B2">
              <w:rPr>
                <w:rFonts w:ascii="Open Sans" w:hAnsi="Open Sans" w:cs="Open Sans"/>
                <w:b/>
                <w:snapToGrid w:val="0"/>
                <w:sz w:val="18"/>
                <w:vertAlign w:val="superscript"/>
                <w:lang w:val="en-GB" w:eastAsia="en-US"/>
              </w:rPr>
              <w:t>HOT</w:t>
            </w:r>
            <w:r w:rsidRPr="000855B2">
              <w:rPr>
                <w:rFonts w:ascii="Open Sans" w:hAnsi="Open Sans" w:cs="Open Sans"/>
                <w:b/>
                <w:snapToGrid w:val="0"/>
                <w:sz w:val="18"/>
                <w:lang w:val="en-GB" w:eastAsia="en-US"/>
              </w:rPr>
              <w:t xml:space="preserve"> = A </w:t>
            </w:r>
            <w:r w:rsidRPr="000855B2">
              <w:rPr>
                <w:rFonts w:ascii="Open Sans" w:hAnsi="Open Sans" w:cs="Open Sans"/>
                <w:b/>
                <w:sz w:val="18"/>
                <w:lang w:val="en-GB"/>
              </w:rPr>
              <w:t>×</w:t>
            </w:r>
            <w:r w:rsidRPr="000855B2">
              <w:rPr>
                <w:rFonts w:ascii="Open Sans" w:hAnsi="Open Sans" w:cs="Open Sans"/>
                <w:b/>
                <w:snapToGrid w:val="0"/>
                <w:sz w:val="18"/>
                <w:lang w:val="en-GB" w:eastAsia="en-US"/>
              </w:rPr>
              <w:t xml:space="preserve"> V + B </w:t>
            </w:r>
            <w:r w:rsidRPr="000855B2">
              <w:rPr>
                <w:rFonts w:ascii="Open Sans" w:hAnsi="Open Sans" w:cs="Open Sans"/>
                <w:b/>
                <w:sz w:val="18"/>
                <w:lang w:val="en-GB"/>
              </w:rPr>
              <w:t>×</w:t>
            </w:r>
            <w:r w:rsidRPr="000855B2">
              <w:rPr>
                <w:rFonts w:ascii="Open Sans" w:hAnsi="Open Sans" w:cs="Open Sans"/>
                <w:b/>
                <w:snapToGrid w:val="0"/>
                <w:sz w:val="18"/>
                <w:lang w:val="en-GB" w:eastAsia="en-US"/>
              </w:rPr>
              <w:t xml:space="preserve"> t</w:t>
            </w:r>
            <w:r w:rsidRPr="000855B2">
              <w:rPr>
                <w:rFonts w:ascii="Open Sans" w:hAnsi="Open Sans" w:cs="Open Sans"/>
                <w:b/>
                <w:snapToGrid w:val="0"/>
                <w:sz w:val="18"/>
                <w:vertAlign w:val="subscript"/>
                <w:lang w:val="en-GB" w:eastAsia="en-US"/>
              </w:rPr>
              <w:t>a</w:t>
            </w:r>
            <w:r w:rsidRPr="000855B2">
              <w:rPr>
                <w:rFonts w:ascii="Open Sans" w:hAnsi="Open Sans" w:cs="Open Sans"/>
                <w:b/>
                <w:snapToGrid w:val="0"/>
                <w:sz w:val="18"/>
                <w:lang w:val="en-GB" w:eastAsia="en-US"/>
              </w:rPr>
              <w:t xml:space="preserve"> + C</w:t>
            </w:r>
          </w:p>
        </w:tc>
      </w:tr>
      <w:tr w:rsidR="004C535F" w:rsidRPr="000855B2" w14:paraId="4C0BE509" w14:textId="77777777" w:rsidTr="00B5546B">
        <w:trPr>
          <w:cantSplit/>
          <w:trHeight w:val="247"/>
        </w:trPr>
        <w:tc>
          <w:tcPr>
            <w:tcW w:w="851" w:type="dxa"/>
            <w:vMerge/>
            <w:tcBorders>
              <w:bottom w:val="single" w:sz="12" w:space="0" w:color="auto"/>
            </w:tcBorders>
            <w:vAlign w:val="center"/>
          </w:tcPr>
          <w:p w14:paraId="66795AA4"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431" w:type="dxa"/>
            <w:vMerge/>
            <w:tcBorders>
              <w:bottom w:val="single" w:sz="12" w:space="0" w:color="auto"/>
            </w:tcBorders>
            <w:vAlign w:val="center"/>
          </w:tcPr>
          <w:p w14:paraId="58972CAE"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508" w:type="dxa"/>
            <w:vMerge/>
            <w:tcBorders>
              <w:bottom w:val="single" w:sz="12" w:space="0" w:color="auto"/>
            </w:tcBorders>
            <w:vAlign w:val="center"/>
          </w:tcPr>
          <w:p w14:paraId="3A99E6A7"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012" w:type="dxa"/>
            <w:vMerge/>
            <w:tcBorders>
              <w:bottom w:val="single" w:sz="12" w:space="0" w:color="auto"/>
            </w:tcBorders>
            <w:vAlign w:val="center"/>
          </w:tcPr>
          <w:p w14:paraId="3D326D89"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p>
        </w:tc>
        <w:tc>
          <w:tcPr>
            <w:tcW w:w="1134" w:type="dxa"/>
            <w:tcBorders>
              <w:bottom w:val="single" w:sz="12" w:space="0" w:color="auto"/>
            </w:tcBorders>
            <w:vAlign w:val="center"/>
          </w:tcPr>
          <w:p w14:paraId="52A0E494"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A</w:t>
            </w:r>
          </w:p>
        </w:tc>
        <w:tc>
          <w:tcPr>
            <w:tcW w:w="1024" w:type="dxa"/>
            <w:tcBorders>
              <w:bottom w:val="single" w:sz="12" w:space="0" w:color="auto"/>
            </w:tcBorders>
            <w:vAlign w:val="center"/>
          </w:tcPr>
          <w:p w14:paraId="016DEA5F"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B</w:t>
            </w:r>
          </w:p>
        </w:tc>
        <w:tc>
          <w:tcPr>
            <w:tcW w:w="1134" w:type="dxa"/>
            <w:tcBorders>
              <w:bottom w:val="single" w:sz="12" w:space="0" w:color="auto"/>
            </w:tcBorders>
            <w:vAlign w:val="center"/>
          </w:tcPr>
          <w:p w14:paraId="70C4E180" w14:textId="77777777" w:rsidR="004C535F" w:rsidRPr="000855B2" w:rsidRDefault="004C535F" w:rsidP="005C7955">
            <w:pPr>
              <w:pStyle w:val="Table"/>
              <w:spacing w:line="240" w:lineRule="atLeast"/>
              <w:jc w:val="center"/>
              <w:rPr>
                <w:rFonts w:ascii="Open Sans" w:hAnsi="Open Sans" w:cs="Open Sans"/>
                <w:b/>
                <w:snapToGrid w:val="0"/>
                <w:sz w:val="18"/>
                <w:lang w:val="en-GB" w:eastAsia="en-US"/>
              </w:rPr>
            </w:pPr>
            <w:r w:rsidRPr="000855B2">
              <w:rPr>
                <w:rFonts w:ascii="Open Sans" w:hAnsi="Open Sans" w:cs="Open Sans"/>
                <w:b/>
                <w:snapToGrid w:val="0"/>
                <w:sz w:val="18"/>
                <w:lang w:val="en-GB" w:eastAsia="en-US"/>
              </w:rPr>
              <w:t>C</w:t>
            </w:r>
          </w:p>
        </w:tc>
      </w:tr>
      <w:tr w:rsidR="001D2587" w:rsidRPr="000855B2" w14:paraId="4DEC88AA" w14:textId="77777777" w:rsidTr="00B5546B">
        <w:trPr>
          <w:cantSplit/>
          <w:trHeight w:val="247"/>
        </w:trPr>
        <w:tc>
          <w:tcPr>
            <w:tcW w:w="851" w:type="dxa"/>
            <w:vMerge w:val="restart"/>
            <w:tcBorders>
              <w:top w:val="single" w:sz="12" w:space="0" w:color="auto"/>
            </w:tcBorders>
            <w:vAlign w:val="center"/>
          </w:tcPr>
          <w:p w14:paraId="7F5E611C" w14:textId="77777777" w:rsidR="001D2587" w:rsidRPr="000855B2" w:rsidRDefault="001D2587"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CO</w:t>
            </w:r>
          </w:p>
        </w:tc>
        <w:tc>
          <w:tcPr>
            <w:tcW w:w="1431" w:type="dxa"/>
            <w:vMerge w:val="restart"/>
            <w:tcBorders>
              <w:top w:val="single" w:sz="12" w:space="0" w:color="auto"/>
            </w:tcBorders>
            <w:vAlign w:val="center"/>
          </w:tcPr>
          <w:p w14:paraId="62C05D04" w14:textId="77777777" w:rsidR="001D2587"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Mini, Small</w:t>
            </w:r>
          </w:p>
        </w:tc>
        <w:tc>
          <w:tcPr>
            <w:tcW w:w="1508" w:type="dxa"/>
            <w:tcBorders>
              <w:top w:val="single" w:sz="12" w:space="0" w:color="auto"/>
            </w:tcBorders>
            <w:vAlign w:val="center"/>
          </w:tcPr>
          <w:p w14:paraId="08BD4763"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 xml:space="preserve"> 25</w:t>
            </w:r>
          </w:p>
        </w:tc>
        <w:tc>
          <w:tcPr>
            <w:tcW w:w="1012" w:type="dxa"/>
            <w:tcBorders>
              <w:top w:val="single" w:sz="12" w:space="0" w:color="auto"/>
            </w:tcBorders>
            <w:vAlign w:val="center"/>
          </w:tcPr>
          <w:p w14:paraId="606847C7"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tcBorders>
              <w:top w:val="single" w:sz="12" w:space="0" w:color="auto"/>
            </w:tcBorders>
            <w:vAlign w:val="center"/>
          </w:tcPr>
          <w:p w14:paraId="1B967A95"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0.156</w:t>
            </w:r>
          </w:p>
        </w:tc>
        <w:tc>
          <w:tcPr>
            <w:tcW w:w="1024" w:type="dxa"/>
            <w:tcBorders>
              <w:top w:val="single" w:sz="12" w:space="0" w:color="auto"/>
            </w:tcBorders>
            <w:vAlign w:val="center"/>
          </w:tcPr>
          <w:p w14:paraId="76E95F1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-0.155</w:t>
            </w:r>
          </w:p>
        </w:tc>
        <w:tc>
          <w:tcPr>
            <w:tcW w:w="1134" w:type="dxa"/>
            <w:tcBorders>
              <w:top w:val="single" w:sz="12" w:space="0" w:color="auto"/>
            </w:tcBorders>
            <w:vAlign w:val="center"/>
          </w:tcPr>
          <w:p w14:paraId="71F1378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3.519</w:t>
            </w:r>
          </w:p>
        </w:tc>
      </w:tr>
      <w:tr w:rsidR="001D2587" w:rsidRPr="000855B2" w14:paraId="3B23D7D2" w14:textId="77777777" w:rsidTr="00B5546B">
        <w:trPr>
          <w:cantSplit/>
          <w:trHeight w:val="247"/>
        </w:trPr>
        <w:tc>
          <w:tcPr>
            <w:tcW w:w="851" w:type="dxa"/>
            <w:vMerge/>
            <w:vAlign w:val="center"/>
          </w:tcPr>
          <w:p w14:paraId="0643D261"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72EA86F0"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2A478BC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15C9AB4F"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74BDA5A7"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0.538</w:t>
            </w:r>
          </w:p>
        </w:tc>
        <w:tc>
          <w:tcPr>
            <w:tcW w:w="1024" w:type="dxa"/>
            <w:vAlign w:val="center"/>
          </w:tcPr>
          <w:p w14:paraId="2A88DB1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-0.373</w:t>
            </w:r>
          </w:p>
        </w:tc>
        <w:tc>
          <w:tcPr>
            <w:tcW w:w="1134" w:type="dxa"/>
            <w:vAlign w:val="center"/>
          </w:tcPr>
          <w:p w14:paraId="5F4A296B"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-6.24</w:t>
            </w:r>
          </w:p>
        </w:tc>
      </w:tr>
      <w:tr w:rsidR="001D2587" w:rsidRPr="000855B2" w14:paraId="3E57EC6B" w14:textId="77777777" w:rsidTr="00B5546B">
        <w:trPr>
          <w:cantSplit/>
          <w:trHeight w:val="247"/>
        </w:trPr>
        <w:tc>
          <w:tcPr>
            <w:tcW w:w="851" w:type="dxa"/>
            <w:vMerge/>
            <w:vAlign w:val="center"/>
          </w:tcPr>
          <w:p w14:paraId="691B66FB"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5B4AA743"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59FFADC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40B9749E"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15</w:t>
            </w:r>
          </w:p>
        </w:tc>
        <w:tc>
          <w:tcPr>
            <w:tcW w:w="1134" w:type="dxa"/>
            <w:vAlign w:val="center"/>
          </w:tcPr>
          <w:p w14:paraId="25BBB16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8.032E-02</w:t>
            </w:r>
          </w:p>
        </w:tc>
        <w:tc>
          <w:tcPr>
            <w:tcW w:w="1024" w:type="dxa"/>
            <w:vAlign w:val="center"/>
          </w:tcPr>
          <w:p w14:paraId="2C90CA3B"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-0.444</w:t>
            </w:r>
          </w:p>
        </w:tc>
        <w:tc>
          <w:tcPr>
            <w:tcW w:w="1134" w:type="dxa"/>
            <w:vAlign w:val="center"/>
          </w:tcPr>
          <w:p w14:paraId="49AAF3CD"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9.826</w:t>
            </w:r>
          </w:p>
        </w:tc>
      </w:tr>
      <w:tr w:rsidR="001D2587" w:rsidRPr="000855B2" w14:paraId="43FED62F" w14:textId="77777777" w:rsidTr="00B5546B">
        <w:trPr>
          <w:cantSplit/>
          <w:trHeight w:val="247"/>
        </w:trPr>
        <w:tc>
          <w:tcPr>
            <w:tcW w:w="851" w:type="dxa"/>
            <w:vMerge/>
            <w:vAlign w:val="center"/>
          </w:tcPr>
          <w:p w14:paraId="4E15A2C1"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2F11B6CF" w14:textId="77777777" w:rsidR="001D2587" w:rsidRPr="000855B2" w:rsidRDefault="00F17CE0" w:rsidP="005C7955">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Medium</w:t>
            </w:r>
          </w:p>
        </w:tc>
        <w:tc>
          <w:tcPr>
            <w:tcW w:w="1508" w:type="dxa"/>
            <w:vAlign w:val="center"/>
          </w:tcPr>
          <w:p w14:paraId="559EDDDE"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25</w:t>
            </w:r>
          </w:p>
        </w:tc>
        <w:tc>
          <w:tcPr>
            <w:tcW w:w="1012" w:type="dxa"/>
            <w:vAlign w:val="center"/>
          </w:tcPr>
          <w:p w14:paraId="4AB2701B"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3A838936"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0.121</w:t>
            </w:r>
          </w:p>
        </w:tc>
        <w:tc>
          <w:tcPr>
            <w:tcW w:w="1024" w:type="dxa"/>
            <w:vAlign w:val="center"/>
          </w:tcPr>
          <w:p w14:paraId="6333A87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-0.146</w:t>
            </w:r>
          </w:p>
        </w:tc>
        <w:tc>
          <w:tcPr>
            <w:tcW w:w="1134" w:type="dxa"/>
            <w:vAlign w:val="center"/>
          </w:tcPr>
          <w:p w14:paraId="4FD1F05C"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3.766</w:t>
            </w:r>
          </w:p>
        </w:tc>
      </w:tr>
      <w:tr w:rsidR="001D2587" w:rsidRPr="000855B2" w14:paraId="67469591" w14:textId="77777777" w:rsidTr="00B5546B">
        <w:trPr>
          <w:cantSplit/>
          <w:trHeight w:val="247"/>
        </w:trPr>
        <w:tc>
          <w:tcPr>
            <w:tcW w:w="851" w:type="dxa"/>
            <w:vMerge/>
            <w:vAlign w:val="center"/>
          </w:tcPr>
          <w:p w14:paraId="226B9DF8"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15980538"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040CEBD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7EBF8CC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1588EF63"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0.299</w:t>
            </w:r>
          </w:p>
        </w:tc>
        <w:tc>
          <w:tcPr>
            <w:tcW w:w="1024" w:type="dxa"/>
            <w:vAlign w:val="center"/>
          </w:tcPr>
          <w:p w14:paraId="41545FE3"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-0.286</w:t>
            </w:r>
          </w:p>
        </w:tc>
        <w:tc>
          <w:tcPr>
            <w:tcW w:w="1134" w:type="dxa"/>
            <w:vAlign w:val="center"/>
          </w:tcPr>
          <w:p w14:paraId="5CEF66C6"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-0.58</w:t>
            </w:r>
          </w:p>
        </w:tc>
      </w:tr>
      <w:tr w:rsidR="001D2587" w:rsidRPr="000855B2" w14:paraId="714E7677" w14:textId="77777777" w:rsidTr="00B5546B">
        <w:trPr>
          <w:cantSplit/>
          <w:trHeight w:val="247"/>
        </w:trPr>
        <w:tc>
          <w:tcPr>
            <w:tcW w:w="851" w:type="dxa"/>
            <w:vMerge/>
            <w:vAlign w:val="center"/>
          </w:tcPr>
          <w:p w14:paraId="19E4BB23"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76EBF0EC"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54868B5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489B6663"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15</w:t>
            </w:r>
          </w:p>
        </w:tc>
        <w:tc>
          <w:tcPr>
            <w:tcW w:w="1134" w:type="dxa"/>
            <w:vAlign w:val="center"/>
          </w:tcPr>
          <w:p w14:paraId="0CB3B42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5.03E-02</w:t>
            </w:r>
          </w:p>
        </w:tc>
        <w:tc>
          <w:tcPr>
            <w:tcW w:w="1024" w:type="dxa"/>
            <w:vAlign w:val="center"/>
          </w:tcPr>
          <w:p w14:paraId="65128A3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-0.363</w:t>
            </w:r>
          </w:p>
        </w:tc>
        <w:tc>
          <w:tcPr>
            <w:tcW w:w="1134" w:type="dxa"/>
            <w:vAlign w:val="center"/>
          </w:tcPr>
          <w:p w14:paraId="134C4DB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8.604</w:t>
            </w:r>
          </w:p>
        </w:tc>
      </w:tr>
      <w:tr w:rsidR="001D2587" w:rsidRPr="000855B2" w14:paraId="35AFA13F" w14:textId="77777777" w:rsidTr="00B5546B">
        <w:trPr>
          <w:cantSplit/>
          <w:trHeight w:val="247"/>
        </w:trPr>
        <w:tc>
          <w:tcPr>
            <w:tcW w:w="851" w:type="dxa"/>
            <w:vMerge/>
            <w:vAlign w:val="center"/>
          </w:tcPr>
          <w:p w14:paraId="6A239F46"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73A23DEF" w14:textId="77777777" w:rsidR="001D2587" w:rsidRPr="000855B2" w:rsidRDefault="00F17CE0" w:rsidP="005C7955">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Large-SUV-Executive</w:t>
            </w:r>
          </w:p>
        </w:tc>
        <w:tc>
          <w:tcPr>
            <w:tcW w:w="1508" w:type="dxa"/>
            <w:vAlign w:val="center"/>
          </w:tcPr>
          <w:p w14:paraId="322EDD2E"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25</w:t>
            </w:r>
          </w:p>
        </w:tc>
        <w:tc>
          <w:tcPr>
            <w:tcW w:w="1012" w:type="dxa"/>
            <w:vAlign w:val="center"/>
          </w:tcPr>
          <w:p w14:paraId="4AE80228"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41A78735"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7.82E-02</w:t>
            </w:r>
          </w:p>
        </w:tc>
        <w:tc>
          <w:tcPr>
            <w:tcW w:w="1024" w:type="dxa"/>
            <w:vAlign w:val="center"/>
          </w:tcPr>
          <w:p w14:paraId="52FACB74"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-0.105</w:t>
            </w:r>
          </w:p>
        </w:tc>
        <w:tc>
          <w:tcPr>
            <w:tcW w:w="1134" w:type="dxa"/>
            <w:vAlign w:val="center"/>
          </w:tcPr>
          <w:p w14:paraId="7A5BFAC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3.116</w:t>
            </w:r>
          </w:p>
        </w:tc>
      </w:tr>
      <w:tr w:rsidR="001D2587" w:rsidRPr="000855B2" w14:paraId="519230BB" w14:textId="77777777" w:rsidTr="00B5546B">
        <w:trPr>
          <w:cantSplit/>
          <w:trHeight w:val="247"/>
        </w:trPr>
        <w:tc>
          <w:tcPr>
            <w:tcW w:w="851" w:type="dxa"/>
            <w:vMerge/>
            <w:vAlign w:val="center"/>
          </w:tcPr>
          <w:p w14:paraId="2DC9AD5A"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2D0C29C4"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46AB1666"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z w:val="18"/>
                <w:lang w:val="en-GB"/>
              </w:rPr>
              <w:t>–</w:t>
            </w:r>
            <w:r w:rsidRPr="000855B2">
              <w:rPr>
                <w:rFonts w:ascii="Open Sans" w:hAnsi="Open Sans" w:cs="Open Sans"/>
                <w:snapToGrid w:val="0"/>
                <w:sz w:val="18"/>
                <w:lang w:val="en-GB" w:eastAsia="en-US"/>
              </w:rPr>
              <w:t>45</w:t>
            </w:r>
          </w:p>
        </w:tc>
        <w:tc>
          <w:tcPr>
            <w:tcW w:w="1012" w:type="dxa"/>
            <w:vAlign w:val="center"/>
          </w:tcPr>
          <w:p w14:paraId="2C872ADC"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588411A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0.193</w:t>
            </w:r>
          </w:p>
        </w:tc>
        <w:tc>
          <w:tcPr>
            <w:tcW w:w="1024" w:type="dxa"/>
            <w:vAlign w:val="center"/>
          </w:tcPr>
          <w:p w14:paraId="5DA67522"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-0.194</w:t>
            </w:r>
          </w:p>
        </w:tc>
        <w:tc>
          <w:tcPr>
            <w:tcW w:w="1134" w:type="dxa"/>
            <w:vAlign w:val="center"/>
          </w:tcPr>
          <w:p w14:paraId="55E8730A"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0.305</w:t>
            </w:r>
          </w:p>
        </w:tc>
      </w:tr>
      <w:tr w:rsidR="001D2587" w:rsidRPr="000855B2" w14:paraId="2EF39877" w14:textId="77777777" w:rsidTr="00B5546B">
        <w:trPr>
          <w:cantSplit/>
          <w:trHeight w:val="247"/>
        </w:trPr>
        <w:tc>
          <w:tcPr>
            <w:tcW w:w="851" w:type="dxa"/>
            <w:vMerge/>
            <w:vAlign w:val="center"/>
          </w:tcPr>
          <w:p w14:paraId="70645790"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54802327"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52D1621D"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w:t>
            </w:r>
            <w:r w:rsidR="001A56B9"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45</w:t>
            </w:r>
          </w:p>
        </w:tc>
        <w:tc>
          <w:tcPr>
            <w:tcW w:w="1012" w:type="dxa"/>
            <w:vAlign w:val="center"/>
          </w:tcPr>
          <w:p w14:paraId="45ADCF4C"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15</w:t>
            </w:r>
          </w:p>
        </w:tc>
        <w:tc>
          <w:tcPr>
            <w:tcW w:w="1134" w:type="dxa"/>
            <w:vAlign w:val="center"/>
          </w:tcPr>
          <w:p w14:paraId="37F66B8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3.21E-02</w:t>
            </w:r>
          </w:p>
        </w:tc>
        <w:tc>
          <w:tcPr>
            <w:tcW w:w="1024" w:type="dxa"/>
            <w:vAlign w:val="center"/>
          </w:tcPr>
          <w:p w14:paraId="038705FD"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-0.252</w:t>
            </w:r>
          </w:p>
        </w:tc>
        <w:tc>
          <w:tcPr>
            <w:tcW w:w="1134" w:type="dxa"/>
            <w:vAlign w:val="center"/>
          </w:tcPr>
          <w:p w14:paraId="6DFD7161"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6.332</w:t>
            </w:r>
          </w:p>
        </w:tc>
      </w:tr>
      <w:tr w:rsidR="00F17CE0" w:rsidRPr="000855B2" w14:paraId="20604FF5" w14:textId="77777777" w:rsidTr="00B5546B">
        <w:trPr>
          <w:cantSplit/>
          <w:trHeight w:val="247"/>
        </w:trPr>
        <w:tc>
          <w:tcPr>
            <w:tcW w:w="851" w:type="dxa"/>
            <w:vMerge w:val="restart"/>
            <w:vAlign w:val="center"/>
          </w:tcPr>
          <w:p w14:paraId="522CDB61" w14:textId="77777777" w:rsidR="00F17CE0" w:rsidRPr="000855B2" w:rsidRDefault="00F17CE0"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NOx</w:t>
            </w:r>
          </w:p>
        </w:tc>
        <w:tc>
          <w:tcPr>
            <w:tcW w:w="1431" w:type="dxa"/>
            <w:vMerge w:val="restart"/>
            <w:vAlign w:val="center"/>
          </w:tcPr>
          <w:p w14:paraId="1DE90363"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Mini, Small</w:t>
            </w:r>
          </w:p>
        </w:tc>
        <w:tc>
          <w:tcPr>
            <w:tcW w:w="1508" w:type="dxa"/>
            <w:vAlign w:val="center"/>
          </w:tcPr>
          <w:p w14:paraId="0F33BD1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4EE8EF52"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5931F4D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4.61E-02</w:t>
            </w:r>
          </w:p>
        </w:tc>
        <w:tc>
          <w:tcPr>
            <w:tcW w:w="1024" w:type="dxa"/>
            <w:vAlign w:val="center"/>
          </w:tcPr>
          <w:p w14:paraId="6C8A5343"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7.38E-03</w:t>
            </w:r>
          </w:p>
        </w:tc>
        <w:tc>
          <w:tcPr>
            <w:tcW w:w="1134" w:type="dxa"/>
            <w:vAlign w:val="center"/>
          </w:tcPr>
          <w:p w14:paraId="11A920E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0.755</w:t>
            </w:r>
          </w:p>
        </w:tc>
      </w:tr>
      <w:tr w:rsidR="00F17CE0" w:rsidRPr="000855B2" w14:paraId="7F2381BF" w14:textId="77777777" w:rsidTr="00B5546B">
        <w:trPr>
          <w:cantSplit/>
          <w:trHeight w:val="247"/>
        </w:trPr>
        <w:tc>
          <w:tcPr>
            <w:tcW w:w="851" w:type="dxa"/>
            <w:vMerge/>
            <w:vAlign w:val="center"/>
          </w:tcPr>
          <w:p w14:paraId="29E81E28"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48D9A831"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61163A7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2CCDB8D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6B386F6F"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5.13E-02</w:t>
            </w:r>
          </w:p>
        </w:tc>
        <w:tc>
          <w:tcPr>
            <w:tcW w:w="1024" w:type="dxa"/>
            <w:vAlign w:val="center"/>
          </w:tcPr>
          <w:p w14:paraId="6F17EE0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2.34E-02</w:t>
            </w:r>
          </w:p>
        </w:tc>
        <w:tc>
          <w:tcPr>
            <w:tcW w:w="1134" w:type="dxa"/>
            <w:vAlign w:val="center"/>
          </w:tcPr>
          <w:p w14:paraId="04139AB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0.616</w:t>
            </w:r>
          </w:p>
        </w:tc>
      </w:tr>
      <w:tr w:rsidR="00F17CE0" w:rsidRPr="000855B2" w14:paraId="644340E9" w14:textId="77777777" w:rsidTr="00B5546B">
        <w:trPr>
          <w:cantSplit/>
          <w:trHeight w:val="247"/>
        </w:trPr>
        <w:tc>
          <w:tcPr>
            <w:tcW w:w="851" w:type="dxa"/>
            <w:vMerge/>
            <w:vAlign w:val="center"/>
          </w:tcPr>
          <w:p w14:paraId="103574BA" w14:textId="77777777" w:rsidR="00F17CE0" w:rsidRPr="000855B2" w:rsidRDefault="00F17CE0" w:rsidP="005C7955">
            <w:pPr>
              <w:pStyle w:val="Table"/>
              <w:spacing w:line="240" w:lineRule="atLeast"/>
              <w:rPr>
                <w:rFonts w:ascii="Open Sans" w:hAnsi="Open Sans" w:cs="Open Sans"/>
                <w:snapToGrid w:val="0"/>
                <w:sz w:val="18"/>
                <w:lang w:val="en-GB" w:eastAsia="en-US"/>
              </w:rPr>
            </w:pPr>
            <w:bookmarkStart w:id="198" w:name="_Hlk291156184"/>
          </w:p>
        </w:tc>
        <w:tc>
          <w:tcPr>
            <w:tcW w:w="1431" w:type="dxa"/>
            <w:vMerge w:val="restart"/>
            <w:vAlign w:val="center"/>
          </w:tcPr>
          <w:p w14:paraId="6DCBAC41"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Medium</w:t>
            </w:r>
          </w:p>
        </w:tc>
        <w:tc>
          <w:tcPr>
            <w:tcW w:w="1508" w:type="dxa"/>
            <w:vAlign w:val="center"/>
          </w:tcPr>
          <w:p w14:paraId="399C2BA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3743913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3625D16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4.58E-02</w:t>
            </w:r>
          </w:p>
        </w:tc>
        <w:tc>
          <w:tcPr>
            <w:tcW w:w="1024" w:type="dxa"/>
            <w:vAlign w:val="center"/>
          </w:tcPr>
          <w:p w14:paraId="63DE422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7.47E-03</w:t>
            </w:r>
          </w:p>
        </w:tc>
        <w:tc>
          <w:tcPr>
            <w:tcW w:w="1134" w:type="dxa"/>
            <w:vAlign w:val="center"/>
          </w:tcPr>
          <w:p w14:paraId="609C38FE"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0.764</w:t>
            </w:r>
          </w:p>
        </w:tc>
      </w:tr>
      <w:bookmarkEnd w:id="198"/>
      <w:tr w:rsidR="00F17CE0" w:rsidRPr="000855B2" w14:paraId="2EE15A96" w14:textId="77777777" w:rsidTr="00B5546B">
        <w:trPr>
          <w:cantSplit/>
          <w:trHeight w:val="247"/>
        </w:trPr>
        <w:tc>
          <w:tcPr>
            <w:tcW w:w="851" w:type="dxa"/>
            <w:vMerge/>
            <w:vAlign w:val="center"/>
          </w:tcPr>
          <w:p w14:paraId="031E2648"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36AF4065"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7C462AE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2AE9947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5DF1BFC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4.84E-02</w:t>
            </w:r>
          </w:p>
        </w:tc>
        <w:tc>
          <w:tcPr>
            <w:tcW w:w="1024" w:type="dxa"/>
            <w:vAlign w:val="center"/>
          </w:tcPr>
          <w:p w14:paraId="1E57C6C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2.28E-02</w:t>
            </w:r>
          </w:p>
        </w:tc>
        <w:tc>
          <w:tcPr>
            <w:tcW w:w="1134" w:type="dxa"/>
            <w:vAlign w:val="center"/>
          </w:tcPr>
          <w:p w14:paraId="2871C00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0.685</w:t>
            </w:r>
          </w:p>
        </w:tc>
      </w:tr>
      <w:tr w:rsidR="00F17CE0" w:rsidRPr="000855B2" w14:paraId="0C82EFD7" w14:textId="77777777" w:rsidTr="00B5546B">
        <w:trPr>
          <w:cantSplit/>
          <w:trHeight w:val="247"/>
        </w:trPr>
        <w:tc>
          <w:tcPr>
            <w:tcW w:w="851" w:type="dxa"/>
            <w:vMerge/>
            <w:vAlign w:val="center"/>
          </w:tcPr>
          <w:p w14:paraId="165CF83F"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07AC54DE"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Large-SUV-Executive</w:t>
            </w:r>
          </w:p>
        </w:tc>
        <w:tc>
          <w:tcPr>
            <w:tcW w:w="1508" w:type="dxa"/>
            <w:vAlign w:val="center"/>
          </w:tcPr>
          <w:p w14:paraId="7940832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3AF4DD2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-20</w:t>
            </w:r>
          </w:p>
        </w:tc>
        <w:tc>
          <w:tcPr>
            <w:tcW w:w="1134" w:type="dxa"/>
            <w:vAlign w:val="center"/>
          </w:tcPr>
          <w:p w14:paraId="5ED483B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3.43E-02</w:t>
            </w:r>
          </w:p>
        </w:tc>
        <w:tc>
          <w:tcPr>
            <w:tcW w:w="1024" w:type="dxa"/>
            <w:vAlign w:val="center"/>
          </w:tcPr>
          <w:p w14:paraId="19CE1B4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5.66E-03</w:t>
            </w:r>
          </w:p>
        </w:tc>
        <w:tc>
          <w:tcPr>
            <w:tcW w:w="1134" w:type="dxa"/>
            <w:vAlign w:val="center"/>
          </w:tcPr>
          <w:p w14:paraId="12F99983"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0.827</w:t>
            </w:r>
          </w:p>
        </w:tc>
      </w:tr>
      <w:tr w:rsidR="001D2587" w:rsidRPr="000855B2" w14:paraId="0B5946EC" w14:textId="77777777" w:rsidTr="00B5546B">
        <w:trPr>
          <w:cantSplit/>
          <w:trHeight w:val="247"/>
        </w:trPr>
        <w:tc>
          <w:tcPr>
            <w:tcW w:w="851" w:type="dxa"/>
            <w:vMerge/>
            <w:vAlign w:val="center"/>
          </w:tcPr>
          <w:p w14:paraId="1637B5E4"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7249BACD" w14:textId="77777777" w:rsidR="001D2587" w:rsidRPr="000855B2" w:rsidRDefault="001D2587" w:rsidP="005C7955">
            <w:pPr>
              <w:pStyle w:val="Table"/>
              <w:spacing w:line="240" w:lineRule="atLeast"/>
              <w:rPr>
                <w:rFonts w:ascii="Open Sans" w:hAnsi="Open Sans" w:cs="Open Sans"/>
                <w:snapToGrid w:val="0"/>
                <w:sz w:val="18"/>
                <w:lang w:val="en-GB" w:eastAsia="en-US"/>
              </w:rPr>
            </w:pPr>
          </w:p>
        </w:tc>
        <w:tc>
          <w:tcPr>
            <w:tcW w:w="1508" w:type="dxa"/>
            <w:vAlign w:val="center"/>
          </w:tcPr>
          <w:p w14:paraId="1190358C"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w:t>
            </w:r>
            <w:r w:rsidR="001A56B9" w:rsidRPr="000855B2">
              <w:rPr>
                <w:rFonts w:ascii="Open Sans" w:hAnsi="Open Sans" w:cs="Open Sans"/>
                <w:snapToGrid w:val="0"/>
                <w:sz w:val="18"/>
                <w:lang w:val="en-GB" w:eastAsia="en-US"/>
              </w:rPr>
              <w:t>–</w:t>
            </w:r>
            <w:r w:rsidRPr="000855B2">
              <w:rPr>
                <w:rFonts w:ascii="Open Sans" w:hAnsi="Open Sans" w:cs="Open Sans"/>
                <w:snapToGrid w:val="0"/>
                <w:sz w:val="18"/>
                <w:lang w:val="en-GB" w:eastAsia="en-US"/>
              </w:rPr>
              <w:t>45</w:t>
            </w:r>
          </w:p>
        </w:tc>
        <w:tc>
          <w:tcPr>
            <w:tcW w:w="1012" w:type="dxa"/>
            <w:vAlign w:val="center"/>
          </w:tcPr>
          <w:p w14:paraId="64630510" w14:textId="77777777" w:rsidR="001D2587" w:rsidRPr="000855B2" w:rsidRDefault="00972A38"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w:t>
            </w:r>
            <w:r w:rsidR="001D2587" w:rsidRPr="000855B2">
              <w:rPr>
                <w:rFonts w:ascii="Open Sans" w:hAnsi="Open Sans" w:cs="Open Sans"/>
                <w:snapToGrid w:val="0"/>
                <w:sz w:val="18"/>
                <w:lang w:val="en-GB" w:eastAsia="en-US"/>
              </w:rPr>
              <w:t>-20</w:t>
            </w:r>
          </w:p>
        </w:tc>
        <w:tc>
          <w:tcPr>
            <w:tcW w:w="1134" w:type="dxa"/>
            <w:vAlign w:val="center"/>
          </w:tcPr>
          <w:p w14:paraId="45C62269"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3.75E-02</w:t>
            </w:r>
          </w:p>
        </w:tc>
        <w:tc>
          <w:tcPr>
            <w:tcW w:w="1024" w:type="dxa"/>
            <w:vAlign w:val="center"/>
          </w:tcPr>
          <w:p w14:paraId="5D22E9B0"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1.72E-02</w:t>
            </w:r>
          </w:p>
        </w:tc>
        <w:tc>
          <w:tcPr>
            <w:tcW w:w="1134" w:type="dxa"/>
            <w:vAlign w:val="center"/>
          </w:tcPr>
          <w:p w14:paraId="1F6BF316" w14:textId="77777777" w:rsidR="001D2587" w:rsidRPr="000855B2" w:rsidRDefault="001D2587"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0.728</w:t>
            </w:r>
          </w:p>
        </w:tc>
      </w:tr>
      <w:tr w:rsidR="00F17CE0" w:rsidRPr="000855B2" w14:paraId="46F0FBA9" w14:textId="77777777" w:rsidTr="00B5546B">
        <w:trPr>
          <w:cantSplit/>
          <w:trHeight w:val="247"/>
        </w:trPr>
        <w:tc>
          <w:tcPr>
            <w:tcW w:w="851" w:type="dxa"/>
            <w:vMerge w:val="restart"/>
            <w:vAlign w:val="center"/>
          </w:tcPr>
          <w:p w14:paraId="7B027A7D" w14:textId="77777777" w:rsidR="00F17CE0" w:rsidRPr="000855B2" w:rsidRDefault="00F17CE0"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VOC</w:t>
            </w:r>
          </w:p>
        </w:tc>
        <w:tc>
          <w:tcPr>
            <w:tcW w:w="1431" w:type="dxa"/>
            <w:vMerge w:val="restart"/>
            <w:vAlign w:val="center"/>
          </w:tcPr>
          <w:p w14:paraId="2921F470"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Mini, Small</w:t>
            </w:r>
          </w:p>
        </w:tc>
        <w:tc>
          <w:tcPr>
            <w:tcW w:w="1508" w:type="dxa"/>
            <w:vAlign w:val="center"/>
          </w:tcPr>
          <w:p w14:paraId="16AB3D3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42590AC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6CFE4D6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0.154</w:t>
            </w:r>
          </w:p>
        </w:tc>
        <w:tc>
          <w:tcPr>
            <w:tcW w:w="1024" w:type="dxa"/>
            <w:vAlign w:val="center"/>
          </w:tcPr>
          <w:p w14:paraId="72ED3B17"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-0.134</w:t>
            </w:r>
          </w:p>
        </w:tc>
        <w:tc>
          <w:tcPr>
            <w:tcW w:w="1134" w:type="dxa"/>
            <w:vAlign w:val="center"/>
          </w:tcPr>
          <w:p w14:paraId="1200E22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4.937</w:t>
            </w:r>
          </w:p>
        </w:tc>
      </w:tr>
      <w:tr w:rsidR="00F17CE0" w:rsidRPr="000855B2" w14:paraId="6919A919" w14:textId="77777777" w:rsidTr="00B5546B">
        <w:trPr>
          <w:cantSplit/>
          <w:trHeight w:val="247"/>
        </w:trPr>
        <w:tc>
          <w:tcPr>
            <w:tcW w:w="851" w:type="dxa"/>
            <w:vMerge/>
            <w:vAlign w:val="center"/>
          </w:tcPr>
          <w:p w14:paraId="25F36826"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05EF46E9"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4780089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15D6B90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6984835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0.323</w:t>
            </w:r>
          </w:p>
        </w:tc>
        <w:tc>
          <w:tcPr>
            <w:tcW w:w="1024" w:type="dxa"/>
            <w:vAlign w:val="center"/>
          </w:tcPr>
          <w:p w14:paraId="1BAFF6AE"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-0.240</w:t>
            </w:r>
          </w:p>
        </w:tc>
        <w:tc>
          <w:tcPr>
            <w:tcW w:w="1134" w:type="dxa"/>
            <w:vAlign w:val="center"/>
          </w:tcPr>
          <w:p w14:paraId="489722A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0.301</w:t>
            </w:r>
          </w:p>
        </w:tc>
      </w:tr>
      <w:tr w:rsidR="00F17CE0" w:rsidRPr="000855B2" w14:paraId="60617DFA" w14:textId="77777777" w:rsidTr="00B5546B">
        <w:trPr>
          <w:cantSplit/>
          <w:trHeight w:val="247"/>
        </w:trPr>
        <w:tc>
          <w:tcPr>
            <w:tcW w:w="851" w:type="dxa"/>
            <w:vMerge/>
            <w:vAlign w:val="center"/>
          </w:tcPr>
          <w:p w14:paraId="18792004"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79CDFD8F"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6E855B6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5–45</w:t>
            </w:r>
          </w:p>
        </w:tc>
        <w:tc>
          <w:tcPr>
            <w:tcW w:w="1012" w:type="dxa"/>
            <w:vAlign w:val="center"/>
          </w:tcPr>
          <w:p w14:paraId="0D111D7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15</w:t>
            </w:r>
          </w:p>
        </w:tc>
        <w:tc>
          <w:tcPr>
            <w:tcW w:w="1134" w:type="dxa"/>
            <w:vAlign w:val="center"/>
          </w:tcPr>
          <w:p w14:paraId="64A4595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9.92E-02</w:t>
            </w:r>
          </w:p>
        </w:tc>
        <w:tc>
          <w:tcPr>
            <w:tcW w:w="1024" w:type="dxa"/>
            <w:vAlign w:val="center"/>
          </w:tcPr>
          <w:p w14:paraId="100422C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-0.355</w:t>
            </w:r>
          </w:p>
        </w:tc>
        <w:tc>
          <w:tcPr>
            <w:tcW w:w="1134" w:type="dxa"/>
            <w:vAlign w:val="center"/>
          </w:tcPr>
          <w:p w14:paraId="09B78477"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8.967</w:t>
            </w:r>
          </w:p>
        </w:tc>
      </w:tr>
      <w:tr w:rsidR="00F17CE0" w:rsidRPr="000855B2" w14:paraId="30AB2CE5" w14:textId="77777777" w:rsidTr="00B5546B">
        <w:trPr>
          <w:cantSplit/>
          <w:trHeight w:val="247"/>
        </w:trPr>
        <w:tc>
          <w:tcPr>
            <w:tcW w:w="851" w:type="dxa"/>
            <w:vMerge/>
            <w:vAlign w:val="center"/>
          </w:tcPr>
          <w:p w14:paraId="172ADB3B"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62292020"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Medium</w:t>
            </w:r>
          </w:p>
        </w:tc>
        <w:tc>
          <w:tcPr>
            <w:tcW w:w="1508" w:type="dxa"/>
            <w:vAlign w:val="center"/>
          </w:tcPr>
          <w:p w14:paraId="5EC26695"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62E63EB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3601C5F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0.157</w:t>
            </w:r>
          </w:p>
        </w:tc>
        <w:tc>
          <w:tcPr>
            <w:tcW w:w="1024" w:type="dxa"/>
            <w:vAlign w:val="center"/>
          </w:tcPr>
          <w:p w14:paraId="7D15088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-0.207</w:t>
            </w:r>
          </w:p>
        </w:tc>
        <w:tc>
          <w:tcPr>
            <w:tcW w:w="1134" w:type="dxa"/>
            <w:vAlign w:val="center"/>
          </w:tcPr>
          <w:p w14:paraId="2AF5BEF3"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7.009</w:t>
            </w:r>
          </w:p>
        </w:tc>
      </w:tr>
      <w:tr w:rsidR="00F17CE0" w:rsidRPr="000855B2" w14:paraId="59359C23" w14:textId="77777777" w:rsidTr="00B5546B">
        <w:trPr>
          <w:cantSplit/>
          <w:trHeight w:val="247"/>
        </w:trPr>
        <w:tc>
          <w:tcPr>
            <w:tcW w:w="851" w:type="dxa"/>
            <w:vMerge/>
            <w:vAlign w:val="center"/>
          </w:tcPr>
          <w:p w14:paraId="31E62502"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65269311"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13E4EF1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50B5C94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68F7AD4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0.282</w:t>
            </w:r>
          </w:p>
        </w:tc>
        <w:tc>
          <w:tcPr>
            <w:tcW w:w="1024" w:type="dxa"/>
            <w:vAlign w:val="center"/>
          </w:tcPr>
          <w:p w14:paraId="00BEE8F1"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-0.338</w:t>
            </w:r>
          </w:p>
        </w:tc>
        <w:tc>
          <w:tcPr>
            <w:tcW w:w="1134" w:type="dxa"/>
            <w:vAlign w:val="center"/>
          </w:tcPr>
          <w:p w14:paraId="36FB13DB"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4.098</w:t>
            </w:r>
          </w:p>
        </w:tc>
      </w:tr>
      <w:tr w:rsidR="00F17CE0" w:rsidRPr="000855B2" w14:paraId="3DE151AC" w14:textId="77777777" w:rsidTr="00B5546B">
        <w:trPr>
          <w:cantSplit/>
          <w:trHeight w:val="247"/>
        </w:trPr>
        <w:tc>
          <w:tcPr>
            <w:tcW w:w="851" w:type="dxa"/>
            <w:vMerge/>
            <w:vAlign w:val="center"/>
          </w:tcPr>
          <w:p w14:paraId="78B3DF60"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278D5EF6"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7580CB38"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5–45</w:t>
            </w:r>
          </w:p>
        </w:tc>
        <w:tc>
          <w:tcPr>
            <w:tcW w:w="1012" w:type="dxa"/>
            <w:vAlign w:val="center"/>
          </w:tcPr>
          <w:p w14:paraId="69012AF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15</w:t>
            </w:r>
          </w:p>
        </w:tc>
        <w:tc>
          <w:tcPr>
            <w:tcW w:w="1134" w:type="dxa"/>
            <w:vAlign w:val="center"/>
          </w:tcPr>
          <w:p w14:paraId="6CDA16E0"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4.76E-02</w:t>
            </w:r>
          </w:p>
        </w:tc>
        <w:tc>
          <w:tcPr>
            <w:tcW w:w="1024" w:type="dxa"/>
            <w:vAlign w:val="center"/>
          </w:tcPr>
          <w:p w14:paraId="05AC84B7"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-0.477</w:t>
            </w:r>
          </w:p>
        </w:tc>
        <w:tc>
          <w:tcPr>
            <w:tcW w:w="1134" w:type="dxa"/>
            <w:vAlign w:val="center"/>
          </w:tcPr>
          <w:p w14:paraId="466C2557"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13.44</w:t>
            </w:r>
          </w:p>
        </w:tc>
      </w:tr>
      <w:tr w:rsidR="00F17CE0" w:rsidRPr="000855B2" w14:paraId="1C35F09B" w14:textId="77777777" w:rsidTr="00B5546B">
        <w:trPr>
          <w:cantSplit/>
          <w:trHeight w:val="247"/>
        </w:trPr>
        <w:tc>
          <w:tcPr>
            <w:tcW w:w="851" w:type="dxa"/>
            <w:vMerge/>
            <w:vAlign w:val="center"/>
          </w:tcPr>
          <w:p w14:paraId="08070FE0"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restart"/>
            <w:vAlign w:val="center"/>
          </w:tcPr>
          <w:p w14:paraId="11F8B66E" w14:textId="77777777" w:rsidR="00F17CE0" w:rsidRPr="000855B2" w:rsidRDefault="00F17CE0" w:rsidP="00F17CE0">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Large-SUV-Executive</w:t>
            </w:r>
          </w:p>
        </w:tc>
        <w:tc>
          <w:tcPr>
            <w:tcW w:w="1508" w:type="dxa"/>
            <w:vAlign w:val="center"/>
          </w:tcPr>
          <w:p w14:paraId="0D7B5A5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5–25</w:t>
            </w:r>
          </w:p>
        </w:tc>
        <w:tc>
          <w:tcPr>
            <w:tcW w:w="1012" w:type="dxa"/>
            <w:vAlign w:val="center"/>
          </w:tcPr>
          <w:p w14:paraId="5044FD1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01AF2F02"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8.14E-02</w:t>
            </w:r>
          </w:p>
        </w:tc>
        <w:tc>
          <w:tcPr>
            <w:tcW w:w="1024" w:type="dxa"/>
            <w:vAlign w:val="center"/>
          </w:tcPr>
          <w:p w14:paraId="38AB21A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-0.165</w:t>
            </w:r>
          </w:p>
        </w:tc>
        <w:tc>
          <w:tcPr>
            <w:tcW w:w="1134" w:type="dxa"/>
            <w:vAlign w:val="center"/>
          </w:tcPr>
          <w:p w14:paraId="18374A9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6.464</w:t>
            </w:r>
          </w:p>
        </w:tc>
      </w:tr>
      <w:tr w:rsidR="00F17CE0" w:rsidRPr="000855B2" w14:paraId="56063548" w14:textId="77777777" w:rsidTr="00B5546B">
        <w:trPr>
          <w:cantSplit/>
          <w:trHeight w:val="247"/>
        </w:trPr>
        <w:tc>
          <w:tcPr>
            <w:tcW w:w="851" w:type="dxa"/>
            <w:vMerge/>
            <w:vAlign w:val="center"/>
          </w:tcPr>
          <w:p w14:paraId="5C5C2B0C"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56EC42CD"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40CB8B5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26–45</w:t>
            </w:r>
          </w:p>
        </w:tc>
        <w:tc>
          <w:tcPr>
            <w:tcW w:w="1012" w:type="dxa"/>
            <w:vAlign w:val="center"/>
          </w:tcPr>
          <w:p w14:paraId="5BAD4C6A"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-20 : 15</w:t>
            </w:r>
          </w:p>
        </w:tc>
        <w:tc>
          <w:tcPr>
            <w:tcW w:w="1134" w:type="dxa"/>
            <w:vAlign w:val="center"/>
          </w:tcPr>
          <w:p w14:paraId="2259671C"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0.116</w:t>
            </w:r>
          </w:p>
        </w:tc>
        <w:tc>
          <w:tcPr>
            <w:tcW w:w="1024" w:type="dxa"/>
            <w:vAlign w:val="center"/>
          </w:tcPr>
          <w:p w14:paraId="5AD5668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-0.229</w:t>
            </w:r>
          </w:p>
        </w:tc>
        <w:tc>
          <w:tcPr>
            <w:tcW w:w="1134" w:type="dxa"/>
            <w:vAlign w:val="center"/>
          </w:tcPr>
          <w:p w14:paraId="47CB1C37"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5.739</w:t>
            </w:r>
          </w:p>
        </w:tc>
      </w:tr>
      <w:tr w:rsidR="00F17CE0" w:rsidRPr="000855B2" w14:paraId="5CD076DD" w14:textId="77777777" w:rsidTr="00B5546B">
        <w:trPr>
          <w:cantSplit/>
          <w:trHeight w:val="247"/>
        </w:trPr>
        <w:tc>
          <w:tcPr>
            <w:tcW w:w="851" w:type="dxa"/>
            <w:vMerge/>
            <w:vAlign w:val="center"/>
          </w:tcPr>
          <w:p w14:paraId="4736FA0D"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431" w:type="dxa"/>
            <w:vMerge/>
            <w:vAlign w:val="center"/>
          </w:tcPr>
          <w:p w14:paraId="232397F8" w14:textId="77777777" w:rsidR="00F17CE0" w:rsidRPr="000855B2" w:rsidRDefault="00F17CE0" w:rsidP="005C7955">
            <w:pPr>
              <w:pStyle w:val="Table"/>
              <w:spacing w:line="240" w:lineRule="atLeast"/>
              <w:rPr>
                <w:rFonts w:ascii="Open Sans" w:hAnsi="Open Sans" w:cs="Open Sans"/>
                <w:snapToGrid w:val="0"/>
                <w:sz w:val="18"/>
                <w:lang w:val="en-GB" w:eastAsia="en-US"/>
              </w:rPr>
            </w:pPr>
          </w:p>
        </w:tc>
        <w:tc>
          <w:tcPr>
            <w:tcW w:w="1508" w:type="dxa"/>
            <w:vAlign w:val="center"/>
          </w:tcPr>
          <w:p w14:paraId="2789D75E"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5–45</w:t>
            </w:r>
          </w:p>
        </w:tc>
        <w:tc>
          <w:tcPr>
            <w:tcW w:w="1012" w:type="dxa"/>
            <w:vAlign w:val="center"/>
          </w:tcPr>
          <w:p w14:paraId="6E17F58E"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&gt; 15</w:t>
            </w:r>
          </w:p>
        </w:tc>
        <w:tc>
          <w:tcPr>
            <w:tcW w:w="1134" w:type="dxa"/>
            <w:vAlign w:val="center"/>
          </w:tcPr>
          <w:p w14:paraId="28344292"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1.75E-02</w:t>
            </w:r>
          </w:p>
        </w:tc>
        <w:tc>
          <w:tcPr>
            <w:tcW w:w="1024" w:type="dxa"/>
            <w:vAlign w:val="center"/>
          </w:tcPr>
          <w:p w14:paraId="77EAA9C9"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-0.346</w:t>
            </w:r>
          </w:p>
        </w:tc>
        <w:tc>
          <w:tcPr>
            <w:tcW w:w="1134" w:type="dxa"/>
            <w:vAlign w:val="center"/>
          </w:tcPr>
          <w:p w14:paraId="0080808E"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10.462</w:t>
            </w:r>
          </w:p>
        </w:tc>
      </w:tr>
      <w:tr w:rsidR="00F17CE0" w:rsidRPr="000855B2" w14:paraId="28A23C71" w14:textId="77777777" w:rsidTr="00B5546B">
        <w:trPr>
          <w:trHeight w:val="247"/>
        </w:trPr>
        <w:tc>
          <w:tcPr>
            <w:tcW w:w="851" w:type="dxa"/>
            <w:vAlign w:val="center"/>
          </w:tcPr>
          <w:p w14:paraId="446CEDBA" w14:textId="33A8E62F" w:rsidR="00F17CE0" w:rsidRPr="000855B2" w:rsidRDefault="00632F81" w:rsidP="005C7955">
            <w:pPr>
              <w:pStyle w:val="Table"/>
              <w:spacing w:line="240" w:lineRule="atLeast"/>
              <w:rPr>
                <w:rFonts w:ascii="Open Sans" w:hAnsi="Open Sans" w:cs="Open Sans"/>
                <w:snapToGrid w:val="0"/>
                <w:sz w:val="18"/>
                <w:lang w:val="en-GB" w:eastAsia="en-US"/>
              </w:rPr>
            </w:pPr>
            <w:r>
              <w:rPr>
                <w:rFonts w:ascii="Open Sans" w:hAnsi="Open Sans" w:cs="Open Sans"/>
                <w:snapToGrid w:val="0"/>
                <w:sz w:val="18"/>
                <w:lang w:val="en-GB" w:eastAsia="en-US"/>
              </w:rPr>
              <w:t>E</w:t>
            </w:r>
            <w:r w:rsidR="00F17CE0" w:rsidRPr="000855B2">
              <w:rPr>
                <w:rFonts w:ascii="Open Sans" w:hAnsi="Open Sans" w:cs="Open Sans"/>
                <w:snapToGrid w:val="0"/>
                <w:sz w:val="18"/>
                <w:lang w:val="en-GB" w:eastAsia="en-US"/>
              </w:rPr>
              <w:t>C</w:t>
            </w:r>
          </w:p>
        </w:tc>
        <w:tc>
          <w:tcPr>
            <w:tcW w:w="1431" w:type="dxa"/>
            <w:vAlign w:val="center"/>
          </w:tcPr>
          <w:p w14:paraId="21E8DE06" w14:textId="77777777" w:rsidR="00F17CE0" w:rsidRPr="000855B2" w:rsidRDefault="00F17CE0" w:rsidP="005C7955">
            <w:pPr>
              <w:pStyle w:val="Table"/>
              <w:spacing w:line="240" w:lineRule="atLeast"/>
              <w:rPr>
                <w:rFonts w:ascii="Open Sans" w:hAnsi="Open Sans" w:cs="Open Sans"/>
                <w:snapToGrid w:val="0"/>
                <w:sz w:val="18"/>
                <w:lang w:val="en-GB" w:eastAsia="en-US"/>
              </w:rPr>
            </w:pPr>
            <w:r w:rsidRPr="000855B2">
              <w:rPr>
                <w:rFonts w:ascii="Open Sans" w:hAnsi="Open Sans" w:cs="Open Sans"/>
                <w:snapToGrid w:val="0"/>
                <w:sz w:val="18"/>
                <w:lang w:val="en-GB" w:eastAsia="en-US"/>
              </w:rPr>
              <w:t>All classes</w:t>
            </w:r>
          </w:p>
        </w:tc>
        <w:tc>
          <w:tcPr>
            <w:tcW w:w="1508" w:type="dxa"/>
            <w:vAlign w:val="center"/>
          </w:tcPr>
          <w:p w14:paraId="7D9A63C4"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w:t>
            </w:r>
          </w:p>
        </w:tc>
        <w:tc>
          <w:tcPr>
            <w:tcW w:w="1012" w:type="dxa"/>
            <w:vAlign w:val="center"/>
          </w:tcPr>
          <w:p w14:paraId="26F2635F"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-10 : 30</w:t>
            </w:r>
          </w:p>
        </w:tc>
        <w:tc>
          <w:tcPr>
            <w:tcW w:w="1134" w:type="dxa"/>
            <w:vAlign w:val="center"/>
          </w:tcPr>
          <w:p w14:paraId="3BDAEF15"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w:t>
            </w:r>
          </w:p>
        </w:tc>
        <w:tc>
          <w:tcPr>
            <w:tcW w:w="1024" w:type="dxa"/>
            <w:vAlign w:val="center"/>
          </w:tcPr>
          <w:p w14:paraId="5912BB9D"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-0.009</w:t>
            </w:r>
          </w:p>
        </w:tc>
        <w:tc>
          <w:tcPr>
            <w:tcW w:w="1134" w:type="dxa"/>
            <w:vAlign w:val="center"/>
          </w:tcPr>
          <w:p w14:paraId="3EB45EB6" w14:textId="77777777" w:rsidR="00F17CE0" w:rsidRPr="000855B2" w:rsidRDefault="00F17CE0" w:rsidP="005C7955">
            <w:pPr>
              <w:pStyle w:val="Table"/>
              <w:spacing w:line="240" w:lineRule="atLeast"/>
              <w:jc w:val="center"/>
              <w:rPr>
                <w:rFonts w:ascii="Open Sans" w:hAnsi="Open Sans" w:cs="Open Sans"/>
                <w:snapToGrid w:val="0"/>
                <w:sz w:val="18"/>
                <w:lang w:val="en-GB" w:eastAsia="en-US"/>
              </w:rPr>
            </w:pPr>
            <w:r w:rsidRPr="000855B2">
              <w:rPr>
                <w:rFonts w:ascii="Open Sans" w:hAnsi="Open Sans" w:cs="Open Sans"/>
                <w:snapToGrid w:val="0"/>
                <w:sz w:val="18"/>
                <w:lang w:val="en-GB" w:eastAsia="en-US"/>
              </w:rPr>
              <w:t>1.47</w:t>
            </w:r>
          </w:p>
        </w:tc>
      </w:tr>
    </w:tbl>
    <w:p w14:paraId="72F58A19" w14:textId="77777777" w:rsidR="001A56B9" w:rsidRPr="000855B2" w:rsidRDefault="001D2587" w:rsidP="00E42177">
      <w:pPr>
        <w:pStyle w:val="BodyText"/>
        <w:spacing w:before="0" w:after="0"/>
        <w:rPr>
          <w:sz w:val="16"/>
          <w:szCs w:val="18"/>
        </w:rPr>
      </w:pPr>
      <w:r w:rsidRPr="000855B2">
        <w:rPr>
          <w:sz w:val="16"/>
          <w:szCs w:val="18"/>
        </w:rPr>
        <w:t xml:space="preserve">Note: </w:t>
      </w:r>
    </w:p>
    <w:p w14:paraId="50BFD31F" w14:textId="77777777" w:rsidR="001D2587" w:rsidRPr="000855B2" w:rsidRDefault="00EC58CA" w:rsidP="00E42177">
      <w:pPr>
        <w:pStyle w:val="BodyText"/>
        <w:spacing w:before="0" w:after="0"/>
        <w:rPr>
          <w:sz w:val="16"/>
          <w:szCs w:val="18"/>
        </w:rPr>
      </w:pPr>
      <w:r w:rsidRPr="000855B2">
        <w:rPr>
          <w:sz w:val="16"/>
          <w:szCs w:val="18"/>
        </w:rPr>
        <w:t xml:space="preserve">If the calculated value of </w:t>
      </w:r>
      <w:r w:rsidR="001D2587" w:rsidRPr="000855B2">
        <w:rPr>
          <w:sz w:val="16"/>
          <w:szCs w:val="18"/>
        </w:rPr>
        <w:t>e</w:t>
      </w:r>
      <w:r w:rsidR="001D2587" w:rsidRPr="000855B2">
        <w:rPr>
          <w:sz w:val="16"/>
          <w:szCs w:val="18"/>
          <w:vertAlign w:val="superscript"/>
        </w:rPr>
        <w:t>COLD</w:t>
      </w:r>
      <w:r w:rsidR="001D2587" w:rsidRPr="000855B2">
        <w:rPr>
          <w:sz w:val="16"/>
          <w:szCs w:val="18"/>
        </w:rPr>
        <w:t xml:space="preserve"> /e</w:t>
      </w:r>
      <w:r w:rsidR="001D2587" w:rsidRPr="000855B2">
        <w:rPr>
          <w:sz w:val="16"/>
          <w:szCs w:val="18"/>
          <w:vertAlign w:val="superscript"/>
        </w:rPr>
        <w:t>HOT</w:t>
      </w:r>
      <w:r w:rsidR="001D2587" w:rsidRPr="000855B2">
        <w:rPr>
          <w:sz w:val="16"/>
          <w:szCs w:val="18"/>
        </w:rPr>
        <w:t xml:space="preserve"> </w:t>
      </w:r>
      <w:r w:rsidRPr="000855B2">
        <w:rPr>
          <w:sz w:val="16"/>
          <w:szCs w:val="18"/>
        </w:rPr>
        <w:t>is less than 1, a value of 1 should be used.</w:t>
      </w:r>
    </w:p>
    <w:p w14:paraId="6A1337C8" w14:textId="77777777" w:rsidR="00E42177" w:rsidRPr="000855B2" w:rsidRDefault="00E42177" w:rsidP="000D58E5">
      <w:pPr>
        <w:rPr>
          <w:u w:val="single"/>
          <w:lang w:val="en-GB"/>
        </w:rPr>
      </w:pPr>
    </w:p>
    <w:p w14:paraId="7E4FE698" w14:textId="1CC3A4CE" w:rsidR="000D58E5" w:rsidRPr="000855B2" w:rsidRDefault="000D58E5" w:rsidP="007D0659">
      <w:pPr>
        <w:pStyle w:val="BodyText"/>
      </w:pPr>
      <w:r w:rsidRPr="000855B2">
        <w:t>Emissions of catalyst-equipped vehicles during the warming-up phase are significantly higher than during stabilised thermal conditions due to the reduced efficiency of the catalytic converter at temperatures below the light-off. Therefore, the effect of cold start has to be modelled in detail for Euro 1 and later vehicles.</w:t>
      </w:r>
      <w:r w:rsidR="004D03D3">
        <w:t xml:space="preserve"> </w:t>
      </w:r>
      <w:r w:rsidR="00FB454C">
        <w:fldChar w:fldCharType="begin"/>
      </w:r>
      <w:r w:rsidR="00FB454C">
        <w:instrText xml:space="preserve"> REF _Ref140402173 \h  \* MERGEFORMAT </w:instrText>
      </w:r>
      <w:r w:rsidR="00FB454C">
        <w:fldChar w:fldCharType="separate"/>
      </w:r>
      <w:r w:rsidR="0071604C" w:rsidRPr="000855B2">
        <w:t>Table </w:t>
      </w:r>
      <w:r w:rsidR="0071604C">
        <w:t>3.39</w:t>
      </w:r>
      <w:r w:rsidR="00FB454C">
        <w:fldChar w:fldCharType="end"/>
      </w:r>
      <w:r w:rsidRPr="000855B2">
        <w:t xml:space="preserve"> provides e</w:t>
      </w:r>
      <w:r w:rsidRPr="000855B2">
        <w:rPr>
          <w:vertAlign w:val="superscript"/>
        </w:rPr>
        <w:t>COLD</w:t>
      </w:r>
      <w:r w:rsidRPr="000855B2">
        <w:t>/e</w:t>
      </w:r>
      <w:r w:rsidRPr="000855B2">
        <w:rPr>
          <w:vertAlign w:val="superscript"/>
        </w:rPr>
        <w:t>HOT</w:t>
      </w:r>
      <w:r w:rsidRPr="000855B2">
        <w:t xml:space="preserve"> emission quotients for three main pollutants and </w:t>
      </w:r>
      <w:r w:rsidR="002A52ED">
        <w:t>energy</w:t>
      </w:r>
      <w:r w:rsidR="002A52ED" w:rsidRPr="000855B2">
        <w:t xml:space="preserve"> </w:t>
      </w:r>
      <w:r w:rsidRPr="000855B2">
        <w:t xml:space="preserve">consumption. The values are a result of fitting the existing </w:t>
      </w:r>
      <w:r w:rsidR="00461783">
        <w:t>COPERT</w:t>
      </w:r>
      <w:r w:rsidRPr="000855B2">
        <w:t xml:space="preserve"> methodology to the results published by MEET, and are a function of ambient temperature and average trip speed. Two speed regions have been introduced (5</w:t>
      </w:r>
      <w:r w:rsidR="001A56B9" w:rsidRPr="000855B2">
        <w:t>–</w:t>
      </w:r>
      <w:r w:rsidRPr="000855B2">
        <w:t>25</w:t>
      </w:r>
      <w:r w:rsidR="004A3634" w:rsidRPr="000855B2">
        <w:t> km</w:t>
      </w:r>
      <w:r w:rsidRPr="000855B2">
        <w:t>/h and 25</w:t>
      </w:r>
      <w:r w:rsidR="001A56B9" w:rsidRPr="000855B2">
        <w:t>–</w:t>
      </w:r>
      <w:r w:rsidRPr="000855B2">
        <w:t>45</w:t>
      </w:r>
      <w:r w:rsidR="004A3634" w:rsidRPr="000855B2">
        <w:t> km</w:t>
      </w:r>
      <w:r w:rsidRPr="000855B2">
        <w:t>/h). As in the case of the hot emission factors, the value introduced for speed should correspond to the mean trip speed, and not to the instantaneous speed. The speed range proposed is sufficient to cover most applications because excess cold-start emissions are allocated to urban driving only.</w:t>
      </w:r>
    </w:p>
    <w:p w14:paraId="5A4E477C" w14:textId="77777777" w:rsidR="001D2587" w:rsidRPr="000855B2" w:rsidRDefault="0045683B" w:rsidP="007D0659">
      <w:pPr>
        <w:pStyle w:val="BodyText"/>
      </w:pPr>
      <w:r w:rsidRPr="000855B2">
        <w:t xml:space="preserve">For </w:t>
      </w:r>
      <w:r w:rsidR="001D2587" w:rsidRPr="000855B2">
        <w:t>CO and VOC</w:t>
      </w:r>
      <w:r w:rsidR="00025A30" w:rsidRPr="000855B2">
        <w:t>s</w:t>
      </w:r>
      <w:r w:rsidRPr="000855B2">
        <w:t>, the</w:t>
      </w:r>
      <w:r w:rsidR="001D2587" w:rsidRPr="000855B2">
        <w:t xml:space="preserve"> </w:t>
      </w:r>
      <w:r w:rsidRPr="000855B2">
        <w:t xml:space="preserve">excess cold-start </w:t>
      </w:r>
      <w:r w:rsidR="001D2587" w:rsidRPr="000855B2">
        <w:t>emission occurs not only because of the low catalyst conversion efficiency</w:t>
      </w:r>
      <w:r w:rsidRPr="000855B2">
        <w:t>,</w:t>
      </w:r>
      <w:r w:rsidR="001D2587" w:rsidRPr="000855B2">
        <w:t xml:space="preserve"> but also because of the fuel enrichment during cold start conditions which allows for better drivability of a cold engine. The enrichment depends on the engine temperature during cold start. Therefore, </w:t>
      </w:r>
      <w:r w:rsidRPr="000855B2">
        <w:t xml:space="preserve">the excess </w:t>
      </w:r>
      <w:r w:rsidR="001D2587" w:rsidRPr="000855B2">
        <w:t>emission of th</w:t>
      </w:r>
      <w:r w:rsidRPr="000855B2">
        <w:t>e</w:t>
      </w:r>
      <w:r w:rsidR="001D2587" w:rsidRPr="000855B2">
        <w:t>se pollutants during cold starts is not only higher than NO</w:t>
      </w:r>
      <w:r w:rsidR="001D2587" w:rsidRPr="000855B2">
        <w:rPr>
          <w:vertAlign w:val="subscript"/>
        </w:rPr>
        <w:t>x</w:t>
      </w:r>
      <w:r w:rsidR="001D2587" w:rsidRPr="000855B2">
        <w:t xml:space="preserve"> (which is generally not sensitive to fuel enrichment)</w:t>
      </w:r>
      <w:r w:rsidRPr="000855B2">
        <w:t>,</w:t>
      </w:r>
      <w:r w:rsidR="001D2587" w:rsidRPr="000855B2">
        <w:t xml:space="preserve"> but it also has a stronger dependence on temperature. This is why two different temperature ranges have to be </w:t>
      </w:r>
      <w:r w:rsidRPr="000855B2">
        <w:t>defined</w:t>
      </w:r>
      <w:r w:rsidR="001D2587" w:rsidRPr="000855B2">
        <w:t xml:space="preserve"> for </w:t>
      </w:r>
      <w:r w:rsidR="00025A30" w:rsidRPr="000855B2">
        <w:t>CO and VOCs</w:t>
      </w:r>
      <w:r w:rsidR="001D2587" w:rsidRPr="000855B2">
        <w:t>.</w:t>
      </w:r>
    </w:p>
    <w:p w14:paraId="08193A0A" w14:textId="77777777" w:rsidR="001D2587" w:rsidRPr="000855B2" w:rsidRDefault="001D2587" w:rsidP="007D0659">
      <w:pPr>
        <w:pStyle w:val="BodyText"/>
      </w:pPr>
      <w:r w:rsidRPr="000855B2">
        <w:lastRenderedPageBreak/>
        <w:t xml:space="preserve">Generally, </w:t>
      </w:r>
      <w:r w:rsidR="00FB030D" w:rsidRPr="000855B2">
        <w:t xml:space="preserve">the </w:t>
      </w:r>
      <w:r w:rsidRPr="000855B2">
        <w:t>cold</w:t>
      </w:r>
      <w:r w:rsidR="00FB030D" w:rsidRPr="000855B2">
        <w:t>-</w:t>
      </w:r>
      <w:r w:rsidRPr="000855B2">
        <w:t xml:space="preserve">start effect becomes negligible </w:t>
      </w:r>
      <w:r w:rsidR="00FB030D" w:rsidRPr="000855B2">
        <w:t>above</w:t>
      </w:r>
      <w:r w:rsidRPr="000855B2">
        <w:t xml:space="preserve"> 25</w:t>
      </w:r>
      <w:r w:rsidR="001A56B9" w:rsidRPr="000855B2">
        <w:t> </w:t>
      </w:r>
      <w:r w:rsidRPr="000855B2">
        <w:t>°C in the case of CO</w:t>
      </w:r>
      <w:r w:rsidR="00FB030D" w:rsidRPr="000855B2">
        <w:t>,</w:t>
      </w:r>
      <w:r w:rsidRPr="000855B2">
        <w:t xml:space="preserve"> and</w:t>
      </w:r>
      <w:r w:rsidR="00FB030D" w:rsidRPr="000855B2">
        <w:t xml:space="preserve"> above</w:t>
      </w:r>
      <w:r w:rsidRPr="000855B2">
        <w:t xml:space="preserve"> 30</w:t>
      </w:r>
      <w:r w:rsidR="001A56B9" w:rsidRPr="000855B2">
        <w:t> </w:t>
      </w:r>
      <w:r w:rsidRPr="000855B2">
        <w:t>°C in the case of VOC</w:t>
      </w:r>
      <w:r w:rsidR="00FB030D" w:rsidRPr="000855B2">
        <w:t>s</w:t>
      </w:r>
      <w:r w:rsidRPr="000855B2">
        <w:t xml:space="preserve">. This is not only because </w:t>
      </w:r>
      <w:r w:rsidR="00FB030D" w:rsidRPr="000855B2">
        <w:t xml:space="preserve">excess </w:t>
      </w:r>
      <w:r w:rsidRPr="000855B2">
        <w:t xml:space="preserve">emission under such ambient conditions is </w:t>
      </w:r>
      <w:r w:rsidR="00FB030D" w:rsidRPr="000855B2">
        <w:t>small,</w:t>
      </w:r>
      <w:r w:rsidRPr="000855B2">
        <w:t xml:space="preserve"> but also because </w:t>
      </w:r>
      <w:r w:rsidR="00FB030D" w:rsidRPr="000855B2">
        <w:t xml:space="preserve">engines cool down more slowly and the </w:t>
      </w:r>
      <w:r w:rsidRPr="000855B2">
        <w:t>actual engine start-up temperature can still be high after several hours of parking.</w:t>
      </w:r>
    </w:p>
    <w:p w14:paraId="4AD44AE1" w14:textId="16AD4C75" w:rsidR="001D2587" w:rsidRPr="000855B2" w:rsidRDefault="001D2587" w:rsidP="007D0659">
      <w:pPr>
        <w:pStyle w:val="BodyText"/>
      </w:pPr>
      <w:r w:rsidRPr="000855B2">
        <w:t>The mileage fraction driven during the warm</w:t>
      </w:r>
      <w:r w:rsidR="00DA3F69" w:rsidRPr="000855B2">
        <w:t>-</w:t>
      </w:r>
      <w:r w:rsidRPr="000855B2">
        <w:t xml:space="preserve">up phase is calculated by means of the formula provided in </w:t>
      </w:r>
      <w:r w:rsidR="00FB454C">
        <w:fldChar w:fldCharType="begin"/>
      </w:r>
      <w:r w:rsidR="00FB454C">
        <w:instrText xml:space="preserve"> REF _Ref140400973 \h  \* MERGEFORMAT </w:instrText>
      </w:r>
      <w:r w:rsidR="00FB454C">
        <w:fldChar w:fldCharType="separate"/>
      </w:r>
      <w:r w:rsidR="0071604C" w:rsidRPr="000855B2">
        <w:t>Table </w:t>
      </w:r>
      <w:r w:rsidR="0071604C">
        <w:t>3.38</w:t>
      </w:r>
      <w:r w:rsidR="00FB454C">
        <w:fldChar w:fldCharType="end"/>
      </w:r>
      <w:r w:rsidRPr="000855B2">
        <w:t xml:space="preserve">. After calculating the </w:t>
      </w:r>
      <w:r w:rsidRPr="000855B2">
        <w:sym w:font="Symbol" w:char="F062"/>
      </w:r>
      <w:r w:rsidRPr="000855B2">
        <w:t>-parameter and e</w:t>
      </w:r>
      <w:r w:rsidRPr="000855B2">
        <w:rPr>
          <w:vertAlign w:val="superscript"/>
        </w:rPr>
        <w:t>COLD</w:t>
      </w:r>
      <w:r w:rsidRPr="000855B2">
        <w:t>/e</w:t>
      </w:r>
      <w:r w:rsidRPr="000855B2">
        <w:rPr>
          <w:vertAlign w:val="superscript"/>
        </w:rPr>
        <w:t>HOT</w:t>
      </w:r>
      <w:r w:rsidRPr="000855B2">
        <w:t xml:space="preserve">, the application of equations </w:t>
      </w:r>
      <w:r w:rsidR="00FB454C">
        <w:fldChar w:fldCharType="begin"/>
      </w:r>
      <w:r w:rsidR="00FB454C">
        <w:instrText xml:space="preserve"> REF _Ref140576425 \h  \* MERGEFORMAT </w:instrText>
      </w:r>
      <w:r w:rsidR="00FB454C">
        <w:fldChar w:fldCharType="separate"/>
      </w:r>
      <w:r w:rsidR="0071604C" w:rsidRPr="000855B2">
        <w:t>(</w:t>
      </w:r>
      <w:r w:rsidR="0071604C">
        <w:rPr>
          <w:noProof/>
        </w:rPr>
        <w:t>10</w:t>
      </w:r>
      <w:r w:rsidR="0071604C" w:rsidRPr="000855B2">
        <w:rPr>
          <w:noProof/>
        </w:rPr>
        <w:t>)</w:t>
      </w:r>
      <w:r w:rsidR="00FB454C">
        <w:fldChar w:fldCharType="end"/>
      </w:r>
      <w:r w:rsidRPr="000855B2">
        <w:t xml:space="preserve"> or </w:t>
      </w:r>
      <w:r w:rsidR="00FB454C">
        <w:fldChar w:fldCharType="begin"/>
      </w:r>
      <w:r w:rsidR="00FB454C">
        <w:instrText xml:space="preserve"> REF _Ref140576437 \h  \* MERGEFORMAT </w:instrText>
      </w:r>
      <w:r w:rsidR="00FB454C">
        <w:fldChar w:fldCharType="separate"/>
      </w:r>
      <w:r w:rsidR="0071604C" w:rsidRPr="000855B2">
        <w:t>(</w:t>
      </w:r>
      <w:r w:rsidR="0071604C">
        <w:rPr>
          <w:noProof/>
        </w:rPr>
        <w:t>11</w:t>
      </w:r>
      <w:r w:rsidR="0071604C" w:rsidRPr="000855B2">
        <w:rPr>
          <w:noProof/>
        </w:rPr>
        <w:t>)</w:t>
      </w:r>
      <w:r w:rsidR="00FB454C">
        <w:fldChar w:fldCharType="end"/>
      </w:r>
      <w:r w:rsidRPr="000855B2">
        <w:t xml:space="preserve"> is straightforward.</w:t>
      </w:r>
    </w:p>
    <w:p w14:paraId="4D496AE3" w14:textId="1D94BC75" w:rsidR="001D2587" w:rsidRPr="000855B2" w:rsidRDefault="00DA3F69" w:rsidP="007D0659">
      <w:pPr>
        <w:pStyle w:val="BodyText"/>
      </w:pPr>
      <w:r w:rsidRPr="000855B2">
        <w:t>Compared with Euro 1</w:t>
      </w:r>
      <w:r w:rsidR="005A19A3" w:rsidRPr="000855B2">
        <w:t xml:space="preserve"> vehicles</w:t>
      </w:r>
      <w:r w:rsidRPr="000855B2">
        <w:t>, the e</w:t>
      </w:r>
      <w:r w:rsidR="001D2587" w:rsidRPr="000855B2">
        <w:t>mission reduction during the warm</w:t>
      </w:r>
      <w:r w:rsidRPr="000855B2">
        <w:t>-</w:t>
      </w:r>
      <w:r w:rsidR="001D2587" w:rsidRPr="000855B2">
        <w:t>up phase of post-Euro 1 vehicle</w:t>
      </w:r>
      <w:r w:rsidRPr="000855B2">
        <w:t>s</w:t>
      </w:r>
      <w:r w:rsidR="001D2587" w:rsidRPr="000855B2">
        <w:t xml:space="preserve"> </w:t>
      </w:r>
      <w:r w:rsidRPr="000855B2">
        <w:t xml:space="preserve">is </w:t>
      </w:r>
      <w:r w:rsidR="001D2587" w:rsidRPr="000855B2">
        <w:t>mainly</w:t>
      </w:r>
      <w:r w:rsidRPr="000855B2">
        <w:t xml:space="preserve"> due to</w:t>
      </w:r>
      <w:r w:rsidR="001D2587" w:rsidRPr="000855B2">
        <w:t xml:space="preserve"> the reduced time which is required f</w:t>
      </w:r>
      <w:r w:rsidRPr="000855B2">
        <w:t>or</w:t>
      </w:r>
      <w:r w:rsidR="001D2587" w:rsidRPr="000855B2">
        <w:t xml:space="preserve"> new catalytic systems to reach the light-off temperature. This time reduction is further reflected </w:t>
      </w:r>
      <w:r w:rsidRPr="000855B2">
        <w:t>in</w:t>
      </w:r>
      <w:r w:rsidR="001D2587" w:rsidRPr="000855B2">
        <w:t xml:space="preserve"> a decrease in the distance travelled with a partial</w:t>
      </w:r>
      <w:r w:rsidRPr="000855B2">
        <w:t>ly</w:t>
      </w:r>
      <w:r w:rsidR="001D2587" w:rsidRPr="000855B2">
        <w:t xml:space="preserve"> warm engine and/or exhaust aftertreatment devices. Therefore, reduced cold start emissions are </w:t>
      </w:r>
      <w:r w:rsidRPr="000855B2">
        <w:t>modelled</w:t>
      </w:r>
      <w:r w:rsidR="001D2587" w:rsidRPr="000855B2">
        <w:t xml:space="preserve"> </w:t>
      </w:r>
      <w:r w:rsidRPr="000855B2">
        <w:t xml:space="preserve">by </w:t>
      </w:r>
      <w:r w:rsidR="001D2587" w:rsidRPr="000855B2">
        <w:t>decreas</w:t>
      </w:r>
      <w:r w:rsidRPr="000855B2">
        <w:t>ing</w:t>
      </w:r>
      <w:r w:rsidR="001D2587" w:rsidRPr="000855B2">
        <w:t xml:space="preserve"> the</w:t>
      </w:r>
      <w:r w:rsidRPr="000855B2">
        <w:t xml:space="preserve"> value of the</w:t>
      </w:r>
      <w:r w:rsidR="001D2587" w:rsidRPr="000855B2">
        <w:t xml:space="preserve"> </w:t>
      </w:r>
      <w:r w:rsidR="001D2587" w:rsidRPr="000855B2">
        <w:rPr>
          <w:i/>
        </w:rPr>
        <w:sym w:font="Symbol" w:char="F062"/>
      </w:r>
      <w:r w:rsidR="0008044E" w:rsidRPr="000855B2">
        <w:t>-</w:t>
      </w:r>
      <w:r w:rsidR="001D2587" w:rsidRPr="000855B2">
        <w:t>parameter</w:t>
      </w:r>
      <w:r w:rsidRPr="000855B2">
        <w:t xml:space="preserve"> (</w:t>
      </w:r>
      <w:r w:rsidR="00D205E2" w:rsidRPr="000855B2">
        <w:t>i.e</w:t>
      </w:r>
      <w:r w:rsidRPr="000855B2">
        <w:rPr>
          <w:i/>
        </w:rPr>
        <w:t>.</w:t>
      </w:r>
      <w:r w:rsidRPr="000855B2">
        <w:t xml:space="preserve"> </w:t>
      </w:r>
      <w:r w:rsidR="001D2587" w:rsidRPr="000855B2">
        <w:t>the mileage fraction driven with a cold or partially warm engine</w:t>
      </w:r>
      <w:r w:rsidRPr="000855B2">
        <w:t>)</w:t>
      </w:r>
      <w:r w:rsidR="001D2587" w:rsidRPr="000855B2">
        <w:t xml:space="preserve">. </w:t>
      </w:r>
      <w:r w:rsidR="00FB454C">
        <w:fldChar w:fldCharType="begin"/>
      </w:r>
      <w:r w:rsidR="00FB454C">
        <w:instrText xml:space="preserve"> REF _Ref140400450 \h  \* MERGEFORMAT </w:instrText>
      </w:r>
      <w:r w:rsidR="00FB454C">
        <w:fldChar w:fldCharType="separate"/>
      </w:r>
      <w:r w:rsidR="0071604C" w:rsidRPr="000855B2">
        <w:t>Table </w:t>
      </w:r>
      <w:r w:rsidR="0071604C">
        <w:t>3.40</w:t>
      </w:r>
      <w:r w:rsidR="00FB454C">
        <w:fldChar w:fldCharType="end"/>
      </w:r>
      <w:r w:rsidR="001D2587" w:rsidRPr="000855B2">
        <w:t xml:space="preserve"> provides </w:t>
      </w:r>
      <w:r w:rsidRPr="000855B2">
        <w:t xml:space="preserve">the </w:t>
      </w:r>
      <w:r w:rsidR="001D2587" w:rsidRPr="000855B2">
        <w:t>reduction factors (</w:t>
      </w:r>
      <w:r w:rsidR="001D2587" w:rsidRPr="000855B2">
        <w:rPr>
          <w:i/>
        </w:rPr>
        <w:t>bc</w:t>
      </w:r>
      <w:r w:rsidR="0008044E" w:rsidRPr="000855B2">
        <w:rPr>
          <w:i/>
          <w:vertAlign w:val="subscript"/>
        </w:rPr>
        <w:t>i,k</w:t>
      </w:r>
      <w:r w:rsidR="001D2587" w:rsidRPr="000855B2">
        <w:t xml:space="preserve">) to be applied </w:t>
      </w:r>
      <w:r w:rsidRPr="000855B2">
        <w:t>to</w:t>
      </w:r>
      <w:r w:rsidR="001D2587" w:rsidRPr="000855B2">
        <w:t xml:space="preserve"> the </w:t>
      </w:r>
      <w:r w:rsidR="001D2587" w:rsidRPr="000855B2">
        <w:rPr>
          <w:i/>
        </w:rPr>
        <w:sym w:font="Symbol" w:char="F062"/>
      </w:r>
      <w:r w:rsidR="001D2587" w:rsidRPr="000855B2">
        <w:t xml:space="preserve">-parameter according to </w:t>
      </w:r>
      <w:r w:rsidRPr="000855B2">
        <w:t xml:space="preserve">the </w:t>
      </w:r>
      <w:r w:rsidR="001D2587" w:rsidRPr="000855B2">
        <w:t xml:space="preserve">pollutant and vehicle class. </w:t>
      </w:r>
    </w:p>
    <w:p w14:paraId="14965571" w14:textId="27E4FC59" w:rsidR="001D2587" w:rsidRPr="000855B2" w:rsidRDefault="00A040D1" w:rsidP="00C92B1B">
      <w:pPr>
        <w:pStyle w:val="Caption"/>
      </w:pPr>
      <w:bookmarkStart w:id="199" w:name="_Ref140400450"/>
      <w:bookmarkStart w:id="200" w:name="_Toc482876840"/>
      <w:bookmarkStart w:id="201" w:name="_Toc496265293"/>
      <w:bookmarkStart w:id="202" w:name="_Toc388276156"/>
      <w:bookmarkStart w:id="203" w:name="_Toc402632414"/>
      <w:bookmarkStart w:id="204" w:name="_Toc402632468"/>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40</w:t>
      </w:r>
      <w:r w:rsidR="00FB454C">
        <w:rPr>
          <w:noProof/>
        </w:rPr>
        <w:fldChar w:fldCharType="end"/>
      </w:r>
      <w:bookmarkEnd w:id="199"/>
      <w:r w:rsidR="001D2587" w:rsidRPr="000855B2">
        <w:t xml:space="preserve">: </w:t>
      </w:r>
      <w:r w:rsidR="001D2587" w:rsidRPr="000855B2">
        <w:sym w:font="Symbol" w:char="F062"/>
      </w:r>
      <w:r w:rsidR="0062179A" w:rsidRPr="000855B2">
        <w:t>-</w:t>
      </w:r>
      <w:r w:rsidR="001D2587" w:rsidRPr="000855B2">
        <w:t>reduction factors (</w:t>
      </w:r>
      <w:r w:rsidR="001D2587" w:rsidRPr="000855B2">
        <w:rPr>
          <w:i/>
        </w:rPr>
        <w:t>bc</w:t>
      </w:r>
      <w:r w:rsidR="00C35B80" w:rsidRPr="000855B2">
        <w:rPr>
          <w:i/>
          <w:vertAlign w:val="subscript"/>
        </w:rPr>
        <w:t>i,k</w:t>
      </w:r>
      <w:r w:rsidR="001D2587" w:rsidRPr="000855B2">
        <w:t xml:space="preserve">) </w:t>
      </w:r>
      <w:r w:rsidR="0062179A" w:rsidRPr="000855B2">
        <w:t>for</w:t>
      </w:r>
      <w:r w:rsidR="001D2587" w:rsidRPr="000855B2">
        <w:t xml:space="preserve"> post-Euro 1 </w:t>
      </w:r>
      <w:r w:rsidR="005E4DC4">
        <w:t>petrol</w:t>
      </w:r>
      <w:r w:rsidR="001D2587" w:rsidRPr="000855B2">
        <w:t xml:space="preserve"> vehicles </w:t>
      </w:r>
      <w:r w:rsidR="0062179A" w:rsidRPr="000855B2">
        <w:t>(relative to Euro 1)</w:t>
      </w:r>
      <w:bookmarkEnd w:id="200"/>
      <w:bookmarkEnd w:id="201"/>
    </w:p>
    <w:tbl>
      <w:tblPr>
        <w:tblStyle w:val="MyStyle1"/>
        <w:tblW w:w="0" w:type="auto"/>
        <w:tblLayout w:type="fixed"/>
        <w:tblLook w:val="00A0" w:firstRow="1" w:lastRow="0" w:firstColumn="1" w:lastColumn="0" w:noHBand="0" w:noVBand="0"/>
      </w:tblPr>
      <w:tblGrid>
        <w:gridCol w:w="2802"/>
        <w:gridCol w:w="992"/>
        <w:gridCol w:w="850"/>
        <w:gridCol w:w="993"/>
      </w:tblGrid>
      <w:tr w:rsidR="001D2587" w:rsidRPr="000855B2" w14:paraId="1C675FA8" w14:textId="77777777" w:rsidTr="0082129F">
        <w:trPr>
          <w:cnfStyle w:val="100000000000" w:firstRow="1" w:lastRow="0" w:firstColumn="0" w:lastColumn="0" w:oddVBand="0" w:evenVBand="0" w:oddHBand="0" w:evenHBand="0" w:firstRowFirstColumn="0" w:firstRowLastColumn="0" w:lastRowFirstColumn="0" w:lastRowLastColumn="0"/>
          <w:trHeight w:hRule="exact" w:val="400"/>
        </w:trPr>
        <w:tc>
          <w:tcPr>
            <w:cnfStyle w:val="001000000000" w:firstRow="0" w:lastRow="0" w:firstColumn="1" w:lastColumn="0" w:oddVBand="0" w:evenVBand="0" w:oddHBand="0" w:evenHBand="0" w:firstRowFirstColumn="0" w:firstRowLastColumn="0" w:lastRowFirstColumn="0" w:lastRowLastColumn="0"/>
            <w:tcW w:w="2802" w:type="dxa"/>
          </w:tcPr>
          <w:p w14:paraId="665894C2" w14:textId="77777777" w:rsidR="001D2587" w:rsidRPr="001843DE" w:rsidRDefault="001D2587" w:rsidP="005C7955">
            <w:pPr>
              <w:keepNext/>
              <w:keepLines/>
              <w:suppressAutoHyphens/>
              <w:spacing w:line="240" w:lineRule="atLeast"/>
              <w:rPr>
                <w:b/>
              </w:rPr>
            </w:pPr>
            <w:r w:rsidRPr="001843DE">
              <w:rPr>
                <w:b/>
              </w:rPr>
              <w:t>Emission legislation</w:t>
            </w:r>
          </w:p>
        </w:tc>
        <w:tc>
          <w:tcPr>
            <w:tcW w:w="992" w:type="dxa"/>
          </w:tcPr>
          <w:p w14:paraId="6F4FC5F8" w14:textId="77777777" w:rsidR="001D2587" w:rsidRPr="001843DE" w:rsidRDefault="001D2587" w:rsidP="005C7955">
            <w:pPr>
              <w:keepNext/>
              <w:keepLines/>
              <w:suppressAutoHyphens/>
              <w:spacing w:line="240" w:lineRule="atLeast"/>
              <w:cnfStyle w:val="100000000000" w:firstRow="1" w:lastRow="0" w:firstColumn="0" w:lastColumn="0" w:oddVBand="0" w:evenVBand="0" w:oddHBand="0" w:evenHBand="0" w:firstRowFirstColumn="0" w:firstRowLastColumn="0" w:lastRowFirstColumn="0" w:lastRowLastColumn="0"/>
              <w:rPr>
                <w:b/>
              </w:rPr>
            </w:pPr>
            <w:r w:rsidRPr="001843DE">
              <w:rPr>
                <w:b/>
              </w:rPr>
              <w:t>CO</w:t>
            </w:r>
          </w:p>
        </w:tc>
        <w:tc>
          <w:tcPr>
            <w:tcW w:w="850" w:type="dxa"/>
          </w:tcPr>
          <w:p w14:paraId="626A9FB8" w14:textId="77777777" w:rsidR="001D2587" w:rsidRPr="001843DE" w:rsidRDefault="001D2587" w:rsidP="005C7955">
            <w:pPr>
              <w:keepNext/>
              <w:keepLines/>
              <w:suppressAutoHyphens/>
              <w:spacing w:line="240" w:lineRule="atLeast"/>
              <w:cnfStyle w:val="100000000000" w:firstRow="1" w:lastRow="0" w:firstColumn="0" w:lastColumn="0" w:oddVBand="0" w:evenVBand="0" w:oddHBand="0" w:evenHBand="0" w:firstRowFirstColumn="0" w:firstRowLastColumn="0" w:lastRowFirstColumn="0" w:lastRowLastColumn="0"/>
              <w:rPr>
                <w:b/>
              </w:rPr>
            </w:pPr>
            <w:r w:rsidRPr="001843DE">
              <w:rPr>
                <w:b/>
              </w:rPr>
              <w:t>NOx</w:t>
            </w:r>
          </w:p>
        </w:tc>
        <w:tc>
          <w:tcPr>
            <w:tcW w:w="993" w:type="dxa"/>
          </w:tcPr>
          <w:p w14:paraId="2F7E53F3" w14:textId="77777777" w:rsidR="001D2587" w:rsidRPr="001843DE" w:rsidRDefault="001D2587" w:rsidP="005C7955">
            <w:pPr>
              <w:keepNext/>
              <w:keepLines/>
              <w:suppressAutoHyphens/>
              <w:spacing w:line="240" w:lineRule="atLeast"/>
              <w:cnfStyle w:val="100000000000" w:firstRow="1" w:lastRow="0" w:firstColumn="0" w:lastColumn="0" w:oddVBand="0" w:evenVBand="0" w:oddHBand="0" w:evenHBand="0" w:firstRowFirstColumn="0" w:firstRowLastColumn="0" w:lastRowFirstColumn="0" w:lastRowLastColumn="0"/>
              <w:rPr>
                <w:b/>
              </w:rPr>
            </w:pPr>
            <w:r w:rsidRPr="001843DE">
              <w:rPr>
                <w:b/>
              </w:rPr>
              <w:t>VOC</w:t>
            </w:r>
          </w:p>
        </w:tc>
      </w:tr>
      <w:tr w:rsidR="001D2587" w:rsidRPr="000855B2" w14:paraId="430A2B18" w14:textId="77777777" w:rsidTr="0082129F">
        <w:trPr>
          <w:trHeight w:hRule="exact" w:val="320"/>
        </w:trPr>
        <w:tc>
          <w:tcPr>
            <w:cnfStyle w:val="001000000000" w:firstRow="0" w:lastRow="0" w:firstColumn="1" w:lastColumn="0" w:oddVBand="0" w:evenVBand="0" w:oddHBand="0" w:evenHBand="0" w:firstRowFirstColumn="0" w:firstRowLastColumn="0" w:lastRowFirstColumn="0" w:lastRowLastColumn="0"/>
            <w:tcW w:w="2802" w:type="dxa"/>
          </w:tcPr>
          <w:p w14:paraId="44CD635B" w14:textId="77777777" w:rsidR="001D2587" w:rsidRPr="001843DE" w:rsidRDefault="001D2587" w:rsidP="005C7955">
            <w:pPr>
              <w:keepNext/>
              <w:keepLines/>
              <w:suppressAutoHyphens/>
              <w:spacing w:line="240" w:lineRule="atLeast"/>
            </w:pPr>
            <w:r w:rsidRPr="001843DE">
              <w:t xml:space="preserve">Euro 2 </w:t>
            </w:r>
            <w:r w:rsidR="001A56B9" w:rsidRPr="001843DE">
              <w:t>—</w:t>
            </w:r>
            <w:r w:rsidRPr="001843DE">
              <w:t xml:space="preserve"> 94/12/EC</w:t>
            </w:r>
          </w:p>
        </w:tc>
        <w:tc>
          <w:tcPr>
            <w:tcW w:w="992" w:type="dxa"/>
          </w:tcPr>
          <w:p w14:paraId="16698429"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0.72</w:t>
            </w:r>
          </w:p>
        </w:tc>
        <w:tc>
          <w:tcPr>
            <w:tcW w:w="850" w:type="dxa"/>
          </w:tcPr>
          <w:p w14:paraId="68FFD429"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0.72</w:t>
            </w:r>
          </w:p>
        </w:tc>
        <w:tc>
          <w:tcPr>
            <w:tcW w:w="993" w:type="dxa"/>
          </w:tcPr>
          <w:p w14:paraId="397B1CBC"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0.56</w:t>
            </w:r>
          </w:p>
        </w:tc>
      </w:tr>
      <w:tr w:rsidR="001D2587" w:rsidRPr="000855B2" w14:paraId="3A21EC18" w14:textId="77777777" w:rsidTr="0082129F">
        <w:trPr>
          <w:trHeight w:hRule="exact" w:val="320"/>
        </w:trPr>
        <w:tc>
          <w:tcPr>
            <w:cnfStyle w:val="001000000000" w:firstRow="0" w:lastRow="0" w:firstColumn="1" w:lastColumn="0" w:oddVBand="0" w:evenVBand="0" w:oddHBand="0" w:evenHBand="0" w:firstRowFirstColumn="0" w:firstRowLastColumn="0" w:lastRowFirstColumn="0" w:lastRowLastColumn="0"/>
            <w:tcW w:w="2802" w:type="dxa"/>
          </w:tcPr>
          <w:p w14:paraId="7824068A" w14:textId="77777777" w:rsidR="001D2587" w:rsidRPr="001843DE" w:rsidRDefault="001D2587" w:rsidP="005C7955">
            <w:pPr>
              <w:keepNext/>
              <w:keepLines/>
              <w:suppressAutoHyphens/>
              <w:spacing w:line="240" w:lineRule="atLeast"/>
            </w:pPr>
            <w:r w:rsidRPr="001843DE">
              <w:t xml:space="preserve">Euro 3 </w:t>
            </w:r>
            <w:r w:rsidR="001A56B9" w:rsidRPr="001843DE">
              <w:t>—</w:t>
            </w:r>
            <w:r w:rsidRPr="001843DE">
              <w:t xml:space="preserve"> 98/69/EC Stage 2000</w:t>
            </w:r>
          </w:p>
        </w:tc>
        <w:tc>
          <w:tcPr>
            <w:tcW w:w="992" w:type="dxa"/>
          </w:tcPr>
          <w:p w14:paraId="191BDFA2"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0.62</w:t>
            </w:r>
          </w:p>
        </w:tc>
        <w:tc>
          <w:tcPr>
            <w:tcW w:w="850" w:type="dxa"/>
          </w:tcPr>
          <w:p w14:paraId="5D5F1B4C"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0.32</w:t>
            </w:r>
          </w:p>
        </w:tc>
        <w:tc>
          <w:tcPr>
            <w:tcW w:w="993" w:type="dxa"/>
          </w:tcPr>
          <w:p w14:paraId="24A71D76"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0.32</w:t>
            </w:r>
          </w:p>
        </w:tc>
      </w:tr>
      <w:tr w:rsidR="001D2587" w:rsidRPr="000855B2" w14:paraId="3966128A" w14:textId="77777777" w:rsidTr="0082129F">
        <w:trPr>
          <w:trHeight w:hRule="exact" w:val="320"/>
        </w:trPr>
        <w:tc>
          <w:tcPr>
            <w:cnfStyle w:val="001000000000" w:firstRow="0" w:lastRow="0" w:firstColumn="1" w:lastColumn="0" w:oddVBand="0" w:evenVBand="0" w:oddHBand="0" w:evenHBand="0" w:firstRowFirstColumn="0" w:firstRowLastColumn="0" w:lastRowFirstColumn="0" w:lastRowLastColumn="0"/>
            <w:tcW w:w="2802" w:type="dxa"/>
          </w:tcPr>
          <w:p w14:paraId="426B1F59" w14:textId="77777777" w:rsidR="001D2587" w:rsidRPr="001843DE" w:rsidRDefault="001D2587" w:rsidP="005C7955">
            <w:pPr>
              <w:keepNext/>
              <w:keepLines/>
              <w:suppressAutoHyphens/>
              <w:spacing w:line="240" w:lineRule="atLeast"/>
            </w:pPr>
            <w:r w:rsidRPr="001843DE">
              <w:t xml:space="preserve">Euro 4 </w:t>
            </w:r>
            <w:r w:rsidR="005F593A" w:rsidRPr="001843DE">
              <w:t>and on</w:t>
            </w:r>
          </w:p>
        </w:tc>
        <w:tc>
          <w:tcPr>
            <w:tcW w:w="992" w:type="dxa"/>
          </w:tcPr>
          <w:p w14:paraId="229E6FE0"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0.18</w:t>
            </w:r>
          </w:p>
        </w:tc>
        <w:tc>
          <w:tcPr>
            <w:tcW w:w="850" w:type="dxa"/>
          </w:tcPr>
          <w:p w14:paraId="3336B659"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0.18</w:t>
            </w:r>
          </w:p>
        </w:tc>
        <w:tc>
          <w:tcPr>
            <w:tcW w:w="993" w:type="dxa"/>
          </w:tcPr>
          <w:p w14:paraId="54FE433B" w14:textId="77777777" w:rsidR="001D2587" w:rsidRPr="001843DE" w:rsidRDefault="001D2587" w:rsidP="005C7955">
            <w:pPr>
              <w:keepNext/>
              <w:keepLines/>
              <w:suppressAutoHyphens/>
              <w:spacing w:line="240" w:lineRule="atLeast"/>
              <w:cnfStyle w:val="000000000000" w:firstRow="0" w:lastRow="0" w:firstColumn="0" w:lastColumn="0" w:oddVBand="0" w:evenVBand="0" w:oddHBand="0" w:evenHBand="0" w:firstRowFirstColumn="0" w:firstRowLastColumn="0" w:lastRowFirstColumn="0" w:lastRowLastColumn="0"/>
            </w:pPr>
            <w:r w:rsidRPr="001843DE">
              <w:t>0.18</w:t>
            </w:r>
          </w:p>
        </w:tc>
      </w:tr>
    </w:tbl>
    <w:bookmarkEnd w:id="202"/>
    <w:bookmarkEnd w:id="203"/>
    <w:bookmarkEnd w:id="204"/>
    <w:p w14:paraId="1BE20563" w14:textId="77777777" w:rsidR="001D2587" w:rsidRPr="000855B2" w:rsidRDefault="001D2587" w:rsidP="007D0659">
      <w:pPr>
        <w:pStyle w:val="BodyText"/>
      </w:pPr>
      <w:r w:rsidRPr="000855B2">
        <w:t xml:space="preserve">On the other hand, there is no </w:t>
      </w:r>
      <w:r w:rsidR="003E49B4" w:rsidRPr="000855B2">
        <w:t>evidence to support the use of different values of e</w:t>
      </w:r>
      <w:r w:rsidR="003E49B4" w:rsidRPr="000855B2">
        <w:rPr>
          <w:vertAlign w:val="superscript"/>
        </w:rPr>
        <w:t>COLD</w:t>
      </w:r>
      <w:r w:rsidR="003E49B4" w:rsidRPr="000855B2">
        <w:t>/e</w:t>
      </w:r>
      <w:r w:rsidR="003E49B4" w:rsidRPr="000855B2">
        <w:rPr>
          <w:vertAlign w:val="superscript"/>
        </w:rPr>
        <w:t>HOT</w:t>
      </w:r>
      <w:r w:rsidR="003E49B4" w:rsidRPr="000855B2">
        <w:t xml:space="preserve"> for different </w:t>
      </w:r>
      <w:r w:rsidRPr="000855B2">
        <w:t>vehicle classes</w:t>
      </w:r>
      <w:r w:rsidR="0022601A" w:rsidRPr="000855B2">
        <w:t xml:space="preserve"> (</w:t>
      </w:r>
      <w:bookmarkStart w:id="205" w:name="_Ref352257322"/>
      <w:r w:rsidR="0022601A" w:rsidRPr="000855B2">
        <w:rPr>
          <w:rStyle w:val="FootnoteReference"/>
        </w:rPr>
        <w:footnoteReference w:id="6"/>
      </w:r>
      <w:bookmarkEnd w:id="205"/>
      <w:r w:rsidR="0022601A" w:rsidRPr="000855B2">
        <w:t>)</w:t>
      </w:r>
      <w:r w:rsidRPr="000855B2">
        <w:t>. This means that the e</w:t>
      </w:r>
      <w:r w:rsidRPr="000855B2">
        <w:rPr>
          <w:vertAlign w:val="superscript"/>
        </w:rPr>
        <w:t>COLD</w:t>
      </w:r>
      <w:r w:rsidRPr="000855B2">
        <w:t>/e</w:t>
      </w:r>
      <w:r w:rsidRPr="000855B2">
        <w:rPr>
          <w:vertAlign w:val="superscript"/>
        </w:rPr>
        <w:t>HOT</w:t>
      </w:r>
      <w:r w:rsidRPr="000855B2">
        <w:t xml:space="preserve"> value</w:t>
      </w:r>
      <w:r w:rsidR="003E49B4" w:rsidRPr="000855B2">
        <w:t>s</w:t>
      </w:r>
      <w:r w:rsidRPr="000855B2">
        <w:t xml:space="preserve"> calculated for Euro 1 vehicles can be also applied </w:t>
      </w:r>
      <w:r w:rsidR="003E49B4" w:rsidRPr="000855B2">
        <w:t xml:space="preserve">to </w:t>
      </w:r>
      <w:r w:rsidRPr="000855B2">
        <w:t xml:space="preserve">later vehicle classes without further reductions. </w:t>
      </w:r>
      <w:r w:rsidR="003E49B4" w:rsidRPr="000855B2">
        <w:t>Similarly</w:t>
      </w:r>
      <w:r w:rsidRPr="000855B2">
        <w:t xml:space="preserve">, the hot emission factor </w:t>
      </w:r>
      <w:r w:rsidR="003E49B4" w:rsidRPr="000855B2">
        <w:t xml:space="preserve">used in the estimation </w:t>
      </w:r>
      <w:r w:rsidRPr="000855B2">
        <w:t>of cold</w:t>
      </w:r>
      <w:r w:rsidR="003E49B4" w:rsidRPr="000855B2">
        <w:t>-</w:t>
      </w:r>
      <w:r w:rsidRPr="000855B2">
        <w:t>star</w:t>
      </w:r>
      <w:r w:rsidR="003E49B4" w:rsidRPr="000855B2">
        <w:t xml:space="preserve">t </w:t>
      </w:r>
      <w:r w:rsidRPr="000855B2">
        <w:t>emission</w:t>
      </w:r>
      <w:r w:rsidR="003E49B4" w:rsidRPr="000855B2">
        <w:t>s</w:t>
      </w:r>
      <w:r w:rsidRPr="000855B2">
        <w:t xml:space="preserve"> should</w:t>
      </w:r>
      <w:r w:rsidR="003E49B4" w:rsidRPr="000855B2">
        <w:t xml:space="preserve"> also be </w:t>
      </w:r>
      <w:r w:rsidRPr="000855B2">
        <w:t xml:space="preserve">the Euro </w:t>
      </w:r>
      <w:r w:rsidR="003E49B4" w:rsidRPr="000855B2">
        <w:t xml:space="preserve">1 </w:t>
      </w:r>
      <w:r w:rsidRPr="000855B2">
        <w:t>value.</w:t>
      </w:r>
    </w:p>
    <w:p w14:paraId="48F564DB" w14:textId="04435CDC" w:rsidR="001D2587" w:rsidRPr="000855B2" w:rsidRDefault="001D2587" w:rsidP="007D0659">
      <w:pPr>
        <w:rPr>
          <w:lang w:val="en-GB"/>
        </w:rPr>
      </w:pPr>
      <w:r w:rsidRPr="000855B2">
        <w:rPr>
          <w:lang w:val="en-GB"/>
        </w:rPr>
        <w:t xml:space="preserve">Therefore, </w:t>
      </w:r>
      <w:r w:rsidR="003E49B4" w:rsidRPr="000855B2">
        <w:rPr>
          <w:lang w:val="en-GB"/>
        </w:rPr>
        <w:t xml:space="preserve">in the case of post-Euro 1 vehicles, </w:t>
      </w:r>
      <w:r w:rsidRPr="000855B2">
        <w:rPr>
          <w:lang w:val="en-GB"/>
        </w:rPr>
        <w:t xml:space="preserve">equation </w:t>
      </w:r>
      <w:r w:rsidR="00FB454C">
        <w:fldChar w:fldCharType="begin"/>
      </w:r>
      <w:r w:rsidR="00FB454C">
        <w:instrText xml:space="preserve"> REF _Ref140576425 \h  \* MERGEFORMAT </w:instrText>
      </w:r>
      <w:r w:rsidR="00FB454C">
        <w:fldChar w:fldCharType="separate"/>
      </w:r>
      <w:r w:rsidR="0071604C" w:rsidRPr="0071604C">
        <w:rPr>
          <w:lang w:val="en-GB"/>
        </w:rPr>
        <w:t>(</w:t>
      </w:r>
      <w:r w:rsidR="0071604C" w:rsidRPr="0071604C">
        <w:rPr>
          <w:noProof/>
          <w:lang w:val="en-GB"/>
        </w:rPr>
        <w:t>10)</w:t>
      </w:r>
      <w:r w:rsidR="00FB454C">
        <w:fldChar w:fldCharType="end"/>
      </w:r>
      <w:r w:rsidRPr="000855B2">
        <w:rPr>
          <w:lang w:val="en-GB"/>
        </w:rPr>
        <w:t xml:space="preserve"> </w:t>
      </w:r>
      <w:r w:rsidR="003E49B4" w:rsidRPr="000855B2">
        <w:rPr>
          <w:lang w:val="en-GB"/>
        </w:rPr>
        <w:t>becomes</w:t>
      </w:r>
      <w:r w:rsidRPr="000855B2">
        <w:rPr>
          <w:lang w:val="en-GB"/>
        </w:rPr>
        <w:t>:</w:t>
      </w:r>
    </w:p>
    <w:tbl>
      <w:tblPr>
        <w:tblW w:w="0" w:type="auto"/>
        <w:tblBorders>
          <w:insideH w:val="single" w:sz="4" w:space="0" w:color="auto"/>
        </w:tblBorders>
        <w:tblLook w:val="01E0" w:firstRow="1" w:lastRow="1" w:firstColumn="1" w:lastColumn="1" w:noHBand="0" w:noVBand="0"/>
      </w:tblPr>
      <w:tblGrid>
        <w:gridCol w:w="7565"/>
        <w:gridCol w:w="748"/>
      </w:tblGrid>
      <w:tr w:rsidR="001D2587" w:rsidRPr="000855B2" w14:paraId="1332D3FF" w14:textId="77777777">
        <w:tc>
          <w:tcPr>
            <w:tcW w:w="7565" w:type="dxa"/>
            <w:tcMar>
              <w:left w:w="0" w:type="dxa"/>
              <w:right w:w="0" w:type="dxa"/>
            </w:tcMar>
            <w:vAlign w:val="center"/>
          </w:tcPr>
          <w:p w14:paraId="092B00C0" w14:textId="77777777" w:rsidR="001D2587" w:rsidRPr="00765ABC" w:rsidRDefault="001D2587" w:rsidP="007D0659">
            <w:pPr>
              <w:numPr>
                <w:ilvl w:val="12"/>
                <w:numId w:val="0"/>
              </w:numPr>
              <w:spacing w:before="120" w:after="120"/>
              <w:rPr>
                <w:lang w:val="it-IT"/>
              </w:rPr>
            </w:pPr>
            <w:r w:rsidRPr="00765ABC">
              <w:rPr>
                <w:lang w:val="it-IT"/>
              </w:rPr>
              <w:t>E</w:t>
            </w:r>
            <w:r w:rsidR="00C35B80" w:rsidRPr="00765ABC">
              <w:rPr>
                <w:vertAlign w:val="subscript"/>
                <w:lang w:val="it-IT"/>
              </w:rPr>
              <w:t>COLD;i,k</w:t>
            </w:r>
            <w:r w:rsidRPr="00765ABC">
              <w:rPr>
                <w:lang w:val="it-IT"/>
              </w:rPr>
              <w:t xml:space="preserve"> = bc</w:t>
            </w:r>
            <w:r w:rsidR="000D58E5" w:rsidRPr="00765ABC">
              <w:rPr>
                <w:vertAlign w:val="subscript"/>
                <w:lang w:val="it-IT"/>
              </w:rPr>
              <w:t>i,k</w:t>
            </w:r>
            <w:r w:rsidRPr="00765ABC">
              <w:rPr>
                <w:lang w:val="it-IT"/>
              </w:rPr>
              <w:t xml:space="preserve"> × </w:t>
            </w:r>
            <w:r w:rsidRPr="000855B2">
              <w:rPr>
                <w:lang w:val="en-GB"/>
              </w:rPr>
              <w:sym w:font="Symbol" w:char="F062"/>
            </w:r>
            <w:r w:rsidRPr="00765ABC">
              <w:rPr>
                <w:vertAlign w:val="subscript"/>
                <w:lang w:val="it-IT"/>
              </w:rPr>
              <w:t>i</w:t>
            </w:r>
            <w:r w:rsidRPr="00765ABC">
              <w:rPr>
                <w:lang w:val="it-IT"/>
              </w:rPr>
              <w:t>,</w:t>
            </w:r>
            <w:r w:rsidRPr="00765ABC">
              <w:rPr>
                <w:vertAlign w:val="subscript"/>
                <w:lang w:val="it-IT"/>
              </w:rPr>
              <w:t>Euro 1</w:t>
            </w:r>
            <w:r w:rsidRPr="00765ABC">
              <w:rPr>
                <w:lang w:val="it-IT"/>
              </w:rPr>
              <w:t xml:space="preserve"> × N</w:t>
            </w:r>
            <w:r w:rsidR="000D58E5" w:rsidRPr="00765ABC">
              <w:rPr>
                <w:vertAlign w:val="subscript"/>
                <w:lang w:val="it-IT"/>
              </w:rPr>
              <w:t>k</w:t>
            </w:r>
            <w:r w:rsidRPr="00765ABC">
              <w:rPr>
                <w:lang w:val="it-IT"/>
              </w:rPr>
              <w:t xml:space="preserve"> </w:t>
            </w:r>
            <w:r w:rsidR="00C35B80" w:rsidRPr="00765ABC">
              <w:rPr>
                <w:lang w:val="it-IT"/>
              </w:rPr>
              <w:t>×</w:t>
            </w:r>
            <w:r w:rsidRPr="00765ABC">
              <w:rPr>
                <w:lang w:val="it-IT"/>
              </w:rPr>
              <w:t xml:space="preserve"> M</w:t>
            </w:r>
            <w:r w:rsidR="000D58E5" w:rsidRPr="00765ABC">
              <w:rPr>
                <w:vertAlign w:val="subscript"/>
                <w:lang w:val="it-IT"/>
              </w:rPr>
              <w:t>k</w:t>
            </w:r>
            <w:r w:rsidRPr="00765ABC">
              <w:rPr>
                <w:lang w:val="it-IT"/>
              </w:rPr>
              <w:t xml:space="preserve"> × e</w:t>
            </w:r>
            <w:r w:rsidRPr="00765ABC">
              <w:rPr>
                <w:vertAlign w:val="subscript"/>
                <w:lang w:val="it-IT"/>
              </w:rPr>
              <w:t xml:space="preserve">hot, i, Euro 1 </w:t>
            </w:r>
            <w:r w:rsidRPr="00765ABC">
              <w:rPr>
                <w:lang w:val="it-IT"/>
              </w:rPr>
              <w:t xml:space="preserve"> × (e</w:t>
            </w:r>
            <w:r w:rsidRPr="00765ABC">
              <w:rPr>
                <w:vertAlign w:val="superscript"/>
                <w:lang w:val="it-IT"/>
              </w:rPr>
              <w:t>COLD</w:t>
            </w:r>
            <w:r w:rsidRPr="00765ABC">
              <w:rPr>
                <w:lang w:val="it-IT"/>
              </w:rPr>
              <w:t xml:space="preserve"> / e</w:t>
            </w:r>
            <w:r w:rsidRPr="00765ABC">
              <w:rPr>
                <w:vertAlign w:val="superscript"/>
                <w:lang w:val="it-IT"/>
              </w:rPr>
              <w:t>HOT</w:t>
            </w:r>
            <w:r w:rsidRPr="00765ABC">
              <w:rPr>
                <w:lang w:val="it-IT"/>
              </w:rPr>
              <w:t xml:space="preserve"> - 1)|</w:t>
            </w:r>
            <w:r w:rsidR="000D58E5" w:rsidRPr="00765ABC">
              <w:rPr>
                <w:vertAlign w:val="subscript"/>
                <w:lang w:val="it-IT"/>
              </w:rPr>
              <w:t>i</w:t>
            </w:r>
            <w:r w:rsidRPr="00765ABC">
              <w:rPr>
                <w:vertAlign w:val="subscript"/>
                <w:lang w:val="it-IT"/>
              </w:rPr>
              <w:t>, Euro 1</w:t>
            </w:r>
          </w:p>
        </w:tc>
        <w:tc>
          <w:tcPr>
            <w:tcW w:w="748" w:type="dxa"/>
            <w:tcMar>
              <w:left w:w="0" w:type="dxa"/>
              <w:right w:w="0" w:type="dxa"/>
            </w:tcMar>
            <w:vAlign w:val="center"/>
          </w:tcPr>
          <w:p w14:paraId="51C87B66" w14:textId="4DF34B8B" w:rsidR="001D2587" w:rsidRPr="000855B2" w:rsidRDefault="001D2587" w:rsidP="007D0659">
            <w:pPr>
              <w:numPr>
                <w:ilvl w:val="12"/>
                <w:numId w:val="0"/>
              </w:numPr>
              <w:spacing w:before="120" w:after="120"/>
              <w:rPr>
                <w:lang w:val="en-GB"/>
              </w:rPr>
            </w:pPr>
            <w:bookmarkStart w:id="206" w:name="_Ref480565749"/>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26</w:t>
            </w:r>
            <w:r w:rsidR="00E17971">
              <w:rPr>
                <w:lang w:val="en-GB"/>
              </w:rPr>
              <w:fldChar w:fldCharType="end"/>
            </w:r>
            <w:r w:rsidRPr="000855B2">
              <w:rPr>
                <w:lang w:val="en-GB"/>
              </w:rPr>
              <w:t>)</w:t>
            </w:r>
            <w:bookmarkEnd w:id="206"/>
          </w:p>
        </w:tc>
      </w:tr>
    </w:tbl>
    <w:p w14:paraId="1FFB8C3F" w14:textId="118E1010" w:rsidR="001D2587" w:rsidRPr="000855B2" w:rsidRDefault="003E49B4" w:rsidP="007D0659">
      <w:pPr>
        <w:pStyle w:val="BodyText"/>
      </w:pPr>
      <w:r w:rsidRPr="000855B2">
        <w:t>Similar</w:t>
      </w:r>
      <w:r w:rsidR="001D2587" w:rsidRPr="000855B2">
        <w:t xml:space="preserve"> modifications should also be brought in</w:t>
      </w:r>
      <w:r w:rsidRPr="000855B2">
        <w:t>to</w:t>
      </w:r>
      <w:r w:rsidR="001D2587" w:rsidRPr="000855B2">
        <w:t xml:space="preserve"> equation </w:t>
      </w:r>
      <w:r w:rsidR="00FB454C">
        <w:fldChar w:fldCharType="begin"/>
      </w:r>
      <w:r w:rsidR="00FB454C">
        <w:instrText xml:space="preserve"> REF _Ref140576437 \h  \* MERGEFORMAT </w:instrText>
      </w:r>
      <w:r w:rsidR="00FB454C">
        <w:fldChar w:fldCharType="separate"/>
      </w:r>
      <w:r w:rsidR="0071604C" w:rsidRPr="000855B2">
        <w:t>(</w:t>
      </w:r>
      <w:r w:rsidR="0071604C">
        <w:rPr>
          <w:noProof/>
        </w:rPr>
        <w:t>11</w:t>
      </w:r>
      <w:r w:rsidR="0071604C" w:rsidRPr="000855B2">
        <w:rPr>
          <w:noProof/>
        </w:rPr>
        <w:t>)</w:t>
      </w:r>
      <w:r w:rsidR="00FB454C">
        <w:fldChar w:fldCharType="end"/>
      </w:r>
      <w:r w:rsidR="001D2587" w:rsidRPr="000855B2">
        <w:t xml:space="preserve"> in cases where</w:t>
      </w:r>
      <w:r w:rsidR="001D2587" w:rsidRPr="000855B2">
        <w:br/>
        <w:t>bc</w:t>
      </w:r>
      <w:r w:rsidR="00C12D91" w:rsidRPr="000855B2">
        <w:rPr>
          <w:vertAlign w:val="subscript"/>
        </w:rPr>
        <w:t>i,k</w:t>
      </w:r>
      <w:r w:rsidR="001D2587" w:rsidRPr="000855B2">
        <w:t xml:space="preserve"> × </w:t>
      </w:r>
      <w:r w:rsidR="001D2587" w:rsidRPr="000855B2">
        <w:sym w:font="Symbol" w:char="F062"/>
      </w:r>
      <w:r w:rsidR="001D2587" w:rsidRPr="000855B2">
        <w:rPr>
          <w:vertAlign w:val="subscript"/>
        </w:rPr>
        <w:t>i</w:t>
      </w:r>
      <w:r w:rsidR="001D2587" w:rsidRPr="000855B2">
        <w:t>,</w:t>
      </w:r>
      <w:r w:rsidR="001D2587" w:rsidRPr="000855B2">
        <w:rPr>
          <w:vertAlign w:val="subscript"/>
        </w:rPr>
        <w:t>E</w:t>
      </w:r>
      <w:r w:rsidR="00C35B80" w:rsidRPr="000855B2">
        <w:rPr>
          <w:vertAlign w:val="subscript"/>
        </w:rPr>
        <w:t>URO 1</w:t>
      </w:r>
      <w:r w:rsidR="001D2587" w:rsidRPr="000855B2">
        <w:t xml:space="preserve"> &gt; S</w:t>
      </w:r>
      <w:r w:rsidR="001D2587" w:rsidRPr="000855B2">
        <w:rPr>
          <w:vertAlign w:val="subscript"/>
        </w:rPr>
        <w:t>U</w:t>
      </w:r>
      <w:r w:rsidR="001D2587" w:rsidRPr="000855B2">
        <w:t xml:space="preserve">. </w:t>
      </w:r>
      <w:r w:rsidRPr="000855B2">
        <w:t>O</w:t>
      </w:r>
      <w:r w:rsidR="001D2587" w:rsidRPr="000855B2">
        <w:t>bvious</w:t>
      </w:r>
      <w:r w:rsidRPr="000855B2">
        <w:t>ly,</w:t>
      </w:r>
      <w:r w:rsidR="001D2587" w:rsidRPr="000855B2">
        <w:t xml:space="preserve"> the corrected value should be </w:t>
      </w:r>
      <w:r w:rsidRPr="000855B2">
        <w:t>applied to</w:t>
      </w:r>
      <w:r w:rsidR="001D2587" w:rsidRPr="000855B2">
        <w:t xml:space="preserve"> the mileage fraction during the warm</w:t>
      </w:r>
      <w:r w:rsidRPr="000855B2">
        <w:t>-</w:t>
      </w:r>
      <w:r w:rsidR="001D2587" w:rsidRPr="000855B2">
        <w:t xml:space="preserve">up phase. </w:t>
      </w:r>
    </w:p>
    <w:p w14:paraId="103FFF9E" w14:textId="77777777" w:rsidR="001D2587" w:rsidRPr="000855B2" w:rsidRDefault="001D2587" w:rsidP="00B019EC">
      <w:pPr>
        <w:pStyle w:val="Heading4"/>
      </w:pPr>
      <w:r w:rsidRPr="000855B2">
        <w:t xml:space="preserve">Diesel passenger cars </w:t>
      </w:r>
    </w:p>
    <w:p w14:paraId="1FFC5BFD" w14:textId="77777777" w:rsidR="001D2587" w:rsidRPr="000855B2" w:rsidRDefault="001D2587" w:rsidP="003E49B4">
      <w:pPr>
        <w:rPr>
          <w:u w:val="single"/>
          <w:lang w:val="en-GB"/>
        </w:rPr>
      </w:pPr>
      <w:bookmarkStart w:id="207" w:name="_Toc410491497"/>
      <w:bookmarkStart w:id="208" w:name="_Toc410491691"/>
      <w:r w:rsidRPr="000855B2">
        <w:rPr>
          <w:u w:val="single"/>
          <w:lang w:val="en-GB"/>
        </w:rPr>
        <w:t>Hot emissions</w:t>
      </w:r>
    </w:p>
    <w:p w14:paraId="71CB20FE" w14:textId="77777777" w:rsidR="00E91A02" w:rsidRDefault="000D58E5" w:rsidP="007D0659">
      <w:pPr>
        <w:pStyle w:val="BodyText"/>
      </w:pPr>
      <w:r w:rsidRPr="000855B2">
        <w:t>Experimental</w:t>
      </w:r>
      <w:r w:rsidR="0050459C">
        <w:t xml:space="preserve"> </w:t>
      </w:r>
      <w:r w:rsidRPr="000855B2">
        <w:t>data from</w:t>
      </w:r>
      <w:r w:rsidR="001D2587" w:rsidRPr="000855B2">
        <w:t xml:space="preserve"> measure</w:t>
      </w:r>
      <w:r w:rsidR="005A19A3" w:rsidRPr="000855B2">
        <w:t>ments</w:t>
      </w:r>
      <w:r w:rsidR="001D2587" w:rsidRPr="000855B2">
        <w:t xml:space="preserve"> on diesel passenger cars </w:t>
      </w:r>
      <w:r w:rsidR="00D205E2" w:rsidRPr="000855B2">
        <w:t>&lt; </w:t>
      </w:r>
      <w:r w:rsidR="001D2587" w:rsidRPr="000855B2">
        <w:t xml:space="preserve">2.5 tonnes (Hassel </w:t>
      </w:r>
      <w:r w:rsidR="00D73F59" w:rsidRPr="000855B2">
        <w:t>et al</w:t>
      </w:r>
      <w:r w:rsidR="001D2587" w:rsidRPr="000855B2">
        <w:rPr>
          <w:i/>
        </w:rPr>
        <w:t>.</w:t>
      </w:r>
      <w:r w:rsidR="001D2587" w:rsidRPr="000855B2">
        <w:t xml:space="preserve">, 1987; Pattas </w:t>
      </w:r>
      <w:r w:rsidR="00D73F59" w:rsidRPr="000855B2">
        <w:t>et al</w:t>
      </w:r>
      <w:r w:rsidR="001D2587" w:rsidRPr="000855B2">
        <w:rPr>
          <w:i/>
        </w:rPr>
        <w:t>.</w:t>
      </w:r>
      <w:r w:rsidR="001D2587" w:rsidRPr="000855B2">
        <w:t xml:space="preserve">, 1985; Rijkeboer </w:t>
      </w:r>
      <w:r w:rsidR="00D73F59" w:rsidRPr="000855B2">
        <w:t>et al</w:t>
      </w:r>
      <w:r w:rsidR="001D2587" w:rsidRPr="000855B2">
        <w:t xml:space="preserve">., 1989; 1990) enabled </w:t>
      </w:r>
      <w:r w:rsidR="005A19A3" w:rsidRPr="000855B2">
        <w:t>a</w:t>
      </w:r>
      <w:r w:rsidR="001D2587" w:rsidRPr="000855B2">
        <w:t xml:space="preserve"> differentiat</w:t>
      </w:r>
      <w:r w:rsidR="005A19A3" w:rsidRPr="000855B2">
        <w:t>ion to be made</w:t>
      </w:r>
      <w:r w:rsidR="001D2587" w:rsidRPr="000855B2">
        <w:t xml:space="preserve"> between cylinder capacities</w:t>
      </w:r>
      <w:r w:rsidRPr="000855B2">
        <w:t xml:space="preserve"> for NO</w:t>
      </w:r>
      <w:r w:rsidRPr="000855B2">
        <w:rPr>
          <w:vertAlign w:val="subscript"/>
        </w:rPr>
        <w:t>x</w:t>
      </w:r>
      <w:r w:rsidR="005A19A3" w:rsidRPr="000855B2">
        <w:t>,</w:t>
      </w:r>
      <w:r w:rsidR="001D2587" w:rsidRPr="000855B2">
        <w:t xml:space="preserve"> and speed</w:t>
      </w:r>
      <w:r w:rsidR="005A19A3" w:rsidRPr="000855B2">
        <w:t>-</w:t>
      </w:r>
      <w:r w:rsidR="001D2587" w:rsidRPr="000855B2">
        <w:t xml:space="preserve">dependent emission factors </w:t>
      </w:r>
      <w:r w:rsidR="005A19A3" w:rsidRPr="000855B2">
        <w:t xml:space="preserve">to be developed </w:t>
      </w:r>
      <w:r w:rsidR="001D2587" w:rsidRPr="000855B2">
        <w:t xml:space="preserve">for conventional (pre Euro 1) vehicles. </w:t>
      </w:r>
      <w:r w:rsidR="00E91A02">
        <w:t>For later technologies it is worth noting that</w:t>
      </w:r>
      <w:r w:rsidR="00E91A02" w:rsidRPr="00E91A02">
        <w:t xml:space="preserve"> some manufacturers produced diesel cars equipped with DPFs</w:t>
      </w:r>
      <w:r w:rsidR="00E91A02">
        <w:t xml:space="preserve"> e</w:t>
      </w:r>
      <w:r w:rsidR="00E91A02" w:rsidRPr="00E91A02">
        <w:t xml:space="preserve">ven </w:t>
      </w:r>
      <w:r w:rsidR="00E91A02" w:rsidRPr="00E91A02">
        <w:lastRenderedPageBreak/>
        <w:t>at the Euro 3 stage. These vehicles were not significantly different from ‘conventional’ Euro 3 vehicles in terms of emissions of NOx, CO or HC, but did have lower PM emissions.</w:t>
      </w:r>
    </w:p>
    <w:p w14:paraId="2F61C364" w14:textId="0869B5BC" w:rsidR="001D2587" w:rsidRPr="000855B2" w:rsidRDefault="005A19A3" w:rsidP="007D0659">
      <w:pPr>
        <w:pStyle w:val="BodyText"/>
      </w:pPr>
      <w:r w:rsidRPr="000855B2">
        <w:t>The e</w:t>
      </w:r>
      <w:r w:rsidR="001D2587" w:rsidRPr="000855B2">
        <w:t xml:space="preserve">mission factors to be introduced in equation </w:t>
      </w:r>
      <w:r w:rsidR="00FB454C">
        <w:fldChar w:fldCharType="begin"/>
      </w:r>
      <w:r w:rsidR="00FB454C">
        <w:instrText xml:space="preserve"> REF _Ref140576510 \h  \* MERGEFORMAT </w:instrText>
      </w:r>
      <w:r w:rsidR="00FB454C">
        <w:fldChar w:fldCharType="separate"/>
      </w:r>
      <w:r w:rsidR="0071604C" w:rsidRPr="000855B2">
        <w:t>(</w:t>
      </w:r>
      <w:r w:rsidR="0071604C">
        <w:rPr>
          <w:noProof/>
        </w:rPr>
        <w:t>8</w:t>
      </w:r>
      <w:r w:rsidR="0071604C" w:rsidRPr="000855B2">
        <w:rPr>
          <w:noProof/>
        </w:rPr>
        <w:t>)</w:t>
      </w:r>
      <w:r w:rsidR="00FB454C">
        <w:fldChar w:fldCharType="end"/>
      </w:r>
      <w:r w:rsidR="001D2587" w:rsidRPr="000855B2">
        <w:t xml:space="preserve"> for the calculation of hot emissions from diesel passenger cars </w:t>
      </w:r>
      <w:r w:rsidR="00E91A02">
        <w:t xml:space="preserve">(all technologies from conventional to Euro 6) </w:t>
      </w:r>
      <w:r w:rsidR="0050459C">
        <w:t xml:space="preserve">can be </w:t>
      </w:r>
      <w:r w:rsidR="00E91A02">
        <w:t xml:space="preserve">calculated by </w:t>
      </w:r>
      <w:r w:rsidR="00E91A02" w:rsidRPr="005F593A">
        <w:t xml:space="preserve">applying equation </w:t>
      </w:r>
      <w:r w:rsidR="00E91A02">
        <w:fldChar w:fldCharType="begin"/>
      </w:r>
      <w:r w:rsidR="00E91A02">
        <w:instrText xml:space="preserve"> REF _Ref476242130 \h  \* MERGEFORMAT </w:instrText>
      </w:r>
      <w:r w:rsidR="00E91A02">
        <w:fldChar w:fldCharType="separate"/>
      </w:r>
      <w:r w:rsidR="0071604C" w:rsidRPr="005B17F2">
        <w:t>(</w:t>
      </w:r>
      <w:r w:rsidR="0071604C">
        <w:rPr>
          <w:noProof/>
        </w:rPr>
        <w:t>25</w:t>
      </w:r>
      <w:r w:rsidR="00E91A02">
        <w:fldChar w:fldCharType="end"/>
      </w:r>
      <w:r w:rsidR="00E91A02" w:rsidRPr="005F593A">
        <w:t>)</w:t>
      </w:r>
      <w:r w:rsidR="00E91A02">
        <w:t xml:space="preserve"> and using the coefficients included in the</w:t>
      </w:r>
      <w:r w:rsidR="0050459C" w:rsidRPr="000855B2">
        <w:t xml:space="preserve"> accompanying </w:t>
      </w:r>
      <w:r w:rsidR="00E91A02">
        <w:t>Excel file</w:t>
      </w:r>
      <w:r w:rsidR="001D2587" w:rsidRPr="000855B2">
        <w:t>.</w:t>
      </w:r>
      <w:r w:rsidR="0050459C">
        <w:t xml:space="preserve"> </w:t>
      </w:r>
    </w:p>
    <w:p w14:paraId="5491B2F0" w14:textId="77777777" w:rsidR="00487340" w:rsidRPr="000855B2" w:rsidRDefault="001D2587" w:rsidP="00487340">
      <w:pPr>
        <w:rPr>
          <w:u w:val="single"/>
          <w:lang w:val="en-GB"/>
        </w:rPr>
      </w:pPr>
      <w:r w:rsidRPr="000855B2">
        <w:rPr>
          <w:u w:val="single"/>
          <w:lang w:val="en-GB"/>
        </w:rPr>
        <w:t>Cold</w:t>
      </w:r>
      <w:r w:rsidR="005A19A3" w:rsidRPr="000855B2">
        <w:rPr>
          <w:u w:val="single"/>
          <w:lang w:val="en-GB"/>
        </w:rPr>
        <w:t>-</w:t>
      </w:r>
      <w:r w:rsidRPr="000855B2">
        <w:rPr>
          <w:u w:val="single"/>
          <w:lang w:val="en-GB"/>
        </w:rPr>
        <w:t>start emissions</w:t>
      </w:r>
    </w:p>
    <w:p w14:paraId="748A7255" w14:textId="7416546B" w:rsidR="001D2587" w:rsidRPr="000855B2" w:rsidRDefault="005A19A3" w:rsidP="00487340">
      <w:pPr>
        <w:rPr>
          <w:u w:val="single"/>
          <w:lang w:val="en-GB"/>
        </w:rPr>
      </w:pPr>
      <w:r w:rsidRPr="000855B2">
        <w:rPr>
          <w:lang w:val="en-GB"/>
        </w:rPr>
        <w:t>Excess c</w:t>
      </w:r>
      <w:r w:rsidR="001D2587" w:rsidRPr="000855B2">
        <w:rPr>
          <w:lang w:val="en-GB"/>
        </w:rPr>
        <w:t>old</w:t>
      </w:r>
      <w:r w:rsidRPr="000855B2">
        <w:rPr>
          <w:lang w:val="en-GB"/>
        </w:rPr>
        <w:t>-</w:t>
      </w:r>
      <w:r w:rsidR="001D2587" w:rsidRPr="000855B2">
        <w:rPr>
          <w:lang w:val="en-GB"/>
        </w:rPr>
        <w:t xml:space="preserve">start emissions from diesel vehicles are not very significant compared </w:t>
      </w:r>
      <w:r w:rsidRPr="000855B2">
        <w:rPr>
          <w:lang w:val="en-GB"/>
        </w:rPr>
        <w:t>with those from</w:t>
      </w:r>
      <w:r w:rsidR="001D2587" w:rsidRPr="000855B2">
        <w:rPr>
          <w:lang w:val="en-GB"/>
        </w:rPr>
        <w:t xml:space="preserve"> </w:t>
      </w:r>
      <w:r w:rsidR="005E4DC4">
        <w:rPr>
          <w:lang w:val="en-GB"/>
        </w:rPr>
        <w:t>petrol</w:t>
      </w:r>
      <w:r w:rsidR="001D2587" w:rsidRPr="000855B2">
        <w:rPr>
          <w:lang w:val="en-GB"/>
        </w:rPr>
        <w:t xml:space="preserve"> </w:t>
      </w:r>
      <w:r w:rsidR="001D2587" w:rsidRPr="00C95612">
        <w:rPr>
          <w:lang w:val="en-GB"/>
        </w:rPr>
        <w:t xml:space="preserve">vehicles. Therefore, no distinction is made between </w:t>
      </w:r>
      <w:r w:rsidR="00883559" w:rsidRPr="00C95612">
        <w:rPr>
          <w:lang w:val="en-GB"/>
        </w:rPr>
        <w:t>the different diesel vehicle types</w:t>
      </w:r>
      <w:r w:rsidR="001D2587" w:rsidRPr="00C95612">
        <w:rPr>
          <w:lang w:val="en-GB"/>
        </w:rPr>
        <w:t xml:space="preserve">. </w:t>
      </w:r>
      <w:r w:rsidRPr="00C95612">
        <w:rPr>
          <w:lang w:val="en-GB"/>
        </w:rPr>
        <w:t xml:space="preserve">The </w:t>
      </w:r>
      <w:r w:rsidR="00C95612" w:rsidRPr="00C95612">
        <w:rPr>
          <w:i/>
        </w:rPr>
        <w:sym w:font="Symbol" w:char="F062"/>
      </w:r>
      <w:r w:rsidR="00C95612" w:rsidRPr="00C95612">
        <w:t xml:space="preserve">-parameter is calculated for all vehicle classes using the formula given in </w:t>
      </w:r>
      <w:r w:rsidR="00C95612" w:rsidRPr="00C95612">
        <w:fldChar w:fldCharType="begin"/>
      </w:r>
      <w:r w:rsidR="00C95612" w:rsidRPr="00C95612">
        <w:instrText xml:space="preserve"> REF _Ref140400973 \h  \* MERGEFORMAT </w:instrText>
      </w:r>
      <w:r w:rsidR="00C95612" w:rsidRPr="00C95612">
        <w:fldChar w:fldCharType="separate"/>
      </w:r>
      <w:r w:rsidR="0071604C" w:rsidRPr="000855B2">
        <w:t>Table </w:t>
      </w:r>
      <w:r w:rsidR="0071604C">
        <w:t>3.38</w:t>
      </w:r>
      <w:r w:rsidR="00C95612" w:rsidRPr="00C95612">
        <w:fldChar w:fldCharType="end"/>
      </w:r>
      <w:r w:rsidR="00C95612" w:rsidRPr="00C95612">
        <w:t xml:space="preserve"> and the </w:t>
      </w:r>
      <w:r w:rsidRPr="00C95612">
        <w:rPr>
          <w:lang w:val="en-GB"/>
        </w:rPr>
        <w:t xml:space="preserve">values of </w:t>
      </w:r>
      <w:r w:rsidR="001D2587" w:rsidRPr="00C95612">
        <w:rPr>
          <w:lang w:val="en-GB"/>
        </w:rPr>
        <w:t>e</w:t>
      </w:r>
      <w:r w:rsidR="001D2587" w:rsidRPr="00C95612">
        <w:rPr>
          <w:vertAlign w:val="superscript"/>
          <w:lang w:val="en-GB"/>
        </w:rPr>
        <w:t>COLD</w:t>
      </w:r>
      <w:r w:rsidR="001D2587" w:rsidRPr="00C95612">
        <w:rPr>
          <w:lang w:val="en-GB"/>
        </w:rPr>
        <w:t>/e</w:t>
      </w:r>
      <w:r w:rsidR="001D2587" w:rsidRPr="00C95612">
        <w:rPr>
          <w:vertAlign w:val="superscript"/>
          <w:lang w:val="en-GB"/>
        </w:rPr>
        <w:t xml:space="preserve">HOT </w:t>
      </w:r>
      <w:r w:rsidRPr="000855B2">
        <w:rPr>
          <w:lang w:val="en-GB"/>
        </w:rPr>
        <w:t>are given</w:t>
      </w:r>
      <w:r w:rsidR="001D2587" w:rsidRPr="000855B2">
        <w:rPr>
          <w:lang w:val="en-GB"/>
        </w:rPr>
        <w:t xml:space="preserve"> in </w:t>
      </w:r>
      <w:r w:rsidR="00FB454C">
        <w:fldChar w:fldCharType="begin"/>
      </w:r>
      <w:r w:rsidR="00FB454C">
        <w:instrText xml:space="preserve"> REF _Ref140402269 \h  \* MERGEFORMAT </w:instrText>
      </w:r>
      <w:r w:rsidR="00FB454C">
        <w:fldChar w:fldCharType="separate"/>
      </w:r>
      <w:r w:rsidR="0071604C" w:rsidRPr="0071604C">
        <w:rPr>
          <w:lang w:val="en-GB"/>
        </w:rPr>
        <w:t>Table 3.41</w:t>
      </w:r>
      <w:r w:rsidR="00FB454C">
        <w:fldChar w:fldCharType="end"/>
      </w:r>
      <w:r w:rsidR="001D2587" w:rsidRPr="000855B2">
        <w:rPr>
          <w:lang w:val="en-GB"/>
        </w:rPr>
        <w:t>.</w:t>
      </w:r>
      <w:r w:rsidR="00C95612">
        <w:rPr>
          <w:lang w:val="en-GB"/>
        </w:rPr>
        <w:t xml:space="preserve"> </w:t>
      </w:r>
      <w:r w:rsidR="00C95612" w:rsidRPr="00C95612">
        <w:rPr>
          <w:lang w:val="en-GB"/>
        </w:rPr>
        <w:t xml:space="preserve">Based on these, </w:t>
      </w:r>
      <w:r w:rsidR="00C95612" w:rsidRPr="00C95612">
        <w:t xml:space="preserve">equation </w:t>
      </w:r>
      <w:r w:rsidR="00C95612" w:rsidRPr="00C95612">
        <w:fldChar w:fldCharType="begin"/>
      </w:r>
      <w:r w:rsidR="00C95612" w:rsidRPr="00C95612">
        <w:instrText xml:space="preserve"> REF _Ref140576425 \h  \* MERGEFORMAT </w:instrText>
      </w:r>
      <w:r w:rsidR="00C95612" w:rsidRPr="00C95612">
        <w:fldChar w:fldCharType="separate"/>
      </w:r>
      <w:r w:rsidR="0071604C" w:rsidRPr="000855B2">
        <w:t>(</w:t>
      </w:r>
      <w:r w:rsidR="0071604C">
        <w:rPr>
          <w:noProof/>
        </w:rPr>
        <w:t>10</w:t>
      </w:r>
      <w:r w:rsidR="0071604C" w:rsidRPr="000855B2">
        <w:rPr>
          <w:noProof/>
        </w:rPr>
        <w:t>)</w:t>
      </w:r>
      <w:r w:rsidR="00C95612" w:rsidRPr="00C95612">
        <w:fldChar w:fldCharType="end"/>
      </w:r>
      <w:r w:rsidR="00C95612" w:rsidRPr="00C95612">
        <w:t xml:space="preserve"> </w:t>
      </w:r>
      <w:r w:rsidR="00C95612" w:rsidRPr="00C95612">
        <w:rPr>
          <w:lang w:val="en-GB"/>
        </w:rPr>
        <w:t>can be applied to calculate cold start emissions from diesel passenger cars.</w:t>
      </w:r>
    </w:p>
    <w:p w14:paraId="7E511C37" w14:textId="67EF4955" w:rsidR="001D2587" w:rsidRPr="000855B2" w:rsidRDefault="00A040D1" w:rsidP="00C92B1B">
      <w:pPr>
        <w:pStyle w:val="Caption"/>
      </w:pPr>
      <w:bookmarkStart w:id="209" w:name="_Ref140402269"/>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41</w:t>
      </w:r>
      <w:r w:rsidR="00FB454C">
        <w:rPr>
          <w:noProof/>
        </w:rPr>
        <w:fldChar w:fldCharType="end"/>
      </w:r>
      <w:bookmarkEnd w:id="209"/>
      <w:r w:rsidR="001D2587" w:rsidRPr="000855B2">
        <w:t xml:space="preserve">: </w:t>
      </w:r>
      <w:r w:rsidR="005A19A3" w:rsidRPr="000855B2">
        <w:t>Values of</w:t>
      </w:r>
      <w:r w:rsidR="001D2587" w:rsidRPr="000855B2">
        <w:t xml:space="preserve"> e</w:t>
      </w:r>
      <w:r w:rsidR="001D2587" w:rsidRPr="000855B2">
        <w:rPr>
          <w:vertAlign w:val="superscript"/>
        </w:rPr>
        <w:t>COLD</w:t>
      </w:r>
      <w:r w:rsidR="001D2587" w:rsidRPr="000855B2">
        <w:t xml:space="preserve"> / e</w:t>
      </w:r>
      <w:r w:rsidR="001D2587" w:rsidRPr="000855B2">
        <w:rPr>
          <w:vertAlign w:val="superscript"/>
        </w:rPr>
        <w:t>HOT</w:t>
      </w:r>
      <w:r w:rsidR="001D2587" w:rsidRPr="000855B2">
        <w:t xml:space="preserve"> for diesel passenger cars (temperature range -10</w:t>
      </w:r>
      <w:r w:rsidR="002B1FFD" w:rsidRPr="000855B2">
        <w:t> °C</w:t>
      </w:r>
      <w:r w:rsidR="001D2587" w:rsidRPr="000855B2">
        <w:t xml:space="preserve"> to 30</w:t>
      </w:r>
      <w:r w:rsidR="002B1FFD" w:rsidRPr="000855B2">
        <w:t> °C</w:t>
      </w:r>
      <w:r w:rsidR="001D2587" w:rsidRPr="000855B2">
        <w:t>)</w:t>
      </w:r>
    </w:p>
    <w:tbl>
      <w:tblPr>
        <w:tblW w:w="0" w:type="auto"/>
        <w:tblLayout w:type="fixed"/>
        <w:tblCellMar>
          <w:left w:w="30" w:type="dxa"/>
          <w:right w:w="30" w:type="dxa"/>
        </w:tblCellMar>
        <w:tblLook w:val="0000" w:firstRow="0" w:lastRow="0" w:firstColumn="0" w:lastColumn="0" w:noHBand="0" w:noVBand="0"/>
      </w:tblPr>
      <w:tblGrid>
        <w:gridCol w:w="1873"/>
        <w:gridCol w:w="1701"/>
      </w:tblGrid>
      <w:tr w:rsidR="001D2587" w:rsidRPr="000855B2" w14:paraId="64F0AD42" w14:textId="77777777" w:rsidTr="004C535F">
        <w:trPr>
          <w:cantSplit/>
          <w:trHeight w:val="280"/>
        </w:trPr>
        <w:tc>
          <w:tcPr>
            <w:tcW w:w="1873" w:type="dxa"/>
            <w:tcBorders>
              <w:top w:val="double" w:sz="6" w:space="0" w:color="000000"/>
              <w:left w:val="double" w:sz="6" w:space="0" w:color="auto"/>
              <w:right w:val="single" w:sz="6" w:space="0" w:color="auto"/>
            </w:tcBorders>
            <w:shd w:val="clear" w:color="000000" w:fill="FFFFFF"/>
            <w:vAlign w:val="center"/>
          </w:tcPr>
          <w:p w14:paraId="08B45535" w14:textId="7D8EBDF3"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Pollutant</w:t>
            </w:r>
            <w:r w:rsidR="005A19A3" w:rsidRPr="000855B2">
              <w:rPr>
                <w:rFonts w:ascii="Open Sans" w:hAnsi="Open Sans" w:cs="Open Sans"/>
                <w:b/>
                <w:sz w:val="18"/>
                <w:lang w:val="en-GB"/>
              </w:rPr>
              <w:t xml:space="preserve"> or </w:t>
            </w:r>
            <w:r w:rsidR="00632F81">
              <w:rPr>
                <w:rFonts w:ascii="Open Sans" w:hAnsi="Open Sans" w:cs="Open Sans"/>
                <w:b/>
                <w:sz w:val="18"/>
                <w:lang w:val="en-GB"/>
              </w:rPr>
              <w:t>E</w:t>
            </w:r>
            <w:r w:rsidR="005A19A3" w:rsidRPr="000855B2">
              <w:rPr>
                <w:rFonts w:ascii="Open Sans" w:hAnsi="Open Sans" w:cs="Open Sans"/>
                <w:b/>
                <w:sz w:val="18"/>
                <w:lang w:val="en-GB"/>
              </w:rPr>
              <w:t>C</w:t>
            </w:r>
          </w:p>
        </w:tc>
        <w:tc>
          <w:tcPr>
            <w:tcW w:w="1701" w:type="dxa"/>
            <w:tcBorders>
              <w:top w:val="double" w:sz="6" w:space="0" w:color="000000"/>
              <w:right w:val="double" w:sz="6" w:space="0" w:color="auto"/>
            </w:tcBorders>
            <w:shd w:val="clear" w:color="000000" w:fill="FFFFFF"/>
            <w:vAlign w:val="center"/>
          </w:tcPr>
          <w:p w14:paraId="09358309"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e</w:t>
            </w:r>
            <w:r w:rsidRPr="000855B2">
              <w:rPr>
                <w:rFonts w:ascii="Open Sans" w:hAnsi="Open Sans" w:cs="Open Sans"/>
                <w:b/>
                <w:sz w:val="18"/>
                <w:vertAlign w:val="superscript"/>
                <w:lang w:val="en-GB"/>
              </w:rPr>
              <w:t>COLD</w:t>
            </w:r>
            <w:r w:rsidRPr="000855B2">
              <w:rPr>
                <w:rFonts w:ascii="Open Sans" w:hAnsi="Open Sans" w:cs="Open Sans"/>
                <w:b/>
                <w:sz w:val="18"/>
                <w:lang w:val="en-GB"/>
              </w:rPr>
              <w:t xml:space="preserve"> / e</w:t>
            </w:r>
            <w:r w:rsidRPr="000855B2">
              <w:rPr>
                <w:rFonts w:ascii="Open Sans" w:hAnsi="Open Sans" w:cs="Open Sans"/>
                <w:b/>
                <w:sz w:val="18"/>
                <w:vertAlign w:val="superscript"/>
                <w:lang w:val="en-GB"/>
              </w:rPr>
              <w:t>HOT</w:t>
            </w:r>
          </w:p>
        </w:tc>
      </w:tr>
      <w:tr w:rsidR="001D2587" w:rsidRPr="000855B2" w14:paraId="5C167015" w14:textId="77777777" w:rsidTr="004C535F">
        <w:trPr>
          <w:cantSplit/>
          <w:trHeight w:val="280"/>
        </w:trPr>
        <w:tc>
          <w:tcPr>
            <w:tcW w:w="1873" w:type="dxa"/>
            <w:tcBorders>
              <w:top w:val="single" w:sz="12" w:space="0" w:color="000000"/>
              <w:left w:val="double" w:sz="6" w:space="0" w:color="auto"/>
              <w:bottom w:val="single" w:sz="6" w:space="0" w:color="auto"/>
              <w:right w:val="single" w:sz="6" w:space="0" w:color="auto"/>
            </w:tcBorders>
            <w:vAlign w:val="center"/>
          </w:tcPr>
          <w:p w14:paraId="0033B7A3"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CO</w:t>
            </w:r>
          </w:p>
        </w:tc>
        <w:tc>
          <w:tcPr>
            <w:tcW w:w="1701" w:type="dxa"/>
            <w:tcBorders>
              <w:top w:val="single" w:sz="12" w:space="0" w:color="000000"/>
              <w:bottom w:val="single" w:sz="6" w:space="0" w:color="auto"/>
              <w:right w:val="double" w:sz="6" w:space="0" w:color="auto"/>
            </w:tcBorders>
            <w:vAlign w:val="center"/>
          </w:tcPr>
          <w:p w14:paraId="5B18A8F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1.9 – 0.03  t</w:t>
            </w:r>
            <w:r w:rsidRPr="000855B2">
              <w:rPr>
                <w:rFonts w:ascii="Open Sans" w:hAnsi="Open Sans" w:cs="Open Sans"/>
                <w:sz w:val="18"/>
                <w:vertAlign w:val="subscript"/>
                <w:lang w:val="en-GB"/>
              </w:rPr>
              <w:t>a</w:t>
            </w:r>
          </w:p>
        </w:tc>
      </w:tr>
      <w:tr w:rsidR="001D2587" w:rsidRPr="000855B2" w14:paraId="16B3F486" w14:textId="77777777" w:rsidTr="004C535F">
        <w:trPr>
          <w:cantSplit/>
          <w:trHeight w:val="280"/>
        </w:trPr>
        <w:tc>
          <w:tcPr>
            <w:tcW w:w="1873" w:type="dxa"/>
            <w:tcBorders>
              <w:top w:val="single" w:sz="6" w:space="0" w:color="auto"/>
              <w:left w:val="double" w:sz="6" w:space="0" w:color="auto"/>
              <w:bottom w:val="single" w:sz="6" w:space="0" w:color="auto"/>
              <w:right w:val="single" w:sz="6" w:space="0" w:color="auto"/>
            </w:tcBorders>
            <w:vAlign w:val="center"/>
          </w:tcPr>
          <w:p w14:paraId="63D6BCE1"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NO</w:t>
            </w:r>
            <w:r w:rsidRPr="000855B2">
              <w:rPr>
                <w:rFonts w:ascii="Open Sans" w:hAnsi="Open Sans" w:cs="Open Sans"/>
                <w:sz w:val="18"/>
                <w:vertAlign w:val="subscript"/>
                <w:lang w:val="en-GB"/>
              </w:rPr>
              <w:t>x</w:t>
            </w:r>
          </w:p>
        </w:tc>
        <w:tc>
          <w:tcPr>
            <w:tcW w:w="1701" w:type="dxa"/>
            <w:tcBorders>
              <w:top w:val="single" w:sz="6" w:space="0" w:color="auto"/>
              <w:bottom w:val="single" w:sz="6" w:space="0" w:color="auto"/>
              <w:right w:val="double" w:sz="6" w:space="0" w:color="auto"/>
            </w:tcBorders>
            <w:vAlign w:val="center"/>
          </w:tcPr>
          <w:p w14:paraId="4018E91E" w14:textId="77777777" w:rsidR="001D2587" w:rsidRPr="000855B2" w:rsidRDefault="001D2587" w:rsidP="005C7955">
            <w:pPr>
              <w:pStyle w:val="Table"/>
              <w:tabs>
                <w:tab w:val="left" w:pos="5299"/>
              </w:tabs>
              <w:spacing w:line="240" w:lineRule="atLeast"/>
              <w:jc w:val="center"/>
              <w:rPr>
                <w:rFonts w:ascii="Open Sans" w:hAnsi="Open Sans" w:cs="Open Sans"/>
                <w:sz w:val="18"/>
                <w:lang w:val="en-GB"/>
              </w:rPr>
            </w:pPr>
            <w:r w:rsidRPr="000855B2">
              <w:rPr>
                <w:rFonts w:ascii="Open Sans" w:hAnsi="Open Sans" w:cs="Open Sans"/>
                <w:sz w:val="18"/>
                <w:lang w:val="en-GB"/>
              </w:rPr>
              <w:t>1.3 – 0.013  t</w:t>
            </w:r>
            <w:r w:rsidRPr="000855B2">
              <w:rPr>
                <w:rFonts w:ascii="Open Sans" w:hAnsi="Open Sans" w:cs="Open Sans"/>
                <w:sz w:val="18"/>
                <w:vertAlign w:val="subscript"/>
                <w:lang w:val="en-GB"/>
              </w:rPr>
              <w:t>a</w:t>
            </w:r>
          </w:p>
        </w:tc>
      </w:tr>
      <w:tr w:rsidR="001D2587" w:rsidRPr="000855B2" w14:paraId="4F094F5A" w14:textId="77777777" w:rsidTr="004C535F">
        <w:trPr>
          <w:cantSplit/>
          <w:trHeight w:val="280"/>
        </w:trPr>
        <w:tc>
          <w:tcPr>
            <w:tcW w:w="1873" w:type="dxa"/>
            <w:tcBorders>
              <w:top w:val="single" w:sz="6" w:space="0" w:color="auto"/>
              <w:left w:val="double" w:sz="6" w:space="0" w:color="auto"/>
              <w:bottom w:val="single" w:sz="6" w:space="0" w:color="auto"/>
              <w:right w:val="single" w:sz="6" w:space="0" w:color="auto"/>
            </w:tcBorders>
            <w:vAlign w:val="center"/>
          </w:tcPr>
          <w:p w14:paraId="10B87D3E"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VOC</w:t>
            </w:r>
          </w:p>
        </w:tc>
        <w:tc>
          <w:tcPr>
            <w:tcW w:w="1701" w:type="dxa"/>
            <w:tcBorders>
              <w:top w:val="single" w:sz="6" w:space="0" w:color="auto"/>
              <w:bottom w:val="single" w:sz="6" w:space="0" w:color="auto"/>
              <w:right w:val="double" w:sz="6" w:space="0" w:color="auto"/>
            </w:tcBorders>
            <w:vAlign w:val="center"/>
          </w:tcPr>
          <w:p w14:paraId="10A96EB8"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3.1 – 0.09 t</w:t>
            </w:r>
            <w:r w:rsidRPr="000855B2">
              <w:rPr>
                <w:rFonts w:ascii="Open Sans" w:hAnsi="Open Sans" w:cs="Open Sans"/>
                <w:sz w:val="18"/>
                <w:vertAlign w:val="subscript"/>
                <w:lang w:val="en-GB"/>
              </w:rPr>
              <w:t>a</w:t>
            </w:r>
            <w:r w:rsidRPr="000855B2">
              <w:rPr>
                <w:rFonts w:ascii="Open Sans" w:hAnsi="Open Sans" w:cs="Open Sans"/>
                <w:sz w:val="18"/>
                <w:vertAlign w:val="superscript"/>
                <w:lang w:val="en-GB"/>
              </w:rPr>
              <w:t xml:space="preserve"> (1)</w:t>
            </w:r>
          </w:p>
        </w:tc>
      </w:tr>
      <w:tr w:rsidR="001D2587" w:rsidRPr="000855B2" w14:paraId="6DC90CB4" w14:textId="77777777" w:rsidTr="004C535F">
        <w:trPr>
          <w:cantSplit/>
          <w:trHeight w:val="280"/>
        </w:trPr>
        <w:tc>
          <w:tcPr>
            <w:tcW w:w="1873" w:type="dxa"/>
            <w:tcBorders>
              <w:top w:val="single" w:sz="6" w:space="0" w:color="auto"/>
              <w:left w:val="double" w:sz="6" w:space="0" w:color="auto"/>
              <w:bottom w:val="single" w:sz="6" w:space="0" w:color="auto"/>
              <w:right w:val="single" w:sz="6" w:space="0" w:color="auto"/>
            </w:tcBorders>
            <w:vAlign w:val="center"/>
          </w:tcPr>
          <w:p w14:paraId="3336069D"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PM</w:t>
            </w:r>
          </w:p>
        </w:tc>
        <w:tc>
          <w:tcPr>
            <w:tcW w:w="1701" w:type="dxa"/>
            <w:tcBorders>
              <w:top w:val="single" w:sz="6" w:space="0" w:color="auto"/>
              <w:bottom w:val="single" w:sz="6" w:space="0" w:color="auto"/>
              <w:right w:val="double" w:sz="6" w:space="0" w:color="auto"/>
            </w:tcBorders>
            <w:vAlign w:val="center"/>
          </w:tcPr>
          <w:p w14:paraId="3AA8837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3.1 – 0.1  t</w:t>
            </w:r>
            <w:r w:rsidRPr="000855B2">
              <w:rPr>
                <w:rFonts w:ascii="Open Sans" w:hAnsi="Open Sans" w:cs="Open Sans"/>
                <w:sz w:val="18"/>
                <w:vertAlign w:val="subscript"/>
                <w:lang w:val="en-GB"/>
              </w:rPr>
              <w:t>a</w:t>
            </w:r>
            <w:r w:rsidRPr="000855B2">
              <w:rPr>
                <w:rFonts w:ascii="Open Sans" w:hAnsi="Open Sans" w:cs="Open Sans"/>
                <w:sz w:val="18"/>
                <w:lang w:val="en-GB"/>
              </w:rPr>
              <w:t xml:space="preserve"> </w:t>
            </w:r>
            <w:r w:rsidRPr="000855B2">
              <w:rPr>
                <w:rFonts w:ascii="Open Sans" w:hAnsi="Open Sans" w:cs="Open Sans"/>
                <w:sz w:val="18"/>
                <w:vertAlign w:val="superscript"/>
                <w:lang w:val="en-GB"/>
              </w:rPr>
              <w:t>(2)</w:t>
            </w:r>
          </w:p>
        </w:tc>
      </w:tr>
      <w:tr w:rsidR="001D2587" w:rsidRPr="000855B2" w14:paraId="31F0135B" w14:textId="77777777" w:rsidTr="004C535F">
        <w:trPr>
          <w:cantSplit/>
          <w:trHeight w:val="280"/>
        </w:trPr>
        <w:tc>
          <w:tcPr>
            <w:tcW w:w="1873" w:type="dxa"/>
            <w:tcBorders>
              <w:top w:val="single" w:sz="6" w:space="0" w:color="auto"/>
              <w:left w:val="double" w:sz="6" w:space="0" w:color="auto"/>
              <w:bottom w:val="double" w:sz="6" w:space="0" w:color="auto"/>
              <w:right w:val="single" w:sz="6" w:space="0" w:color="auto"/>
            </w:tcBorders>
            <w:vAlign w:val="center"/>
          </w:tcPr>
          <w:p w14:paraId="54F93B5E" w14:textId="53BAC6B4" w:rsidR="001D2587" w:rsidRPr="000855B2" w:rsidRDefault="00632F81" w:rsidP="005C7955">
            <w:pPr>
              <w:pStyle w:val="Table"/>
              <w:spacing w:line="240" w:lineRule="atLeast"/>
              <w:rPr>
                <w:rFonts w:ascii="Open Sans" w:hAnsi="Open Sans" w:cs="Open Sans"/>
                <w:sz w:val="18"/>
                <w:lang w:val="en-GB"/>
              </w:rPr>
            </w:pPr>
            <w:r>
              <w:rPr>
                <w:rFonts w:ascii="Open Sans" w:hAnsi="Open Sans" w:cs="Open Sans"/>
                <w:sz w:val="18"/>
                <w:lang w:val="en-GB"/>
              </w:rPr>
              <w:t>Energy</w:t>
            </w:r>
            <w:r w:rsidR="001D2587" w:rsidRPr="000855B2">
              <w:rPr>
                <w:rFonts w:ascii="Open Sans" w:hAnsi="Open Sans" w:cs="Open Sans"/>
                <w:sz w:val="18"/>
                <w:lang w:val="en-GB"/>
              </w:rPr>
              <w:t xml:space="preserve"> </w:t>
            </w:r>
            <w:r w:rsidR="00B83F8E" w:rsidRPr="000855B2">
              <w:rPr>
                <w:rFonts w:ascii="Open Sans" w:hAnsi="Open Sans" w:cs="Open Sans"/>
                <w:sz w:val="18"/>
                <w:lang w:val="en-GB"/>
              </w:rPr>
              <w:t>c</w:t>
            </w:r>
            <w:r w:rsidR="001D2587" w:rsidRPr="000855B2">
              <w:rPr>
                <w:rFonts w:ascii="Open Sans" w:hAnsi="Open Sans" w:cs="Open Sans"/>
                <w:sz w:val="18"/>
                <w:lang w:val="en-GB"/>
              </w:rPr>
              <w:t>onsumption</w:t>
            </w:r>
          </w:p>
        </w:tc>
        <w:tc>
          <w:tcPr>
            <w:tcW w:w="1701" w:type="dxa"/>
            <w:tcBorders>
              <w:top w:val="single" w:sz="6" w:space="0" w:color="auto"/>
              <w:bottom w:val="double" w:sz="6" w:space="0" w:color="auto"/>
              <w:right w:val="double" w:sz="6" w:space="0" w:color="auto"/>
            </w:tcBorders>
            <w:vAlign w:val="center"/>
          </w:tcPr>
          <w:p w14:paraId="7867673A"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1.34 – 0.008  t</w:t>
            </w:r>
            <w:r w:rsidRPr="000855B2">
              <w:rPr>
                <w:rFonts w:ascii="Open Sans" w:hAnsi="Open Sans" w:cs="Open Sans"/>
                <w:sz w:val="18"/>
                <w:vertAlign w:val="subscript"/>
                <w:lang w:val="en-GB"/>
              </w:rPr>
              <w:t>a</w:t>
            </w:r>
          </w:p>
        </w:tc>
      </w:tr>
    </w:tbl>
    <w:p w14:paraId="62236A7D" w14:textId="77777777" w:rsidR="00B83F8E" w:rsidRPr="000855B2" w:rsidRDefault="00B83F8E" w:rsidP="0022601A">
      <w:pPr>
        <w:spacing w:line="240" w:lineRule="auto"/>
        <w:rPr>
          <w:szCs w:val="18"/>
          <w:lang w:val="en-GB"/>
        </w:rPr>
      </w:pPr>
      <w:r w:rsidRPr="000855B2">
        <w:rPr>
          <w:szCs w:val="18"/>
          <w:lang w:val="en-GB"/>
        </w:rPr>
        <w:t>Note</w:t>
      </w:r>
    </w:p>
    <w:p w14:paraId="03B934DA" w14:textId="77777777" w:rsidR="001D2587" w:rsidRPr="000855B2" w:rsidRDefault="001D2587" w:rsidP="0022601A">
      <w:pPr>
        <w:spacing w:line="240" w:lineRule="auto"/>
        <w:rPr>
          <w:szCs w:val="18"/>
          <w:lang w:val="en-GB"/>
        </w:rPr>
      </w:pPr>
      <w:r w:rsidRPr="000855B2">
        <w:rPr>
          <w:szCs w:val="18"/>
          <w:vertAlign w:val="superscript"/>
          <w:lang w:val="en-GB"/>
        </w:rPr>
        <w:t>(1)</w:t>
      </w:r>
      <w:r w:rsidRPr="000855B2">
        <w:rPr>
          <w:szCs w:val="18"/>
          <w:lang w:val="en-GB"/>
        </w:rPr>
        <w:t xml:space="preserve"> VOC:  if t</w:t>
      </w:r>
      <w:r w:rsidRPr="00883559">
        <w:rPr>
          <w:szCs w:val="18"/>
          <w:vertAlign w:val="subscript"/>
          <w:lang w:val="en-GB"/>
        </w:rPr>
        <w:t>a</w:t>
      </w:r>
      <w:r w:rsidRPr="000855B2">
        <w:rPr>
          <w:szCs w:val="18"/>
          <w:lang w:val="en-GB"/>
        </w:rPr>
        <w:t xml:space="preserve"> &gt; 29</w:t>
      </w:r>
      <w:r w:rsidR="002B1FFD" w:rsidRPr="000855B2">
        <w:rPr>
          <w:szCs w:val="18"/>
          <w:lang w:val="en-GB"/>
        </w:rPr>
        <w:t> °C</w:t>
      </w:r>
      <w:r w:rsidRPr="000855B2">
        <w:rPr>
          <w:szCs w:val="18"/>
          <w:lang w:val="en-GB"/>
        </w:rPr>
        <w:t xml:space="preserve">  then e</w:t>
      </w:r>
      <w:r w:rsidRPr="000855B2">
        <w:rPr>
          <w:szCs w:val="18"/>
          <w:vertAlign w:val="superscript"/>
          <w:lang w:val="en-GB"/>
        </w:rPr>
        <w:t xml:space="preserve">COLD </w:t>
      </w:r>
      <w:r w:rsidRPr="000855B2">
        <w:rPr>
          <w:szCs w:val="18"/>
          <w:lang w:val="en-GB"/>
        </w:rPr>
        <w:t>/ e</w:t>
      </w:r>
      <w:r w:rsidRPr="000855B2">
        <w:rPr>
          <w:szCs w:val="18"/>
          <w:vertAlign w:val="superscript"/>
          <w:lang w:val="en-GB"/>
        </w:rPr>
        <w:t>HOT</w:t>
      </w:r>
      <w:r w:rsidRPr="000855B2">
        <w:rPr>
          <w:szCs w:val="18"/>
          <w:lang w:val="en-GB"/>
        </w:rPr>
        <w:t xml:space="preserve"> </w:t>
      </w:r>
      <w:r w:rsidR="00E74D41">
        <w:rPr>
          <w:szCs w:val="18"/>
          <w:lang w:val="en-GB"/>
        </w:rPr>
        <w:t>=</w:t>
      </w:r>
      <w:r w:rsidRPr="000855B2">
        <w:rPr>
          <w:szCs w:val="18"/>
          <w:lang w:val="en-GB"/>
        </w:rPr>
        <w:t xml:space="preserve"> 0.5</w:t>
      </w:r>
    </w:p>
    <w:p w14:paraId="732D30D6" w14:textId="77777777" w:rsidR="00585B38" w:rsidRPr="000855B2" w:rsidRDefault="001D2587" w:rsidP="00585B38">
      <w:pPr>
        <w:rPr>
          <w:szCs w:val="18"/>
          <w:lang w:val="en-GB"/>
        </w:rPr>
      </w:pPr>
      <w:r w:rsidRPr="000855B2">
        <w:rPr>
          <w:szCs w:val="18"/>
          <w:vertAlign w:val="superscript"/>
          <w:lang w:val="en-GB"/>
        </w:rPr>
        <w:t>(2)</w:t>
      </w:r>
      <w:r w:rsidRPr="000855B2">
        <w:rPr>
          <w:szCs w:val="18"/>
          <w:lang w:val="en-GB"/>
        </w:rPr>
        <w:t xml:space="preserve"> PM:  if t</w:t>
      </w:r>
      <w:r w:rsidRPr="00883559">
        <w:rPr>
          <w:szCs w:val="18"/>
          <w:vertAlign w:val="subscript"/>
          <w:lang w:val="en-GB"/>
        </w:rPr>
        <w:t>a</w:t>
      </w:r>
      <w:r w:rsidRPr="000855B2">
        <w:rPr>
          <w:szCs w:val="18"/>
          <w:lang w:val="en-GB"/>
        </w:rPr>
        <w:t xml:space="preserve"> &gt; 26</w:t>
      </w:r>
      <w:r w:rsidR="002B1FFD" w:rsidRPr="000855B2">
        <w:rPr>
          <w:szCs w:val="18"/>
          <w:lang w:val="en-GB"/>
        </w:rPr>
        <w:t> °C</w:t>
      </w:r>
      <w:r w:rsidRPr="000855B2">
        <w:rPr>
          <w:szCs w:val="18"/>
          <w:lang w:val="en-GB"/>
        </w:rPr>
        <w:t xml:space="preserve">  then e</w:t>
      </w:r>
      <w:r w:rsidRPr="000855B2">
        <w:rPr>
          <w:szCs w:val="18"/>
          <w:vertAlign w:val="superscript"/>
          <w:lang w:val="en-GB"/>
        </w:rPr>
        <w:t xml:space="preserve">COLD </w:t>
      </w:r>
      <w:r w:rsidRPr="000855B2">
        <w:rPr>
          <w:szCs w:val="18"/>
          <w:lang w:val="en-GB"/>
        </w:rPr>
        <w:t>/ e</w:t>
      </w:r>
      <w:r w:rsidRPr="000855B2">
        <w:rPr>
          <w:szCs w:val="18"/>
          <w:vertAlign w:val="superscript"/>
          <w:lang w:val="en-GB"/>
        </w:rPr>
        <w:t>HOT</w:t>
      </w:r>
      <w:r w:rsidRPr="000855B2">
        <w:rPr>
          <w:szCs w:val="18"/>
          <w:lang w:val="en-GB"/>
        </w:rPr>
        <w:t xml:space="preserve"> </w:t>
      </w:r>
      <w:r w:rsidR="00E74D41">
        <w:rPr>
          <w:szCs w:val="18"/>
          <w:lang w:val="en-GB"/>
        </w:rPr>
        <w:t>=</w:t>
      </w:r>
      <w:r w:rsidRPr="000855B2">
        <w:rPr>
          <w:szCs w:val="18"/>
          <w:lang w:val="en-GB"/>
        </w:rPr>
        <w:t xml:space="preserve"> 0.5</w:t>
      </w:r>
    </w:p>
    <w:p w14:paraId="777BA648" w14:textId="4B9A9267" w:rsidR="001D2587" w:rsidRPr="000855B2" w:rsidRDefault="001D2587" w:rsidP="00B019EC">
      <w:pPr>
        <w:pStyle w:val="Heading4"/>
      </w:pPr>
      <w:bookmarkStart w:id="210" w:name="_Toc457131594"/>
      <w:bookmarkStart w:id="211" w:name="_Toc496264325"/>
      <w:r w:rsidRPr="000855B2">
        <w:t xml:space="preserve">LPG </w:t>
      </w:r>
      <w:r w:rsidR="00665569" w:rsidRPr="000855B2">
        <w:t xml:space="preserve">and CNG </w:t>
      </w:r>
      <w:r w:rsidR="00BD7368">
        <w:t xml:space="preserve">bi-fuel </w:t>
      </w:r>
      <w:r w:rsidRPr="000855B2">
        <w:t>passenger cars</w:t>
      </w:r>
      <w:bookmarkEnd w:id="210"/>
      <w:bookmarkEnd w:id="211"/>
      <w:r w:rsidRPr="000855B2">
        <w:t xml:space="preserve"> </w:t>
      </w:r>
    </w:p>
    <w:p w14:paraId="5DA70374" w14:textId="6AA53781" w:rsidR="001D2587" w:rsidRPr="000855B2" w:rsidRDefault="001D2587" w:rsidP="008D2FF3">
      <w:pPr>
        <w:pStyle w:val="BodyText"/>
      </w:pPr>
      <w:r w:rsidRPr="000855B2">
        <w:t>The methodology</w:t>
      </w:r>
      <w:r w:rsidR="00E61955" w:rsidRPr="000855B2">
        <w:t xml:space="preserve"> for</w:t>
      </w:r>
      <w:r w:rsidRPr="000855B2">
        <w:t xml:space="preserve"> </w:t>
      </w:r>
      <w:r w:rsidR="005E4DC4">
        <w:t>petrol</w:t>
      </w:r>
      <w:r w:rsidRPr="000855B2">
        <w:t xml:space="preserve"> cars is </w:t>
      </w:r>
      <w:r w:rsidR="00E61955" w:rsidRPr="000855B2">
        <w:t xml:space="preserve">also </w:t>
      </w:r>
      <w:r w:rsidRPr="000855B2">
        <w:t xml:space="preserve">valid </w:t>
      </w:r>
      <w:r w:rsidR="00E61955" w:rsidRPr="000855B2">
        <w:t>for</w:t>
      </w:r>
      <w:r w:rsidRPr="000855B2">
        <w:t xml:space="preserve"> LPG </w:t>
      </w:r>
      <w:r w:rsidR="00665569" w:rsidRPr="000855B2">
        <w:t xml:space="preserve">and CNG </w:t>
      </w:r>
      <w:r w:rsidRPr="000855B2">
        <w:t xml:space="preserve">vehicles. However, it has to be stressed that the amount of data </w:t>
      </w:r>
      <w:r w:rsidR="00E61955" w:rsidRPr="000855B2">
        <w:t>for</w:t>
      </w:r>
      <w:r w:rsidRPr="000855B2">
        <w:t xml:space="preserve"> LPG vehicles was very limited and therefore a large number of assumptions and extrapolations had to be made on the basis of existing information to provide a consistent set of emission factors </w:t>
      </w:r>
      <w:r w:rsidR="00E61955" w:rsidRPr="000855B2">
        <w:t xml:space="preserve">for </w:t>
      </w:r>
      <w:r w:rsidRPr="000855B2">
        <w:t>hot and cold</w:t>
      </w:r>
      <w:r w:rsidR="00E61955" w:rsidRPr="000855B2">
        <w:t>-</w:t>
      </w:r>
      <w:r w:rsidRPr="000855B2">
        <w:t>start emissions.</w:t>
      </w:r>
    </w:p>
    <w:p w14:paraId="6B3C572C" w14:textId="499A7F50" w:rsidR="00E96315" w:rsidRPr="000855B2" w:rsidRDefault="00E96315" w:rsidP="008D2FF3">
      <w:pPr>
        <w:pStyle w:val="BodyText"/>
      </w:pPr>
      <w:r w:rsidRPr="000855B2">
        <w:t xml:space="preserve">LPG (and CNG) cars have become quite widespread in an effort to benefit from the lower fuel price of gas fuels compared to </w:t>
      </w:r>
      <w:r w:rsidR="005E4DC4">
        <w:t>petrol</w:t>
      </w:r>
      <w:r w:rsidRPr="000855B2">
        <w:t xml:space="preserve"> and diesel. There are two main types of such vehicles: The ones which are produced </w:t>
      </w:r>
      <w:r w:rsidR="0052403D">
        <w:t>by OEMs to operate as bi-fuel</w:t>
      </w:r>
      <w:r w:rsidRPr="000855B2">
        <w:t xml:space="preserve"> vehicles, and conventional </w:t>
      </w:r>
      <w:r w:rsidR="005E4DC4">
        <w:t>petrol</w:t>
      </w:r>
      <w:r w:rsidRPr="000855B2">
        <w:t xml:space="preserve"> vehicles later retrofitted by their owners to operate with LPG (and/or CNG). </w:t>
      </w:r>
      <w:r w:rsidR="00B80D3B">
        <w:t xml:space="preserve">Bi-fuel vehicles may operate under LPG/CNG or petrol fuel. Total emissions are calculated by adding the emissions of both operating conditions and taking into account the </w:t>
      </w:r>
      <w:r w:rsidR="0052403D">
        <w:t xml:space="preserve">vehicle </w:t>
      </w:r>
      <w:r w:rsidR="00B80D3B">
        <w:t xml:space="preserve">activity </w:t>
      </w:r>
      <w:r w:rsidR="0052403D">
        <w:t>driven</w:t>
      </w:r>
      <w:r w:rsidR="00B80D3B">
        <w:t xml:space="preserve"> </w:t>
      </w:r>
      <w:r w:rsidR="0052403D">
        <w:t xml:space="preserve">with </w:t>
      </w:r>
      <w:r w:rsidR="00B80D3B">
        <w:t>either fuel.</w:t>
      </w:r>
    </w:p>
    <w:p w14:paraId="04E9319E" w14:textId="77777777" w:rsidR="00E96315" w:rsidRPr="000855B2" w:rsidRDefault="00E96315" w:rsidP="008D2FF3">
      <w:pPr>
        <w:pStyle w:val="BodyText"/>
      </w:pPr>
      <w:r w:rsidRPr="000855B2">
        <w:t>With respect to conventional pollutant emissions, there is a general feeling that such vehicles are cleaner than their petrol counterparts, a</w:t>
      </w:r>
      <w:r w:rsidR="00E84B4A" w:rsidRPr="000855B2">
        <w:t xml:space="preserve">s a result of the lighter fuel </w:t>
      </w:r>
      <w:r w:rsidRPr="000855B2">
        <w:t xml:space="preserve">used compared to </w:t>
      </w:r>
      <w:r w:rsidR="005E4DC4">
        <w:t>petrol</w:t>
      </w:r>
      <w:r w:rsidRPr="000855B2">
        <w:t xml:space="preserve">. Technically this is not true. Spark-ignition vehicles have been optimized to operate on </w:t>
      </w:r>
      <w:r w:rsidR="005E4DC4">
        <w:t>petrol</w:t>
      </w:r>
      <w:r w:rsidRPr="000855B2">
        <w:t xml:space="preserve"> and shifting to a different fuel should not a priori</w:t>
      </w:r>
      <w:r w:rsidR="00523DC3" w:rsidRPr="000855B2">
        <w:t xml:space="preserve"> be</w:t>
      </w:r>
      <w:r w:rsidRPr="000855B2">
        <w:t xml:space="preserve"> expected to decrease emissions. Moreover, the main emission control in spark-ignition vehicles occurs in the catalytic converter and it has to be guaranteed that the new fuel continues to retain optimal conditions for the catalyst to operate efficiently.</w:t>
      </w:r>
    </w:p>
    <w:p w14:paraId="01212CFB" w14:textId="77777777" w:rsidR="003B02A8" w:rsidRPr="000855B2" w:rsidRDefault="00E84B4A" w:rsidP="008D2FF3">
      <w:pPr>
        <w:pStyle w:val="BodyText"/>
      </w:pPr>
      <w:r w:rsidRPr="000855B2">
        <w:t>Vonk et al. (2010) compared the emission levels of LPG (and CNG) cars of Euro 4 technology with conventional petrol Euro 4. The OEM bi-fuelled cars emitted NO</w:t>
      </w:r>
      <w:r w:rsidRPr="000855B2">
        <w:rPr>
          <w:vertAlign w:val="subscript"/>
        </w:rPr>
        <w:t>x</w:t>
      </w:r>
      <w:r w:rsidRPr="000855B2">
        <w:t xml:space="preserve"> and PM at the same level as their </w:t>
      </w:r>
      <w:r w:rsidR="005E4DC4">
        <w:t>petrol</w:t>
      </w:r>
      <w:r w:rsidRPr="000855B2">
        <w:t xml:space="preserve"> counterparts. On the other hand, retrofitted LPG vehicles emitted, on average, more than twice as much </w:t>
      </w:r>
      <w:r w:rsidRPr="000855B2">
        <w:lastRenderedPageBreak/>
        <w:t xml:space="preserve">NOx and 2.5 times as much PM as the </w:t>
      </w:r>
      <w:r w:rsidR="005E4DC4">
        <w:t>petrol</w:t>
      </w:r>
      <w:r w:rsidRPr="000855B2">
        <w:t xml:space="preserve"> vehicles.</w:t>
      </w:r>
      <w:r w:rsidR="00E96315" w:rsidRPr="000855B2">
        <w:t xml:space="preserve"> </w:t>
      </w:r>
      <w:r w:rsidR="003B02A8" w:rsidRPr="000855B2">
        <w:t xml:space="preserve">Retrofitted vehicles exceeded the </w:t>
      </w:r>
      <w:r w:rsidR="005E4DC4">
        <w:t>petrol</w:t>
      </w:r>
      <w:r w:rsidR="003B02A8" w:rsidRPr="000855B2">
        <w:t xml:space="preserve">-based NOx emission limit by 40%. </w:t>
      </w:r>
    </w:p>
    <w:p w14:paraId="70C73D99" w14:textId="77777777" w:rsidR="00E96315" w:rsidRPr="000855B2" w:rsidRDefault="00E84B4A" w:rsidP="008D2FF3">
      <w:pPr>
        <w:pStyle w:val="BodyText"/>
      </w:pPr>
      <w:r w:rsidRPr="000855B2">
        <w:t xml:space="preserve">Retrofitted vehicles use simplified components </w:t>
      </w:r>
      <w:r w:rsidR="003B02A8" w:rsidRPr="000855B2">
        <w:t>to control emissions. The closed-loop controlled of the catalyst is either bypassed or is not as efficient as the OEM control. This results to higher emissions. Additionally, retrofitted vehicles need not be type-approved for their emission levels. A certificate  f</w:t>
      </w:r>
      <w:r w:rsidR="00D3323C" w:rsidRPr="000855B2">
        <w:t>or</w:t>
      </w:r>
      <w:r w:rsidR="003B02A8" w:rsidRPr="000855B2">
        <w:t xml:space="preserve"> good installation is only issued by local authorities after the conversion and a simplified emission check (low and high idle) is performed. This is known to be able to detect large exceedances of CO and HC emission limits only.</w:t>
      </w:r>
    </w:p>
    <w:p w14:paraId="2692FB10" w14:textId="77777777" w:rsidR="003B02A8" w:rsidRPr="000855B2" w:rsidRDefault="003B02A8" w:rsidP="008D2FF3">
      <w:pPr>
        <w:pStyle w:val="BodyText"/>
      </w:pPr>
      <w:r w:rsidRPr="000855B2">
        <w:t xml:space="preserve">Emissions from retrofitted cars may therefore become an air quality </w:t>
      </w:r>
      <w:r w:rsidR="00F5308A" w:rsidRPr="000855B2">
        <w:t xml:space="preserve">issue </w:t>
      </w:r>
      <w:r w:rsidRPr="000855B2">
        <w:t xml:space="preserve">in areas where retrofits are </w:t>
      </w:r>
      <w:r w:rsidR="00F5308A" w:rsidRPr="000855B2">
        <w:t>frequent</w:t>
      </w:r>
      <w:r w:rsidRPr="000855B2">
        <w:t xml:space="preserve">. Unfortunately, there are not many data available yet </w:t>
      </w:r>
      <w:r w:rsidR="00F5308A" w:rsidRPr="000855B2">
        <w:t>to develop detailed emission factors and activity data on retrofitted cars are sparse. It is recommended that LPG (and CNG) retrofit pro</w:t>
      </w:r>
      <w:r w:rsidR="00665569" w:rsidRPr="000855B2">
        <w:t>g</w:t>
      </w:r>
      <w:r w:rsidR="00F5308A" w:rsidRPr="000855B2">
        <w:t>rammes are reviewed and numbers of retrofitted cars be monitored in order to track the extent of the problem.</w:t>
      </w:r>
    </w:p>
    <w:p w14:paraId="44135619" w14:textId="77777777" w:rsidR="001D2587" w:rsidRPr="000855B2" w:rsidRDefault="001D2587" w:rsidP="00E61955">
      <w:pPr>
        <w:spacing w:before="240"/>
        <w:rPr>
          <w:u w:val="single"/>
          <w:lang w:val="en-GB"/>
        </w:rPr>
      </w:pPr>
      <w:r w:rsidRPr="000855B2">
        <w:rPr>
          <w:u w:val="single"/>
          <w:lang w:val="en-GB"/>
        </w:rPr>
        <w:t>Hot emissions</w:t>
      </w:r>
    </w:p>
    <w:p w14:paraId="34DAE7B5" w14:textId="78686A31" w:rsidR="001D2587" w:rsidRPr="000855B2" w:rsidRDefault="001D2587" w:rsidP="008D2FF3">
      <w:pPr>
        <w:pStyle w:val="BodyText"/>
      </w:pPr>
      <w:r w:rsidRPr="0052403D">
        <w:t>Equation</w:t>
      </w:r>
      <w:r w:rsidR="00CE4E00" w:rsidRPr="0052403D">
        <w:t xml:space="preserve"> </w:t>
      </w:r>
      <w:r w:rsidR="00E17971" w:rsidRPr="0052403D">
        <w:fldChar w:fldCharType="begin"/>
      </w:r>
      <w:r w:rsidR="00CE4E00" w:rsidRPr="0052403D">
        <w:instrText xml:space="preserve"> REF _Ref476581033 \h </w:instrText>
      </w:r>
      <w:r w:rsidR="0052403D">
        <w:instrText xml:space="preserve"> \* MERGEFORMAT </w:instrText>
      </w:r>
      <w:r w:rsidR="00E17971" w:rsidRPr="0052403D">
        <w:fldChar w:fldCharType="separate"/>
      </w:r>
      <w:r w:rsidR="0071604C" w:rsidRPr="005B17F2">
        <w:t>(</w:t>
      </w:r>
      <w:r w:rsidR="0071604C">
        <w:rPr>
          <w:noProof/>
        </w:rPr>
        <w:t>25</w:t>
      </w:r>
      <w:r w:rsidR="0071604C" w:rsidRPr="005B17F2">
        <w:t>)</w:t>
      </w:r>
      <w:r w:rsidR="00E17971" w:rsidRPr="0052403D">
        <w:fldChar w:fldCharType="end"/>
      </w:r>
      <w:r w:rsidR="00CE4E00" w:rsidRPr="0052403D">
        <w:t xml:space="preserve"> </w:t>
      </w:r>
      <w:r w:rsidRPr="0052403D">
        <w:t xml:space="preserve">is </w:t>
      </w:r>
      <w:r w:rsidR="00505692" w:rsidRPr="0052403D">
        <w:t>used</w:t>
      </w:r>
      <w:r w:rsidRPr="0052403D">
        <w:t xml:space="preserve"> to calculate hot emissions for conventional</w:t>
      </w:r>
      <w:r w:rsidR="00C40533" w:rsidRPr="0052403D">
        <w:t>,</w:t>
      </w:r>
      <w:r w:rsidRPr="0052403D">
        <w:t xml:space="preserve"> Euro 1 </w:t>
      </w:r>
      <w:r w:rsidR="00C40533" w:rsidRPr="0052403D">
        <w:t xml:space="preserve">and Euro 2 </w:t>
      </w:r>
      <w:r w:rsidRPr="0052403D">
        <w:t>LPG vehicles.</w:t>
      </w:r>
      <w:r w:rsidR="00C40533" w:rsidRPr="0052403D">
        <w:t xml:space="preserve"> </w:t>
      </w:r>
      <w:r w:rsidR="00010CA5">
        <w:t>Appendix 3</w:t>
      </w:r>
      <w:r w:rsidR="00C40533" w:rsidRPr="0052403D">
        <w:t xml:space="preserve"> provides the values of the coefficients used to calculate the emission factors for those engine technologies.</w:t>
      </w:r>
      <w:r w:rsidRPr="0052403D">
        <w:t xml:space="preserve"> The former emission factors </w:t>
      </w:r>
      <w:r w:rsidR="00505692" w:rsidRPr="0052403D">
        <w:t>were</w:t>
      </w:r>
      <w:r w:rsidRPr="0052403D">
        <w:t xml:space="preserve"> developed in </w:t>
      </w:r>
      <w:r w:rsidR="00505692" w:rsidRPr="0052403D">
        <w:t>e</w:t>
      </w:r>
      <w:r w:rsidRPr="0052403D">
        <w:t xml:space="preserve">arlier </w:t>
      </w:r>
      <w:r w:rsidR="00461783" w:rsidRPr="0052403D">
        <w:t>COPERT</w:t>
      </w:r>
      <w:r w:rsidRPr="0052403D">
        <w:t xml:space="preserve"> exercises</w:t>
      </w:r>
      <w:r w:rsidR="00505692" w:rsidRPr="0052403D">
        <w:t>,</w:t>
      </w:r>
      <w:r w:rsidRPr="0052403D">
        <w:t xml:space="preserve"> and the latter </w:t>
      </w:r>
      <w:r w:rsidR="00505692" w:rsidRPr="0052403D">
        <w:t>i</w:t>
      </w:r>
      <w:r w:rsidRPr="0052403D">
        <w:t xml:space="preserve">n </w:t>
      </w:r>
      <w:r w:rsidR="00505692" w:rsidRPr="0052403D">
        <w:t xml:space="preserve">the </w:t>
      </w:r>
      <w:r w:rsidRPr="0052403D">
        <w:t xml:space="preserve">MEET </w:t>
      </w:r>
      <w:r w:rsidR="00505692" w:rsidRPr="0052403D">
        <w:t>project</w:t>
      </w:r>
      <w:r w:rsidRPr="0052403D">
        <w:t xml:space="preserve">. </w:t>
      </w:r>
      <w:r w:rsidR="0089086B" w:rsidRPr="0052403D">
        <w:t xml:space="preserve">Post Euro 2 emission technologies use the same modelling and parameters as the equivalent technology step of </w:t>
      </w:r>
      <w:r w:rsidR="00C40533" w:rsidRPr="0052403D">
        <w:t xml:space="preserve">medium </w:t>
      </w:r>
      <w:r w:rsidR="005E4DC4" w:rsidRPr="0052403D">
        <w:t>petrol</w:t>
      </w:r>
      <w:r w:rsidR="0089086B" w:rsidRPr="0052403D">
        <w:t xml:space="preserve"> passenger cars.</w:t>
      </w:r>
      <w:r w:rsidR="0089086B" w:rsidRPr="000855B2">
        <w:t xml:space="preserve"> </w:t>
      </w:r>
    </w:p>
    <w:p w14:paraId="4CF7D070" w14:textId="4BD1E296" w:rsidR="00E87CE7" w:rsidRPr="000855B2" w:rsidRDefault="00665569" w:rsidP="00FF2529">
      <w:pPr>
        <w:pStyle w:val="BodyText"/>
        <w:rPr>
          <w:u w:val="single"/>
        </w:rPr>
      </w:pPr>
      <w:r w:rsidRPr="000855B2">
        <w:t xml:space="preserve">CNG vehicles use the same modelling and parameters as the equivalent technology step of </w:t>
      </w:r>
      <w:r w:rsidR="00FF2529">
        <w:t xml:space="preserve">medium </w:t>
      </w:r>
      <w:r w:rsidR="005E4DC4">
        <w:t>petrol</w:t>
      </w:r>
      <w:r w:rsidRPr="000855B2">
        <w:t xml:space="preserve"> passenger cars</w:t>
      </w:r>
      <w:r w:rsidR="00C8325D" w:rsidRPr="000855B2">
        <w:t xml:space="preserve"> by applying a reduction factor for the </w:t>
      </w:r>
      <w:r w:rsidR="002A52ED">
        <w:t>energy</w:t>
      </w:r>
      <w:r w:rsidR="002A52ED" w:rsidRPr="000855B2">
        <w:t xml:space="preserve"> </w:t>
      </w:r>
      <w:r w:rsidR="00C8325D" w:rsidRPr="000855B2">
        <w:t>consumption (difference in enthalpy of combustion). As a result, tailpipe CO</w:t>
      </w:r>
      <w:r w:rsidR="00C8325D" w:rsidRPr="000855B2">
        <w:rPr>
          <w:vertAlign w:val="subscript"/>
        </w:rPr>
        <w:t>2</w:t>
      </w:r>
      <w:r w:rsidR="00C8325D" w:rsidRPr="000855B2">
        <w:t xml:space="preserve"> estimation is then computed using the calculated fuel consumption. </w:t>
      </w:r>
      <w:r w:rsidR="002609E5" w:rsidRPr="000855B2">
        <w:t>VOC emissions also use the same concept.</w:t>
      </w:r>
    </w:p>
    <w:p w14:paraId="5A042FAE" w14:textId="77777777" w:rsidR="001D2587" w:rsidRPr="000855B2" w:rsidRDefault="001D2587">
      <w:pPr>
        <w:rPr>
          <w:u w:val="single"/>
          <w:lang w:val="en-GB"/>
        </w:rPr>
      </w:pPr>
      <w:r w:rsidRPr="000855B2">
        <w:rPr>
          <w:u w:val="single"/>
          <w:lang w:val="en-GB"/>
        </w:rPr>
        <w:t>Cold</w:t>
      </w:r>
      <w:r w:rsidR="00505692" w:rsidRPr="000855B2">
        <w:rPr>
          <w:u w:val="single"/>
          <w:lang w:val="en-GB"/>
        </w:rPr>
        <w:t>-</w:t>
      </w:r>
      <w:r w:rsidRPr="000855B2">
        <w:rPr>
          <w:u w:val="single"/>
          <w:lang w:val="en-GB"/>
        </w:rPr>
        <w:t>start emissions</w:t>
      </w:r>
    </w:p>
    <w:p w14:paraId="6DA5FBA0" w14:textId="5280B4CF" w:rsidR="006C3425" w:rsidRPr="00EA3292" w:rsidRDefault="001D2587" w:rsidP="008D2FF3">
      <w:pPr>
        <w:pStyle w:val="BodyText"/>
        <w:rPr>
          <w:lang w:val="en-US"/>
        </w:rPr>
      </w:pPr>
      <w:r w:rsidRPr="000855B2">
        <w:t>Very few data on cold</w:t>
      </w:r>
      <w:r w:rsidR="006C3425" w:rsidRPr="000855B2">
        <w:t>-s</w:t>
      </w:r>
      <w:r w:rsidRPr="000855B2">
        <w:t>tart emission</w:t>
      </w:r>
      <w:r w:rsidR="006C3425" w:rsidRPr="000855B2">
        <w:t>s</w:t>
      </w:r>
      <w:r w:rsidRPr="000855B2">
        <w:t xml:space="preserve"> from </w:t>
      </w:r>
      <w:r w:rsidR="0089086B" w:rsidRPr="000855B2">
        <w:t xml:space="preserve">conventional </w:t>
      </w:r>
      <w:r w:rsidRPr="000855B2">
        <w:t xml:space="preserve">LPG vehicles are available (AQA, 1990; Hauger </w:t>
      </w:r>
      <w:r w:rsidR="00D73F59" w:rsidRPr="000855B2">
        <w:t>et al</w:t>
      </w:r>
      <w:r w:rsidRPr="000855B2">
        <w:t>.; 1991). For consistency</w:t>
      </w:r>
      <w:r w:rsidR="006C3425" w:rsidRPr="000855B2">
        <w:t>,</w:t>
      </w:r>
      <w:r w:rsidRPr="000855B2">
        <w:t xml:space="preserve"> however</w:t>
      </w:r>
      <w:r w:rsidR="006C3425" w:rsidRPr="000855B2">
        <w:t>,</w:t>
      </w:r>
      <w:r w:rsidRPr="000855B2">
        <w:t xml:space="preserve"> and since LPG emission</w:t>
      </w:r>
      <w:r w:rsidR="006C3425" w:rsidRPr="000855B2">
        <w:t>-control</w:t>
      </w:r>
      <w:r w:rsidRPr="000855B2">
        <w:t xml:space="preserve"> technology is similar to that of </w:t>
      </w:r>
      <w:r w:rsidR="005E4DC4">
        <w:t>petrol</w:t>
      </w:r>
      <w:r w:rsidRPr="000855B2">
        <w:t xml:space="preserve"> vehicles, the methodology </w:t>
      </w:r>
      <w:r w:rsidR="006C3425" w:rsidRPr="000855B2">
        <w:t xml:space="preserve">for </w:t>
      </w:r>
      <w:r w:rsidRPr="000855B2">
        <w:t>calculat</w:t>
      </w:r>
      <w:r w:rsidR="006C3425" w:rsidRPr="000855B2">
        <w:t>ing</w:t>
      </w:r>
      <w:r w:rsidRPr="000855B2">
        <w:t xml:space="preserve"> emissions from </w:t>
      </w:r>
      <w:r w:rsidR="005E4DC4">
        <w:t>petrol</w:t>
      </w:r>
      <w:r w:rsidRPr="000855B2">
        <w:t xml:space="preserve"> vehicles is also applied here. </w:t>
      </w:r>
      <w:r w:rsidR="00FB454C">
        <w:fldChar w:fldCharType="begin"/>
      </w:r>
      <w:r w:rsidR="00FB454C">
        <w:instrText xml:space="preserve"> REF _Ref201737515 \h  \* MERGEFORMAT </w:instrText>
      </w:r>
      <w:r w:rsidR="00FB454C">
        <w:fldChar w:fldCharType="separate"/>
      </w:r>
      <w:r w:rsidR="0071604C" w:rsidRPr="000855B2">
        <w:t>Table </w:t>
      </w:r>
      <w:r w:rsidR="0071604C">
        <w:t>3.42</w:t>
      </w:r>
      <w:r w:rsidR="00FB454C">
        <w:fldChar w:fldCharType="end"/>
      </w:r>
      <w:r w:rsidRPr="000855B2">
        <w:t xml:space="preserve"> provides </w:t>
      </w:r>
      <w:r w:rsidR="006C3425" w:rsidRPr="000855B2">
        <w:t>values of e</w:t>
      </w:r>
      <w:r w:rsidR="006C3425" w:rsidRPr="000855B2">
        <w:rPr>
          <w:vertAlign w:val="superscript"/>
        </w:rPr>
        <w:t>COLD</w:t>
      </w:r>
      <w:r w:rsidR="006C3425" w:rsidRPr="000855B2">
        <w:t>/e</w:t>
      </w:r>
      <w:r w:rsidR="006C3425" w:rsidRPr="000855B2">
        <w:rPr>
          <w:vertAlign w:val="superscript"/>
        </w:rPr>
        <w:t>HOT</w:t>
      </w:r>
      <w:r w:rsidRPr="000855B2">
        <w:t xml:space="preserve"> which are valid for </w:t>
      </w:r>
      <w:r w:rsidR="0089086B" w:rsidRPr="000855B2">
        <w:t xml:space="preserve">conventional </w:t>
      </w:r>
      <w:r w:rsidRPr="000855B2">
        <w:t>LPG vehicle</w:t>
      </w:r>
      <w:r w:rsidR="00395EE1" w:rsidRPr="000855B2">
        <w:t>s</w:t>
      </w:r>
      <w:r w:rsidR="0089086B" w:rsidRPr="000855B2">
        <w:t xml:space="preserve"> to be used in </w:t>
      </w:r>
      <w:r w:rsidRPr="000855B2">
        <w:t xml:space="preserve"> </w:t>
      </w:r>
      <w:r w:rsidR="0089086B" w:rsidRPr="000855B2">
        <w:t>e</w:t>
      </w:r>
      <w:r w:rsidRPr="000855B2">
        <w:t xml:space="preserve">quations </w:t>
      </w:r>
      <w:r w:rsidR="00FB454C">
        <w:fldChar w:fldCharType="begin"/>
      </w:r>
      <w:r w:rsidR="00FB454C">
        <w:instrText xml:space="preserve"> REF _Ref140576425 \h  \* MERGEFORMAT </w:instrText>
      </w:r>
      <w:r w:rsidR="00FB454C">
        <w:fldChar w:fldCharType="separate"/>
      </w:r>
      <w:r w:rsidR="0071604C" w:rsidRPr="000855B2">
        <w:t>(</w:t>
      </w:r>
      <w:r w:rsidR="0071604C">
        <w:t>10</w:t>
      </w:r>
      <w:r w:rsidR="0071604C" w:rsidRPr="000855B2">
        <w:t>)</w:t>
      </w:r>
      <w:r w:rsidR="00FB454C">
        <w:fldChar w:fldCharType="end"/>
      </w:r>
      <w:r w:rsidRPr="000855B2">
        <w:t xml:space="preserve"> and </w:t>
      </w:r>
      <w:r w:rsidR="00FB454C">
        <w:fldChar w:fldCharType="begin"/>
      </w:r>
      <w:r w:rsidR="00FB454C">
        <w:instrText xml:space="preserve"> REF _Ref140576437 \h  \* MERGEFORMAT </w:instrText>
      </w:r>
      <w:r w:rsidR="00FB454C">
        <w:fldChar w:fldCharType="separate"/>
      </w:r>
      <w:r w:rsidR="0071604C" w:rsidRPr="000855B2">
        <w:t>(</w:t>
      </w:r>
      <w:r w:rsidR="0071604C">
        <w:t>11</w:t>
      </w:r>
      <w:r w:rsidR="0071604C" w:rsidRPr="000855B2">
        <w:t>)</w:t>
      </w:r>
      <w:r w:rsidR="00FB454C">
        <w:fldChar w:fldCharType="end"/>
      </w:r>
      <w:r w:rsidR="00974968" w:rsidRPr="000855B2">
        <w:t>.</w:t>
      </w:r>
      <w:r w:rsidR="0089086B" w:rsidRPr="000855B2">
        <w:t xml:space="preserve"> For Euro 1 and later LPG vehicles, the identical methodology of </w:t>
      </w:r>
      <w:r w:rsidR="005E4DC4">
        <w:t>petrol</w:t>
      </w:r>
      <w:r w:rsidR="0089086B" w:rsidRPr="000855B2">
        <w:t xml:space="preserve"> passenger cars is</w:t>
      </w:r>
      <w:r w:rsidR="00AC6EF9" w:rsidRPr="000855B2">
        <w:t xml:space="preserve"> used (</w:t>
      </w:r>
      <w:r w:rsidR="00E17971" w:rsidRPr="000855B2">
        <w:fldChar w:fldCharType="begin"/>
      </w:r>
      <w:r w:rsidR="00AC6EF9" w:rsidRPr="000855B2">
        <w:instrText xml:space="preserve"> REF _Ref393731119 \h </w:instrText>
      </w:r>
      <w:r w:rsidR="00E17971" w:rsidRPr="000855B2">
        <w:fldChar w:fldCharType="separate"/>
      </w:r>
      <w:r w:rsidR="0071604C" w:rsidRPr="000855B2">
        <w:t>Table </w:t>
      </w:r>
      <w:r w:rsidR="0071604C">
        <w:rPr>
          <w:noProof/>
        </w:rPr>
        <w:t>3</w:t>
      </w:r>
      <w:r w:rsidR="0071604C">
        <w:t>.</w:t>
      </w:r>
      <w:r w:rsidR="0071604C">
        <w:rPr>
          <w:noProof/>
        </w:rPr>
        <w:t>39</w:t>
      </w:r>
      <w:r w:rsidR="00E17971" w:rsidRPr="000855B2">
        <w:fldChar w:fldCharType="end"/>
      </w:r>
      <w:r w:rsidR="00AC6EF9" w:rsidRPr="000855B2">
        <w:t xml:space="preserve">). </w:t>
      </w:r>
      <w:r w:rsidR="00F4315F" w:rsidRPr="000855B2">
        <w:t xml:space="preserve">This is made on purpose. Both OEM and retrofitted LPG cars operate on </w:t>
      </w:r>
      <w:r w:rsidR="005E4DC4">
        <w:t>petrol</w:t>
      </w:r>
      <w:r w:rsidR="00F4315F" w:rsidRPr="000855B2">
        <w:t xml:space="preserve"> before the engine and the catalyst heat up. LPG is only used under fully warmed conditions. As a result, LPG and </w:t>
      </w:r>
      <w:r w:rsidR="005E4DC4">
        <w:t>petrol</w:t>
      </w:r>
      <w:r w:rsidR="00F4315F" w:rsidRPr="000855B2">
        <w:t xml:space="preserve"> car cold-start emissi</w:t>
      </w:r>
      <w:r w:rsidR="00817825">
        <w:t>ons are not expected to differ.</w:t>
      </w:r>
    </w:p>
    <w:p w14:paraId="13B32C07" w14:textId="33F0AA3E" w:rsidR="006C3425" w:rsidRPr="000855B2" w:rsidRDefault="00A040D1" w:rsidP="00C92B1B">
      <w:pPr>
        <w:pStyle w:val="Caption"/>
      </w:pPr>
      <w:bookmarkStart w:id="212" w:name="_Ref201737515"/>
      <w:bookmarkStart w:id="213" w:name="_Ref353380417"/>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42</w:t>
      </w:r>
      <w:r w:rsidR="00FB454C">
        <w:rPr>
          <w:noProof/>
        </w:rPr>
        <w:fldChar w:fldCharType="end"/>
      </w:r>
      <w:bookmarkEnd w:id="212"/>
      <w:bookmarkEnd w:id="213"/>
      <w:r w:rsidR="006C3425" w:rsidRPr="000855B2">
        <w:t>: Values of e</w:t>
      </w:r>
      <w:r w:rsidR="006C3425" w:rsidRPr="000855B2">
        <w:rPr>
          <w:vertAlign w:val="superscript"/>
        </w:rPr>
        <w:t xml:space="preserve">COLD </w:t>
      </w:r>
      <w:r w:rsidR="006C3425" w:rsidRPr="000855B2">
        <w:t>/ e</w:t>
      </w:r>
      <w:r w:rsidR="006C3425" w:rsidRPr="000855B2">
        <w:rPr>
          <w:vertAlign w:val="superscript"/>
        </w:rPr>
        <w:t>HOT</w:t>
      </w:r>
      <w:r w:rsidR="006C3425" w:rsidRPr="000855B2">
        <w:t xml:space="preserve"> for </w:t>
      </w:r>
      <w:r w:rsidR="0089086B" w:rsidRPr="000855B2">
        <w:t xml:space="preserve">conventional </w:t>
      </w:r>
      <w:r w:rsidR="006C3425" w:rsidRPr="000855B2">
        <w:t>LPG passenger cars (temperature range of –10°C to 30°C)</w:t>
      </w:r>
    </w:p>
    <w:tbl>
      <w:tblPr>
        <w:tblStyle w:val="MyStyle1"/>
        <w:tblW w:w="0" w:type="auto"/>
        <w:tblLayout w:type="fixed"/>
        <w:tblLook w:val="0000" w:firstRow="0" w:lastRow="0" w:firstColumn="0" w:lastColumn="0" w:noHBand="0" w:noVBand="0"/>
      </w:tblPr>
      <w:tblGrid>
        <w:gridCol w:w="2015"/>
        <w:gridCol w:w="1701"/>
      </w:tblGrid>
      <w:tr w:rsidR="006C3425" w:rsidRPr="000855B2" w14:paraId="16345B6F" w14:textId="77777777" w:rsidTr="0082129F">
        <w:trPr>
          <w:trHeight w:val="260"/>
        </w:trPr>
        <w:tc>
          <w:tcPr>
            <w:tcW w:w="2015" w:type="dxa"/>
          </w:tcPr>
          <w:p w14:paraId="5BACC89B" w14:textId="087A6C6E" w:rsidR="006C3425" w:rsidRPr="000855B2" w:rsidRDefault="006C3425" w:rsidP="005C7955">
            <w:pPr>
              <w:pStyle w:val="Table"/>
              <w:spacing w:line="240" w:lineRule="atLeast"/>
              <w:rPr>
                <w:rFonts w:ascii="Open Sans" w:hAnsi="Open Sans" w:cs="Open Sans"/>
                <w:b/>
                <w:sz w:val="18"/>
                <w:lang w:val="en-GB"/>
              </w:rPr>
            </w:pPr>
            <w:r w:rsidRPr="000855B2">
              <w:rPr>
                <w:rFonts w:ascii="Open Sans" w:hAnsi="Open Sans" w:cs="Open Sans"/>
                <w:b/>
                <w:sz w:val="18"/>
                <w:lang w:val="en-GB"/>
              </w:rPr>
              <w:t xml:space="preserve">Pollutant or </w:t>
            </w:r>
            <w:r w:rsidR="00632F81">
              <w:rPr>
                <w:rFonts w:ascii="Open Sans" w:hAnsi="Open Sans" w:cs="Open Sans"/>
                <w:b/>
                <w:sz w:val="18"/>
                <w:lang w:val="en-GB"/>
              </w:rPr>
              <w:t>E</w:t>
            </w:r>
            <w:r w:rsidRPr="000855B2">
              <w:rPr>
                <w:rFonts w:ascii="Open Sans" w:hAnsi="Open Sans" w:cs="Open Sans"/>
                <w:b/>
                <w:sz w:val="18"/>
                <w:lang w:val="en-GB"/>
              </w:rPr>
              <w:t>C</w:t>
            </w:r>
          </w:p>
        </w:tc>
        <w:tc>
          <w:tcPr>
            <w:tcW w:w="1701" w:type="dxa"/>
          </w:tcPr>
          <w:p w14:paraId="0E98C7C4" w14:textId="77777777" w:rsidR="006C3425" w:rsidRPr="000855B2" w:rsidRDefault="006C3425" w:rsidP="005C7955">
            <w:pPr>
              <w:pStyle w:val="Table"/>
              <w:spacing w:line="240" w:lineRule="atLeast"/>
              <w:rPr>
                <w:rFonts w:ascii="Open Sans" w:hAnsi="Open Sans" w:cs="Open Sans"/>
                <w:b/>
                <w:sz w:val="18"/>
                <w:lang w:val="en-GB"/>
              </w:rPr>
            </w:pPr>
            <w:r w:rsidRPr="000855B2">
              <w:rPr>
                <w:rFonts w:ascii="Open Sans" w:hAnsi="Open Sans" w:cs="Open Sans"/>
                <w:b/>
                <w:sz w:val="18"/>
                <w:lang w:val="en-GB"/>
              </w:rPr>
              <w:t>e</w:t>
            </w:r>
            <w:r w:rsidRPr="000855B2">
              <w:rPr>
                <w:rFonts w:ascii="Open Sans" w:hAnsi="Open Sans" w:cs="Open Sans"/>
                <w:b/>
                <w:sz w:val="18"/>
                <w:vertAlign w:val="superscript"/>
                <w:lang w:val="en-GB"/>
              </w:rPr>
              <w:t>COLD</w:t>
            </w:r>
            <w:r w:rsidRPr="000855B2">
              <w:rPr>
                <w:rFonts w:ascii="Open Sans" w:hAnsi="Open Sans" w:cs="Open Sans"/>
                <w:b/>
                <w:sz w:val="18"/>
                <w:lang w:val="en-GB"/>
              </w:rPr>
              <w:t xml:space="preserve"> / e</w:t>
            </w:r>
            <w:r w:rsidRPr="000855B2">
              <w:rPr>
                <w:rFonts w:ascii="Open Sans" w:hAnsi="Open Sans" w:cs="Open Sans"/>
                <w:b/>
                <w:sz w:val="18"/>
                <w:vertAlign w:val="superscript"/>
                <w:lang w:val="en-GB"/>
              </w:rPr>
              <w:t>HOT</w:t>
            </w:r>
          </w:p>
        </w:tc>
      </w:tr>
      <w:tr w:rsidR="006C3425" w:rsidRPr="000855B2" w14:paraId="29DB99FE" w14:textId="77777777" w:rsidTr="0082129F">
        <w:trPr>
          <w:trHeight w:val="260"/>
        </w:trPr>
        <w:tc>
          <w:tcPr>
            <w:tcW w:w="2015" w:type="dxa"/>
          </w:tcPr>
          <w:p w14:paraId="71A471C3" w14:textId="77777777" w:rsidR="006C3425" w:rsidRPr="000855B2" w:rsidRDefault="006C3425" w:rsidP="005C7955">
            <w:pPr>
              <w:pStyle w:val="Table"/>
              <w:spacing w:line="240" w:lineRule="atLeast"/>
              <w:jc w:val="left"/>
              <w:rPr>
                <w:rFonts w:ascii="Open Sans" w:hAnsi="Open Sans" w:cs="Open Sans"/>
                <w:sz w:val="18"/>
                <w:lang w:val="en-GB"/>
              </w:rPr>
            </w:pPr>
            <w:r w:rsidRPr="000855B2">
              <w:rPr>
                <w:rFonts w:ascii="Open Sans" w:hAnsi="Open Sans" w:cs="Open Sans"/>
                <w:sz w:val="18"/>
                <w:lang w:val="en-GB"/>
              </w:rPr>
              <w:t>CO</w:t>
            </w:r>
          </w:p>
        </w:tc>
        <w:tc>
          <w:tcPr>
            <w:tcW w:w="1701" w:type="dxa"/>
          </w:tcPr>
          <w:p w14:paraId="4CAD27C5"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3.66 - 0.09  t</w:t>
            </w:r>
            <w:r w:rsidRPr="000855B2">
              <w:rPr>
                <w:rFonts w:ascii="Open Sans" w:hAnsi="Open Sans" w:cs="Open Sans"/>
                <w:sz w:val="18"/>
                <w:vertAlign w:val="subscript"/>
                <w:lang w:val="en-GB"/>
              </w:rPr>
              <w:t>a</w:t>
            </w:r>
          </w:p>
        </w:tc>
      </w:tr>
      <w:tr w:rsidR="006C3425" w:rsidRPr="000855B2" w14:paraId="4D5159CE" w14:textId="77777777" w:rsidTr="0082129F">
        <w:trPr>
          <w:trHeight w:val="260"/>
        </w:trPr>
        <w:tc>
          <w:tcPr>
            <w:tcW w:w="2015" w:type="dxa"/>
          </w:tcPr>
          <w:p w14:paraId="68AF6E8D" w14:textId="77777777" w:rsidR="006C3425" w:rsidRPr="000855B2" w:rsidRDefault="006C3425" w:rsidP="005C7955">
            <w:pPr>
              <w:pStyle w:val="Table"/>
              <w:spacing w:line="240" w:lineRule="atLeast"/>
              <w:jc w:val="left"/>
              <w:rPr>
                <w:rFonts w:ascii="Open Sans" w:hAnsi="Open Sans" w:cs="Open Sans"/>
                <w:sz w:val="18"/>
                <w:lang w:val="en-GB"/>
              </w:rPr>
            </w:pPr>
            <w:r w:rsidRPr="000855B2">
              <w:rPr>
                <w:rFonts w:ascii="Open Sans" w:hAnsi="Open Sans" w:cs="Open Sans"/>
                <w:sz w:val="18"/>
                <w:lang w:val="en-GB"/>
              </w:rPr>
              <w:t>NO</w:t>
            </w:r>
            <w:r w:rsidRPr="000855B2">
              <w:rPr>
                <w:rFonts w:ascii="Open Sans" w:hAnsi="Open Sans" w:cs="Open Sans"/>
                <w:sz w:val="18"/>
                <w:vertAlign w:val="subscript"/>
                <w:lang w:val="en-GB"/>
              </w:rPr>
              <w:t>x</w:t>
            </w:r>
          </w:p>
        </w:tc>
        <w:tc>
          <w:tcPr>
            <w:tcW w:w="1701" w:type="dxa"/>
          </w:tcPr>
          <w:p w14:paraId="2D3109CA"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0.98 - 0.006  t</w:t>
            </w:r>
            <w:r w:rsidRPr="000855B2">
              <w:rPr>
                <w:rFonts w:ascii="Open Sans" w:hAnsi="Open Sans" w:cs="Open Sans"/>
                <w:sz w:val="18"/>
                <w:vertAlign w:val="subscript"/>
                <w:lang w:val="en-GB"/>
              </w:rPr>
              <w:t>a</w:t>
            </w:r>
          </w:p>
        </w:tc>
      </w:tr>
      <w:tr w:rsidR="006C3425" w:rsidRPr="000855B2" w14:paraId="6B9C2C87" w14:textId="77777777" w:rsidTr="0082129F">
        <w:trPr>
          <w:trHeight w:val="260"/>
        </w:trPr>
        <w:tc>
          <w:tcPr>
            <w:tcW w:w="2015" w:type="dxa"/>
          </w:tcPr>
          <w:p w14:paraId="44EF225B" w14:textId="77777777" w:rsidR="006C3425" w:rsidRPr="000855B2" w:rsidRDefault="006C3425" w:rsidP="005C7955">
            <w:pPr>
              <w:pStyle w:val="Table"/>
              <w:spacing w:line="240" w:lineRule="atLeast"/>
              <w:jc w:val="left"/>
              <w:rPr>
                <w:rFonts w:ascii="Open Sans" w:hAnsi="Open Sans" w:cs="Open Sans"/>
                <w:sz w:val="18"/>
                <w:lang w:val="en-GB"/>
              </w:rPr>
            </w:pPr>
            <w:r w:rsidRPr="000855B2">
              <w:rPr>
                <w:rFonts w:ascii="Open Sans" w:hAnsi="Open Sans" w:cs="Open Sans"/>
                <w:sz w:val="18"/>
                <w:lang w:val="en-GB"/>
              </w:rPr>
              <w:t>VOC</w:t>
            </w:r>
          </w:p>
        </w:tc>
        <w:tc>
          <w:tcPr>
            <w:tcW w:w="1701" w:type="dxa"/>
          </w:tcPr>
          <w:p w14:paraId="2505D3D4"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2.24 - 0.06  t</w:t>
            </w:r>
            <w:r w:rsidRPr="000855B2">
              <w:rPr>
                <w:rFonts w:ascii="Open Sans" w:hAnsi="Open Sans" w:cs="Open Sans"/>
                <w:sz w:val="18"/>
                <w:vertAlign w:val="subscript"/>
                <w:lang w:val="en-GB"/>
              </w:rPr>
              <w:t>a</w:t>
            </w:r>
            <w:r w:rsidRPr="000855B2">
              <w:rPr>
                <w:rFonts w:ascii="Open Sans" w:hAnsi="Open Sans" w:cs="Open Sans"/>
                <w:sz w:val="18"/>
                <w:lang w:val="en-GB"/>
              </w:rPr>
              <w:t xml:space="preserve"> (1)</w:t>
            </w:r>
          </w:p>
        </w:tc>
      </w:tr>
      <w:tr w:rsidR="006C3425" w:rsidRPr="000855B2" w14:paraId="038CCC59" w14:textId="77777777" w:rsidTr="0082129F">
        <w:trPr>
          <w:trHeight w:val="260"/>
        </w:trPr>
        <w:tc>
          <w:tcPr>
            <w:tcW w:w="2015" w:type="dxa"/>
          </w:tcPr>
          <w:p w14:paraId="61651FF1" w14:textId="5B9E79E5" w:rsidR="006C3425" w:rsidRPr="000855B2" w:rsidRDefault="00632F81" w:rsidP="005C7955">
            <w:pPr>
              <w:pStyle w:val="Table"/>
              <w:spacing w:line="240" w:lineRule="atLeast"/>
              <w:jc w:val="left"/>
              <w:rPr>
                <w:rFonts w:ascii="Open Sans" w:hAnsi="Open Sans" w:cs="Open Sans"/>
                <w:sz w:val="18"/>
                <w:lang w:val="en-GB"/>
              </w:rPr>
            </w:pPr>
            <w:r>
              <w:rPr>
                <w:rFonts w:ascii="Open Sans" w:hAnsi="Open Sans" w:cs="Open Sans"/>
                <w:sz w:val="18"/>
                <w:lang w:val="en-GB"/>
              </w:rPr>
              <w:t>Energy</w:t>
            </w:r>
            <w:r w:rsidR="006C3425" w:rsidRPr="000855B2">
              <w:rPr>
                <w:rFonts w:ascii="Open Sans" w:hAnsi="Open Sans" w:cs="Open Sans"/>
                <w:sz w:val="18"/>
                <w:lang w:val="en-GB"/>
              </w:rPr>
              <w:t xml:space="preserve"> consumption</w:t>
            </w:r>
          </w:p>
        </w:tc>
        <w:tc>
          <w:tcPr>
            <w:tcW w:w="1701" w:type="dxa"/>
          </w:tcPr>
          <w:p w14:paraId="7F8745C6" w14:textId="77777777" w:rsidR="006C3425" w:rsidRPr="000855B2" w:rsidRDefault="006C3425" w:rsidP="005C7955">
            <w:pPr>
              <w:pStyle w:val="Table"/>
              <w:spacing w:line="240" w:lineRule="atLeast"/>
              <w:rPr>
                <w:rFonts w:ascii="Open Sans" w:hAnsi="Open Sans" w:cs="Open Sans"/>
                <w:sz w:val="18"/>
                <w:lang w:val="en-GB"/>
              </w:rPr>
            </w:pPr>
            <w:r w:rsidRPr="000855B2">
              <w:rPr>
                <w:rFonts w:ascii="Open Sans" w:hAnsi="Open Sans" w:cs="Open Sans"/>
                <w:sz w:val="18"/>
                <w:lang w:val="en-GB"/>
              </w:rPr>
              <w:t>1.47 - 0.009  t</w:t>
            </w:r>
            <w:r w:rsidRPr="000855B2">
              <w:rPr>
                <w:rFonts w:ascii="Open Sans" w:hAnsi="Open Sans" w:cs="Open Sans"/>
                <w:sz w:val="18"/>
                <w:vertAlign w:val="subscript"/>
                <w:lang w:val="en-GB"/>
              </w:rPr>
              <w:t>a</w:t>
            </w:r>
          </w:p>
        </w:tc>
      </w:tr>
    </w:tbl>
    <w:p w14:paraId="4B8818EB" w14:textId="77777777" w:rsidR="002B1FFD" w:rsidRPr="000855B2" w:rsidRDefault="002B1FFD" w:rsidP="0048755A">
      <w:pPr>
        <w:spacing w:line="240" w:lineRule="auto"/>
        <w:rPr>
          <w:sz w:val="16"/>
          <w:szCs w:val="18"/>
          <w:lang w:val="en-GB"/>
        </w:rPr>
      </w:pPr>
      <w:r w:rsidRPr="000855B2">
        <w:rPr>
          <w:sz w:val="16"/>
          <w:szCs w:val="18"/>
          <w:lang w:val="en-GB"/>
        </w:rPr>
        <w:t>Note</w:t>
      </w:r>
      <w:r w:rsidR="00E42177" w:rsidRPr="000855B2">
        <w:rPr>
          <w:sz w:val="16"/>
          <w:szCs w:val="18"/>
          <w:lang w:val="en-GB"/>
        </w:rPr>
        <w:t>:</w:t>
      </w:r>
    </w:p>
    <w:p w14:paraId="3F30DE1E" w14:textId="77777777" w:rsidR="006C3425" w:rsidRPr="000855B2" w:rsidRDefault="006C3425" w:rsidP="0048755A">
      <w:pPr>
        <w:spacing w:line="240" w:lineRule="auto"/>
        <w:rPr>
          <w:sz w:val="16"/>
          <w:szCs w:val="18"/>
          <w:lang w:val="en-GB"/>
        </w:rPr>
      </w:pPr>
      <w:r w:rsidRPr="000855B2">
        <w:rPr>
          <w:sz w:val="16"/>
          <w:szCs w:val="18"/>
          <w:lang w:val="en-GB"/>
        </w:rPr>
        <w:t>VOC:  if t</w:t>
      </w:r>
      <w:r w:rsidRPr="0052403D">
        <w:rPr>
          <w:sz w:val="16"/>
          <w:szCs w:val="18"/>
          <w:vertAlign w:val="subscript"/>
          <w:lang w:val="en-GB"/>
        </w:rPr>
        <w:t>a</w:t>
      </w:r>
      <w:r w:rsidRPr="000855B2">
        <w:rPr>
          <w:sz w:val="16"/>
          <w:szCs w:val="18"/>
          <w:lang w:val="en-GB"/>
        </w:rPr>
        <w:t xml:space="preserve"> &gt; 29</w:t>
      </w:r>
      <w:r w:rsidR="002B1FFD" w:rsidRPr="000855B2">
        <w:rPr>
          <w:sz w:val="16"/>
          <w:szCs w:val="18"/>
          <w:lang w:val="en-GB"/>
        </w:rPr>
        <w:t> °C</w:t>
      </w:r>
      <w:r w:rsidRPr="000855B2">
        <w:rPr>
          <w:sz w:val="16"/>
          <w:szCs w:val="18"/>
          <w:lang w:val="en-GB"/>
        </w:rPr>
        <w:t xml:space="preserve">  then e</w:t>
      </w:r>
      <w:r w:rsidRPr="000855B2">
        <w:rPr>
          <w:sz w:val="16"/>
          <w:szCs w:val="18"/>
          <w:vertAlign w:val="superscript"/>
          <w:lang w:val="en-GB"/>
        </w:rPr>
        <w:t xml:space="preserve">COLD </w:t>
      </w:r>
      <w:r w:rsidRPr="000855B2">
        <w:rPr>
          <w:sz w:val="16"/>
          <w:szCs w:val="18"/>
          <w:lang w:val="en-GB"/>
        </w:rPr>
        <w:t>/ e</w:t>
      </w:r>
      <w:r w:rsidRPr="000855B2">
        <w:rPr>
          <w:sz w:val="16"/>
          <w:szCs w:val="18"/>
          <w:vertAlign w:val="superscript"/>
          <w:lang w:val="en-GB"/>
        </w:rPr>
        <w:t>HOT</w:t>
      </w:r>
      <w:r w:rsidRPr="000855B2">
        <w:rPr>
          <w:sz w:val="16"/>
          <w:szCs w:val="18"/>
          <w:lang w:val="en-GB"/>
        </w:rPr>
        <w:t xml:space="preserve"> &gt; 0.5</w:t>
      </w:r>
      <w:r w:rsidR="002B1FFD" w:rsidRPr="000855B2">
        <w:rPr>
          <w:sz w:val="16"/>
          <w:szCs w:val="18"/>
          <w:lang w:val="en-GB"/>
        </w:rPr>
        <w:t>.</w:t>
      </w:r>
    </w:p>
    <w:p w14:paraId="50C5EA35" w14:textId="2C82A0D8" w:rsidR="009E5F87" w:rsidRPr="000855B2" w:rsidRDefault="001B7099" w:rsidP="008D2FF3">
      <w:pPr>
        <w:pStyle w:val="BodyText"/>
      </w:pPr>
      <w:r w:rsidRPr="000855B2">
        <w:t xml:space="preserve">CNG vehicles </w:t>
      </w:r>
      <w:r w:rsidR="009E5F87" w:rsidRPr="000855B2">
        <w:t xml:space="preserve">are categorised as Euro 4 or higher so their </w:t>
      </w:r>
      <w:r w:rsidR="00C3578D" w:rsidRPr="000855B2">
        <w:t>cold emissions are calculated using the methodology for</w:t>
      </w:r>
      <w:r w:rsidR="00376B05" w:rsidRPr="000855B2">
        <w:t xml:space="preserve"> Euro 1 and later</w:t>
      </w:r>
      <w:r w:rsidR="009E5F87" w:rsidRPr="000855B2">
        <w:t xml:space="preserve"> </w:t>
      </w:r>
      <w:r w:rsidR="005E4DC4">
        <w:t>petrol</w:t>
      </w:r>
      <w:r w:rsidR="009E5F87" w:rsidRPr="000855B2">
        <w:t xml:space="preserve"> vehicles</w:t>
      </w:r>
      <w:r w:rsidR="00C3578D" w:rsidRPr="000855B2">
        <w:t>.</w:t>
      </w:r>
      <w:r w:rsidR="002609E5" w:rsidRPr="000855B2">
        <w:t xml:space="preserve"> </w:t>
      </w:r>
      <w:r w:rsidR="009E5F87" w:rsidRPr="000855B2">
        <w:t xml:space="preserve">For all emissions other than hydrocarbons, </w:t>
      </w:r>
      <w:r w:rsidR="00852C93" w:rsidRPr="000855B2">
        <w:t xml:space="preserve">the same </w:t>
      </w:r>
      <w:r w:rsidR="00852C93" w:rsidRPr="000855B2">
        <w:lastRenderedPageBreak/>
        <w:t>approach used for Euro 1 and late</w:t>
      </w:r>
      <w:r w:rsidR="009E5F87" w:rsidRPr="000855B2">
        <w:t>r</w:t>
      </w:r>
      <w:r w:rsidR="00852C93" w:rsidRPr="000855B2">
        <w:t xml:space="preserve"> LPG vehicles is utilised; </w:t>
      </w:r>
      <w:r w:rsidR="005A5C37" w:rsidRPr="000855B2">
        <w:t>CNG vehicles use the same values</w:t>
      </w:r>
      <w:r w:rsidR="00C71EFA" w:rsidRPr="000855B2">
        <w:t xml:space="preserve"> (</w:t>
      </w:r>
      <w:r w:rsidR="00E17971" w:rsidRPr="000855B2">
        <w:fldChar w:fldCharType="begin"/>
      </w:r>
      <w:r w:rsidR="00C71EFA" w:rsidRPr="000855B2">
        <w:instrText xml:space="preserve"> REF _Ref393731119 \h </w:instrText>
      </w:r>
      <w:r w:rsidR="00E17971" w:rsidRPr="000855B2">
        <w:fldChar w:fldCharType="separate"/>
      </w:r>
      <w:r w:rsidR="0071604C" w:rsidRPr="000855B2">
        <w:t>Table </w:t>
      </w:r>
      <w:r w:rsidR="0071604C">
        <w:rPr>
          <w:noProof/>
        </w:rPr>
        <w:t>3</w:t>
      </w:r>
      <w:r w:rsidR="0071604C">
        <w:t>.</w:t>
      </w:r>
      <w:r w:rsidR="0071604C">
        <w:rPr>
          <w:noProof/>
        </w:rPr>
        <w:t>39</w:t>
      </w:r>
      <w:r w:rsidR="00E17971" w:rsidRPr="000855B2">
        <w:fldChar w:fldCharType="end"/>
      </w:r>
      <w:r w:rsidR="00C71EFA" w:rsidRPr="000855B2">
        <w:t>)</w:t>
      </w:r>
      <w:r w:rsidR="00852C93" w:rsidRPr="000855B2">
        <w:t xml:space="preserve"> </w:t>
      </w:r>
      <w:r w:rsidR="005A5C37" w:rsidRPr="000855B2">
        <w:t xml:space="preserve">as the equivalent </w:t>
      </w:r>
      <w:r w:rsidR="005E4DC4">
        <w:t>petrol</w:t>
      </w:r>
      <w:r w:rsidR="005A5C37" w:rsidRPr="000855B2">
        <w:t xml:space="preserve"> size vehicles</w:t>
      </w:r>
      <w:r w:rsidR="005A5C37" w:rsidRPr="000855B2">
        <w:rPr>
          <w:sz w:val="20"/>
        </w:rPr>
        <w:t>.</w:t>
      </w:r>
      <w:r w:rsidR="005A5C37" w:rsidRPr="000855B2">
        <w:t xml:space="preserve"> </w:t>
      </w:r>
    </w:p>
    <w:p w14:paraId="53B6CDC4" w14:textId="73A9D497" w:rsidR="002609E5" w:rsidRPr="000855B2" w:rsidRDefault="009E5F87" w:rsidP="008D2FF3">
      <w:pPr>
        <w:pStyle w:val="BodyText"/>
      </w:pPr>
      <w:r w:rsidRPr="000855B2">
        <w:t>For the calculation of h</w:t>
      </w:r>
      <w:r w:rsidR="005A5C37" w:rsidRPr="000855B2">
        <w:t xml:space="preserve">ydrocarbons, </w:t>
      </w:r>
      <w:r w:rsidR="00E17971" w:rsidRPr="000855B2">
        <w:fldChar w:fldCharType="begin"/>
      </w:r>
      <w:r w:rsidR="00C71EFA" w:rsidRPr="000855B2">
        <w:instrText xml:space="preserve"> REF _Ref393731205 \h </w:instrText>
      </w:r>
      <w:r w:rsidR="00E17971" w:rsidRPr="000855B2">
        <w:fldChar w:fldCharType="separate"/>
      </w:r>
      <w:r w:rsidR="0071604C" w:rsidRPr="000855B2">
        <w:t>Table </w:t>
      </w:r>
      <w:r w:rsidR="0071604C">
        <w:rPr>
          <w:noProof/>
        </w:rPr>
        <w:t>3</w:t>
      </w:r>
      <w:r w:rsidR="0071604C">
        <w:t>.</w:t>
      </w:r>
      <w:r w:rsidR="0071604C">
        <w:rPr>
          <w:noProof/>
        </w:rPr>
        <w:t>43</w:t>
      </w:r>
      <w:r w:rsidR="00E17971" w:rsidRPr="000855B2">
        <w:fldChar w:fldCharType="end"/>
      </w:r>
      <w:r w:rsidR="00C71EFA" w:rsidRPr="000855B2">
        <w:t xml:space="preserve"> </w:t>
      </w:r>
      <w:r w:rsidR="00376B05" w:rsidRPr="000855B2">
        <w:t xml:space="preserve">provides </w:t>
      </w:r>
      <w:r w:rsidR="005A5C37" w:rsidRPr="000855B2">
        <w:t xml:space="preserve">the </w:t>
      </w:r>
      <w:r w:rsidR="00946C25" w:rsidRPr="000855B2">
        <w:t>values of e</w:t>
      </w:r>
      <w:r w:rsidR="00946C25" w:rsidRPr="000855B2">
        <w:rPr>
          <w:vertAlign w:val="superscript"/>
        </w:rPr>
        <w:t>COLD</w:t>
      </w:r>
      <w:r w:rsidR="00946C25" w:rsidRPr="000855B2">
        <w:t>/e</w:t>
      </w:r>
      <w:r w:rsidR="00946C25" w:rsidRPr="000855B2">
        <w:rPr>
          <w:vertAlign w:val="superscript"/>
        </w:rPr>
        <w:t>HOT</w:t>
      </w:r>
      <w:r w:rsidR="00946C25" w:rsidRPr="000855B2">
        <w:t xml:space="preserve"> for Euro 4/5/6 CNG vehicles to be used in  equations </w:t>
      </w:r>
      <w:r w:rsidR="00FB454C">
        <w:fldChar w:fldCharType="begin"/>
      </w:r>
      <w:r w:rsidR="00FB454C">
        <w:instrText xml:space="preserve"> REF _Ref140576425 \h  \* MERGEFORMAT </w:instrText>
      </w:r>
      <w:r w:rsidR="00FB454C">
        <w:fldChar w:fldCharType="separate"/>
      </w:r>
      <w:r w:rsidR="0071604C" w:rsidRPr="000855B2">
        <w:t>(</w:t>
      </w:r>
      <w:r w:rsidR="0071604C">
        <w:t>10</w:t>
      </w:r>
      <w:r w:rsidR="0071604C" w:rsidRPr="000855B2">
        <w:t>)</w:t>
      </w:r>
      <w:r w:rsidR="00FB454C">
        <w:fldChar w:fldCharType="end"/>
      </w:r>
      <w:r w:rsidR="00946C25" w:rsidRPr="000855B2">
        <w:t xml:space="preserve"> and </w:t>
      </w:r>
      <w:r w:rsidR="00FB454C">
        <w:fldChar w:fldCharType="begin"/>
      </w:r>
      <w:r w:rsidR="00FB454C">
        <w:instrText xml:space="preserve"> REF _Ref140576437 \h  \* MERGEFORMAT </w:instrText>
      </w:r>
      <w:r w:rsidR="00FB454C">
        <w:fldChar w:fldCharType="separate"/>
      </w:r>
      <w:r w:rsidR="0071604C" w:rsidRPr="000855B2">
        <w:t>(</w:t>
      </w:r>
      <w:r w:rsidR="0071604C">
        <w:t>11</w:t>
      </w:r>
      <w:r w:rsidR="0071604C" w:rsidRPr="000855B2">
        <w:t>)</w:t>
      </w:r>
      <w:r w:rsidR="00FB454C">
        <w:fldChar w:fldCharType="end"/>
      </w:r>
      <w:r w:rsidR="00946C25" w:rsidRPr="000855B2">
        <w:t>.</w:t>
      </w:r>
    </w:p>
    <w:p w14:paraId="2700C23A" w14:textId="0E6BDCB1" w:rsidR="002609E5" w:rsidRPr="000855B2" w:rsidRDefault="002609E5" w:rsidP="00C92B1B">
      <w:pPr>
        <w:pStyle w:val="Caption"/>
      </w:pPr>
      <w:bookmarkStart w:id="214" w:name="_Ref393731205"/>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43</w:t>
      </w:r>
      <w:r w:rsidR="00FB454C">
        <w:rPr>
          <w:noProof/>
        </w:rPr>
        <w:fldChar w:fldCharType="end"/>
      </w:r>
      <w:bookmarkEnd w:id="214"/>
      <w:r w:rsidR="00C3578D" w:rsidRPr="000855B2">
        <w:t xml:space="preserve"> </w:t>
      </w:r>
      <w:r w:rsidR="00B460B8" w:rsidRPr="000855B2">
        <w:t>Over-emission ratios e</w:t>
      </w:r>
      <w:r w:rsidR="00B460B8" w:rsidRPr="000855B2">
        <w:rPr>
          <w:vertAlign w:val="superscript"/>
        </w:rPr>
        <w:t>COLD</w:t>
      </w:r>
      <w:r w:rsidR="00B460B8" w:rsidRPr="000855B2">
        <w:t xml:space="preserve"> / e</w:t>
      </w:r>
      <w:r w:rsidR="00B460B8" w:rsidRPr="000855B2">
        <w:rPr>
          <w:vertAlign w:val="superscript"/>
        </w:rPr>
        <w:t>HOT</w:t>
      </w:r>
      <w:r w:rsidR="00B460B8" w:rsidRPr="000855B2">
        <w:t xml:space="preserve"> for Euro 4/5/6 CNG passenger cars compared to Euro 1 </w:t>
      </w:r>
      <w:r w:rsidR="005E4DC4">
        <w:t>petrol</w:t>
      </w:r>
      <w:r w:rsidR="00B460B8" w:rsidRPr="000855B2">
        <w:t xml:space="preserve"> vehicles (temperature range of –10°C to 30°C)</w:t>
      </w:r>
    </w:p>
    <w:tbl>
      <w:tblPr>
        <w:tblW w:w="7412"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ayout w:type="fixed"/>
        <w:tblLook w:val="00A0" w:firstRow="1" w:lastRow="0" w:firstColumn="1" w:lastColumn="0" w:noHBand="0" w:noVBand="0"/>
      </w:tblPr>
      <w:tblGrid>
        <w:gridCol w:w="1602"/>
        <w:gridCol w:w="1447"/>
        <w:gridCol w:w="1454"/>
        <w:gridCol w:w="969"/>
        <w:gridCol w:w="970"/>
        <w:gridCol w:w="970"/>
      </w:tblGrid>
      <w:tr w:rsidR="00F437A9" w:rsidRPr="000855B2" w14:paraId="608350FA" w14:textId="77777777" w:rsidTr="00880E5E">
        <w:trPr>
          <w:trHeight w:hRule="exact" w:val="350"/>
        </w:trPr>
        <w:tc>
          <w:tcPr>
            <w:tcW w:w="1602" w:type="dxa"/>
            <w:vMerge w:val="restart"/>
            <w:tcBorders>
              <w:top w:val="double" w:sz="6" w:space="0" w:color="000000"/>
            </w:tcBorders>
            <w:vAlign w:val="center"/>
          </w:tcPr>
          <w:p w14:paraId="632805BB"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Case</w:t>
            </w:r>
          </w:p>
        </w:tc>
        <w:tc>
          <w:tcPr>
            <w:tcW w:w="1447" w:type="dxa"/>
            <w:vMerge w:val="restart"/>
            <w:tcBorders>
              <w:top w:val="double" w:sz="6" w:space="0" w:color="000000"/>
            </w:tcBorders>
            <w:vAlign w:val="center"/>
          </w:tcPr>
          <w:p w14:paraId="1170CEE6"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Speed [km/h]</w:t>
            </w:r>
          </w:p>
        </w:tc>
        <w:tc>
          <w:tcPr>
            <w:tcW w:w="1454" w:type="dxa"/>
            <w:vMerge w:val="restart"/>
            <w:tcBorders>
              <w:top w:val="double" w:sz="6" w:space="0" w:color="000000"/>
            </w:tcBorders>
            <w:vAlign w:val="center"/>
          </w:tcPr>
          <w:p w14:paraId="2FBDF99D"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Temp</w:t>
            </w:r>
            <w:r w:rsidR="00880E5E" w:rsidRPr="00880E5E">
              <w:rPr>
                <w:b/>
                <w:snapToGrid w:val="0"/>
                <w:lang w:val="en-GB" w:eastAsia="en-US"/>
              </w:rPr>
              <w:t>erature</w:t>
            </w:r>
            <w:r w:rsidRPr="00880E5E">
              <w:rPr>
                <w:b/>
                <w:snapToGrid w:val="0"/>
                <w:lang w:val="en-GB" w:eastAsia="en-US"/>
              </w:rPr>
              <w:t xml:space="preserve"> [°C]</w:t>
            </w:r>
          </w:p>
        </w:tc>
        <w:tc>
          <w:tcPr>
            <w:tcW w:w="2909" w:type="dxa"/>
            <w:gridSpan w:val="3"/>
            <w:tcBorders>
              <w:top w:val="double" w:sz="6" w:space="0" w:color="000000"/>
              <w:bottom w:val="single" w:sz="4" w:space="0" w:color="auto"/>
            </w:tcBorders>
            <w:vAlign w:val="center"/>
          </w:tcPr>
          <w:p w14:paraId="261DCE62"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e</w:t>
            </w:r>
            <w:r w:rsidRPr="00880E5E">
              <w:rPr>
                <w:b/>
                <w:snapToGrid w:val="0"/>
                <w:vertAlign w:val="superscript"/>
                <w:lang w:val="en-GB" w:eastAsia="en-US"/>
              </w:rPr>
              <w:t>COLD</w:t>
            </w:r>
            <w:r w:rsidRPr="00880E5E">
              <w:rPr>
                <w:b/>
                <w:snapToGrid w:val="0"/>
                <w:lang w:val="en-GB" w:eastAsia="en-US"/>
              </w:rPr>
              <w:t>/e</w:t>
            </w:r>
            <w:r w:rsidRPr="00880E5E">
              <w:rPr>
                <w:b/>
                <w:snapToGrid w:val="0"/>
                <w:vertAlign w:val="superscript"/>
                <w:lang w:val="en-GB" w:eastAsia="en-US"/>
              </w:rPr>
              <w:t>HOT</w:t>
            </w:r>
            <w:r w:rsidRPr="00880E5E">
              <w:rPr>
                <w:b/>
                <w:snapToGrid w:val="0"/>
                <w:lang w:val="en-GB" w:eastAsia="en-US"/>
              </w:rPr>
              <w:t xml:space="preserve"> = A </w:t>
            </w:r>
            <w:r w:rsidRPr="00880E5E">
              <w:rPr>
                <w:b/>
                <w:lang w:val="en-GB"/>
              </w:rPr>
              <w:t>×</w:t>
            </w:r>
            <w:r w:rsidRPr="00880E5E">
              <w:rPr>
                <w:b/>
                <w:snapToGrid w:val="0"/>
                <w:lang w:val="en-GB" w:eastAsia="en-US"/>
              </w:rPr>
              <w:t xml:space="preserve"> V + B </w:t>
            </w:r>
            <w:r w:rsidRPr="00880E5E">
              <w:rPr>
                <w:b/>
                <w:lang w:val="en-GB"/>
              </w:rPr>
              <w:t>×</w:t>
            </w:r>
            <w:r w:rsidRPr="00880E5E">
              <w:rPr>
                <w:b/>
                <w:snapToGrid w:val="0"/>
                <w:lang w:val="en-GB" w:eastAsia="en-US"/>
              </w:rPr>
              <w:t xml:space="preserve"> t</w:t>
            </w:r>
            <w:r w:rsidRPr="00880E5E">
              <w:rPr>
                <w:b/>
                <w:snapToGrid w:val="0"/>
                <w:vertAlign w:val="subscript"/>
                <w:lang w:val="en-GB" w:eastAsia="en-US"/>
              </w:rPr>
              <w:t>a</w:t>
            </w:r>
            <w:r w:rsidRPr="00880E5E">
              <w:rPr>
                <w:b/>
                <w:snapToGrid w:val="0"/>
                <w:lang w:val="en-GB" w:eastAsia="en-US"/>
              </w:rPr>
              <w:t xml:space="preserve"> + C</w:t>
            </w:r>
          </w:p>
        </w:tc>
      </w:tr>
      <w:tr w:rsidR="00F437A9" w:rsidRPr="000855B2" w14:paraId="09D98285" w14:textId="77777777" w:rsidTr="00246BA6">
        <w:trPr>
          <w:trHeight w:hRule="exact" w:val="280"/>
        </w:trPr>
        <w:tc>
          <w:tcPr>
            <w:tcW w:w="1602" w:type="dxa"/>
            <w:vMerge/>
            <w:tcBorders>
              <w:bottom w:val="single" w:sz="12" w:space="0" w:color="auto"/>
            </w:tcBorders>
            <w:vAlign w:val="center"/>
          </w:tcPr>
          <w:p w14:paraId="28C67CAF" w14:textId="77777777" w:rsidR="00F437A9" w:rsidRPr="00880E5E" w:rsidRDefault="00F437A9" w:rsidP="005C7955">
            <w:pPr>
              <w:keepNext/>
              <w:keepLines/>
              <w:suppressAutoHyphens/>
              <w:spacing w:line="240" w:lineRule="atLeast"/>
              <w:jc w:val="center"/>
              <w:rPr>
                <w:b/>
                <w:lang w:val="en-GB"/>
              </w:rPr>
            </w:pPr>
          </w:p>
        </w:tc>
        <w:tc>
          <w:tcPr>
            <w:tcW w:w="1447" w:type="dxa"/>
            <w:vMerge/>
            <w:tcBorders>
              <w:bottom w:val="single" w:sz="12" w:space="0" w:color="auto"/>
            </w:tcBorders>
            <w:vAlign w:val="center"/>
          </w:tcPr>
          <w:p w14:paraId="61AA14B2" w14:textId="77777777" w:rsidR="00F437A9" w:rsidRPr="00880E5E" w:rsidRDefault="00F437A9" w:rsidP="005C7955">
            <w:pPr>
              <w:keepNext/>
              <w:keepLines/>
              <w:suppressAutoHyphens/>
              <w:spacing w:line="240" w:lineRule="atLeast"/>
              <w:jc w:val="center"/>
              <w:rPr>
                <w:b/>
                <w:lang w:val="en-GB"/>
              </w:rPr>
            </w:pPr>
          </w:p>
        </w:tc>
        <w:tc>
          <w:tcPr>
            <w:tcW w:w="1454" w:type="dxa"/>
            <w:vMerge/>
            <w:tcBorders>
              <w:bottom w:val="single" w:sz="12" w:space="0" w:color="auto"/>
            </w:tcBorders>
            <w:vAlign w:val="center"/>
          </w:tcPr>
          <w:p w14:paraId="54E8E9AC" w14:textId="77777777" w:rsidR="00F437A9" w:rsidRPr="00880E5E" w:rsidRDefault="00F437A9" w:rsidP="005C7955">
            <w:pPr>
              <w:keepNext/>
              <w:keepLines/>
              <w:suppressAutoHyphens/>
              <w:spacing w:line="240" w:lineRule="atLeast"/>
              <w:jc w:val="center"/>
              <w:rPr>
                <w:b/>
                <w:lang w:val="en-GB"/>
              </w:rPr>
            </w:pPr>
          </w:p>
        </w:tc>
        <w:tc>
          <w:tcPr>
            <w:tcW w:w="969" w:type="dxa"/>
            <w:tcBorders>
              <w:top w:val="single" w:sz="4" w:space="0" w:color="auto"/>
              <w:bottom w:val="single" w:sz="12" w:space="0" w:color="auto"/>
            </w:tcBorders>
            <w:vAlign w:val="center"/>
          </w:tcPr>
          <w:p w14:paraId="065952BD"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A</w:t>
            </w:r>
          </w:p>
        </w:tc>
        <w:tc>
          <w:tcPr>
            <w:tcW w:w="970" w:type="dxa"/>
            <w:tcBorders>
              <w:top w:val="single" w:sz="4" w:space="0" w:color="auto"/>
              <w:bottom w:val="single" w:sz="12" w:space="0" w:color="auto"/>
            </w:tcBorders>
            <w:vAlign w:val="center"/>
          </w:tcPr>
          <w:p w14:paraId="2BC7DBAD"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B</w:t>
            </w:r>
          </w:p>
        </w:tc>
        <w:tc>
          <w:tcPr>
            <w:tcW w:w="970" w:type="dxa"/>
            <w:tcBorders>
              <w:top w:val="single" w:sz="4" w:space="0" w:color="auto"/>
              <w:bottom w:val="single" w:sz="12" w:space="0" w:color="auto"/>
            </w:tcBorders>
            <w:vAlign w:val="center"/>
          </w:tcPr>
          <w:p w14:paraId="2D434C79" w14:textId="77777777" w:rsidR="00F437A9" w:rsidRPr="00880E5E" w:rsidRDefault="00F437A9" w:rsidP="005C7955">
            <w:pPr>
              <w:keepNext/>
              <w:keepLines/>
              <w:suppressAutoHyphens/>
              <w:spacing w:line="240" w:lineRule="atLeast"/>
              <w:jc w:val="center"/>
              <w:rPr>
                <w:b/>
                <w:lang w:val="en-GB"/>
              </w:rPr>
            </w:pPr>
            <w:r w:rsidRPr="00880E5E">
              <w:rPr>
                <w:b/>
                <w:snapToGrid w:val="0"/>
                <w:lang w:val="en-GB" w:eastAsia="en-US"/>
              </w:rPr>
              <w:t>C</w:t>
            </w:r>
          </w:p>
        </w:tc>
      </w:tr>
      <w:tr w:rsidR="00F437A9" w:rsidRPr="000855B2" w14:paraId="21DE965A" w14:textId="77777777" w:rsidTr="00246BA6">
        <w:trPr>
          <w:trHeight w:hRule="exact" w:val="280"/>
        </w:trPr>
        <w:tc>
          <w:tcPr>
            <w:tcW w:w="1602" w:type="dxa"/>
            <w:vMerge w:val="restart"/>
            <w:tcBorders>
              <w:top w:val="single" w:sz="12" w:space="0" w:color="auto"/>
            </w:tcBorders>
            <w:vAlign w:val="center"/>
          </w:tcPr>
          <w:p w14:paraId="7870E382" w14:textId="77777777" w:rsidR="00F437A9" w:rsidRPr="000855B2" w:rsidRDefault="005A5C37" w:rsidP="005C7955">
            <w:pPr>
              <w:keepNext/>
              <w:keepLines/>
              <w:suppressAutoHyphens/>
              <w:spacing w:line="240" w:lineRule="atLeast"/>
              <w:rPr>
                <w:lang w:val="en-GB"/>
              </w:rPr>
            </w:pPr>
            <w:r w:rsidRPr="000855B2">
              <w:rPr>
                <w:lang w:val="en-GB"/>
              </w:rPr>
              <w:t>VOC</w:t>
            </w:r>
          </w:p>
        </w:tc>
        <w:tc>
          <w:tcPr>
            <w:tcW w:w="1447" w:type="dxa"/>
            <w:tcBorders>
              <w:top w:val="single" w:sz="12" w:space="0" w:color="auto"/>
            </w:tcBorders>
            <w:vAlign w:val="center"/>
          </w:tcPr>
          <w:p w14:paraId="1DD4DF1A" w14:textId="77777777" w:rsidR="00F437A9" w:rsidRPr="000855B2" w:rsidRDefault="00F437A9" w:rsidP="005C7955">
            <w:pPr>
              <w:keepNext/>
              <w:keepLines/>
              <w:suppressAutoHyphens/>
              <w:spacing w:line="240" w:lineRule="atLeast"/>
              <w:jc w:val="center"/>
              <w:rPr>
                <w:lang w:val="en-GB"/>
              </w:rPr>
            </w:pPr>
            <w:r w:rsidRPr="000855B2">
              <w:rPr>
                <w:lang w:val="en-GB"/>
              </w:rPr>
              <w:t>5– 25</w:t>
            </w:r>
          </w:p>
        </w:tc>
        <w:tc>
          <w:tcPr>
            <w:tcW w:w="1454" w:type="dxa"/>
            <w:tcBorders>
              <w:top w:val="single" w:sz="12" w:space="0" w:color="auto"/>
            </w:tcBorders>
            <w:vAlign w:val="center"/>
          </w:tcPr>
          <w:p w14:paraId="0A7F9914" w14:textId="77777777" w:rsidR="00F437A9" w:rsidRPr="000855B2" w:rsidRDefault="00F437A9" w:rsidP="005C7955">
            <w:pPr>
              <w:keepNext/>
              <w:keepLines/>
              <w:suppressAutoHyphens/>
              <w:spacing w:line="240" w:lineRule="atLeast"/>
              <w:jc w:val="center"/>
              <w:rPr>
                <w:lang w:val="en-GB"/>
              </w:rPr>
            </w:pPr>
            <w:r w:rsidRPr="000855B2">
              <w:rPr>
                <w:lang w:val="en-GB"/>
              </w:rPr>
              <w:t>-20 : 15</w:t>
            </w:r>
          </w:p>
        </w:tc>
        <w:tc>
          <w:tcPr>
            <w:tcW w:w="969" w:type="dxa"/>
            <w:tcBorders>
              <w:top w:val="single" w:sz="12" w:space="0" w:color="auto"/>
            </w:tcBorders>
            <w:vAlign w:val="center"/>
          </w:tcPr>
          <w:p w14:paraId="5C204352" w14:textId="77777777" w:rsidR="00F437A9" w:rsidRPr="000855B2" w:rsidRDefault="00F437A9" w:rsidP="005C7955">
            <w:pPr>
              <w:keepNext/>
              <w:keepLines/>
              <w:suppressAutoHyphens/>
              <w:spacing w:line="240" w:lineRule="atLeast"/>
              <w:jc w:val="center"/>
              <w:rPr>
                <w:lang w:val="en-GB"/>
              </w:rPr>
            </w:pPr>
            <w:r w:rsidRPr="000855B2">
              <w:rPr>
                <w:lang w:val="en-GB"/>
              </w:rPr>
              <w:t>0.118568</w:t>
            </w:r>
          </w:p>
        </w:tc>
        <w:tc>
          <w:tcPr>
            <w:tcW w:w="970" w:type="dxa"/>
            <w:tcBorders>
              <w:top w:val="single" w:sz="12" w:space="0" w:color="auto"/>
            </w:tcBorders>
            <w:vAlign w:val="center"/>
          </w:tcPr>
          <w:p w14:paraId="5CC37D53" w14:textId="77777777" w:rsidR="00F437A9" w:rsidRPr="000855B2" w:rsidRDefault="00F437A9" w:rsidP="005C7955">
            <w:pPr>
              <w:keepNext/>
              <w:keepLines/>
              <w:suppressAutoHyphens/>
              <w:spacing w:line="240" w:lineRule="atLeast"/>
              <w:jc w:val="center"/>
              <w:rPr>
                <w:lang w:val="en-GB"/>
              </w:rPr>
            </w:pPr>
            <w:r w:rsidRPr="000855B2">
              <w:rPr>
                <w:lang w:val="en-GB"/>
              </w:rPr>
              <w:t>-0.15633</w:t>
            </w:r>
          </w:p>
        </w:tc>
        <w:tc>
          <w:tcPr>
            <w:tcW w:w="970" w:type="dxa"/>
            <w:tcBorders>
              <w:top w:val="single" w:sz="12" w:space="0" w:color="auto"/>
            </w:tcBorders>
            <w:vAlign w:val="center"/>
          </w:tcPr>
          <w:p w14:paraId="52ABBF81" w14:textId="77777777" w:rsidR="00F437A9" w:rsidRPr="000855B2" w:rsidRDefault="00F437A9" w:rsidP="005C7955">
            <w:pPr>
              <w:keepNext/>
              <w:keepLines/>
              <w:suppressAutoHyphens/>
              <w:spacing w:line="240" w:lineRule="atLeast"/>
              <w:jc w:val="center"/>
              <w:rPr>
                <w:lang w:val="en-GB"/>
              </w:rPr>
            </w:pPr>
            <w:r w:rsidRPr="000855B2">
              <w:rPr>
                <w:lang w:val="en-GB"/>
              </w:rPr>
              <w:t>5.538047</w:t>
            </w:r>
          </w:p>
        </w:tc>
      </w:tr>
      <w:tr w:rsidR="00F437A9" w:rsidRPr="000855B2" w14:paraId="329565C6" w14:textId="77777777" w:rsidTr="00880E5E">
        <w:trPr>
          <w:trHeight w:hRule="exact" w:val="280"/>
        </w:trPr>
        <w:tc>
          <w:tcPr>
            <w:tcW w:w="1602" w:type="dxa"/>
            <w:vMerge/>
            <w:vAlign w:val="center"/>
          </w:tcPr>
          <w:p w14:paraId="733AB00B" w14:textId="77777777" w:rsidR="00F437A9" w:rsidRPr="000855B2" w:rsidRDefault="00F437A9" w:rsidP="005C7955">
            <w:pPr>
              <w:keepNext/>
              <w:keepLines/>
              <w:suppressAutoHyphens/>
              <w:spacing w:line="240" w:lineRule="atLeast"/>
              <w:rPr>
                <w:lang w:val="en-GB"/>
              </w:rPr>
            </w:pPr>
          </w:p>
        </w:tc>
        <w:tc>
          <w:tcPr>
            <w:tcW w:w="1447" w:type="dxa"/>
            <w:vAlign w:val="center"/>
          </w:tcPr>
          <w:p w14:paraId="2D807C6D" w14:textId="77777777" w:rsidR="00F437A9" w:rsidRPr="000855B2" w:rsidRDefault="00F437A9" w:rsidP="005C7955">
            <w:pPr>
              <w:keepNext/>
              <w:keepLines/>
              <w:suppressAutoHyphens/>
              <w:spacing w:line="240" w:lineRule="atLeast"/>
              <w:jc w:val="center"/>
              <w:rPr>
                <w:lang w:val="en-GB"/>
              </w:rPr>
            </w:pPr>
            <w:r w:rsidRPr="000855B2">
              <w:rPr>
                <w:lang w:val="en-GB"/>
              </w:rPr>
              <w:t>26–45</w:t>
            </w:r>
          </w:p>
        </w:tc>
        <w:tc>
          <w:tcPr>
            <w:tcW w:w="1454" w:type="dxa"/>
            <w:vAlign w:val="center"/>
          </w:tcPr>
          <w:p w14:paraId="353220C3" w14:textId="77777777" w:rsidR="00F437A9" w:rsidRPr="000855B2" w:rsidRDefault="00F437A9" w:rsidP="005C7955">
            <w:pPr>
              <w:keepNext/>
              <w:keepLines/>
              <w:suppressAutoHyphens/>
              <w:spacing w:line="240" w:lineRule="atLeast"/>
              <w:jc w:val="center"/>
              <w:rPr>
                <w:lang w:val="en-GB"/>
              </w:rPr>
            </w:pPr>
            <w:r w:rsidRPr="000855B2">
              <w:rPr>
                <w:lang w:val="en-GB"/>
              </w:rPr>
              <w:t>-20 : 15</w:t>
            </w:r>
          </w:p>
        </w:tc>
        <w:tc>
          <w:tcPr>
            <w:tcW w:w="969" w:type="dxa"/>
            <w:vAlign w:val="center"/>
          </w:tcPr>
          <w:p w14:paraId="5F1FB766" w14:textId="77777777" w:rsidR="00F437A9" w:rsidRPr="000855B2" w:rsidRDefault="00F437A9" w:rsidP="005C7955">
            <w:pPr>
              <w:keepNext/>
              <w:keepLines/>
              <w:suppressAutoHyphens/>
              <w:spacing w:line="240" w:lineRule="atLeast"/>
              <w:jc w:val="center"/>
              <w:rPr>
                <w:lang w:val="en-GB"/>
              </w:rPr>
            </w:pPr>
            <w:r w:rsidRPr="000855B2">
              <w:rPr>
                <w:lang w:val="en-GB"/>
              </w:rPr>
              <w:t>0.212969</w:t>
            </w:r>
          </w:p>
        </w:tc>
        <w:tc>
          <w:tcPr>
            <w:tcW w:w="970" w:type="dxa"/>
            <w:vAlign w:val="center"/>
          </w:tcPr>
          <w:p w14:paraId="5ECBA6BC" w14:textId="77777777" w:rsidR="00F437A9" w:rsidRPr="000855B2" w:rsidRDefault="00F437A9" w:rsidP="005C7955">
            <w:pPr>
              <w:keepNext/>
              <w:keepLines/>
              <w:suppressAutoHyphens/>
              <w:spacing w:line="240" w:lineRule="atLeast"/>
              <w:jc w:val="center"/>
              <w:rPr>
                <w:lang w:val="en-GB"/>
              </w:rPr>
            </w:pPr>
            <w:r w:rsidRPr="000855B2">
              <w:rPr>
                <w:lang w:val="en-GB"/>
              </w:rPr>
              <w:t>-0.25526</w:t>
            </w:r>
          </w:p>
        </w:tc>
        <w:tc>
          <w:tcPr>
            <w:tcW w:w="970" w:type="dxa"/>
            <w:vAlign w:val="center"/>
          </w:tcPr>
          <w:p w14:paraId="45C85C9A" w14:textId="77777777" w:rsidR="00F437A9" w:rsidRPr="000855B2" w:rsidRDefault="00F437A9" w:rsidP="005C7955">
            <w:pPr>
              <w:keepNext/>
              <w:keepLines/>
              <w:suppressAutoHyphens/>
              <w:spacing w:line="240" w:lineRule="atLeast"/>
              <w:jc w:val="center"/>
              <w:rPr>
                <w:lang w:val="en-GB"/>
              </w:rPr>
            </w:pPr>
            <w:r w:rsidRPr="000855B2">
              <w:rPr>
                <w:lang w:val="en-GB"/>
              </w:rPr>
              <w:t>3.339635</w:t>
            </w:r>
          </w:p>
        </w:tc>
      </w:tr>
      <w:tr w:rsidR="00F437A9" w:rsidRPr="000855B2" w14:paraId="04780F7C" w14:textId="77777777" w:rsidTr="00880E5E">
        <w:trPr>
          <w:trHeight w:hRule="exact" w:val="280"/>
        </w:trPr>
        <w:tc>
          <w:tcPr>
            <w:tcW w:w="1602" w:type="dxa"/>
            <w:vMerge/>
            <w:vAlign w:val="center"/>
          </w:tcPr>
          <w:p w14:paraId="286E3100" w14:textId="77777777" w:rsidR="00F437A9" w:rsidRPr="000855B2" w:rsidRDefault="00F437A9" w:rsidP="005C7955">
            <w:pPr>
              <w:keepNext/>
              <w:keepLines/>
              <w:suppressAutoHyphens/>
              <w:spacing w:line="240" w:lineRule="atLeast"/>
              <w:rPr>
                <w:lang w:val="en-GB"/>
              </w:rPr>
            </w:pPr>
          </w:p>
        </w:tc>
        <w:tc>
          <w:tcPr>
            <w:tcW w:w="1447" w:type="dxa"/>
            <w:vAlign w:val="center"/>
          </w:tcPr>
          <w:p w14:paraId="265A9F33" w14:textId="77777777" w:rsidR="00F437A9" w:rsidRPr="000855B2" w:rsidRDefault="00F437A9" w:rsidP="005C7955">
            <w:pPr>
              <w:keepNext/>
              <w:keepLines/>
              <w:suppressAutoHyphens/>
              <w:spacing w:line="240" w:lineRule="atLeast"/>
              <w:jc w:val="center"/>
              <w:rPr>
                <w:lang w:val="en-GB"/>
              </w:rPr>
            </w:pPr>
            <w:r w:rsidRPr="000855B2">
              <w:rPr>
                <w:lang w:val="en-GB"/>
              </w:rPr>
              <w:t>5–45</w:t>
            </w:r>
          </w:p>
        </w:tc>
        <w:tc>
          <w:tcPr>
            <w:tcW w:w="1454" w:type="dxa"/>
            <w:vAlign w:val="center"/>
          </w:tcPr>
          <w:p w14:paraId="7D9A24F7" w14:textId="77777777" w:rsidR="00F437A9" w:rsidRPr="000855B2" w:rsidRDefault="00F437A9" w:rsidP="005C7955">
            <w:pPr>
              <w:keepNext/>
              <w:keepLines/>
              <w:suppressAutoHyphens/>
              <w:spacing w:line="240" w:lineRule="atLeast"/>
              <w:jc w:val="center"/>
              <w:rPr>
                <w:lang w:val="en-GB"/>
              </w:rPr>
            </w:pPr>
            <w:r w:rsidRPr="000855B2">
              <w:rPr>
                <w:lang w:val="en-GB"/>
              </w:rPr>
              <w:t>&gt; 15</w:t>
            </w:r>
          </w:p>
        </w:tc>
        <w:tc>
          <w:tcPr>
            <w:tcW w:w="969" w:type="dxa"/>
            <w:vAlign w:val="center"/>
          </w:tcPr>
          <w:p w14:paraId="1D8915D6" w14:textId="77777777" w:rsidR="00F437A9" w:rsidRPr="000855B2" w:rsidRDefault="00F437A9" w:rsidP="005C7955">
            <w:pPr>
              <w:keepNext/>
              <w:keepLines/>
              <w:suppressAutoHyphens/>
              <w:spacing w:line="240" w:lineRule="atLeast"/>
              <w:jc w:val="center"/>
              <w:rPr>
                <w:lang w:val="en-GB"/>
              </w:rPr>
            </w:pPr>
            <w:r w:rsidRPr="000855B2">
              <w:rPr>
                <w:lang w:val="en-GB"/>
              </w:rPr>
              <w:t>0.035948</w:t>
            </w:r>
          </w:p>
        </w:tc>
        <w:tc>
          <w:tcPr>
            <w:tcW w:w="970" w:type="dxa"/>
            <w:vAlign w:val="center"/>
          </w:tcPr>
          <w:p w14:paraId="2F178132" w14:textId="77777777" w:rsidR="00F437A9" w:rsidRPr="000855B2" w:rsidRDefault="00F437A9" w:rsidP="005C7955">
            <w:pPr>
              <w:keepNext/>
              <w:keepLines/>
              <w:suppressAutoHyphens/>
              <w:spacing w:line="240" w:lineRule="atLeast"/>
              <w:jc w:val="center"/>
              <w:rPr>
                <w:lang w:val="en-GB"/>
              </w:rPr>
            </w:pPr>
            <w:r w:rsidRPr="000855B2">
              <w:rPr>
                <w:lang w:val="en-GB"/>
              </w:rPr>
              <w:t>-0.36023</w:t>
            </w:r>
          </w:p>
        </w:tc>
        <w:tc>
          <w:tcPr>
            <w:tcW w:w="970" w:type="dxa"/>
            <w:vAlign w:val="center"/>
          </w:tcPr>
          <w:p w14:paraId="33C41576" w14:textId="77777777" w:rsidR="00F437A9" w:rsidRPr="000855B2" w:rsidRDefault="00F437A9" w:rsidP="005C7955">
            <w:pPr>
              <w:keepNext/>
              <w:keepLines/>
              <w:suppressAutoHyphens/>
              <w:spacing w:line="240" w:lineRule="atLeast"/>
              <w:jc w:val="center"/>
              <w:rPr>
                <w:lang w:val="en-GB"/>
              </w:rPr>
            </w:pPr>
            <w:r w:rsidRPr="000855B2">
              <w:rPr>
                <w:lang w:val="en-GB"/>
              </w:rPr>
              <w:t>10.39479</w:t>
            </w:r>
          </w:p>
        </w:tc>
      </w:tr>
    </w:tbl>
    <w:p w14:paraId="0CF6C3B1" w14:textId="77777777" w:rsidR="001D2587" w:rsidRPr="000855B2" w:rsidRDefault="001D2587" w:rsidP="00B019EC">
      <w:pPr>
        <w:pStyle w:val="Heading4"/>
      </w:pPr>
      <w:bookmarkStart w:id="215" w:name="_Toc457131595"/>
      <w:bookmarkStart w:id="216" w:name="_Toc496264326"/>
      <w:r w:rsidRPr="000855B2">
        <w:t>Two-stroke passenger cars</w:t>
      </w:r>
      <w:bookmarkEnd w:id="215"/>
      <w:bookmarkEnd w:id="216"/>
    </w:p>
    <w:p w14:paraId="71BE2741" w14:textId="34128686" w:rsidR="001D2587" w:rsidRPr="000855B2" w:rsidRDefault="001D2587" w:rsidP="008D2FF3">
      <w:pPr>
        <w:pStyle w:val="BodyText"/>
      </w:pPr>
      <w:r w:rsidRPr="000855B2">
        <w:t xml:space="preserve">Few </w:t>
      </w:r>
      <w:r w:rsidR="00450865" w:rsidRPr="000855B2">
        <w:t xml:space="preserve">emission </w:t>
      </w:r>
      <w:r w:rsidRPr="000855B2">
        <w:t>measure</w:t>
      </w:r>
      <w:r w:rsidR="00450865" w:rsidRPr="000855B2">
        <w:t xml:space="preserve">ments </w:t>
      </w:r>
      <w:r w:rsidRPr="000855B2">
        <w:t>are available</w:t>
      </w:r>
      <w:r w:rsidR="00450865" w:rsidRPr="000855B2">
        <w:t xml:space="preserve"> for two-stroke cars</w:t>
      </w:r>
      <w:r w:rsidRPr="000855B2">
        <w:t xml:space="preserve"> (Appel </w:t>
      </w:r>
      <w:r w:rsidR="00D73F59" w:rsidRPr="000855B2">
        <w:t>et al</w:t>
      </w:r>
      <w:r w:rsidRPr="000855B2">
        <w:rPr>
          <w:i/>
        </w:rPr>
        <w:t>.</w:t>
      </w:r>
      <w:r w:rsidRPr="000855B2">
        <w:t xml:space="preserve">, 1989; Jileh, 1991; Pattas </w:t>
      </w:r>
      <w:r w:rsidR="00711FD8" w:rsidRPr="000855B2">
        <w:t>and Kyriakis</w:t>
      </w:r>
      <w:r w:rsidRPr="000855B2">
        <w:t>, 1983)</w:t>
      </w:r>
      <w:r w:rsidR="00450865" w:rsidRPr="000855B2">
        <w:t>. The available data</w:t>
      </w:r>
      <w:r w:rsidRPr="000855B2">
        <w:t xml:space="preserve"> </w:t>
      </w:r>
      <w:r w:rsidR="00450865" w:rsidRPr="000855B2">
        <w:t>were</w:t>
      </w:r>
      <w:r w:rsidRPr="000855B2">
        <w:t xml:space="preserve"> used to derive emission factors for urban, rural and highway driving for </w:t>
      </w:r>
      <w:r w:rsidR="005E4DC4">
        <w:t>petrol</w:t>
      </w:r>
      <w:r w:rsidRPr="000855B2">
        <w:t xml:space="preserve"> cars in</w:t>
      </w:r>
      <w:r w:rsidR="00450865" w:rsidRPr="000855B2">
        <w:t xml:space="preserve"> earlier</w:t>
      </w:r>
      <w:r w:rsidRPr="000855B2">
        <w:t xml:space="preserve"> </w:t>
      </w:r>
      <w:r w:rsidR="00461783">
        <w:t>COPERT</w:t>
      </w:r>
      <w:r w:rsidRPr="000855B2">
        <w:t xml:space="preserve"> exercises. Total emission factors (hot + cold) are given in </w:t>
      </w:r>
      <w:r w:rsidR="00FB454C">
        <w:fldChar w:fldCharType="begin"/>
      </w:r>
      <w:r w:rsidR="00FB454C">
        <w:instrText xml:space="preserve"> REF _Ref140413510 \h  \* MERGEFORMAT </w:instrText>
      </w:r>
      <w:r w:rsidR="00FB454C">
        <w:fldChar w:fldCharType="separate"/>
      </w:r>
      <w:r w:rsidR="0071604C" w:rsidRPr="000855B2">
        <w:t>Table </w:t>
      </w:r>
      <w:r w:rsidR="0071604C">
        <w:t>3.44</w:t>
      </w:r>
      <w:r w:rsidR="00FB454C">
        <w:fldChar w:fldCharType="end"/>
      </w:r>
      <w:r w:rsidRPr="000855B2">
        <w:t>. The</w:t>
      </w:r>
      <w:r w:rsidR="00450865" w:rsidRPr="000855B2">
        <w:t>se</w:t>
      </w:r>
      <w:r w:rsidRPr="000855B2">
        <w:t xml:space="preserve"> are relevant mainly for some Eastern European countries (and to some extent for Germany). However, it should be noted that due to the limited knowledge of the authors about the actual driving behaviour in Eastern Europe (</w:t>
      </w:r>
      <w:r w:rsidR="00D73F59" w:rsidRPr="000855B2">
        <w:t>e.g</w:t>
      </w:r>
      <w:r w:rsidRPr="000855B2">
        <w:rPr>
          <w:i/>
        </w:rPr>
        <w:t>.</w:t>
      </w:r>
      <w:r w:rsidRPr="000855B2">
        <w:t xml:space="preserve"> average speed</w:t>
      </w:r>
      <w:r w:rsidR="00450865" w:rsidRPr="000855B2">
        <w:t>s</w:t>
      </w:r>
      <w:r w:rsidRPr="000855B2">
        <w:t xml:space="preserve"> on urban and rural roads and on highways)</w:t>
      </w:r>
      <w:r w:rsidR="00450865" w:rsidRPr="000855B2">
        <w:t>,</w:t>
      </w:r>
      <w:r w:rsidRPr="000855B2">
        <w:t xml:space="preserve"> and the limited number of test data, the emission factors are less reliable than, for example, those given for other </w:t>
      </w:r>
      <w:r w:rsidR="005E4DC4">
        <w:t>petrol</w:t>
      </w:r>
      <w:r w:rsidRPr="000855B2">
        <w:t xml:space="preserve"> passenger cars.</w:t>
      </w:r>
    </w:p>
    <w:p w14:paraId="26F4CD2B" w14:textId="4E1B13C0" w:rsidR="001D2587" w:rsidRPr="000855B2" w:rsidRDefault="00A040D1" w:rsidP="00C92B1B">
      <w:pPr>
        <w:pStyle w:val="Caption"/>
      </w:pPr>
      <w:bookmarkStart w:id="217" w:name="_Ref140413510"/>
      <w:bookmarkStart w:id="218" w:name="_Toc410491503"/>
      <w:bookmarkStart w:id="219" w:name="_Toc410491697"/>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44</w:t>
      </w:r>
      <w:r w:rsidR="00FB454C">
        <w:rPr>
          <w:noProof/>
        </w:rPr>
        <w:fldChar w:fldCharType="end"/>
      </w:r>
      <w:bookmarkEnd w:id="217"/>
      <w:r w:rsidR="001D2587" w:rsidRPr="000855B2">
        <w:t xml:space="preserve">: Emission </w:t>
      </w:r>
      <w:r w:rsidR="00C97944" w:rsidRPr="000855B2">
        <w:t>f</w:t>
      </w:r>
      <w:r w:rsidR="001D2587" w:rsidRPr="000855B2">
        <w:t xml:space="preserve">actors for </w:t>
      </w:r>
      <w:r w:rsidR="005E4DC4">
        <w:t>petrol</w:t>
      </w:r>
      <w:r w:rsidR="001D2587" w:rsidRPr="000855B2">
        <w:t xml:space="preserve"> </w:t>
      </w:r>
      <w:r w:rsidR="00C97944" w:rsidRPr="000855B2">
        <w:t>t</w:t>
      </w:r>
      <w:r w:rsidR="001D2587" w:rsidRPr="000855B2">
        <w:t>wo-</w:t>
      </w:r>
      <w:r w:rsidR="00C97944" w:rsidRPr="000855B2">
        <w:t>s</w:t>
      </w:r>
      <w:r w:rsidR="001D2587" w:rsidRPr="000855B2">
        <w:t xml:space="preserve">troke </w:t>
      </w:r>
      <w:r w:rsidR="00C97944" w:rsidRPr="000855B2">
        <w:t>v</w:t>
      </w:r>
      <w:r w:rsidR="001D2587" w:rsidRPr="000855B2">
        <w:t xml:space="preserve">ehicles </w:t>
      </w:r>
      <w:r w:rsidR="00D205E2" w:rsidRPr="000855B2">
        <w:t>&lt; </w:t>
      </w:r>
      <w:r w:rsidR="001D2587" w:rsidRPr="000855B2">
        <w:t>2.5</w:t>
      </w:r>
      <w:r w:rsidR="00C97944" w:rsidRPr="000855B2">
        <w:t> </w:t>
      </w:r>
      <w:r w:rsidR="001D2587" w:rsidRPr="000855B2">
        <w:t>t</w:t>
      </w:r>
      <w:bookmarkEnd w:id="218"/>
      <w:bookmarkEnd w:id="219"/>
    </w:p>
    <w:tbl>
      <w:tblPr>
        <w:tblW w:w="8110" w:type="dxa"/>
        <w:tblLayout w:type="fixed"/>
        <w:tblCellMar>
          <w:left w:w="30" w:type="dxa"/>
          <w:right w:w="30" w:type="dxa"/>
        </w:tblCellMar>
        <w:tblLook w:val="0000" w:firstRow="0" w:lastRow="0" w:firstColumn="0" w:lastColumn="0" w:noHBand="0" w:noVBand="0"/>
      </w:tblPr>
      <w:tblGrid>
        <w:gridCol w:w="1306"/>
        <w:gridCol w:w="1559"/>
        <w:gridCol w:w="1559"/>
        <w:gridCol w:w="1560"/>
        <w:gridCol w:w="2126"/>
      </w:tblGrid>
      <w:tr w:rsidR="001D2587" w:rsidRPr="000855B2" w14:paraId="1F60217A" w14:textId="77777777" w:rsidTr="0052403D">
        <w:trPr>
          <w:cantSplit/>
          <w:trHeight w:val="260"/>
        </w:trPr>
        <w:tc>
          <w:tcPr>
            <w:tcW w:w="1306" w:type="dxa"/>
            <w:tcBorders>
              <w:top w:val="double" w:sz="6" w:space="0" w:color="auto"/>
              <w:left w:val="double" w:sz="6" w:space="0" w:color="000000"/>
            </w:tcBorders>
            <w:shd w:val="clear" w:color="000000" w:fill="FFFFFF"/>
          </w:tcPr>
          <w:p w14:paraId="186FBB79"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Driving</w:t>
            </w:r>
          </w:p>
        </w:tc>
        <w:tc>
          <w:tcPr>
            <w:tcW w:w="1559" w:type="dxa"/>
            <w:tcBorders>
              <w:top w:val="double" w:sz="6" w:space="0" w:color="auto"/>
              <w:left w:val="single" w:sz="6" w:space="0" w:color="000000"/>
              <w:right w:val="single" w:sz="6" w:space="0" w:color="000000"/>
            </w:tcBorders>
            <w:shd w:val="clear" w:color="000000" w:fill="FFFFFF"/>
          </w:tcPr>
          <w:p w14:paraId="1177C410"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CO</w:t>
            </w:r>
          </w:p>
        </w:tc>
        <w:tc>
          <w:tcPr>
            <w:tcW w:w="1559" w:type="dxa"/>
            <w:tcBorders>
              <w:top w:val="double" w:sz="6" w:space="0" w:color="auto"/>
              <w:left w:val="single" w:sz="6" w:space="0" w:color="000000"/>
              <w:right w:val="single" w:sz="6" w:space="0" w:color="000000"/>
            </w:tcBorders>
            <w:shd w:val="clear" w:color="000000" w:fill="FFFFFF"/>
          </w:tcPr>
          <w:p w14:paraId="3AA948A5"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NO</w:t>
            </w:r>
            <w:r w:rsidRPr="000855B2">
              <w:rPr>
                <w:rFonts w:ascii="Open Sans" w:hAnsi="Open Sans" w:cs="Open Sans"/>
                <w:b/>
                <w:sz w:val="18"/>
                <w:vertAlign w:val="subscript"/>
                <w:lang w:val="en-GB"/>
              </w:rPr>
              <w:t>x</w:t>
            </w:r>
          </w:p>
        </w:tc>
        <w:tc>
          <w:tcPr>
            <w:tcW w:w="1560" w:type="dxa"/>
            <w:tcBorders>
              <w:top w:val="double" w:sz="6" w:space="0" w:color="auto"/>
              <w:left w:val="single" w:sz="6" w:space="0" w:color="000000"/>
              <w:right w:val="single" w:sz="6" w:space="0" w:color="000000"/>
            </w:tcBorders>
            <w:shd w:val="clear" w:color="000000" w:fill="FFFFFF"/>
          </w:tcPr>
          <w:p w14:paraId="0B54A994"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VOC</w:t>
            </w:r>
          </w:p>
        </w:tc>
        <w:tc>
          <w:tcPr>
            <w:tcW w:w="2126" w:type="dxa"/>
            <w:tcBorders>
              <w:top w:val="double" w:sz="6" w:space="0" w:color="auto"/>
              <w:right w:val="double" w:sz="6" w:space="0" w:color="000000"/>
            </w:tcBorders>
            <w:shd w:val="clear" w:color="000000" w:fill="FFFFFF"/>
          </w:tcPr>
          <w:p w14:paraId="49FA38C1" w14:textId="1DE42139" w:rsidR="001D2587" w:rsidRPr="000855B2" w:rsidRDefault="002A52ED" w:rsidP="005C7955">
            <w:pPr>
              <w:pStyle w:val="Table"/>
              <w:spacing w:line="240" w:lineRule="atLeast"/>
              <w:jc w:val="center"/>
              <w:rPr>
                <w:rFonts w:ascii="Open Sans" w:hAnsi="Open Sans" w:cs="Open Sans"/>
                <w:b/>
                <w:sz w:val="18"/>
                <w:lang w:val="en-GB"/>
              </w:rPr>
            </w:pPr>
            <w:r>
              <w:rPr>
                <w:rFonts w:ascii="Open Sans" w:hAnsi="Open Sans" w:cs="Open Sans"/>
                <w:b/>
                <w:sz w:val="18"/>
                <w:lang w:val="en-GB"/>
              </w:rPr>
              <w:t>Energy</w:t>
            </w:r>
            <w:r w:rsidR="001D2587" w:rsidRPr="000855B2">
              <w:rPr>
                <w:rFonts w:ascii="Open Sans" w:hAnsi="Open Sans" w:cs="Open Sans"/>
                <w:b/>
                <w:sz w:val="18"/>
                <w:lang w:val="en-GB"/>
              </w:rPr>
              <w:t xml:space="preserve"> </w:t>
            </w:r>
            <w:r w:rsidR="00450865" w:rsidRPr="000855B2">
              <w:rPr>
                <w:rFonts w:ascii="Open Sans" w:hAnsi="Open Sans" w:cs="Open Sans"/>
                <w:b/>
                <w:sz w:val="18"/>
                <w:lang w:val="en-GB"/>
              </w:rPr>
              <w:t>c</w:t>
            </w:r>
            <w:r w:rsidR="001D2587" w:rsidRPr="000855B2">
              <w:rPr>
                <w:rFonts w:ascii="Open Sans" w:hAnsi="Open Sans" w:cs="Open Sans"/>
                <w:b/>
                <w:sz w:val="18"/>
                <w:lang w:val="en-GB"/>
              </w:rPr>
              <w:t>onsumption</w:t>
            </w:r>
          </w:p>
        </w:tc>
      </w:tr>
      <w:tr w:rsidR="001D2587" w:rsidRPr="000855B2" w14:paraId="6D1F7C55" w14:textId="77777777" w:rsidTr="0052403D">
        <w:trPr>
          <w:cantSplit/>
          <w:trHeight w:val="260"/>
        </w:trPr>
        <w:tc>
          <w:tcPr>
            <w:tcW w:w="1306" w:type="dxa"/>
            <w:tcBorders>
              <w:left w:val="double" w:sz="6" w:space="0" w:color="000000"/>
              <w:bottom w:val="single" w:sz="12" w:space="0" w:color="auto"/>
            </w:tcBorders>
            <w:shd w:val="clear" w:color="000000" w:fill="FFFFFF"/>
          </w:tcPr>
          <w:p w14:paraId="45F1053C" w14:textId="77777777" w:rsidR="001D2587" w:rsidRPr="000855B2" w:rsidRDefault="00450865"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m</w:t>
            </w:r>
            <w:r w:rsidR="001D2587" w:rsidRPr="000855B2">
              <w:rPr>
                <w:rFonts w:ascii="Open Sans" w:hAnsi="Open Sans" w:cs="Open Sans"/>
                <w:b/>
                <w:sz w:val="18"/>
                <w:lang w:val="en-GB"/>
              </w:rPr>
              <w:t>ode</w:t>
            </w:r>
          </w:p>
        </w:tc>
        <w:tc>
          <w:tcPr>
            <w:tcW w:w="1559" w:type="dxa"/>
            <w:tcBorders>
              <w:left w:val="single" w:sz="6" w:space="0" w:color="000000"/>
              <w:bottom w:val="single" w:sz="12" w:space="0" w:color="auto"/>
              <w:right w:val="single" w:sz="6" w:space="0" w:color="000000"/>
            </w:tcBorders>
            <w:shd w:val="clear" w:color="000000" w:fill="FFFFFF"/>
          </w:tcPr>
          <w:p w14:paraId="4A62A650"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[g/km]</w:t>
            </w:r>
          </w:p>
        </w:tc>
        <w:tc>
          <w:tcPr>
            <w:tcW w:w="1559" w:type="dxa"/>
            <w:tcBorders>
              <w:left w:val="single" w:sz="6" w:space="0" w:color="000000"/>
              <w:bottom w:val="single" w:sz="12" w:space="0" w:color="auto"/>
              <w:right w:val="single" w:sz="6" w:space="0" w:color="000000"/>
            </w:tcBorders>
            <w:shd w:val="clear" w:color="000000" w:fill="FFFFFF"/>
          </w:tcPr>
          <w:p w14:paraId="45932AE5"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[g/km]</w:t>
            </w:r>
          </w:p>
        </w:tc>
        <w:tc>
          <w:tcPr>
            <w:tcW w:w="1560" w:type="dxa"/>
            <w:tcBorders>
              <w:left w:val="single" w:sz="6" w:space="0" w:color="000000"/>
              <w:bottom w:val="single" w:sz="12" w:space="0" w:color="auto"/>
              <w:right w:val="single" w:sz="6" w:space="0" w:color="000000"/>
            </w:tcBorders>
            <w:shd w:val="clear" w:color="000000" w:fill="FFFFFF"/>
          </w:tcPr>
          <w:p w14:paraId="39E1793F" w14:textId="77777777"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[g/km]</w:t>
            </w:r>
          </w:p>
        </w:tc>
        <w:tc>
          <w:tcPr>
            <w:tcW w:w="2126" w:type="dxa"/>
            <w:tcBorders>
              <w:left w:val="single" w:sz="6" w:space="0" w:color="000000"/>
              <w:bottom w:val="single" w:sz="12" w:space="0" w:color="auto"/>
              <w:right w:val="double" w:sz="6" w:space="0" w:color="000000"/>
            </w:tcBorders>
            <w:shd w:val="clear" w:color="000000" w:fill="FFFFFF"/>
          </w:tcPr>
          <w:p w14:paraId="19F52880" w14:textId="53DB3902" w:rsidR="001D2587" w:rsidRPr="000855B2" w:rsidRDefault="001D2587" w:rsidP="005C7955">
            <w:pPr>
              <w:pStyle w:val="Table"/>
              <w:spacing w:line="240" w:lineRule="atLeast"/>
              <w:jc w:val="center"/>
              <w:rPr>
                <w:rFonts w:ascii="Open Sans" w:hAnsi="Open Sans" w:cs="Open Sans"/>
                <w:b/>
                <w:sz w:val="18"/>
                <w:lang w:val="en-GB"/>
              </w:rPr>
            </w:pPr>
            <w:r w:rsidRPr="000855B2">
              <w:rPr>
                <w:rFonts w:ascii="Open Sans" w:hAnsi="Open Sans" w:cs="Open Sans"/>
                <w:b/>
                <w:sz w:val="18"/>
                <w:lang w:val="en-GB"/>
              </w:rPr>
              <w:t>[</w:t>
            </w:r>
            <w:r w:rsidR="002A52ED">
              <w:rPr>
                <w:rFonts w:ascii="Open Sans" w:hAnsi="Open Sans" w:cs="Open Sans"/>
                <w:b/>
                <w:sz w:val="18"/>
                <w:lang w:val="en-GB"/>
              </w:rPr>
              <w:t>MJ</w:t>
            </w:r>
            <w:r w:rsidRPr="000855B2">
              <w:rPr>
                <w:rFonts w:ascii="Open Sans" w:hAnsi="Open Sans" w:cs="Open Sans"/>
                <w:b/>
                <w:sz w:val="18"/>
                <w:lang w:val="en-GB"/>
              </w:rPr>
              <w:t>/km]</w:t>
            </w:r>
          </w:p>
        </w:tc>
      </w:tr>
      <w:tr w:rsidR="001D2587" w:rsidRPr="000855B2" w14:paraId="75AA8F12" w14:textId="77777777" w:rsidTr="0052403D">
        <w:trPr>
          <w:cantSplit/>
          <w:trHeight w:val="260"/>
        </w:trPr>
        <w:tc>
          <w:tcPr>
            <w:tcW w:w="1306" w:type="dxa"/>
            <w:tcBorders>
              <w:top w:val="single" w:sz="12" w:space="0" w:color="auto"/>
              <w:left w:val="double" w:sz="6" w:space="0" w:color="000000"/>
              <w:bottom w:val="single" w:sz="2" w:space="0" w:color="auto"/>
              <w:right w:val="single" w:sz="2" w:space="0" w:color="auto"/>
            </w:tcBorders>
          </w:tcPr>
          <w:p w14:paraId="6BF1ADCE"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Urban</w:t>
            </w:r>
          </w:p>
        </w:tc>
        <w:tc>
          <w:tcPr>
            <w:tcW w:w="1559" w:type="dxa"/>
            <w:tcBorders>
              <w:top w:val="single" w:sz="12" w:space="0" w:color="auto"/>
              <w:left w:val="single" w:sz="2" w:space="0" w:color="auto"/>
              <w:bottom w:val="single" w:sz="2" w:space="0" w:color="auto"/>
              <w:right w:val="single" w:sz="2" w:space="0" w:color="auto"/>
            </w:tcBorders>
          </w:tcPr>
          <w:p w14:paraId="31A5AB74"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20.7</w:t>
            </w:r>
          </w:p>
        </w:tc>
        <w:tc>
          <w:tcPr>
            <w:tcW w:w="1559" w:type="dxa"/>
            <w:tcBorders>
              <w:top w:val="single" w:sz="12" w:space="0" w:color="auto"/>
              <w:left w:val="single" w:sz="2" w:space="0" w:color="auto"/>
              <w:bottom w:val="single" w:sz="2" w:space="0" w:color="auto"/>
              <w:right w:val="single" w:sz="2" w:space="0" w:color="auto"/>
            </w:tcBorders>
          </w:tcPr>
          <w:p w14:paraId="3BAF3F1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0.30</w:t>
            </w:r>
          </w:p>
        </w:tc>
        <w:tc>
          <w:tcPr>
            <w:tcW w:w="1560" w:type="dxa"/>
            <w:tcBorders>
              <w:top w:val="single" w:sz="12" w:space="0" w:color="auto"/>
              <w:left w:val="single" w:sz="2" w:space="0" w:color="auto"/>
              <w:bottom w:val="single" w:sz="2" w:space="0" w:color="auto"/>
              <w:right w:val="single" w:sz="2" w:space="0" w:color="auto"/>
            </w:tcBorders>
          </w:tcPr>
          <w:p w14:paraId="4D14D0F7"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15.4</w:t>
            </w:r>
          </w:p>
        </w:tc>
        <w:tc>
          <w:tcPr>
            <w:tcW w:w="2126" w:type="dxa"/>
            <w:tcBorders>
              <w:top w:val="single" w:sz="12" w:space="0" w:color="auto"/>
              <w:left w:val="single" w:sz="2" w:space="0" w:color="auto"/>
              <w:bottom w:val="single" w:sz="2" w:space="0" w:color="auto"/>
              <w:right w:val="double" w:sz="6" w:space="0" w:color="000000"/>
            </w:tcBorders>
          </w:tcPr>
          <w:p w14:paraId="32A16B9F" w14:textId="1C26EF80" w:rsidR="001D2587" w:rsidRPr="000855B2" w:rsidRDefault="002A52ED" w:rsidP="005C7955">
            <w:pPr>
              <w:pStyle w:val="Table"/>
              <w:spacing w:line="240" w:lineRule="atLeast"/>
              <w:jc w:val="center"/>
              <w:rPr>
                <w:rFonts w:ascii="Open Sans" w:hAnsi="Open Sans" w:cs="Open Sans"/>
                <w:sz w:val="18"/>
                <w:lang w:val="en-GB"/>
              </w:rPr>
            </w:pPr>
            <w:r>
              <w:rPr>
                <w:rFonts w:ascii="Open Sans" w:hAnsi="Open Sans" w:cs="Open Sans"/>
                <w:sz w:val="18"/>
                <w:lang w:val="en-GB"/>
              </w:rPr>
              <w:t>4.88</w:t>
            </w:r>
          </w:p>
        </w:tc>
      </w:tr>
      <w:tr w:rsidR="001D2587" w:rsidRPr="000855B2" w14:paraId="64077FC0" w14:textId="77777777" w:rsidTr="0052403D">
        <w:trPr>
          <w:cantSplit/>
          <w:trHeight w:val="260"/>
        </w:trPr>
        <w:tc>
          <w:tcPr>
            <w:tcW w:w="1306" w:type="dxa"/>
            <w:tcBorders>
              <w:top w:val="single" w:sz="2" w:space="0" w:color="auto"/>
              <w:left w:val="double" w:sz="6" w:space="0" w:color="000000"/>
              <w:bottom w:val="single" w:sz="2" w:space="0" w:color="auto"/>
              <w:right w:val="single" w:sz="2" w:space="0" w:color="auto"/>
            </w:tcBorders>
          </w:tcPr>
          <w:p w14:paraId="2B3F9D5A"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Rural</w:t>
            </w:r>
          </w:p>
        </w:tc>
        <w:tc>
          <w:tcPr>
            <w:tcW w:w="1559" w:type="dxa"/>
            <w:tcBorders>
              <w:top w:val="single" w:sz="2" w:space="0" w:color="auto"/>
              <w:left w:val="single" w:sz="2" w:space="0" w:color="auto"/>
              <w:bottom w:val="single" w:sz="2" w:space="0" w:color="auto"/>
              <w:right w:val="single" w:sz="2" w:space="0" w:color="auto"/>
            </w:tcBorders>
          </w:tcPr>
          <w:p w14:paraId="42844A4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7.50</w:t>
            </w:r>
          </w:p>
        </w:tc>
        <w:tc>
          <w:tcPr>
            <w:tcW w:w="1559" w:type="dxa"/>
            <w:tcBorders>
              <w:top w:val="single" w:sz="2" w:space="0" w:color="auto"/>
              <w:left w:val="single" w:sz="2" w:space="0" w:color="auto"/>
              <w:bottom w:val="single" w:sz="2" w:space="0" w:color="auto"/>
              <w:right w:val="single" w:sz="2" w:space="0" w:color="auto"/>
            </w:tcBorders>
          </w:tcPr>
          <w:p w14:paraId="6821812B"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1.0</w:t>
            </w:r>
          </w:p>
        </w:tc>
        <w:tc>
          <w:tcPr>
            <w:tcW w:w="1560" w:type="dxa"/>
            <w:tcBorders>
              <w:top w:val="single" w:sz="2" w:space="0" w:color="auto"/>
              <w:left w:val="single" w:sz="2" w:space="0" w:color="auto"/>
              <w:bottom w:val="single" w:sz="2" w:space="0" w:color="auto"/>
              <w:right w:val="single" w:sz="2" w:space="0" w:color="auto"/>
            </w:tcBorders>
          </w:tcPr>
          <w:p w14:paraId="68653B7D"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7.20</w:t>
            </w:r>
          </w:p>
        </w:tc>
        <w:tc>
          <w:tcPr>
            <w:tcW w:w="2126" w:type="dxa"/>
            <w:tcBorders>
              <w:top w:val="single" w:sz="2" w:space="0" w:color="auto"/>
              <w:left w:val="single" w:sz="2" w:space="0" w:color="auto"/>
              <w:bottom w:val="single" w:sz="2" w:space="0" w:color="auto"/>
              <w:right w:val="double" w:sz="6" w:space="0" w:color="000000"/>
            </w:tcBorders>
          </w:tcPr>
          <w:p w14:paraId="0EA827B2" w14:textId="1CBEB8F3" w:rsidR="001D2587" w:rsidRPr="000855B2" w:rsidRDefault="002A52ED" w:rsidP="005C7955">
            <w:pPr>
              <w:pStyle w:val="Table"/>
              <w:spacing w:line="240" w:lineRule="atLeast"/>
              <w:jc w:val="center"/>
              <w:rPr>
                <w:rFonts w:ascii="Open Sans" w:hAnsi="Open Sans" w:cs="Open Sans"/>
                <w:sz w:val="18"/>
                <w:lang w:val="en-GB"/>
              </w:rPr>
            </w:pPr>
            <w:r>
              <w:rPr>
                <w:rFonts w:ascii="Open Sans" w:hAnsi="Open Sans" w:cs="Open Sans"/>
                <w:sz w:val="18"/>
                <w:lang w:val="en-GB"/>
              </w:rPr>
              <w:t>2.89</w:t>
            </w:r>
          </w:p>
        </w:tc>
      </w:tr>
      <w:tr w:rsidR="001D2587" w:rsidRPr="000855B2" w14:paraId="76FEC748" w14:textId="77777777" w:rsidTr="0052403D">
        <w:trPr>
          <w:cantSplit/>
          <w:trHeight w:val="259"/>
        </w:trPr>
        <w:tc>
          <w:tcPr>
            <w:tcW w:w="1306" w:type="dxa"/>
            <w:tcBorders>
              <w:top w:val="single" w:sz="2" w:space="0" w:color="auto"/>
              <w:left w:val="double" w:sz="6" w:space="0" w:color="000000"/>
              <w:bottom w:val="double" w:sz="6" w:space="0" w:color="auto"/>
              <w:right w:val="single" w:sz="2" w:space="0" w:color="auto"/>
            </w:tcBorders>
          </w:tcPr>
          <w:p w14:paraId="0EBCC969" w14:textId="77777777" w:rsidR="001D2587" w:rsidRPr="000855B2" w:rsidRDefault="001D2587" w:rsidP="005C7955">
            <w:pPr>
              <w:pStyle w:val="Table"/>
              <w:spacing w:line="240" w:lineRule="atLeast"/>
              <w:rPr>
                <w:rFonts w:ascii="Open Sans" w:hAnsi="Open Sans" w:cs="Open Sans"/>
                <w:sz w:val="18"/>
                <w:lang w:val="en-GB"/>
              </w:rPr>
            </w:pPr>
            <w:r w:rsidRPr="000855B2">
              <w:rPr>
                <w:rFonts w:ascii="Open Sans" w:hAnsi="Open Sans" w:cs="Open Sans"/>
                <w:sz w:val="18"/>
                <w:lang w:val="en-GB"/>
              </w:rPr>
              <w:t>Highway</w:t>
            </w:r>
          </w:p>
        </w:tc>
        <w:tc>
          <w:tcPr>
            <w:tcW w:w="1559" w:type="dxa"/>
            <w:tcBorders>
              <w:top w:val="single" w:sz="2" w:space="0" w:color="auto"/>
              <w:left w:val="single" w:sz="2" w:space="0" w:color="auto"/>
              <w:bottom w:val="double" w:sz="6" w:space="0" w:color="auto"/>
              <w:right w:val="single" w:sz="2" w:space="0" w:color="auto"/>
            </w:tcBorders>
          </w:tcPr>
          <w:p w14:paraId="7B8780C1"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8.70</w:t>
            </w:r>
          </w:p>
        </w:tc>
        <w:tc>
          <w:tcPr>
            <w:tcW w:w="1559" w:type="dxa"/>
            <w:tcBorders>
              <w:top w:val="single" w:sz="2" w:space="0" w:color="auto"/>
              <w:left w:val="single" w:sz="2" w:space="0" w:color="auto"/>
              <w:bottom w:val="double" w:sz="6" w:space="0" w:color="auto"/>
              <w:right w:val="single" w:sz="2" w:space="0" w:color="auto"/>
            </w:tcBorders>
          </w:tcPr>
          <w:p w14:paraId="1863747C"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0.75</w:t>
            </w:r>
          </w:p>
        </w:tc>
        <w:tc>
          <w:tcPr>
            <w:tcW w:w="1560" w:type="dxa"/>
            <w:tcBorders>
              <w:top w:val="single" w:sz="2" w:space="0" w:color="auto"/>
              <w:left w:val="single" w:sz="2" w:space="0" w:color="auto"/>
              <w:bottom w:val="double" w:sz="6" w:space="0" w:color="auto"/>
              <w:right w:val="single" w:sz="2" w:space="0" w:color="auto"/>
            </w:tcBorders>
          </w:tcPr>
          <w:p w14:paraId="3A788300" w14:textId="77777777" w:rsidR="001D2587" w:rsidRPr="000855B2" w:rsidRDefault="001D2587" w:rsidP="005C7955">
            <w:pPr>
              <w:pStyle w:val="Table"/>
              <w:spacing w:line="240" w:lineRule="atLeast"/>
              <w:jc w:val="center"/>
              <w:rPr>
                <w:rFonts w:ascii="Open Sans" w:hAnsi="Open Sans" w:cs="Open Sans"/>
                <w:sz w:val="18"/>
                <w:lang w:val="en-GB"/>
              </w:rPr>
            </w:pPr>
            <w:r w:rsidRPr="000855B2">
              <w:rPr>
                <w:rFonts w:ascii="Open Sans" w:hAnsi="Open Sans" w:cs="Open Sans"/>
                <w:sz w:val="18"/>
                <w:lang w:val="en-GB"/>
              </w:rPr>
              <w:t>5.90</w:t>
            </w:r>
          </w:p>
        </w:tc>
        <w:tc>
          <w:tcPr>
            <w:tcW w:w="2126" w:type="dxa"/>
            <w:tcBorders>
              <w:top w:val="single" w:sz="2" w:space="0" w:color="auto"/>
              <w:left w:val="single" w:sz="2" w:space="0" w:color="auto"/>
              <w:bottom w:val="double" w:sz="6" w:space="0" w:color="auto"/>
              <w:right w:val="double" w:sz="6" w:space="0" w:color="000000"/>
            </w:tcBorders>
          </w:tcPr>
          <w:p w14:paraId="3C467B8E" w14:textId="5BCA05A3" w:rsidR="001D2587" w:rsidRPr="000855B2" w:rsidRDefault="002A52ED" w:rsidP="005C7955">
            <w:pPr>
              <w:pStyle w:val="Table"/>
              <w:spacing w:line="240" w:lineRule="atLeast"/>
              <w:jc w:val="center"/>
              <w:rPr>
                <w:rFonts w:ascii="Open Sans" w:hAnsi="Open Sans" w:cs="Open Sans"/>
                <w:sz w:val="18"/>
                <w:lang w:val="en-GB"/>
              </w:rPr>
            </w:pPr>
            <w:r>
              <w:rPr>
                <w:rFonts w:ascii="Open Sans" w:hAnsi="Open Sans" w:cs="Open Sans"/>
                <w:sz w:val="18"/>
                <w:lang w:val="en-GB"/>
              </w:rPr>
              <w:t>2.49</w:t>
            </w:r>
          </w:p>
        </w:tc>
      </w:tr>
    </w:tbl>
    <w:p w14:paraId="2730070D" w14:textId="77777777" w:rsidR="001D2587" w:rsidRPr="0052403D" w:rsidRDefault="001D2587" w:rsidP="00B019EC">
      <w:pPr>
        <w:pStyle w:val="Heading4"/>
        <w:rPr>
          <w:lang w:val="el-GR"/>
        </w:rPr>
      </w:pPr>
      <w:r w:rsidRPr="000855B2">
        <w:t>Hybrid passenger cars</w:t>
      </w:r>
    </w:p>
    <w:p w14:paraId="788B34CB" w14:textId="2E9CE289" w:rsidR="001D2587" w:rsidRPr="000855B2" w:rsidRDefault="001A698F" w:rsidP="008D2FF3">
      <w:pPr>
        <w:pStyle w:val="BodyText"/>
      </w:pPr>
      <w:r w:rsidRPr="0052403D">
        <w:t xml:space="preserve">A limited database of emission </w:t>
      </w:r>
      <w:r w:rsidR="001D2587" w:rsidRPr="0052403D">
        <w:t>measur</w:t>
      </w:r>
      <w:r w:rsidRPr="0052403D">
        <w:t>ements</w:t>
      </w:r>
      <w:r w:rsidR="001D2587" w:rsidRPr="0052403D">
        <w:t xml:space="preserve"> </w:t>
      </w:r>
      <w:r w:rsidRPr="0052403D">
        <w:t>was</w:t>
      </w:r>
      <w:r w:rsidR="001D2587" w:rsidRPr="0052403D">
        <w:t xml:space="preserve"> used to derive emission factors </w:t>
      </w:r>
      <w:r w:rsidRPr="0052403D">
        <w:t xml:space="preserve">for </w:t>
      </w:r>
      <w:r w:rsidR="001D2587" w:rsidRPr="0052403D">
        <w:t xml:space="preserve">hybrid </w:t>
      </w:r>
      <w:r w:rsidR="005E4DC4" w:rsidRPr="0052403D">
        <w:t>petrol</w:t>
      </w:r>
      <w:r w:rsidR="001D2587" w:rsidRPr="0052403D">
        <w:t xml:space="preserve"> cars in the </w:t>
      </w:r>
      <w:r w:rsidR="00CC5B0C" w:rsidRPr="0052403D">
        <w:t>Artemis</w:t>
      </w:r>
      <w:r w:rsidR="001D2587" w:rsidRPr="0052403D">
        <w:t xml:space="preserve"> </w:t>
      </w:r>
      <w:r w:rsidRPr="0052403D">
        <w:t>project</w:t>
      </w:r>
      <w:r w:rsidR="001D2587" w:rsidRPr="0052403D">
        <w:t xml:space="preserve">. Only Euro 4 </w:t>
      </w:r>
      <w:r w:rsidR="002B1FFD" w:rsidRPr="0052403D">
        <w:t>‘</w:t>
      </w:r>
      <w:r w:rsidR="003E7A8C" w:rsidRPr="0052403D">
        <w:t>full</w:t>
      </w:r>
      <w:r w:rsidR="002B1FFD" w:rsidRPr="0052403D">
        <w:t>’</w:t>
      </w:r>
      <w:r w:rsidR="003E7A8C" w:rsidRPr="0052403D">
        <w:t xml:space="preserve"> hybrids of</w:t>
      </w:r>
      <w:r w:rsidR="001D2587" w:rsidRPr="0052403D">
        <w:t xml:space="preserve"> less than </w:t>
      </w:r>
      <w:r w:rsidR="00D205E2" w:rsidRPr="0052403D">
        <w:t>&lt; </w:t>
      </w:r>
      <w:r w:rsidR="001D2587" w:rsidRPr="0052403D">
        <w:t>1.6</w:t>
      </w:r>
      <w:r w:rsidR="002B1FFD" w:rsidRPr="0052403D">
        <w:t> </w:t>
      </w:r>
      <w:r w:rsidRPr="0052403D">
        <w:t xml:space="preserve">l </w:t>
      </w:r>
      <w:r w:rsidR="001D2587" w:rsidRPr="0052403D">
        <w:t xml:space="preserve">engine capacity were </w:t>
      </w:r>
      <w:r w:rsidRPr="0052403D">
        <w:t>included</w:t>
      </w:r>
      <w:r w:rsidR="001D2587" w:rsidRPr="0052403D">
        <w:t xml:space="preserve">. </w:t>
      </w:r>
      <w:r w:rsidR="003E7A8C" w:rsidRPr="0052403D">
        <w:t xml:space="preserve">The term </w:t>
      </w:r>
      <w:r w:rsidR="002B1FFD" w:rsidRPr="0052403D">
        <w:t>‘</w:t>
      </w:r>
      <w:r w:rsidR="003E7A8C" w:rsidRPr="0052403D">
        <w:t>full</w:t>
      </w:r>
      <w:r w:rsidR="002B1FFD" w:rsidRPr="0052403D">
        <w:t>’</w:t>
      </w:r>
      <w:r w:rsidR="003E7A8C" w:rsidRPr="0052403D">
        <w:t xml:space="preserve"> refers to hybrids that can start only powered by their electric motor. </w:t>
      </w:r>
      <w:r w:rsidR="001D2587" w:rsidRPr="0052403D">
        <w:t xml:space="preserve">The methodology is similar to </w:t>
      </w:r>
      <w:r w:rsidRPr="0052403D">
        <w:t xml:space="preserve">that for </w:t>
      </w:r>
      <w:r w:rsidR="005E4DC4" w:rsidRPr="0052403D">
        <w:t>petrol</w:t>
      </w:r>
      <w:r w:rsidR="001D2587" w:rsidRPr="0052403D">
        <w:t xml:space="preserve"> cars</w:t>
      </w:r>
      <w:r w:rsidRPr="0052403D">
        <w:t>,</w:t>
      </w:r>
      <w:r w:rsidR="009828F3" w:rsidRPr="0052403D">
        <w:t xml:space="preserve"> and </w:t>
      </w:r>
      <w:r w:rsidR="001D2587" w:rsidRPr="0052403D">
        <w:t>equation</w:t>
      </w:r>
      <w:r w:rsidR="00CE4E00" w:rsidRPr="0052403D">
        <w:t xml:space="preserve"> </w:t>
      </w:r>
      <w:r w:rsidR="00E17971" w:rsidRPr="0052403D">
        <w:fldChar w:fldCharType="begin"/>
      </w:r>
      <w:r w:rsidR="00CE4E00" w:rsidRPr="0052403D">
        <w:instrText xml:space="preserve"> REF _Ref476581033 \h </w:instrText>
      </w:r>
      <w:r w:rsidR="0052403D">
        <w:instrText xml:space="preserve"> \* MERGEFORMAT </w:instrText>
      </w:r>
      <w:r w:rsidR="00E17971" w:rsidRPr="0052403D">
        <w:fldChar w:fldCharType="separate"/>
      </w:r>
      <w:r w:rsidR="0071604C" w:rsidRPr="005B17F2">
        <w:t>(</w:t>
      </w:r>
      <w:r w:rsidR="0071604C">
        <w:rPr>
          <w:noProof/>
        </w:rPr>
        <w:t>25</w:t>
      </w:r>
      <w:r w:rsidR="0071604C" w:rsidRPr="005B17F2">
        <w:t>)</w:t>
      </w:r>
      <w:r w:rsidR="00E17971" w:rsidRPr="0052403D">
        <w:fldChar w:fldCharType="end"/>
      </w:r>
      <w:r w:rsidR="00CE4E00" w:rsidRPr="0052403D">
        <w:t xml:space="preserve"> is</w:t>
      </w:r>
      <w:r w:rsidR="00846098" w:rsidRPr="0052403D">
        <w:t xml:space="preserve"> used to calculate </w:t>
      </w:r>
      <w:r w:rsidR="001D2587" w:rsidRPr="0052403D">
        <w:t xml:space="preserve">emission </w:t>
      </w:r>
      <w:r w:rsidR="00846098" w:rsidRPr="0052403D">
        <w:t xml:space="preserve">and consumption </w:t>
      </w:r>
      <w:r w:rsidR="001D2587" w:rsidRPr="0052403D">
        <w:t>factors</w:t>
      </w:r>
      <w:r w:rsidR="00846098" w:rsidRPr="0052403D">
        <w:t>, expressed in</w:t>
      </w:r>
      <w:r w:rsidR="00363D3C" w:rsidRPr="0052403D">
        <w:t> g/km</w:t>
      </w:r>
      <w:r w:rsidR="002A52ED" w:rsidRPr="0052403D">
        <w:t xml:space="preserve"> and MJ/km</w:t>
      </w:r>
      <w:r w:rsidR="00846098" w:rsidRPr="0052403D">
        <w:t xml:space="preserve">. Parameter values for </w:t>
      </w:r>
      <w:r w:rsidR="003C2DC5" w:rsidRPr="0052403D">
        <w:t>equation</w:t>
      </w:r>
      <w:r w:rsidR="00CE4E00" w:rsidRPr="0052403D">
        <w:t xml:space="preserve"> </w:t>
      </w:r>
      <w:r w:rsidR="00E17971" w:rsidRPr="0052403D">
        <w:fldChar w:fldCharType="begin"/>
      </w:r>
      <w:r w:rsidR="00CE4E00" w:rsidRPr="0052403D">
        <w:instrText xml:space="preserve"> REF _Ref476581033 \h </w:instrText>
      </w:r>
      <w:r w:rsidR="0052403D">
        <w:instrText xml:space="preserve"> \* MERGEFORMAT </w:instrText>
      </w:r>
      <w:r w:rsidR="00E17971" w:rsidRPr="0052403D">
        <w:fldChar w:fldCharType="separate"/>
      </w:r>
      <w:r w:rsidR="0071604C" w:rsidRPr="005B17F2">
        <w:t>(</w:t>
      </w:r>
      <w:r w:rsidR="0071604C">
        <w:rPr>
          <w:noProof/>
        </w:rPr>
        <w:t>25</w:t>
      </w:r>
      <w:r w:rsidR="0071604C" w:rsidRPr="005B17F2">
        <w:t>)</w:t>
      </w:r>
      <w:r w:rsidR="00E17971" w:rsidRPr="0052403D">
        <w:fldChar w:fldCharType="end"/>
      </w:r>
      <w:r w:rsidR="00CE4E00" w:rsidRPr="0052403D">
        <w:t xml:space="preserve"> </w:t>
      </w:r>
      <w:r w:rsidR="00846098" w:rsidRPr="0052403D">
        <w:t xml:space="preserve">are given </w:t>
      </w:r>
      <w:r w:rsidR="00CE4E00" w:rsidRPr="0052403D">
        <w:t xml:space="preserve">in </w:t>
      </w:r>
      <w:r w:rsidR="00010CA5">
        <w:t>Appendix 3</w:t>
      </w:r>
      <w:r w:rsidR="00846098" w:rsidRPr="0052403D">
        <w:t>.</w:t>
      </w:r>
    </w:p>
    <w:p w14:paraId="0F753CFF" w14:textId="77777777" w:rsidR="0002433B" w:rsidRPr="000855B2" w:rsidRDefault="0002433B" w:rsidP="0002433B">
      <w:pPr>
        <w:pStyle w:val="Heading4"/>
      </w:pPr>
      <w:bookmarkStart w:id="220" w:name="_Toc457131596"/>
      <w:bookmarkStart w:id="221" w:name="_Toc496264327"/>
      <w:r w:rsidRPr="000855B2">
        <w:t>Rechargeable vehicles</w:t>
      </w:r>
    </w:p>
    <w:p w14:paraId="1FB1AFD2" w14:textId="77777777" w:rsidR="00E64FDA" w:rsidRPr="000855B2" w:rsidRDefault="0002433B" w:rsidP="000A249B">
      <w:pPr>
        <w:pStyle w:val="BodyText"/>
      </w:pPr>
      <w:r w:rsidRPr="000855B2">
        <w:t xml:space="preserve">Emission and consumption factors for rechargeable vehicles have not been derived yet. For pure electric vehicles exhaust emissions will be zero therefore these do not contribute to the road transport air pollutants inventory. However, plug-in hybrids and electric with range extender </w:t>
      </w:r>
      <w:r w:rsidR="00E64FDA" w:rsidRPr="000855B2">
        <w:t xml:space="preserve">ones </w:t>
      </w:r>
      <w:r w:rsidRPr="000855B2">
        <w:t xml:space="preserve">will have a very low but non-zero emission rate. As the volume of these vehicles is </w:t>
      </w:r>
      <w:r w:rsidR="00E64FDA" w:rsidRPr="000855B2">
        <w:t xml:space="preserve">currently </w:t>
      </w:r>
      <w:r w:rsidRPr="000855B2">
        <w:t>very low, their emissions can for the time being be neglected. However, emission factors will have to be developed in the future as their market numbers increase.</w:t>
      </w:r>
    </w:p>
    <w:p w14:paraId="7EB2D311" w14:textId="77777777" w:rsidR="00974968" w:rsidRPr="000855B2" w:rsidRDefault="00E64FDA" w:rsidP="000A249B">
      <w:pPr>
        <w:pStyle w:val="BodyText"/>
      </w:pPr>
      <w:r w:rsidRPr="000855B2">
        <w:lastRenderedPageBreak/>
        <w:t>The contribution of these vehicles to total CO</w:t>
      </w:r>
      <w:r w:rsidRPr="000855B2">
        <w:rPr>
          <w:vertAlign w:val="subscript"/>
        </w:rPr>
        <w:t>2</w:t>
      </w:r>
      <w:r w:rsidRPr="000855B2">
        <w:t xml:space="preserve"> emissions will also have to be assessed. Again, pure electric vehicles will have zero CO</w:t>
      </w:r>
      <w:r w:rsidRPr="000855B2">
        <w:rPr>
          <w:vertAlign w:val="subscript"/>
        </w:rPr>
        <w:t>2</w:t>
      </w:r>
      <w:r w:rsidRPr="000855B2">
        <w:t xml:space="preserve"> emissions. All CO</w:t>
      </w:r>
      <w:r w:rsidRPr="000855B2">
        <w:rPr>
          <w:vertAlign w:val="subscript"/>
        </w:rPr>
        <w:t>2</w:t>
      </w:r>
      <w:r w:rsidRPr="000855B2">
        <w:t xml:space="preserve"> emissions they implicitly produce will be due to electricity production, which is part of the power generation. However, plug-in vehicles and electric with range extender will also produce CO</w:t>
      </w:r>
      <w:r w:rsidRPr="000855B2">
        <w:rPr>
          <w:vertAlign w:val="subscript"/>
        </w:rPr>
        <w:t>2</w:t>
      </w:r>
      <w:r w:rsidRPr="000855B2">
        <w:t xml:space="preserve"> emissions due to the combustion of fuel on-board the vehicle. Such vehicles are assumed to have a significant electric range, in the order of 40 to 60 km. </w:t>
      </w:r>
      <w:r w:rsidR="00B9325F" w:rsidRPr="000855B2">
        <w:t>Operation of the vehicles within their electric range and recharging will result to minimal CO</w:t>
      </w:r>
      <w:r w:rsidR="00B9325F" w:rsidRPr="000855B2">
        <w:rPr>
          <w:vertAlign w:val="subscript"/>
        </w:rPr>
        <w:t>2</w:t>
      </w:r>
      <w:r w:rsidR="00B9325F" w:rsidRPr="000855B2">
        <w:t xml:space="preserve"> emissions from the combustion of fuel. Long trips without recharging will result to significant on-board CO</w:t>
      </w:r>
      <w:r w:rsidR="00B9325F" w:rsidRPr="000855B2">
        <w:rPr>
          <w:vertAlign w:val="subscript"/>
        </w:rPr>
        <w:t>2</w:t>
      </w:r>
      <w:r w:rsidR="00B9325F" w:rsidRPr="000855B2">
        <w:t xml:space="preserve"> generation. The actual fuel consumption and CO</w:t>
      </w:r>
      <w:r w:rsidR="00B9325F" w:rsidRPr="000855B2">
        <w:rPr>
          <w:vertAlign w:val="subscript"/>
        </w:rPr>
        <w:t>2</w:t>
      </w:r>
      <w:r w:rsidR="00B9325F" w:rsidRPr="000855B2">
        <w:t xml:space="preserve"> emission factor of such vehicles will therefore depend on their driving pattern (speed and trip distance distribution), As a general guidance, it may be expected that these two vehicle categories will behave similarly to hybrid passenger cars, when they exceed their electric range.</w:t>
      </w:r>
    </w:p>
    <w:p w14:paraId="2D5833D4" w14:textId="77777777" w:rsidR="001D2587" w:rsidRPr="000855B2" w:rsidRDefault="004E1503" w:rsidP="00B019EC">
      <w:pPr>
        <w:pStyle w:val="Heading4"/>
      </w:pPr>
      <w:r>
        <w:t>Petrol</w:t>
      </w:r>
      <w:r w:rsidR="001D2587" w:rsidRPr="000855B2">
        <w:t xml:space="preserve"> </w:t>
      </w:r>
      <w:r w:rsidR="00CF67A4" w:rsidRPr="000855B2">
        <w:t>light commercial</w:t>
      </w:r>
      <w:r w:rsidR="001D2587" w:rsidRPr="000855B2">
        <w:t xml:space="preserve"> vehicles</w:t>
      </w:r>
      <w:bookmarkEnd w:id="220"/>
      <w:bookmarkEnd w:id="221"/>
    </w:p>
    <w:p w14:paraId="2BC92136" w14:textId="77777777" w:rsidR="001D2587" w:rsidRPr="000855B2" w:rsidRDefault="001D2587" w:rsidP="00716FB2">
      <w:pPr>
        <w:spacing w:before="240"/>
        <w:rPr>
          <w:u w:val="single"/>
          <w:lang w:val="en-GB"/>
        </w:rPr>
      </w:pPr>
      <w:r w:rsidRPr="000855B2">
        <w:rPr>
          <w:u w:val="single"/>
          <w:lang w:val="en-GB"/>
        </w:rPr>
        <w:t>Hot emissions</w:t>
      </w:r>
    </w:p>
    <w:p w14:paraId="5E0BDC3F" w14:textId="0CE9B275" w:rsidR="00834230" w:rsidRDefault="001D2587" w:rsidP="00834230">
      <w:pPr>
        <w:pStyle w:val="BodyText"/>
      </w:pPr>
      <w:r w:rsidRPr="000855B2">
        <w:t xml:space="preserve">The emissions of these vehicles within EU countries were </w:t>
      </w:r>
      <w:r w:rsidR="0069595F" w:rsidRPr="000855B2">
        <w:t>initially</w:t>
      </w:r>
      <w:r w:rsidR="00716FB2" w:rsidRPr="000855B2">
        <w:t xml:space="preserve"> regulated in</w:t>
      </w:r>
      <w:r w:rsidRPr="000855B2">
        <w:t xml:space="preserve"> the different ECE steps. All </w:t>
      </w:r>
      <w:r w:rsidR="00716FB2" w:rsidRPr="000855B2">
        <w:t>such</w:t>
      </w:r>
      <w:r w:rsidRPr="000855B2">
        <w:t xml:space="preserve"> vehicle</w:t>
      </w:r>
      <w:r w:rsidR="00716FB2" w:rsidRPr="000855B2">
        <w:t>s</w:t>
      </w:r>
      <w:r w:rsidRPr="000855B2">
        <w:t xml:space="preserve"> have been </w:t>
      </w:r>
      <w:r w:rsidR="00716FB2" w:rsidRPr="000855B2">
        <w:t>combined</w:t>
      </w:r>
      <w:r w:rsidRPr="000855B2">
        <w:t xml:space="preserve"> in a common </w:t>
      </w:r>
      <w:r w:rsidR="00716FB2" w:rsidRPr="000855B2">
        <w:t>‘c</w:t>
      </w:r>
      <w:r w:rsidRPr="000855B2">
        <w:t>onventional</w:t>
      </w:r>
      <w:r w:rsidR="00716FB2" w:rsidRPr="000855B2">
        <w:t>’</w:t>
      </w:r>
      <w:r w:rsidRPr="000855B2">
        <w:t xml:space="preserve"> class</w:t>
      </w:r>
      <w:r w:rsidR="00834230">
        <w:t xml:space="preserve">. However classes for Euro 1 and later light commercial vehicles have been introduced. A similar equation consolidation method as for the passenger cars has been used for the calculation of the speed dependant hot emission factors for petrol </w:t>
      </w:r>
      <w:r w:rsidR="00834230" w:rsidRPr="00010CA5">
        <w:t>light commercial vehicles. Equation</w:t>
      </w:r>
      <w:r w:rsidR="004D7F0D" w:rsidRPr="00010CA5">
        <w:t xml:space="preserve"> </w:t>
      </w:r>
      <w:r w:rsidR="00E17971" w:rsidRPr="00010CA5">
        <w:fldChar w:fldCharType="begin"/>
      </w:r>
      <w:r w:rsidR="004D7F0D" w:rsidRPr="00010CA5">
        <w:instrText xml:space="preserve"> REF _Ref476581033 \h </w:instrText>
      </w:r>
      <w:r w:rsidR="00010CA5">
        <w:instrText xml:space="preserve"> \* MERGEFORMAT </w:instrText>
      </w:r>
      <w:r w:rsidR="00E17971" w:rsidRPr="00010CA5">
        <w:fldChar w:fldCharType="separate"/>
      </w:r>
      <w:r w:rsidR="0071604C" w:rsidRPr="005B17F2">
        <w:t>(</w:t>
      </w:r>
      <w:r w:rsidR="0071604C">
        <w:rPr>
          <w:noProof/>
        </w:rPr>
        <w:t>25</w:t>
      </w:r>
      <w:r w:rsidR="0071604C" w:rsidRPr="005B17F2">
        <w:t>)</w:t>
      </w:r>
      <w:r w:rsidR="00E17971" w:rsidRPr="00010CA5">
        <w:fldChar w:fldCharType="end"/>
      </w:r>
      <w:r w:rsidR="004D7F0D" w:rsidRPr="00010CA5">
        <w:t xml:space="preserve"> </w:t>
      </w:r>
      <w:r w:rsidR="00834230" w:rsidRPr="00010CA5">
        <w:t xml:space="preserve">can be applied and all relevant parameters can be found </w:t>
      </w:r>
      <w:r w:rsidR="00F26B9F" w:rsidRPr="00010CA5">
        <w:t xml:space="preserve">in </w:t>
      </w:r>
      <w:r w:rsidR="00010CA5">
        <w:t>Appendix 3</w:t>
      </w:r>
      <w:r w:rsidR="00F26B9F" w:rsidRPr="00010CA5">
        <w:t>.</w:t>
      </w:r>
      <w:r w:rsidR="00834230" w:rsidRPr="00010CA5">
        <w:t xml:space="preserve"> The emissions covered by the methodology are CO, VOC, NO</w:t>
      </w:r>
      <w:r w:rsidR="00834230" w:rsidRPr="00010CA5">
        <w:rPr>
          <w:vertAlign w:val="subscript"/>
        </w:rPr>
        <w:t>x</w:t>
      </w:r>
      <w:r w:rsidR="00834230" w:rsidRPr="00010CA5">
        <w:t xml:space="preserve">, PM and </w:t>
      </w:r>
      <w:r w:rsidR="006730A7" w:rsidRPr="00010CA5">
        <w:t xml:space="preserve">energy </w:t>
      </w:r>
      <w:r w:rsidR="00834230" w:rsidRPr="00010CA5">
        <w:t>consumption</w:t>
      </w:r>
      <w:r w:rsidR="00A76393" w:rsidRPr="00010CA5">
        <w:t>.</w:t>
      </w:r>
    </w:p>
    <w:p w14:paraId="080D4F9B" w14:textId="77777777" w:rsidR="001D2587" w:rsidRPr="000855B2" w:rsidRDefault="001D2587">
      <w:pPr>
        <w:rPr>
          <w:u w:val="single"/>
          <w:lang w:val="en-GB"/>
        </w:rPr>
      </w:pPr>
      <w:r w:rsidRPr="000855B2">
        <w:rPr>
          <w:u w:val="single"/>
          <w:lang w:val="en-GB"/>
        </w:rPr>
        <w:t>Cold start emissions</w:t>
      </w:r>
    </w:p>
    <w:p w14:paraId="01B3A44F" w14:textId="500B571B" w:rsidR="001D2587" w:rsidRPr="000855B2" w:rsidRDefault="00716FB2" w:rsidP="00C71EFA">
      <w:pPr>
        <w:pStyle w:val="BodyText"/>
        <w:rPr>
          <w:szCs w:val="18"/>
        </w:rPr>
      </w:pPr>
      <w:r w:rsidRPr="000855B2">
        <w:t>In the absence of more detailed data, t</w:t>
      </w:r>
      <w:r w:rsidR="001D2587" w:rsidRPr="000855B2">
        <w:t>he</w:t>
      </w:r>
      <w:r w:rsidRPr="000855B2">
        <w:t xml:space="preserve"> values of e</w:t>
      </w:r>
      <w:r w:rsidRPr="000855B2">
        <w:rPr>
          <w:vertAlign w:val="superscript"/>
        </w:rPr>
        <w:t>COLD</w:t>
      </w:r>
      <w:r w:rsidRPr="000855B2">
        <w:t>/e</w:t>
      </w:r>
      <w:r w:rsidRPr="000855B2">
        <w:rPr>
          <w:vertAlign w:val="superscript"/>
        </w:rPr>
        <w:t>HOT</w:t>
      </w:r>
      <w:r w:rsidR="001D2587" w:rsidRPr="000855B2">
        <w:t xml:space="preserve"> </w:t>
      </w:r>
      <w:r w:rsidRPr="000855B2">
        <w:t>for</w:t>
      </w:r>
      <w:r w:rsidR="00B604F9" w:rsidRPr="00A61858">
        <w:rPr>
          <w:lang w:val="en-US"/>
        </w:rPr>
        <w:t xml:space="preserve"> </w:t>
      </w:r>
      <w:r w:rsidR="00B604F9">
        <w:rPr>
          <w:lang w:val="en-US"/>
        </w:rPr>
        <w:t>Large</w:t>
      </w:r>
      <w:r w:rsidR="00191F2E">
        <w:rPr>
          <w:lang w:val="en-US"/>
        </w:rPr>
        <w:t>-SUV</w:t>
      </w:r>
      <w:r w:rsidRPr="000855B2">
        <w:t xml:space="preserve"> </w:t>
      </w:r>
      <w:r w:rsidR="005E4DC4">
        <w:t>petrol</w:t>
      </w:r>
      <w:r w:rsidR="001D2587" w:rsidRPr="000855B2">
        <w:t xml:space="preserve"> cars </w:t>
      </w:r>
      <w:r w:rsidR="00B604F9">
        <w:t>(</w:t>
      </w:r>
      <w:r w:rsidR="00972A38" w:rsidRPr="000855B2">
        <w:t>&gt; </w:t>
      </w:r>
      <w:r w:rsidR="001D2587" w:rsidRPr="000855B2">
        <w:t>2.0 l</w:t>
      </w:r>
      <w:r w:rsidR="00B604F9">
        <w:t>)</w:t>
      </w:r>
      <w:r w:rsidR="001D2587" w:rsidRPr="000855B2">
        <w:t xml:space="preserve"> are also applied </w:t>
      </w:r>
      <w:r w:rsidRPr="000855B2">
        <w:t>to</w:t>
      </w:r>
      <w:r w:rsidR="001D2587" w:rsidRPr="000855B2">
        <w:t xml:space="preserve"> </w:t>
      </w:r>
      <w:r w:rsidR="00CF67A4" w:rsidRPr="000855B2">
        <w:t>light commercial</w:t>
      </w:r>
      <w:r w:rsidR="001D2587" w:rsidRPr="000855B2">
        <w:t xml:space="preserve"> vehicles. Although this assumption used to be a very rough estimate for past vehicle classes, due to the very different emission standards of </w:t>
      </w:r>
      <w:r w:rsidR="00CF67A4" w:rsidRPr="000855B2">
        <w:t>light commercial</w:t>
      </w:r>
      <w:r w:rsidR="001D2587" w:rsidRPr="000855B2">
        <w:t xml:space="preserve"> vehicles and passenger cars, it </w:t>
      </w:r>
      <w:r w:rsidRPr="000855B2">
        <w:t>is now likely to be more robust</w:t>
      </w:r>
      <w:r w:rsidR="001D2587" w:rsidRPr="000855B2">
        <w:t xml:space="preserve"> since </w:t>
      </w:r>
      <w:r w:rsidRPr="000855B2">
        <w:t xml:space="preserve">the </w:t>
      </w:r>
      <w:r w:rsidR="001D2587" w:rsidRPr="000855B2">
        <w:t xml:space="preserve">technology </w:t>
      </w:r>
      <w:r w:rsidRPr="000855B2">
        <w:t xml:space="preserve">used </w:t>
      </w:r>
      <w:r w:rsidR="001D2587" w:rsidRPr="000855B2">
        <w:t xml:space="preserve">in </w:t>
      </w:r>
      <w:r w:rsidRPr="000855B2">
        <w:t xml:space="preserve">current </w:t>
      </w:r>
      <w:r w:rsidR="00CF67A4" w:rsidRPr="000855B2">
        <w:t>light commercial</w:t>
      </w:r>
      <w:r w:rsidR="001D2587" w:rsidRPr="000855B2">
        <w:t xml:space="preserve"> vehicles does not </w:t>
      </w:r>
      <w:r w:rsidRPr="000855B2">
        <w:t xml:space="preserve">differ </w:t>
      </w:r>
      <w:r w:rsidR="001D2587" w:rsidRPr="000855B2">
        <w:t>significantly</w:t>
      </w:r>
      <w:r w:rsidRPr="000855B2">
        <w:t xml:space="preserve"> </w:t>
      </w:r>
      <w:r w:rsidR="001D2587" w:rsidRPr="000855B2">
        <w:t xml:space="preserve">from </w:t>
      </w:r>
      <w:r w:rsidRPr="000855B2">
        <w:t xml:space="preserve">that used in </w:t>
      </w:r>
      <w:r w:rsidR="001D2587" w:rsidRPr="000855B2">
        <w:t>cars. Therefore</w:t>
      </w:r>
      <w:r w:rsidRPr="000855B2">
        <w:t>,</w:t>
      </w:r>
      <w:r w:rsidR="001D2587" w:rsidRPr="000855B2">
        <w:t xml:space="preserve"> the</w:t>
      </w:r>
      <w:r w:rsidRPr="000855B2">
        <w:t xml:space="preserve"> values of e</w:t>
      </w:r>
      <w:r w:rsidRPr="000855B2">
        <w:rPr>
          <w:vertAlign w:val="superscript"/>
        </w:rPr>
        <w:t>COLD</w:t>
      </w:r>
      <w:r w:rsidRPr="000855B2">
        <w:t>/e</w:t>
      </w:r>
      <w:r w:rsidRPr="000855B2">
        <w:rPr>
          <w:vertAlign w:val="superscript"/>
        </w:rPr>
        <w:t>HOT</w:t>
      </w:r>
      <w:r w:rsidRPr="000855B2">
        <w:t xml:space="preserve"> in </w:t>
      </w:r>
      <w:r w:rsidR="00FB454C">
        <w:fldChar w:fldCharType="begin"/>
      </w:r>
      <w:r w:rsidR="00FB454C">
        <w:instrText xml:space="preserve"> REF _Ref140400956 \h  \* MERGEFORMAT </w:instrText>
      </w:r>
      <w:r w:rsidR="00FB454C">
        <w:fldChar w:fldCharType="separate"/>
      </w:r>
      <w:r w:rsidR="0071604C" w:rsidRPr="000855B2">
        <w:t>Table </w:t>
      </w:r>
      <w:r w:rsidR="0071604C">
        <w:t>3.37</w:t>
      </w:r>
      <w:r w:rsidR="00FB454C">
        <w:fldChar w:fldCharType="end"/>
      </w:r>
      <w:r w:rsidR="001D2587" w:rsidRPr="000855B2">
        <w:t xml:space="preserve"> (pre-Euro 1) and </w:t>
      </w:r>
      <w:r w:rsidR="00FB454C">
        <w:fldChar w:fldCharType="begin"/>
      </w:r>
      <w:r w:rsidR="00FB454C">
        <w:instrText xml:space="preserve"> REF _Ref140402173 \h  \* MERGEFORMAT </w:instrText>
      </w:r>
      <w:r w:rsidR="00FB454C">
        <w:fldChar w:fldCharType="separate"/>
      </w:r>
      <w:r w:rsidR="0071604C" w:rsidRPr="000855B2">
        <w:t>Table </w:t>
      </w:r>
      <w:r w:rsidR="0071604C">
        <w:t>3.39</w:t>
      </w:r>
      <w:r w:rsidR="00FB454C">
        <w:fldChar w:fldCharType="end"/>
      </w:r>
      <w:r w:rsidR="001D2587" w:rsidRPr="000855B2">
        <w:t xml:space="preserve"> (Euro 1 and </w:t>
      </w:r>
      <w:r w:rsidRPr="000855B2">
        <w:t>later</w:t>
      </w:r>
      <w:r w:rsidR="001D2587" w:rsidRPr="000855B2">
        <w:t>) are applie</w:t>
      </w:r>
      <w:r w:rsidRPr="000855B2">
        <w:t>d to</w:t>
      </w:r>
      <w:r w:rsidR="001D2587" w:rsidRPr="000855B2">
        <w:t xml:space="preserve"> </w:t>
      </w:r>
      <w:r w:rsidR="00CF67A4" w:rsidRPr="000855B2">
        <w:t>light commercial</w:t>
      </w:r>
      <w:r w:rsidR="001D2587" w:rsidRPr="000855B2">
        <w:t xml:space="preserve"> vehicles. Furthermore, equations </w:t>
      </w:r>
      <w:r w:rsidR="00FB454C">
        <w:fldChar w:fldCharType="begin"/>
      </w:r>
      <w:r w:rsidR="00FB454C">
        <w:instrText xml:space="preserve"> REF _Ref140576425 \h  \* MERGEFORMAT </w:instrText>
      </w:r>
      <w:r w:rsidR="00FB454C">
        <w:fldChar w:fldCharType="separate"/>
      </w:r>
      <w:r w:rsidR="0071604C" w:rsidRPr="000855B2">
        <w:t>(</w:t>
      </w:r>
      <w:r w:rsidR="0071604C">
        <w:t>10</w:t>
      </w:r>
      <w:r w:rsidR="0071604C" w:rsidRPr="000855B2">
        <w:t>)</w:t>
      </w:r>
      <w:r w:rsidR="00FB454C">
        <w:fldChar w:fldCharType="end"/>
      </w:r>
      <w:r w:rsidR="001D2587" w:rsidRPr="000855B2">
        <w:t xml:space="preserve">, </w:t>
      </w:r>
      <w:r w:rsidR="00FB454C">
        <w:fldChar w:fldCharType="begin"/>
      </w:r>
      <w:r w:rsidR="00FB454C">
        <w:instrText xml:space="preserve"> REF _Ref140576437 \h  \* MERGEFORMAT </w:instrText>
      </w:r>
      <w:r w:rsidR="00FB454C">
        <w:fldChar w:fldCharType="separate"/>
      </w:r>
      <w:r w:rsidR="0071604C" w:rsidRPr="000855B2">
        <w:t>(</w:t>
      </w:r>
      <w:r w:rsidR="0071604C">
        <w:t>11</w:t>
      </w:r>
      <w:r w:rsidR="0071604C" w:rsidRPr="000855B2">
        <w:t>)</w:t>
      </w:r>
      <w:r w:rsidR="00FB454C">
        <w:fldChar w:fldCharType="end"/>
      </w:r>
      <w:r w:rsidR="001D2587" w:rsidRPr="000855B2">
        <w:t xml:space="preserve"> are </w:t>
      </w:r>
      <w:r w:rsidRPr="000855B2">
        <w:t xml:space="preserve">also </w:t>
      </w:r>
      <w:r w:rsidR="001D2587" w:rsidRPr="000855B2">
        <w:t>valid for pre-Euro 1 vehicles and equation</w:t>
      </w:r>
      <w:r w:rsidR="007D24FF">
        <w:t xml:space="preserve"> </w:t>
      </w:r>
      <w:r w:rsidR="00E17971">
        <w:fldChar w:fldCharType="begin"/>
      </w:r>
      <w:r w:rsidR="007D24FF">
        <w:instrText xml:space="preserve"> REF _Ref480565749 \h </w:instrText>
      </w:r>
      <w:r w:rsidR="00E17971">
        <w:fldChar w:fldCharType="separate"/>
      </w:r>
      <w:r w:rsidR="0071604C" w:rsidRPr="000855B2">
        <w:t>(</w:t>
      </w:r>
      <w:r w:rsidR="0071604C">
        <w:rPr>
          <w:noProof/>
        </w:rPr>
        <w:t>26</w:t>
      </w:r>
      <w:r w:rsidR="0071604C" w:rsidRPr="000855B2">
        <w:t>)</w:t>
      </w:r>
      <w:r w:rsidR="00E17971">
        <w:fldChar w:fldCharType="end"/>
      </w:r>
      <w:r w:rsidR="001D2587" w:rsidRPr="000855B2">
        <w:t xml:space="preserve"> for Euro 1 and later </w:t>
      </w:r>
      <w:r w:rsidRPr="000855B2">
        <w:t>vehicles,</w:t>
      </w:r>
      <w:r w:rsidR="001D2587" w:rsidRPr="000855B2">
        <w:t xml:space="preserve"> in conjunction with the </w:t>
      </w:r>
      <w:r w:rsidR="001D2587" w:rsidRPr="000855B2">
        <w:rPr>
          <w:i/>
        </w:rPr>
        <w:sym w:font="Symbol" w:char="F062"/>
      </w:r>
      <w:r w:rsidR="0008044E" w:rsidRPr="000855B2">
        <w:t>-</w:t>
      </w:r>
      <w:r w:rsidR="001D2587" w:rsidRPr="000855B2">
        <w:t xml:space="preserve">parameter reduction factors given in </w:t>
      </w:r>
      <w:r w:rsidR="00FB454C">
        <w:fldChar w:fldCharType="begin"/>
      </w:r>
      <w:r w:rsidR="00FB454C">
        <w:instrText xml:space="preserve"> REF _Ref140400450 \h  \* MERGEFORMAT </w:instrText>
      </w:r>
      <w:r w:rsidR="00FB454C">
        <w:fldChar w:fldCharType="separate"/>
      </w:r>
      <w:r w:rsidR="0071604C" w:rsidRPr="000855B2">
        <w:t>Table </w:t>
      </w:r>
      <w:r w:rsidR="0071604C">
        <w:t>3.40</w:t>
      </w:r>
      <w:r w:rsidR="00FB454C">
        <w:fldChar w:fldCharType="end"/>
      </w:r>
      <w:r w:rsidR="001D2587" w:rsidRPr="000855B2">
        <w:t>.</w:t>
      </w:r>
    </w:p>
    <w:p w14:paraId="63B32A9C" w14:textId="77777777" w:rsidR="001D2587" w:rsidRPr="000855B2" w:rsidRDefault="001D2587" w:rsidP="00B019EC">
      <w:pPr>
        <w:pStyle w:val="Heading4"/>
      </w:pPr>
      <w:bookmarkStart w:id="222" w:name="_Toc457131597"/>
      <w:bookmarkStart w:id="223" w:name="_Toc496264328"/>
      <w:r w:rsidRPr="000855B2">
        <w:t xml:space="preserve">Diesel </w:t>
      </w:r>
      <w:r w:rsidR="00CF67A4" w:rsidRPr="000855B2">
        <w:t>light commercial</w:t>
      </w:r>
      <w:r w:rsidRPr="000855B2">
        <w:t xml:space="preserve"> vehicles</w:t>
      </w:r>
      <w:bookmarkEnd w:id="222"/>
      <w:bookmarkEnd w:id="223"/>
    </w:p>
    <w:p w14:paraId="6B76A08D" w14:textId="77777777" w:rsidR="007D24FF" w:rsidRPr="00010CA5" w:rsidRDefault="007D24FF" w:rsidP="007D24FF">
      <w:pPr>
        <w:rPr>
          <w:u w:val="single"/>
          <w:lang w:val="en-GB"/>
        </w:rPr>
      </w:pPr>
      <w:r w:rsidRPr="00010CA5">
        <w:rPr>
          <w:u w:val="single"/>
          <w:lang w:val="en-GB"/>
        </w:rPr>
        <w:t>Hot Emissions</w:t>
      </w:r>
    </w:p>
    <w:p w14:paraId="40FA380F" w14:textId="238CD9F9" w:rsidR="00AC2938" w:rsidRDefault="001D2587" w:rsidP="00AC2938">
      <w:pPr>
        <w:pStyle w:val="BodyText"/>
      </w:pPr>
      <w:r w:rsidRPr="000855B2">
        <w:t xml:space="preserve">Diesel </w:t>
      </w:r>
      <w:r w:rsidR="00CF67A4" w:rsidRPr="000855B2">
        <w:t>light commercial</w:t>
      </w:r>
      <w:r w:rsidRPr="000855B2">
        <w:t xml:space="preserve"> vehicles are treated as passenger cars. </w:t>
      </w:r>
      <w:r w:rsidR="008709E0" w:rsidRPr="000855B2">
        <w:t>S</w:t>
      </w:r>
      <w:r w:rsidRPr="000855B2">
        <w:t>peed</w:t>
      </w:r>
      <w:r w:rsidR="008709E0" w:rsidRPr="000855B2">
        <w:t>-</w:t>
      </w:r>
      <w:r w:rsidRPr="000855B2">
        <w:t>dependen</w:t>
      </w:r>
      <w:r w:rsidR="008709E0" w:rsidRPr="000855B2">
        <w:t>t hot emission factors</w:t>
      </w:r>
      <w:r w:rsidRPr="000855B2">
        <w:t xml:space="preserve"> </w:t>
      </w:r>
      <w:r w:rsidR="008709E0" w:rsidRPr="000855B2">
        <w:t>were</w:t>
      </w:r>
      <w:r w:rsidRPr="000855B2">
        <w:t xml:space="preserve"> developed in </w:t>
      </w:r>
      <w:r w:rsidR="008709E0" w:rsidRPr="000855B2">
        <w:t>earlier</w:t>
      </w:r>
      <w:r w:rsidRPr="000855B2">
        <w:t xml:space="preserve"> </w:t>
      </w:r>
      <w:r w:rsidR="00461783">
        <w:t>COPERT</w:t>
      </w:r>
      <w:r w:rsidRPr="000855B2">
        <w:t xml:space="preserve"> exercises (</w:t>
      </w:r>
      <w:r w:rsidR="008709E0" w:rsidRPr="000855B2">
        <w:t>c</w:t>
      </w:r>
      <w:r w:rsidRPr="000855B2">
        <w:t>onventional vehicles)</w:t>
      </w:r>
      <w:r w:rsidR="0008044E" w:rsidRPr="000855B2">
        <w:t xml:space="preserve"> and in the MEET project (Euro</w:t>
      </w:r>
      <w:r w:rsidR="002B1FFD" w:rsidRPr="000855B2">
        <w:t> </w:t>
      </w:r>
      <w:r w:rsidR="0008044E" w:rsidRPr="000855B2">
        <w:t>1</w:t>
      </w:r>
      <w:r w:rsidRPr="000855B2">
        <w:t xml:space="preserve"> and later </w:t>
      </w:r>
      <w:r w:rsidRPr="00010CA5">
        <w:t>vehicles)</w:t>
      </w:r>
      <w:r w:rsidR="008709E0" w:rsidRPr="00010CA5">
        <w:t>.</w:t>
      </w:r>
      <w:r w:rsidR="007D24FF" w:rsidRPr="00010CA5">
        <w:t xml:space="preserve"> To calculate hot emission factors</w:t>
      </w:r>
      <w:r w:rsidR="00AC2938" w:rsidRPr="00010CA5">
        <w:t xml:space="preserve"> Equation </w:t>
      </w:r>
      <w:r w:rsidR="00E17971" w:rsidRPr="00010CA5">
        <w:fldChar w:fldCharType="begin"/>
      </w:r>
      <w:r w:rsidR="00AC2938" w:rsidRPr="00010CA5">
        <w:instrText xml:space="preserve"> REF _Ref476581033 \h </w:instrText>
      </w:r>
      <w:r w:rsidR="00010CA5" w:rsidRPr="00010CA5">
        <w:instrText xml:space="preserve"> \* MERGEFORMAT </w:instrText>
      </w:r>
      <w:r w:rsidR="00E17971" w:rsidRPr="00010CA5">
        <w:fldChar w:fldCharType="separate"/>
      </w:r>
      <w:r w:rsidR="0071604C" w:rsidRPr="005B17F2">
        <w:t>(</w:t>
      </w:r>
      <w:r w:rsidR="0071604C">
        <w:rPr>
          <w:noProof/>
        </w:rPr>
        <w:t>25</w:t>
      </w:r>
      <w:r w:rsidR="0071604C" w:rsidRPr="005B17F2">
        <w:t>)</w:t>
      </w:r>
      <w:r w:rsidR="00E17971" w:rsidRPr="00010CA5">
        <w:fldChar w:fldCharType="end"/>
      </w:r>
      <w:r w:rsidR="00AC2938" w:rsidRPr="00010CA5">
        <w:t xml:space="preserve"> can be applied and all relevant parameters can be found </w:t>
      </w:r>
      <w:r w:rsidR="0080366C" w:rsidRPr="00010CA5">
        <w:t xml:space="preserve">in </w:t>
      </w:r>
      <w:r w:rsidR="00010CA5" w:rsidRPr="00010CA5">
        <w:t>Appendix 3</w:t>
      </w:r>
      <w:r w:rsidR="0080366C" w:rsidRPr="00010CA5">
        <w:t>.</w:t>
      </w:r>
      <w:r w:rsidR="00AC2938" w:rsidRPr="00010CA5">
        <w:t xml:space="preserve"> The emissions covered by the methodology are CO, VOC, NO</w:t>
      </w:r>
      <w:r w:rsidR="00AC2938" w:rsidRPr="00010CA5">
        <w:rPr>
          <w:vertAlign w:val="subscript"/>
        </w:rPr>
        <w:t>x</w:t>
      </w:r>
      <w:r w:rsidR="00AC2938" w:rsidRPr="00010CA5">
        <w:t xml:space="preserve">, PM and </w:t>
      </w:r>
      <w:r w:rsidR="006730A7" w:rsidRPr="00010CA5">
        <w:t xml:space="preserve">energy </w:t>
      </w:r>
      <w:r w:rsidR="00AC2938" w:rsidRPr="00010CA5">
        <w:t>consumption</w:t>
      </w:r>
      <w:r w:rsidR="00A76393" w:rsidRPr="00010CA5">
        <w:t>.</w:t>
      </w:r>
    </w:p>
    <w:p w14:paraId="5A457495" w14:textId="77777777" w:rsidR="007D24FF" w:rsidRPr="000855B2" w:rsidRDefault="007D24FF" w:rsidP="007D24FF">
      <w:pPr>
        <w:rPr>
          <w:u w:val="single"/>
          <w:lang w:val="en-GB"/>
        </w:rPr>
      </w:pPr>
      <w:r w:rsidRPr="000855B2">
        <w:rPr>
          <w:u w:val="single"/>
          <w:lang w:val="en-GB"/>
        </w:rPr>
        <w:t>Cold-start emissions</w:t>
      </w:r>
    </w:p>
    <w:p w14:paraId="35966FDE" w14:textId="1FF33CDE" w:rsidR="003D709A" w:rsidRPr="000855B2" w:rsidRDefault="008709E0" w:rsidP="00951501">
      <w:pPr>
        <w:pStyle w:val="BodyText"/>
      </w:pPr>
      <w:r w:rsidRPr="00010CA5">
        <w:t>Excess c</w:t>
      </w:r>
      <w:r w:rsidR="001D2587" w:rsidRPr="00010CA5">
        <w:t>old</w:t>
      </w:r>
      <w:r w:rsidRPr="00010CA5">
        <w:t>-</w:t>
      </w:r>
      <w:r w:rsidR="001D2587" w:rsidRPr="00010CA5">
        <w:t>start emissions</w:t>
      </w:r>
      <w:r w:rsidRPr="00010CA5">
        <w:t xml:space="preserve"> </w:t>
      </w:r>
      <w:r w:rsidR="00E15915" w:rsidRPr="00010CA5">
        <w:t xml:space="preserve">for </w:t>
      </w:r>
      <w:r w:rsidR="00951501" w:rsidRPr="00010CA5">
        <w:t>d</w:t>
      </w:r>
      <w:r w:rsidR="00E15915" w:rsidRPr="00010CA5">
        <w:t>iesel light commercial vehicles</w:t>
      </w:r>
      <w:r w:rsidR="001D2587" w:rsidRPr="00010CA5">
        <w:t xml:space="preserve"> are calculated </w:t>
      </w:r>
      <w:r w:rsidRPr="00010CA5">
        <w:t>using</w:t>
      </w:r>
      <w:r w:rsidR="001D2587" w:rsidRPr="00010CA5">
        <w:t xml:space="preserve"> equation </w:t>
      </w:r>
      <w:r w:rsidR="00FB454C" w:rsidRPr="00010CA5">
        <w:fldChar w:fldCharType="begin"/>
      </w:r>
      <w:r w:rsidR="00FB454C" w:rsidRPr="00010CA5">
        <w:instrText xml:space="preserve"> REF _Ref140576425 \h  \* MERGEFORMAT </w:instrText>
      </w:r>
      <w:r w:rsidR="00FB454C" w:rsidRPr="00010CA5">
        <w:fldChar w:fldCharType="separate"/>
      </w:r>
      <w:r w:rsidR="0071604C" w:rsidRPr="000855B2">
        <w:t>(</w:t>
      </w:r>
      <w:r w:rsidR="0071604C">
        <w:t>10</w:t>
      </w:r>
      <w:r w:rsidR="0071604C" w:rsidRPr="000855B2">
        <w:t>)</w:t>
      </w:r>
      <w:r w:rsidR="00FB454C" w:rsidRPr="00010CA5">
        <w:fldChar w:fldCharType="end"/>
      </w:r>
      <w:r w:rsidR="001D2587" w:rsidRPr="00010CA5">
        <w:t xml:space="preserve">, </w:t>
      </w:r>
      <w:r w:rsidRPr="00010CA5">
        <w:t>with the</w:t>
      </w:r>
      <w:r w:rsidR="001D2587" w:rsidRPr="00010CA5">
        <w:t xml:space="preserve"> e</w:t>
      </w:r>
      <w:r w:rsidR="001D2587" w:rsidRPr="00010CA5">
        <w:rPr>
          <w:vertAlign w:val="superscript"/>
        </w:rPr>
        <w:t>COLD</w:t>
      </w:r>
      <w:r w:rsidR="001D2587" w:rsidRPr="00010CA5">
        <w:t>/e</w:t>
      </w:r>
      <w:r w:rsidR="001D2587" w:rsidRPr="00010CA5">
        <w:rPr>
          <w:vertAlign w:val="superscript"/>
        </w:rPr>
        <w:t>HOT</w:t>
      </w:r>
      <w:r w:rsidR="001D2587" w:rsidRPr="00010CA5">
        <w:t xml:space="preserve"> </w:t>
      </w:r>
      <w:r w:rsidRPr="00010CA5">
        <w:t xml:space="preserve">values </w:t>
      </w:r>
      <w:r w:rsidR="00377A50" w:rsidRPr="00010CA5">
        <w:t xml:space="preserve">calculated </w:t>
      </w:r>
      <w:r w:rsidR="00951501" w:rsidRPr="00010CA5">
        <w:t xml:space="preserve">for all vehicle technologies </w:t>
      </w:r>
      <w:r w:rsidR="00377A50" w:rsidRPr="00010CA5">
        <w:t xml:space="preserve">as shown on </w:t>
      </w:r>
      <w:r w:rsidR="00FB454C" w:rsidRPr="00010CA5">
        <w:fldChar w:fldCharType="begin"/>
      </w:r>
      <w:r w:rsidR="00FB454C" w:rsidRPr="00010CA5">
        <w:instrText xml:space="preserve"> REF _Ref140402269 \h  \* MERGEFORMAT </w:instrText>
      </w:r>
      <w:r w:rsidR="00FB454C" w:rsidRPr="00010CA5">
        <w:fldChar w:fldCharType="separate"/>
      </w:r>
      <w:r w:rsidR="0071604C" w:rsidRPr="000855B2">
        <w:t>Table </w:t>
      </w:r>
      <w:r w:rsidR="0071604C">
        <w:t>3.41</w:t>
      </w:r>
      <w:r w:rsidR="00FB454C" w:rsidRPr="00010CA5">
        <w:fldChar w:fldCharType="end"/>
      </w:r>
      <w:r w:rsidR="001D2587" w:rsidRPr="00010CA5">
        <w:t xml:space="preserve">. </w:t>
      </w:r>
      <w:r w:rsidR="00951501" w:rsidRPr="00010CA5">
        <w:t xml:space="preserve">The </w:t>
      </w:r>
      <w:r w:rsidR="00951501" w:rsidRPr="00010CA5">
        <w:rPr>
          <w:i/>
        </w:rPr>
        <w:sym w:font="Symbol" w:char="F062"/>
      </w:r>
      <w:r w:rsidR="00951501" w:rsidRPr="00010CA5">
        <w:t xml:space="preserve">-parameter is calculated for all vehicle classes using the formula given in </w:t>
      </w:r>
      <w:r w:rsidR="00FB454C" w:rsidRPr="00010CA5">
        <w:fldChar w:fldCharType="begin"/>
      </w:r>
      <w:r w:rsidR="00FB454C" w:rsidRPr="00010CA5">
        <w:instrText xml:space="preserve"> REF _Ref140400973 \h  \* MERGEFORMAT </w:instrText>
      </w:r>
      <w:r w:rsidR="00FB454C" w:rsidRPr="00010CA5">
        <w:fldChar w:fldCharType="separate"/>
      </w:r>
      <w:r w:rsidR="0071604C" w:rsidRPr="000855B2">
        <w:t>Table </w:t>
      </w:r>
      <w:r w:rsidR="0071604C">
        <w:t>3.38</w:t>
      </w:r>
      <w:r w:rsidR="00FB454C" w:rsidRPr="00010CA5">
        <w:fldChar w:fldCharType="end"/>
      </w:r>
      <w:r w:rsidR="00951501" w:rsidRPr="00010CA5">
        <w:t>.</w:t>
      </w:r>
    </w:p>
    <w:p w14:paraId="674E552A" w14:textId="77777777" w:rsidR="001D2587" w:rsidRPr="000855B2" w:rsidRDefault="004E1503" w:rsidP="00B019EC">
      <w:pPr>
        <w:pStyle w:val="Heading4"/>
      </w:pPr>
      <w:bookmarkStart w:id="224" w:name="_Toc457131598"/>
      <w:bookmarkStart w:id="225" w:name="_Toc496264329"/>
      <w:r>
        <w:lastRenderedPageBreak/>
        <w:t>Petrol</w:t>
      </w:r>
      <w:r w:rsidR="001D2587" w:rsidRPr="000855B2">
        <w:t xml:space="preserve"> heavy</w:t>
      </w:r>
      <w:r w:rsidR="00CA4F04" w:rsidRPr="000855B2">
        <w:t>-</w:t>
      </w:r>
      <w:r w:rsidR="001D2587" w:rsidRPr="000855B2">
        <w:t>duty vehicles</w:t>
      </w:r>
      <w:bookmarkEnd w:id="224"/>
      <w:bookmarkEnd w:id="225"/>
    </w:p>
    <w:p w14:paraId="43260AF8" w14:textId="744E68AE" w:rsidR="00984F47" w:rsidRDefault="00984F47" w:rsidP="00984F47">
      <w:pPr>
        <w:pStyle w:val="BodyText"/>
      </w:pPr>
      <w:r w:rsidRPr="000855B2">
        <w:t xml:space="preserve">Only hot emissions are calculated for </w:t>
      </w:r>
      <w:r>
        <w:t>petrol</w:t>
      </w:r>
      <w:r w:rsidRPr="000855B2">
        <w:t xml:space="preserve"> heavy-duty vehicles. Emission factors — derived from an extrapolation of the data for smaller vehicles — </w:t>
      </w:r>
      <w:r>
        <w:t xml:space="preserve">can be found in </w:t>
      </w:r>
      <w:r w:rsidR="00010CA5">
        <w:t>Appendix 3</w:t>
      </w:r>
      <w:r>
        <w:t>.</w:t>
      </w:r>
    </w:p>
    <w:p w14:paraId="56A9166C" w14:textId="25906B03" w:rsidR="00984F47" w:rsidRDefault="00984F47" w:rsidP="00010CA5">
      <w:pPr>
        <w:pStyle w:val="Heading4"/>
      </w:pPr>
      <w:r>
        <w:t>Diesel heavy duty vehicles and buses</w:t>
      </w:r>
    </w:p>
    <w:p w14:paraId="2FCE16F6" w14:textId="1B1AB195" w:rsidR="001D2587" w:rsidRPr="000855B2" w:rsidRDefault="00984F47">
      <w:pPr>
        <w:pStyle w:val="BodyText"/>
      </w:pPr>
      <w:r w:rsidRPr="00984F47">
        <w:t>Speed dependent emission factors f</w:t>
      </w:r>
      <w:r w:rsidR="00B926BD">
        <w:t>or diesel heavy-duty vehicles (</w:t>
      </w:r>
      <w:r w:rsidRPr="00984F47">
        <w:t>inc</w:t>
      </w:r>
      <w:r w:rsidR="00B926BD">
        <w:t>luding urban buses and coaches)</w:t>
      </w:r>
      <w:r w:rsidRPr="00984F47">
        <w:t xml:space="preserve"> have been taken from HBEFA</w:t>
      </w:r>
      <w:r>
        <w:t xml:space="preserve">. </w:t>
      </w:r>
      <w:r w:rsidR="001D2587" w:rsidRPr="000855B2">
        <w:t>The emission factors are provided for conventional</w:t>
      </w:r>
      <w:r w:rsidR="00FD3375" w:rsidRPr="000855B2">
        <w:t xml:space="preserve"> vehicles and the</w:t>
      </w:r>
      <w:r w:rsidR="001D2587" w:rsidRPr="000855B2">
        <w:t xml:space="preserve"> Euro I to Euro V</w:t>
      </w:r>
      <w:r w:rsidR="00362ECD" w:rsidRPr="000855B2">
        <w:t>I</w:t>
      </w:r>
      <w:r w:rsidR="001D2587" w:rsidRPr="000855B2">
        <w:t xml:space="preserve"> </w:t>
      </w:r>
      <w:r w:rsidR="00FD3375" w:rsidRPr="000855B2">
        <w:t xml:space="preserve">emission </w:t>
      </w:r>
      <w:r w:rsidR="001D2587" w:rsidRPr="000855B2">
        <w:t>standards. Due to the large number of data required to calculate emissions from th</w:t>
      </w:r>
      <w:r w:rsidR="00FD3375" w:rsidRPr="000855B2">
        <w:t>e</w:t>
      </w:r>
      <w:r w:rsidR="001D2587" w:rsidRPr="000855B2">
        <w:t xml:space="preserve">se categories, all relevant information can be found </w:t>
      </w:r>
      <w:r w:rsidR="00F26B9F">
        <w:t xml:space="preserve">in </w:t>
      </w:r>
      <w:r w:rsidR="00010CA5">
        <w:t>Appendix 3</w:t>
      </w:r>
      <w:r w:rsidR="00227C56" w:rsidRPr="000855B2">
        <w:t>.</w:t>
      </w:r>
      <w:r w:rsidR="001D2587" w:rsidRPr="000855B2">
        <w:t xml:space="preserve"> The emissions covered by the methodology are CO, VOC, NO</w:t>
      </w:r>
      <w:r w:rsidR="001D2587" w:rsidRPr="000855B2">
        <w:rPr>
          <w:vertAlign w:val="subscript"/>
        </w:rPr>
        <w:t>x</w:t>
      </w:r>
      <w:r w:rsidR="001D2587" w:rsidRPr="000855B2">
        <w:t xml:space="preserve">, PM and </w:t>
      </w:r>
      <w:r w:rsidR="00B926BD">
        <w:t>energy</w:t>
      </w:r>
      <w:r w:rsidR="00B926BD" w:rsidRPr="000855B2">
        <w:t xml:space="preserve"> </w:t>
      </w:r>
      <w:r w:rsidR="00E75666" w:rsidRPr="000855B2">
        <w:t>c</w:t>
      </w:r>
      <w:r w:rsidR="001D2587" w:rsidRPr="000855B2">
        <w:t>onsumption.</w:t>
      </w:r>
      <w:r w:rsidR="00082C2F" w:rsidRPr="000855B2">
        <w:t xml:space="preserve"> For information of BC fraction</w:t>
      </w:r>
      <w:r w:rsidR="000310BF" w:rsidRPr="000855B2">
        <w:t>s of PM, please refer to Annex 4</w:t>
      </w:r>
      <w:r w:rsidR="00082C2F" w:rsidRPr="000855B2">
        <w:t>.</w:t>
      </w:r>
    </w:p>
    <w:p w14:paraId="10539A29" w14:textId="7F39D645" w:rsidR="00362ECD" w:rsidRPr="000855B2" w:rsidRDefault="00362ECD" w:rsidP="008D2FF3">
      <w:pPr>
        <w:pStyle w:val="BodyText"/>
      </w:pPr>
      <w:r w:rsidRPr="000855B2">
        <w:t xml:space="preserve">Distinct emission functions </w:t>
      </w:r>
      <w:r w:rsidR="00834230">
        <w:t xml:space="preserve">parameters </w:t>
      </w:r>
      <w:r w:rsidRPr="000855B2">
        <w:t>are provided for Euro V vehicles, depending on their emission control concept (</w:t>
      </w:r>
      <w:smartTag w:uri="urn:schemas-microsoft-com:office:smarttags" w:element="stockticker">
        <w:r w:rsidRPr="000855B2">
          <w:t>EGR</w:t>
        </w:r>
      </w:smartTag>
      <w:r w:rsidRPr="000855B2">
        <w:t xml:space="preserve"> or </w:t>
      </w:r>
      <w:smartTag w:uri="urn:schemas-microsoft-com:office:smarttags" w:element="stockticker">
        <w:r w:rsidRPr="000855B2">
          <w:t>SCR</w:t>
        </w:r>
      </w:smartTag>
      <w:r w:rsidRPr="000855B2">
        <w:t xml:space="preserve">). In order to correctly estimate emissions, one needs to estimate the shares of the two technologies in the vehicle stock. For European Member States, it is estimated that approximately 75% of Euro V heavy duty vehicles are equipped with </w:t>
      </w:r>
      <w:smartTag w:uri="urn:schemas-microsoft-com:office:smarttags" w:element="stockticker">
        <w:r w:rsidRPr="000855B2">
          <w:t>SCR</w:t>
        </w:r>
      </w:smartTag>
      <w:r w:rsidRPr="000855B2">
        <w:t xml:space="preserve">, the rest being equipped with </w:t>
      </w:r>
      <w:smartTag w:uri="urn:schemas-microsoft-com:office:smarttags" w:element="stockticker">
        <w:r w:rsidRPr="000855B2">
          <w:t>EGR</w:t>
        </w:r>
      </w:smartTag>
      <w:r w:rsidRPr="000855B2">
        <w:t>.</w:t>
      </w:r>
    </w:p>
    <w:p w14:paraId="724DD29C" w14:textId="77777777" w:rsidR="001D2587" w:rsidRPr="000855B2" w:rsidRDefault="001D2587" w:rsidP="00B019EC">
      <w:pPr>
        <w:pStyle w:val="Heading4"/>
      </w:pPr>
      <w:bookmarkStart w:id="226" w:name="_Toc457131600"/>
      <w:bookmarkStart w:id="227" w:name="_Toc496264331"/>
      <w:r w:rsidRPr="000855B2">
        <w:t xml:space="preserve">Natural gas </w:t>
      </w:r>
      <w:r w:rsidR="00BA6BBF" w:rsidRPr="000855B2">
        <w:t>buses</w:t>
      </w:r>
    </w:p>
    <w:p w14:paraId="2E95A1F6" w14:textId="77777777" w:rsidR="001D2587" w:rsidRPr="000855B2" w:rsidRDefault="001D2587" w:rsidP="008D2FF3">
      <w:pPr>
        <w:pStyle w:val="BodyText"/>
      </w:pPr>
      <w:r w:rsidRPr="000855B2">
        <w:t xml:space="preserve">Natural gas vehicles (NGVs) are now present in several urban captive fleets around Europe. France already </w:t>
      </w:r>
      <w:r w:rsidR="00FD3375" w:rsidRPr="000855B2">
        <w:t xml:space="preserve">has around </w:t>
      </w:r>
      <w:r w:rsidRPr="000855B2">
        <w:t xml:space="preserve">700 natural gas </w:t>
      </w:r>
      <w:r w:rsidR="00BA6BBF" w:rsidRPr="000855B2">
        <w:t>buses</w:t>
      </w:r>
      <w:r w:rsidRPr="000855B2">
        <w:t xml:space="preserve"> in operation, out of a total of 12</w:t>
      </w:r>
      <w:r w:rsidR="00BC5284" w:rsidRPr="000855B2">
        <w:t> </w:t>
      </w:r>
      <w:r w:rsidRPr="000855B2">
        <w:t>000</w:t>
      </w:r>
      <w:r w:rsidR="00FD3375" w:rsidRPr="000855B2">
        <w:t>,</w:t>
      </w:r>
      <w:r w:rsidRPr="000855B2">
        <w:t xml:space="preserve"> while 416 </w:t>
      </w:r>
      <w:r w:rsidR="00FD3375" w:rsidRPr="000855B2">
        <w:t>natural gas</w:t>
      </w:r>
      <w:r w:rsidRPr="000855B2">
        <w:t xml:space="preserve"> </w:t>
      </w:r>
      <w:r w:rsidR="00BA6BBF" w:rsidRPr="000855B2">
        <w:t>buses</w:t>
      </w:r>
      <w:r w:rsidRPr="000855B2">
        <w:t xml:space="preserve"> are in operation in Athens, in a fleet of 1</w:t>
      </w:r>
      <w:r w:rsidR="00BC5284" w:rsidRPr="000855B2">
        <w:t> </w:t>
      </w:r>
      <w:r w:rsidRPr="000855B2">
        <w:t xml:space="preserve">800 vehicles. </w:t>
      </w:r>
      <w:r w:rsidR="00FD3375" w:rsidRPr="000855B2">
        <w:t>Natural gas</w:t>
      </w:r>
      <w:r w:rsidRPr="000855B2">
        <w:t xml:space="preserve"> can</w:t>
      </w:r>
      <w:r w:rsidR="00FD3375" w:rsidRPr="000855B2">
        <w:t>not</w:t>
      </w:r>
      <w:r w:rsidRPr="000855B2">
        <w:t xml:space="preserve"> be used </w:t>
      </w:r>
      <w:r w:rsidR="00FD3375" w:rsidRPr="000855B2">
        <w:t xml:space="preserve">as a fuel in </w:t>
      </w:r>
      <w:r w:rsidRPr="000855B2">
        <w:t xml:space="preserve">a diesel engine </w:t>
      </w:r>
      <w:r w:rsidR="00FD3375" w:rsidRPr="000855B2">
        <w:t xml:space="preserve">or </w:t>
      </w:r>
      <w:r w:rsidRPr="000855B2">
        <w:t xml:space="preserve">a </w:t>
      </w:r>
      <w:r w:rsidR="005E4DC4">
        <w:t>petrol</w:t>
      </w:r>
      <w:r w:rsidRPr="000855B2">
        <w:t xml:space="preserve"> </w:t>
      </w:r>
      <w:r w:rsidR="00FD3375" w:rsidRPr="000855B2">
        <w:t>engine</w:t>
      </w:r>
      <w:r w:rsidRPr="000855B2">
        <w:t xml:space="preserve"> without modifications</w:t>
      </w:r>
      <w:r w:rsidR="00FD3375" w:rsidRPr="000855B2">
        <w:t>,</w:t>
      </w:r>
      <w:r w:rsidRPr="000855B2">
        <w:t xml:space="preserve"> because it has a high octane number (120</w:t>
      </w:r>
      <w:r w:rsidR="00BC5284" w:rsidRPr="000855B2">
        <w:t>–</w:t>
      </w:r>
      <w:r w:rsidRPr="000855B2">
        <w:t xml:space="preserve">130) and a cetane number </w:t>
      </w:r>
      <w:r w:rsidR="00FD3375" w:rsidRPr="000855B2">
        <w:t xml:space="preserve">below 50, </w:t>
      </w:r>
      <w:r w:rsidRPr="000855B2">
        <w:t>which makes it unsuitable for diesel combustion. Most commercial systems therefore utili</w:t>
      </w:r>
      <w:r w:rsidR="00FD3375" w:rsidRPr="000855B2">
        <w:t>s</w:t>
      </w:r>
      <w:r w:rsidRPr="000855B2">
        <w:t>e a spark plug to initiate natural gas combustion</w:t>
      </w:r>
      <w:r w:rsidR="00FD3375" w:rsidRPr="000855B2">
        <w:t>,</w:t>
      </w:r>
      <w:r w:rsidRPr="000855B2">
        <w:t xml:space="preserve"> and a higher compression ratio than conventional </w:t>
      </w:r>
      <w:r w:rsidR="005E4DC4">
        <w:t>petrol</w:t>
      </w:r>
      <w:r w:rsidRPr="000855B2">
        <w:t xml:space="preserve"> engines to take advantage of the high octane rate and to increase efficiency. NGVs may also operate either </w:t>
      </w:r>
      <w:r w:rsidR="00FD3375" w:rsidRPr="000855B2">
        <w:t>i</w:t>
      </w:r>
      <w:r w:rsidRPr="000855B2">
        <w:t xml:space="preserve">n </w:t>
      </w:r>
      <w:r w:rsidR="00FD3375" w:rsidRPr="000855B2">
        <w:t>‘</w:t>
      </w:r>
      <w:r w:rsidRPr="000855B2">
        <w:t>stoichiometric</w:t>
      </w:r>
      <w:r w:rsidR="00FD3375" w:rsidRPr="000855B2">
        <w:t>’</w:t>
      </w:r>
      <w:r w:rsidRPr="000855B2">
        <w:t xml:space="preserve"> mode for low emissions</w:t>
      </w:r>
      <w:r w:rsidR="00FD3375" w:rsidRPr="000855B2">
        <w:t>,</w:t>
      </w:r>
      <w:r w:rsidRPr="000855B2">
        <w:t xml:space="preserve"> or </w:t>
      </w:r>
      <w:r w:rsidR="00FD3375" w:rsidRPr="000855B2">
        <w:t>i</w:t>
      </w:r>
      <w:r w:rsidRPr="000855B2">
        <w:t xml:space="preserve">n </w:t>
      </w:r>
      <w:r w:rsidR="00FD3375" w:rsidRPr="000855B2">
        <w:t>‘</w:t>
      </w:r>
      <w:r w:rsidRPr="000855B2">
        <w:t>lean</w:t>
      </w:r>
      <w:r w:rsidR="00FD3375" w:rsidRPr="000855B2">
        <w:t xml:space="preserve">’ </w:t>
      </w:r>
      <w:r w:rsidRPr="000855B2">
        <w:t>mode for higher efficiency. In addition, high</w:t>
      </w:r>
      <w:r w:rsidR="00FD3375" w:rsidRPr="000855B2">
        <w:t>-</w:t>
      </w:r>
      <w:r w:rsidRPr="000855B2">
        <w:t xml:space="preserve">pressure storage bottles are required to store </w:t>
      </w:r>
      <w:r w:rsidR="00FD3375" w:rsidRPr="000855B2">
        <w:t>c</w:t>
      </w:r>
      <w:r w:rsidRPr="000855B2">
        <w:t>ompressed</w:t>
      </w:r>
      <w:r w:rsidR="00FD3375" w:rsidRPr="000855B2">
        <w:t xml:space="preserve"> natural gas</w:t>
      </w:r>
      <w:r w:rsidRPr="000855B2">
        <w:t xml:space="preserve"> (CNG)</w:t>
      </w:r>
      <w:r w:rsidR="00FD3375" w:rsidRPr="000855B2">
        <w:t>,</w:t>
      </w:r>
      <w:r w:rsidRPr="000855B2">
        <w:t xml:space="preserve"> while liquid </w:t>
      </w:r>
      <w:r w:rsidR="0069595F" w:rsidRPr="000855B2">
        <w:t>natural</w:t>
      </w:r>
      <w:r w:rsidR="00FD3375" w:rsidRPr="000855B2">
        <w:t xml:space="preserve"> gas</w:t>
      </w:r>
      <w:r w:rsidRPr="000855B2">
        <w:t xml:space="preserve"> (LNG) stored at low temperature is not that common, mainly due to the higher complexity of storage on the bus. CNG powertrains are hence associated with more cost elements and higher maintenance costs than diesel engines.</w:t>
      </w:r>
    </w:p>
    <w:p w14:paraId="3D731470" w14:textId="77777777" w:rsidR="00A47BCC" w:rsidRPr="000855B2" w:rsidRDefault="00FD3375" w:rsidP="008D2FF3">
      <w:pPr>
        <w:pStyle w:val="BodyText"/>
      </w:pPr>
      <w:r w:rsidRPr="000855B2">
        <w:t xml:space="preserve">Different </w:t>
      </w:r>
      <w:r w:rsidR="001D2587" w:rsidRPr="000855B2">
        <w:t xml:space="preserve">CNG </w:t>
      </w:r>
      <w:r w:rsidR="00BA6BBF" w:rsidRPr="000855B2">
        <w:t>buses</w:t>
      </w:r>
      <w:r w:rsidR="001D2587" w:rsidRPr="000855B2">
        <w:t xml:space="preserve"> may have completely different combustion and after</w:t>
      </w:r>
      <w:r w:rsidR="00227C56" w:rsidRPr="000855B2">
        <w:t>-</w:t>
      </w:r>
      <w:r w:rsidR="001D2587" w:rsidRPr="000855B2">
        <w:t>treatment technolog</w:t>
      </w:r>
      <w:r w:rsidRPr="000855B2">
        <w:t>ies</w:t>
      </w:r>
      <w:r w:rsidR="001D2587" w:rsidRPr="000855B2">
        <w:t xml:space="preserve">, despite using the same fuel. Hence, their emission performance may significantly vary. Therefore, CNG </w:t>
      </w:r>
      <w:r w:rsidR="00BA6BBF" w:rsidRPr="000855B2">
        <w:t>buses</w:t>
      </w:r>
      <w:r w:rsidR="001D2587" w:rsidRPr="000855B2">
        <w:t xml:space="preserve"> also need to </w:t>
      </w:r>
      <w:r w:rsidR="0069595F" w:rsidRPr="000855B2">
        <w:t>comply</w:t>
      </w:r>
      <w:r w:rsidRPr="000855B2">
        <w:t xml:space="preserve"> with</w:t>
      </w:r>
      <w:r w:rsidR="001D2587" w:rsidRPr="000855B2">
        <w:t xml:space="preserve"> a specific emission standard (Euro II, Euro </w:t>
      </w:r>
      <w:smartTag w:uri="urn:schemas-microsoft-com:office:smarttags" w:element="stockticker">
        <w:r w:rsidR="001D2587" w:rsidRPr="000855B2">
          <w:t>III</w:t>
        </w:r>
      </w:smartTag>
      <w:r w:rsidR="001D2587" w:rsidRPr="000855B2">
        <w:t xml:space="preserve">, </w:t>
      </w:r>
      <w:r w:rsidR="00D73F59" w:rsidRPr="000855B2">
        <w:t>etc</w:t>
      </w:r>
      <w:r w:rsidR="001D2587" w:rsidRPr="000855B2">
        <w:rPr>
          <w:i/>
        </w:rPr>
        <w:t>.</w:t>
      </w:r>
      <w:r w:rsidR="001D2587" w:rsidRPr="000855B2">
        <w:t>). Due to the low NO</w:t>
      </w:r>
      <w:r w:rsidR="001D2587" w:rsidRPr="000855B2">
        <w:rPr>
          <w:vertAlign w:val="subscript"/>
        </w:rPr>
        <w:t>x</w:t>
      </w:r>
      <w:r w:rsidR="001D2587" w:rsidRPr="000855B2">
        <w:t xml:space="preserve"> and PM</w:t>
      </w:r>
      <w:r w:rsidRPr="000855B2">
        <w:t xml:space="preserve"> emissions</w:t>
      </w:r>
      <w:r w:rsidR="001D2587" w:rsidRPr="000855B2">
        <w:t xml:space="preserve"> compared </w:t>
      </w:r>
      <w:r w:rsidRPr="000855B2">
        <w:t>with</w:t>
      </w:r>
      <w:r w:rsidR="001D2587" w:rsidRPr="000855B2">
        <w:t xml:space="preserve"> diesel, an additional emission standard has been set for CNG vehicles, known as the standard for Enhanced Environmental Vehicles </w:t>
      </w:r>
      <w:r w:rsidR="00BC5284" w:rsidRPr="000855B2">
        <w:t>(</w:t>
      </w:r>
      <w:r w:rsidR="001D2587" w:rsidRPr="000855B2">
        <w:t>EEV</w:t>
      </w:r>
      <w:r w:rsidR="00BC5284" w:rsidRPr="000855B2">
        <w:t>)</w:t>
      </w:r>
      <w:r w:rsidR="001D2587" w:rsidRPr="000855B2">
        <w:t>. The emission limits imposed for EEV are even below Euro V</w:t>
      </w:r>
      <w:r w:rsidRPr="000855B2">
        <w:t>,</w:t>
      </w:r>
      <w:r w:rsidR="001D2587" w:rsidRPr="000855B2">
        <w:t xml:space="preserve"> and usually EEVs benefit from tax waivers and free entrance to low</w:t>
      </w:r>
      <w:r w:rsidRPr="000855B2">
        <w:t>-</w:t>
      </w:r>
      <w:r w:rsidR="001D2587" w:rsidRPr="000855B2">
        <w:t xml:space="preserve">emission zones. New stoichiometric buses are able to </w:t>
      </w:r>
      <w:r w:rsidRPr="000855B2">
        <w:t>meet</w:t>
      </w:r>
      <w:r w:rsidR="001D2587" w:rsidRPr="000855B2">
        <w:t xml:space="preserve"> the EEV requirements, while older </w:t>
      </w:r>
      <w:r w:rsidR="00BA6BBF" w:rsidRPr="000855B2">
        <w:t>buses</w:t>
      </w:r>
      <w:r w:rsidR="001D2587" w:rsidRPr="000855B2">
        <w:t xml:space="preserve"> were usually registered as Euro II or Euro </w:t>
      </w:r>
      <w:smartTag w:uri="urn:schemas-microsoft-com:office:smarttags" w:element="stockticker">
        <w:r w:rsidR="001D2587" w:rsidRPr="000855B2">
          <w:t>III</w:t>
        </w:r>
      </w:smartTag>
      <w:r w:rsidR="001D2587" w:rsidRPr="000855B2">
        <w:t xml:space="preserve">. </w:t>
      </w:r>
    </w:p>
    <w:p w14:paraId="02E3DDC4" w14:textId="3F76FDA1" w:rsidR="00A47BCC" w:rsidRPr="000855B2" w:rsidRDefault="00FB454C" w:rsidP="008D2FF3">
      <w:pPr>
        <w:pStyle w:val="BodyText"/>
      </w:pPr>
      <w:r>
        <w:fldChar w:fldCharType="begin"/>
      </w:r>
      <w:r>
        <w:instrText xml:space="preserve"> REF _Ref171142552 \h  \* MERGEFORMAT </w:instrText>
      </w:r>
      <w:r>
        <w:fldChar w:fldCharType="separate"/>
      </w:r>
      <w:r w:rsidR="0071604C" w:rsidRPr="000855B2">
        <w:t xml:space="preserve">Table  </w:t>
      </w:r>
      <w:r w:rsidR="0071604C">
        <w:t>3.45</w:t>
      </w:r>
      <w:r>
        <w:fldChar w:fldCharType="end"/>
      </w:r>
      <w:r w:rsidR="001D2587" w:rsidRPr="000855B2">
        <w:t xml:space="preserve"> provides typical emission and </w:t>
      </w:r>
      <w:r w:rsidR="00FD3375" w:rsidRPr="000855B2">
        <w:t xml:space="preserve">fuel </w:t>
      </w:r>
      <w:r w:rsidR="001D2587" w:rsidRPr="000855B2">
        <w:t xml:space="preserve">consumption factors </w:t>
      </w:r>
      <w:r w:rsidR="00FD3375" w:rsidRPr="000855B2">
        <w:t>for</w:t>
      </w:r>
      <w:r w:rsidR="001D2587" w:rsidRPr="000855B2">
        <w:t xml:space="preserve"> CNG </w:t>
      </w:r>
      <w:r w:rsidR="00BA6BBF" w:rsidRPr="000855B2">
        <w:t>buses</w:t>
      </w:r>
      <w:r w:rsidR="001D2587" w:rsidRPr="000855B2">
        <w:t xml:space="preserve">, depending on their emission level. More information on the derivation of these emission values is given in Ntziachristos </w:t>
      </w:r>
      <w:r w:rsidR="00D73F59" w:rsidRPr="000855B2">
        <w:t>et al</w:t>
      </w:r>
      <w:r w:rsidR="001D2587" w:rsidRPr="000855B2">
        <w:t>. (2007).</w:t>
      </w:r>
    </w:p>
    <w:p w14:paraId="7ABF49D8" w14:textId="6B826640" w:rsidR="001D2587" w:rsidRPr="000855B2" w:rsidRDefault="00A040D1" w:rsidP="00C92B1B">
      <w:pPr>
        <w:pStyle w:val="Caption"/>
      </w:pPr>
      <w:bookmarkStart w:id="228" w:name="_Ref171142552"/>
      <w:r w:rsidRPr="000855B2">
        <w:lastRenderedPageBreak/>
        <w:t>Table </w:t>
      </w:r>
      <w:r w:rsidR="001D2587" w:rsidRPr="000855B2">
        <w:t xml:space="preserv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45</w:t>
      </w:r>
      <w:r w:rsidR="00FB454C">
        <w:rPr>
          <w:noProof/>
        </w:rPr>
        <w:fldChar w:fldCharType="end"/>
      </w:r>
      <w:bookmarkEnd w:id="228"/>
      <w:r w:rsidR="001D2587" w:rsidRPr="000855B2">
        <w:t xml:space="preserve">: </w:t>
      </w:r>
      <w:r w:rsidR="00145106" w:rsidRPr="000855B2">
        <w:t>E</w:t>
      </w:r>
      <w:r w:rsidR="001D2587" w:rsidRPr="000855B2">
        <w:t xml:space="preserve">mission and consumption factors for urban CNG </w:t>
      </w:r>
      <w:r w:rsidR="00BA6BBF" w:rsidRPr="000855B2">
        <w:t>buses</w:t>
      </w:r>
      <w:r w:rsidR="00145106" w:rsidRPr="000855B2">
        <w:t>.</w:t>
      </w:r>
    </w:p>
    <w:tbl>
      <w:tblPr>
        <w:tblW w:w="5000" w:type="pct"/>
        <w:tblBorders>
          <w:top w:val="double" w:sz="6" w:space="0" w:color="000000"/>
          <w:left w:val="double" w:sz="6" w:space="0" w:color="000000"/>
          <w:bottom w:val="double" w:sz="6" w:space="0" w:color="000000"/>
          <w:right w:val="double" w:sz="6" w:space="0" w:color="000000"/>
          <w:insideH w:val="single" w:sz="2" w:space="0" w:color="auto"/>
          <w:insideV w:val="single" w:sz="2" w:space="0" w:color="auto"/>
        </w:tblBorders>
        <w:tblLayout w:type="fixed"/>
        <w:tblLook w:val="0000" w:firstRow="0" w:lastRow="0" w:firstColumn="0" w:lastColumn="0" w:noHBand="0" w:noVBand="0"/>
      </w:tblPr>
      <w:tblGrid>
        <w:gridCol w:w="1647"/>
        <w:gridCol w:w="779"/>
        <w:gridCol w:w="1003"/>
        <w:gridCol w:w="956"/>
        <w:gridCol w:w="662"/>
        <w:gridCol w:w="1592"/>
        <w:gridCol w:w="970"/>
        <w:gridCol w:w="808"/>
      </w:tblGrid>
      <w:tr w:rsidR="00632F81" w:rsidRPr="000855B2" w14:paraId="650AABA4" w14:textId="77777777" w:rsidTr="00010CA5">
        <w:trPr>
          <w:trHeight w:val="624"/>
        </w:trPr>
        <w:tc>
          <w:tcPr>
            <w:tcW w:w="978" w:type="pct"/>
            <w:tcBorders>
              <w:top w:val="double" w:sz="6" w:space="0" w:color="000000"/>
              <w:bottom w:val="single" w:sz="12" w:space="0" w:color="auto"/>
            </w:tcBorders>
            <w:noWrap/>
            <w:tcMar>
              <w:left w:w="28" w:type="dxa"/>
              <w:right w:w="28" w:type="dxa"/>
            </w:tcMar>
            <w:vAlign w:val="center"/>
          </w:tcPr>
          <w:p w14:paraId="1780D2AB"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Emission standard</w:t>
            </w:r>
          </w:p>
        </w:tc>
        <w:tc>
          <w:tcPr>
            <w:tcW w:w="463" w:type="pct"/>
            <w:tcBorders>
              <w:top w:val="double" w:sz="6" w:space="0" w:color="000000"/>
              <w:bottom w:val="single" w:sz="12" w:space="0" w:color="auto"/>
            </w:tcBorders>
            <w:noWrap/>
            <w:tcMar>
              <w:left w:w="28" w:type="dxa"/>
              <w:right w:w="28" w:type="dxa"/>
            </w:tcMar>
            <w:vAlign w:val="center"/>
          </w:tcPr>
          <w:p w14:paraId="441EA397"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CO</w:t>
            </w:r>
            <w:r w:rsidRPr="000855B2">
              <w:rPr>
                <w:rFonts w:cs="Tahoma"/>
                <w:b/>
                <w:szCs w:val="20"/>
                <w:lang w:val="en-GB"/>
              </w:rPr>
              <w:br/>
              <w:t>(g/km)</w:t>
            </w:r>
          </w:p>
        </w:tc>
        <w:tc>
          <w:tcPr>
            <w:tcW w:w="596" w:type="pct"/>
            <w:tcBorders>
              <w:top w:val="double" w:sz="6" w:space="0" w:color="000000"/>
              <w:bottom w:val="single" w:sz="12" w:space="0" w:color="auto"/>
            </w:tcBorders>
            <w:noWrap/>
            <w:tcMar>
              <w:left w:w="28" w:type="dxa"/>
              <w:right w:w="28" w:type="dxa"/>
            </w:tcMar>
            <w:vAlign w:val="center"/>
          </w:tcPr>
          <w:p w14:paraId="6676BDE8" w14:textId="77777777" w:rsidR="00632F81" w:rsidRPr="000855B2" w:rsidRDefault="00632F81" w:rsidP="005C7955">
            <w:pPr>
              <w:keepNext/>
              <w:keepLines/>
              <w:suppressAutoHyphens/>
              <w:spacing w:line="240" w:lineRule="atLeast"/>
              <w:jc w:val="center"/>
              <w:rPr>
                <w:rFonts w:cs="Tahoma"/>
                <w:b/>
                <w:szCs w:val="20"/>
                <w:lang w:val="en-GB"/>
              </w:rPr>
            </w:pPr>
            <w:smartTag w:uri="urn:schemas-microsoft-com:office:smarttags" w:element="stockticker">
              <w:r w:rsidRPr="000855B2">
                <w:rPr>
                  <w:rFonts w:cs="Tahoma"/>
                  <w:b/>
                  <w:szCs w:val="20"/>
                  <w:lang w:val="en-GB"/>
                </w:rPr>
                <w:t>THC</w:t>
              </w:r>
            </w:smartTag>
            <w:r w:rsidRPr="000855B2">
              <w:rPr>
                <w:rFonts w:cs="Tahoma"/>
                <w:b/>
                <w:szCs w:val="20"/>
                <w:lang w:val="en-GB"/>
              </w:rPr>
              <w:t xml:space="preserve"> (g/km)</w:t>
            </w:r>
          </w:p>
        </w:tc>
        <w:tc>
          <w:tcPr>
            <w:tcW w:w="568" w:type="pct"/>
            <w:tcBorders>
              <w:top w:val="double" w:sz="6" w:space="0" w:color="000000"/>
              <w:bottom w:val="single" w:sz="12" w:space="0" w:color="auto"/>
            </w:tcBorders>
            <w:noWrap/>
            <w:tcMar>
              <w:left w:w="28" w:type="dxa"/>
              <w:right w:w="28" w:type="dxa"/>
            </w:tcMar>
            <w:vAlign w:val="center"/>
          </w:tcPr>
          <w:p w14:paraId="74605641"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NO</w:t>
            </w:r>
            <w:r w:rsidRPr="000855B2">
              <w:rPr>
                <w:rFonts w:cs="Tahoma"/>
                <w:b/>
                <w:szCs w:val="20"/>
                <w:vertAlign w:val="subscript"/>
                <w:lang w:val="en-GB"/>
              </w:rPr>
              <w:t xml:space="preserve">x </w:t>
            </w:r>
            <w:r w:rsidRPr="000855B2">
              <w:rPr>
                <w:rFonts w:cs="Tahoma"/>
                <w:b/>
                <w:szCs w:val="20"/>
                <w:lang w:val="en-GB"/>
              </w:rPr>
              <w:t>(g/km)</w:t>
            </w:r>
          </w:p>
        </w:tc>
        <w:tc>
          <w:tcPr>
            <w:tcW w:w="393" w:type="pct"/>
            <w:tcBorders>
              <w:top w:val="double" w:sz="6" w:space="0" w:color="000000"/>
              <w:bottom w:val="single" w:sz="12" w:space="0" w:color="auto"/>
            </w:tcBorders>
            <w:noWrap/>
            <w:tcMar>
              <w:left w:w="28" w:type="dxa"/>
              <w:right w:w="28" w:type="dxa"/>
            </w:tcMar>
            <w:vAlign w:val="center"/>
          </w:tcPr>
          <w:p w14:paraId="2ED9E7D0"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PM</w:t>
            </w:r>
          </w:p>
          <w:p w14:paraId="789ED520"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(g/km)</w:t>
            </w:r>
          </w:p>
        </w:tc>
        <w:tc>
          <w:tcPr>
            <w:tcW w:w="946" w:type="pct"/>
            <w:tcBorders>
              <w:top w:val="double" w:sz="6" w:space="0" w:color="000000"/>
              <w:bottom w:val="single" w:sz="12" w:space="0" w:color="auto"/>
            </w:tcBorders>
            <w:noWrap/>
            <w:tcMar>
              <w:left w:w="28" w:type="dxa"/>
              <w:right w:w="28" w:type="dxa"/>
            </w:tcMar>
            <w:vAlign w:val="center"/>
          </w:tcPr>
          <w:p w14:paraId="0063202B"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Tailpipe CO</w:t>
            </w:r>
            <w:r w:rsidRPr="000855B2">
              <w:rPr>
                <w:rFonts w:cs="Tahoma"/>
                <w:b/>
                <w:szCs w:val="20"/>
                <w:vertAlign w:val="subscript"/>
                <w:lang w:val="en-GB"/>
              </w:rPr>
              <w:t xml:space="preserve">2 </w:t>
            </w:r>
            <w:r w:rsidRPr="000855B2">
              <w:rPr>
                <w:rFonts w:cs="Tahoma"/>
                <w:b/>
                <w:szCs w:val="20"/>
                <w:lang w:val="en-GB"/>
              </w:rPr>
              <w:t>(g/km)</w:t>
            </w:r>
          </w:p>
        </w:tc>
        <w:tc>
          <w:tcPr>
            <w:tcW w:w="576" w:type="pct"/>
            <w:tcBorders>
              <w:top w:val="double" w:sz="6" w:space="0" w:color="000000"/>
              <w:bottom w:val="single" w:sz="12" w:space="0" w:color="auto"/>
            </w:tcBorders>
          </w:tcPr>
          <w:p w14:paraId="75D5C8B1" w14:textId="77777777" w:rsidR="00632F81" w:rsidRPr="000855B2" w:rsidRDefault="00632F81" w:rsidP="005C7955">
            <w:pPr>
              <w:keepNext/>
              <w:keepLines/>
              <w:suppressAutoHyphens/>
              <w:spacing w:line="240" w:lineRule="atLeast"/>
              <w:jc w:val="center"/>
              <w:rPr>
                <w:rFonts w:cs="Tahoma"/>
                <w:b/>
                <w:szCs w:val="20"/>
                <w:lang w:val="en-GB"/>
              </w:rPr>
            </w:pPr>
            <w:r>
              <w:rPr>
                <w:rFonts w:cs="Tahoma"/>
                <w:b/>
                <w:szCs w:val="20"/>
                <w:lang w:val="en-GB"/>
              </w:rPr>
              <w:t>Derived E</w:t>
            </w:r>
            <w:r w:rsidRPr="000855B2">
              <w:rPr>
                <w:rFonts w:cs="Tahoma"/>
                <w:b/>
                <w:szCs w:val="20"/>
                <w:lang w:val="en-GB"/>
              </w:rPr>
              <w:t>C</w:t>
            </w:r>
            <w:r w:rsidRPr="000855B2">
              <w:rPr>
                <w:rFonts w:cs="Tahoma"/>
                <w:b/>
                <w:szCs w:val="20"/>
                <w:vertAlign w:val="subscript"/>
                <w:lang w:val="en-GB"/>
              </w:rPr>
              <w:t xml:space="preserve"> </w:t>
            </w:r>
            <w:r>
              <w:rPr>
                <w:rFonts w:cs="Tahoma"/>
                <w:b/>
                <w:szCs w:val="20"/>
                <w:lang w:val="en-GB"/>
              </w:rPr>
              <w:t>(MJ</w:t>
            </w:r>
            <w:r w:rsidRPr="000855B2">
              <w:rPr>
                <w:rFonts w:cs="Tahoma"/>
                <w:b/>
                <w:szCs w:val="20"/>
                <w:lang w:val="en-GB"/>
              </w:rPr>
              <w:t>/km)</w:t>
            </w:r>
          </w:p>
        </w:tc>
        <w:tc>
          <w:tcPr>
            <w:tcW w:w="480" w:type="pct"/>
            <w:tcBorders>
              <w:top w:val="double" w:sz="6" w:space="0" w:color="000000"/>
              <w:bottom w:val="single" w:sz="12" w:space="0" w:color="auto"/>
            </w:tcBorders>
            <w:tcMar>
              <w:left w:w="28" w:type="dxa"/>
              <w:right w:w="28" w:type="dxa"/>
            </w:tcMar>
            <w:vAlign w:val="center"/>
          </w:tcPr>
          <w:p w14:paraId="25811B8D" w14:textId="77777777" w:rsidR="00632F81" w:rsidRPr="000855B2" w:rsidRDefault="00632F81" w:rsidP="005C7955">
            <w:pPr>
              <w:keepNext/>
              <w:keepLines/>
              <w:suppressAutoHyphens/>
              <w:spacing w:line="240" w:lineRule="atLeast"/>
              <w:jc w:val="center"/>
              <w:rPr>
                <w:rFonts w:cs="Tahoma"/>
                <w:b/>
                <w:szCs w:val="20"/>
                <w:lang w:val="en-GB"/>
              </w:rPr>
            </w:pPr>
            <w:r w:rsidRPr="000855B2">
              <w:rPr>
                <w:rFonts w:cs="Tahoma"/>
                <w:b/>
                <w:szCs w:val="20"/>
                <w:lang w:val="en-GB"/>
              </w:rPr>
              <w:t>Derived FC</w:t>
            </w:r>
            <w:r w:rsidRPr="000855B2">
              <w:rPr>
                <w:rFonts w:cs="Tahoma"/>
                <w:b/>
                <w:szCs w:val="20"/>
                <w:vertAlign w:val="subscript"/>
                <w:lang w:val="en-GB"/>
              </w:rPr>
              <w:t xml:space="preserve">CH4 </w:t>
            </w:r>
            <w:r w:rsidRPr="000855B2">
              <w:rPr>
                <w:rFonts w:cs="Tahoma"/>
                <w:b/>
                <w:szCs w:val="20"/>
                <w:lang w:val="en-GB"/>
              </w:rPr>
              <w:t>(g/km)</w:t>
            </w:r>
          </w:p>
        </w:tc>
      </w:tr>
      <w:tr w:rsidR="00632F81" w:rsidRPr="000855B2" w14:paraId="58763578" w14:textId="77777777" w:rsidTr="00010CA5">
        <w:trPr>
          <w:trHeight w:val="225"/>
        </w:trPr>
        <w:tc>
          <w:tcPr>
            <w:tcW w:w="978" w:type="pct"/>
            <w:tcBorders>
              <w:top w:val="single" w:sz="12" w:space="0" w:color="auto"/>
            </w:tcBorders>
            <w:tcMar>
              <w:left w:w="28" w:type="dxa"/>
              <w:right w:w="28" w:type="dxa"/>
            </w:tcMar>
            <w:vAlign w:val="center"/>
          </w:tcPr>
          <w:p w14:paraId="65678DFD"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Euro I</w:t>
            </w:r>
          </w:p>
        </w:tc>
        <w:tc>
          <w:tcPr>
            <w:tcW w:w="463" w:type="pct"/>
            <w:tcBorders>
              <w:top w:val="single" w:sz="12" w:space="0" w:color="auto"/>
            </w:tcBorders>
            <w:noWrap/>
            <w:tcMar>
              <w:left w:w="28" w:type="dxa"/>
              <w:right w:w="28" w:type="dxa"/>
            </w:tcMar>
            <w:vAlign w:val="center"/>
          </w:tcPr>
          <w:p w14:paraId="50BF13D4"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8.4</w:t>
            </w:r>
          </w:p>
        </w:tc>
        <w:tc>
          <w:tcPr>
            <w:tcW w:w="596" w:type="pct"/>
            <w:tcBorders>
              <w:top w:val="single" w:sz="12" w:space="0" w:color="auto"/>
            </w:tcBorders>
            <w:noWrap/>
            <w:tcMar>
              <w:left w:w="28" w:type="dxa"/>
              <w:right w:w="28" w:type="dxa"/>
            </w:tcMar>
            <w:vAlign w:val="center"/>
          </w:tcPr>
          <w:p w14:paraId="4D687B97"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7.0</w:t>
            </w:r>
          </w:p>
        </w:tc>
        <w:tc>
          <w:tcPr>
            <w:tcW w:w="568" w:type="pct"/>
            <w:tcBorders>
              <w:top w:val="single" w:sz="12" w:space="0" w:color="auto"/>
            </w:tcBorders>
            <w:noWrap/>
            <w:tcMar>
              <w:left w:w="28" w:type="dxa"/>
              <w:right w:w="28" w:type="dxa"/>
            </w:tcMar>
            <w:vAlign w:val="center"/>
          </w:tcPr>
          <w:p w14:paraId="3C5A25F3"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16.5</w:t>
            </w:r>
          </w:p>
        </w:tc>
        <w:tc>
          <w:tcPr>
            <w:tcW w:w="393" w:type="pct"/>
            <w:tcBorders>
              <w:top w:val="single" w:sz="12" w:space="0" w:color="auto"/>
            </w:tcBorders>
            <w:noWrap/>
            <w:tcMar>
              <w:left w:w="28" w:type="dxa"/>
              <w:right w:w="28" w:type="dxa"/>
            </w:tcMar>
            <w:vAlign w:val="center"/>
          </w:tcPr>
          <w:p w14:paraId="696EA9CD"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0.02</w:t>
            </w:r>
          </w:p>
        </w:tc>
        <w:tc>
          <w:tcPr>
            <w:tcW w:w="946" w:type="pct"/>
            <w:tcBorders>
              <w:top w:val="single" w:sz="12" w:space="0" w:color="auto"/>
            </w:tcBorders>
            <w:noWrap/>
            <w:tcMar>
              <w:left w:w="28" w:type="dxa"/>
              <w:right w:w="28" w:type="dxa"/>
            </w:tcMar>
            <w:vAlign w:val="center"/>
          </w:tcPr>
          <w:p w14:paraId="55750519"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1400</w:t>
            </w:r>
          </w:p>
        </w:tc>
        <w:tc>
          <w:tcPr>
            <w:tcW w:w="576" w:type="pct"/>
            <w:tcBorders>
              <w:top w:val="single" w:sz="12" w:space="0" w:color="auto"/>
            </w:tcBorders>
          </w:tcPr>
          <w:p w14:paraId="055171F1" w14:textId="77777777" w:rsidR="00632F81" w:rsidRPr="000855B2" w:rsidRDefault="00632F81" w:rsidP="005C7955">
            <w:pPr>
              <w:keepNext/>
              <w:keepLines/>
              <w:suppressAutoHyphens/>
              <w:spacing w:line="240" w:lineRule="atLeast"/>
              <w:jc w:val="center"/>
              <w:rPr>
                <w:rFonts w:cs="Tahoma"/>
                <w:szCs w:val="20"/>
                <w:lang w:val="en-GB"/>
              </w:rPr>
            </w:pPr>
            <w:r w:rsidRPr="004C3C18">
              <w:t>26.64</w:t>
            </w:r>
          </w:p>
        </w:tc>
        <w:tc>
          <w:tcPr>
            <w:tcW w:w="480" w:type="pct"/>
            <w:tcBorders>
              <w:top w:val="single" w:sz="12" w:space="0" w:color="auto"/>
            </w:tcBorders>
            <w:tcMar>
              <w:left w:w="28" w:type="dxa"/>
              <w:right w:w="28" w:type="dxa"/>
            </w:tcMar>
            <w:vAlign w:val="center"/>
          </w:tcPr>
          <w:p w14:paraId="208CE692"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555</w:t>
            </w:r>
          </w:p>
        </w:tc>
      </w:tr>
      <w:tr w:rsidR="00632F81" w:rsidRPr="000855B2" w14:paraId="3730A369" w14:textId="77777777" w:rsidTr="00010CA5">
        <w:trPr>
          <w:trHeight w:val="225"/>
        </w:trPr>
        <w:tc>
          <w:tcPr>
            <w:tcW w:w="978" w:type="pct"/>
            <w:tcMar>
              <w:left w:w="28" w:type="dxa"/>
              <w:right w:w="28" w:type="dxa"/>
            </w:tcMar>
            <w:vAlign w:val="center"/>
          </w:tcPr>
          <w:p w14:paraId="49EE32E8"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Euro II</w:t>
            </w:r>
          </w:p>
        </w:tc>
        <w:tc>
          <w:tcPr>
            <w:tcW w:w="463" w:type="pct"/>
            <w:noWrap/>
            <w:tcMar>
              <w:left w:w="28" w:type="dxa"/>
              <w:right w:w="28" w:type="dxa"/>
            </w:tcMar>
            <w:vAlign w:val="center"/>
          </w:tcPr>
          <w:p w14:paraId="5223C0D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2.7</w:t>
            </w:r>
          </w:p>
        </w:tc>
        <w:tc>
          <w:tcPr>
            <w:tcW w:w="596" w:type="pct"/>
            <w:noWrap/>
            <w:tcMar>
              <w:left w:w="28" w:type="dxa"/>
              <w:right w:w="28" w:type="dxa"/>
            </w:tcMar>
            <w:vAlign w:val="center"/>
          </w:tcPr>
          <w:p w14:paraId="40AA4B7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4.7</w:t>
            </w:r>
          </w:p>
        </w:tc>
        <w:tc>
          <w:tcPr>
            <w:tcW w:w="568" w:type="pct"/>
            <w:noWrap/>
            <w:tcMar>
              <w:left w:w="28" w:type="dxa"/>
              <w:right w:w="28" w:type="dxa"/>
            </w:tcMar>
            <w:vAlign w:val="center"/>
          </w:tcPr>
          <w:p w14:paraId="601E70D1"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15.0</w:t>
            </w:r>
          </w:p>
        </w:tc>
        <w:tc>
          <w:tcPr>
            <w:tcW w:w="393" w:type="pct"/>
            <w:noWrap/>
            <w:tcMar>
              <w:left w:w="28" w:type="dxa"/>
              <w:right w:w="28" w:type="dxa"/>
            </w:tcMar>
            <w:vAlign w:val="center"/>
          </w:tcPr>
          <w:p w14:paraId="0ADAF88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0.01</w:t>
            </w:r>
          </w:p>
        </w:tc>
        <w:tc>
          <w:tcPr>
            <w:tcW w:w="946" w:type="pct"/>
            <w:noWrap/>
            <w:tcMar>
              <w:left w:w="28" w:type="dxa"/>
              <w:right w:w="28" w:type="dxa"/>
            </w:tcMar>
            <w:vAlign w:val="center"/>
          </w:tcPr>
          <w:p w14:paraId="0D7D8E38"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1400</w:t>
            </w:r>
          </w:p>
        </w:tc>
        <w:tc>
          <w:tcPr>
            <w:tcW w:w="576" w:type="pct"/>
          </w:tcPr>
          <w:p w14:paraId="24C5A3C8" w14:textId="77777777" w:rsidR="00632F81" w:rsidRPr="000855B2" w:rsidRDefault="00632F81" w:rsidP="005C7955">
            <w:pPr>
              <w:keepNext/>
              <w:keepLines/>
              <w:suppressAutoHyphens/>
              <w:spacing w:line="240" w:lineRule="atLeast"/>
              <w:jc w:val="center"/>
              <w:rPr>
                <w:rFonts w:cs="Tahoma"/>
                <w:szCs w:val="20"/>
                <w:lang w:val="en-GB"/>
              </w:rPr>
            </w:pPr>
            <w:r w:rsidRPr="004C3C18">
              <w:t>24.72</w:t>
            </w:r>
          </w:p>
        </w:tc>
        <w:tc>
          <w:tcPr>
            <w:tcW w:w="480" w:type="pct"/>
            <w:tcMar>
              <w:left w:w="28" w:type="dxa"/>
              <w:right w:w="28" w:type="dxa"/>
            </w:tcMar>
            <w:vAlign w:val="center"/>
          </w:tcPr>
          <w:p w14:paraId="4D28F44A"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515</w:t>
            </w:r>
          </w:p>
        </w:tc>
      </w:tr>
      <w:tr w:rsidR="00632F81" w:rsidRPr="000855B2" w14:paraId="0D205831" w14:textId="77777777" w:rsidTr="00010CA5">
        <w:trPr>
          <w:trHeight w:val="225"/>
        </w:trPr>
        <w:tc>
          <w:tcPr>
            <w:tcW w:w="978" w:type="pct"/>
            <w:tcMar>
              <w:left w:w="28" w:type="dxa"/>
              <w:right w:w="28" w:type="dxa"/>
            </w:tcMar>
            <w:vAlign w:val="center"/>
          </w:tcPr>
          <w:p w14:paraId="5FF9B588"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 xml:space="preserve">Euro </w:t>
            </w:r>
            <w:smartTag w:uri="urn:schemas-microsoft-com:office:smarttags" w:element="stockticker">
              <w:r w:rsidRPr="000855B2">
                <w:rPr>
                  <w:rFonts w:cs="Tahoma"/>
                  <w:szCs w:val="20"/>
                  <w:lang w:val="en-GB"/>
                </w:rPr>
                <w:t>III</w:t>
              </w:r>
            </w:smartTag>
          </w:p>
        </w:tc>
        <w:tc>
          <w:tcPr>
            <w:tcW w:w="463" w:type="pct"/>
            <w:noWrap/>
            <w:tcMar>
              <w:left w:w="28" w:type="dxa"/>
              <w:right w:w="28" w:type="dxa"/>
            </w:tcMar>
            <w:vAlign w:val="center"/>
          </w:tcPr>
          <w:p w14:paraId="09B5F9B4"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w:t>
            </w:r>
          </w:p>
        </w:tc>
        <w:tc>
          <w:tcPr>
            <w:tcW w:w="596" w:type="pct"/>
            <w:noWrap/>
            <w:tcMar>
              <w:left w:w="28" w:type="dxa"/>
              <w:right w:w="28" w:type="dxa"/>
            </w:tcMar>
            <w:vAlign w:val="center"/>
          </w:tcPr>
          <w:p w14:paraId="253912F5"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1.33</w:t>
            </w:r>
          </w:p>
        </w:tc>
        <w:tc>
          <w:tcPr>
            <w:tcW w:w="568" w:type="pct"/>
            <w:noWrap/>
            <w:tcMar>
              <w:left w:w="28" w:type="dxa"/>
              <w:right w:w="28" w:type="dxa"/>
            </w:tcMar>
            <w:vAlign w:val="center"/>
          </w:tcPr>
          <w:p w14:paraId="19990D0F"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10.0</w:t>
            </w:r>
          </w:p>
        </w:tc>
        <w:tc>
          <w:tcPr>
            <w:tcW w:w="393" w:type="pct"/>
            <w:noWrap/>
            <w:tcMar>
              <w:left w:w="28" w:type="dxa"/>
              <w:right w:w="28" w:type="dxa"/>
            </w:tcMar>
            <w:vAlign w:val="center"/>
          </w:tcPr>
          <w:p w14:paraId="1F96B9F0"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0.01</w:t>
            </w:r>
          </w:p>
        </w:tc>
        <w:tc>
          <w:tcPr>
            <w:tcW w:w="946" w:type="pct"/>
            <w:noWrap/>
            <w:tcMar>
              <w:left w:w="28" w:type="dxa"/>
              <w:right w:w="28" w:type="dxa"/>
            </w:tcMar>
            <w:vAlign w:val="center"/>
          </w:tcPr>
          <w:p w14:paraId="7467FC95"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1250</w:t>
            </w:r>
          </w:p>
        </w:tc>
        <w:tc>
          <w:tcPr>
            <w:tcW w:w="576" w:type="pct"/>
          </w:tcPr>
          <w:p w14:paraId="5451DC82" w14:textId="77777777" w:rsidR="00632F81" w:rsidRPr="000855B2" w:rsidRDefault="00632F81" w:rsidP="005C7955">
            <w:pPr>
              <w:keepNext/>
              <w:keepLines/>
              <w:suppressAutoHyphens/>
              <w:spacing w:line="240" w:lineRule="atLeast"/>
              <w:jc w:val="center"/>
              <w:rPr>
                <w:rFonts w:cs="Tahoma"/>
                <w:szCs w:val="20"/>
                <w:lang w:val="en-GB"/>
              </w:rPr>
            </w:pPr>
            <w:r w:rsidRPr="004C3C18">
              <w:t>21.84</w:t>
            </w:r>
          </w:p>
        </w:tc>
        <w:tc>
          <w:tcPr>
            <w:tcW w:w="480" w:type="pct"/>
            <w:tcMar>
              <w:left w:w="28" w:type="dxa"/>
              <w:right w:w="28" w:type="dxa"/>
            </w:tcMar>
            <w:vAlign w:val="center"/>
          </w:tcPr>
          <w:p w14:paraId="63855525"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455</w:t>
            </w:r>
          </w:p>
        </w:tc>
      </w:tr>
      <w:tr w:rsidR="00632F81" w:rsidRPr="000855B2" w14:paraId="7DEA2B53" w14:textId="77777777" w:rsidTr="00010CA5">
        <w:trPr>
          <w:trHeight w:val="225"/>
        </w:trPr>
        <w:tc>
          <w:tcPr>
            <w:tcW w:w="978" w:type="pct"/>
            <w:tcMar>
              <w:left w:w="28" w:type="dxa"/>
              <w:right w:w="28" w:type="dxa"/>
            </w:tcMar>
            <w:vAlign w:val="center"/>
          </w:tcPr>
          <w:p w14:paraId="2CE40AEC" w14:textId="77777777" w:rsidR="00632F81" w:rsidRPr="000855B2" w:rsidRDefault="00632F81" w:rsidP="005C7955">
            <w:pPr>
              <w:keepNext/>
              <w:keepLines/>
              <w:suppressAutoHyphens/>
              <w:spacing w:line="240" w:lineRule="atLeast"/>
              <w:rPr>
                <w:rFonts w:cs="Tahoma"/>
                <w:szCs w:val="20"/>
                <w:lang w:val="en-GB"/>
              </w:rPr>
            </w:pPr>
            <w:r w:rsidRPr="000855B2">
              <w:rPr>
                <w:rFonts w:cs="Tahoma"/>
                <w:szCs w:val="20"/>
                <w:lang w:val="en-GB"/>
              </w:rPr>
              <w:t>EEV</w:t>
            </w:r>
          </w:p>
        </w:tc>
        <w:tc>
          <w:tcPr>
            <w:tcW w:w="463" w:type="pct"/>
            <w:noWrap/>
            <w:tcMar>
              <w:left w:w="28" w:type="dxa"/>
              <w:right w:w="28" w:type="dxa"/>
            </w:tcMar>
            <w:vAlign w:val="center"/>
          </w:tcPr>
          <w:p w14:paraId="4383BF46"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w:t>
            </w:r>
          </w:p>
        </w:tc>
        <w:tc>
          <w:tcPr>
            <w:tcW w:w="596" w:type="pct"/>
            <w:noWrap/>
            <w:tcMar>
              <w:left w:w="28" w:type="dxa"/>
              <w:right w:w="28" w:type="dxa"/>
            </w:tcMar>
            <w:vAlign w:val="center"/>
          </w:tcPr>
          <w:p w14:paraId="304DBB78"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1.0</w:t>
            </w:r>
          </w:p>
        </w:tc>
        <w:tc>
          <w:tcPr>
            <w:tcW w:w="568" w:type="pct"/>
            <w:noWrap/>
            <w:tcMar>
              <w:left w:w="28" w:type="dxa"/>
              <w:right w:w="28" w:type="dxa"/>
            </w:tcMar>
            <w:vAlign w:val="center"/>
          </w:tcPr>
          <w:p w14:paraId="311DB8AC"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2.5</w:t>
            </w:r>
          </w:p>
        </w:tc>
        <w:tc>
          <w:tcPr>
            <w:tcW w:w="393" w:type="pct"/>
            <w:noWrap/>
            <w:tcMar>
              <w:left w:w="28" w:type="dxa"/>
              <w:right w:w="28" w:type="dxa"/>
            </w:tcMar>
            <w:vAlign w:val="center"/>
          </w:tcPr>
          <w:p w14:paraId="5C425C4C"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0.005</w:t>
            </w:r>
          </w:p>
        </w:tc>
        <w:tc>
          <w:tcPr>
            <w:tcW w:w="946" w:type="pct"/>
            <w:noWrap/>
            <w:tcMar>
              <w:left w:w="28" w:type="dxa"/>
              <w:right w:w="28" w:type="dxa"/>
            </w:tcMar>
            <w:vAlign w:val="center"/>
          </w:tcPr>
          <w:p w14:paraId="78DBCA30"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1250</w:t>
            </w:r>
          </w:p>
        </w:tc>
        <w:tc>
          <w:tcPr>
            <w:tcW w:w="576" w:type="pct"/>
          </w:tcPr>
          <w:p w14:paraId="22E899F0" w14:textId="77777777" w:rsidR="00632F81" w:rsidRPr="000855B2" w:rsidRDefault="00632F81" w:rsidP="005C7955">
            <w:pPr>
              <w:keepNext/>
              <w:keepLines/>
              <w:suppressAutoHyphens/>
              <w:spacing w:line="240" w:lineRule="atLeast"/>
              <w:jc w:val="center"/>
              <w:rPr>
                <w:rFonts w:cs="Tahoma"/>
                <w:szCs w:val="20"/>
                <w:lang w:val="en-GB"/>
              </w:rPr>
            </w:pPr>
            <w:r w:rsidRPr="004C3C18">
              <w:t>21.84</w:t>
            </w:r>
          </w:p>
        </w:tc>
        <w:tc>
          <w:tcPr>
            <w:tcW w:w="480" w:type="pct"/>
            <w:tcMar>
              <w:left w:w="28" w:type="dxa"/>
              <w:right w:w="28" w:type="dxa"/>
            </w:tcMar>
            <w:vAlign w:val="center"/>
          </w:tcPr>
          <w:p w14:paraId="50664176" w14:textId="77777777" w:rsidR="00632F81" w:rsidRPr="000855B2" w:rsidRDefault="00632F81" w:rsidP="005C7955">
            <w:pPr>
              <w:keepNext/>
              <w:keepLines/>
              <w:suppressAutoHyphens/>
              <w:spacing w:line="240" w:lineRule="atLeast"/>
              <w:jc w:val="center"/>
              <w:rPr>
                <w:rFonts w:cs="Tahoma"/>
                <w:szCs w:val="20"/>
                <w:lang w:val="en-GB"/>
              </w:rPr>
            </w:pPr>
            <w:r w:rsidRPr="000855B2">
              <w:rPr>
                <w:rFonts w:cs="Tahoma"/>
                <w:szCs w:val="20"/>
                <w:lang w:val="en-GB"/>
              </w:rPr>
              <w:t>455</w:t>
            </w:r>
          </w:p>
        </w:tc>
      </w:tr>
    </w:tbl>
    <w:p w14:paraId="1B8CF8BB" w14:textId="77777777" w:rsidR="001D2587" w:rsidRPr="000855B2" w:rsidRDefault="001D2587" w:rsidP="00B019EC">
      <w:pPr>
        <w:pStyle w:val="Heading4"/>
      </w:pPr>
      <w:r w:rsidRPr="000855B2">
        <w:t xml:space="preserve">Two-stroke </w:t>
      </w:r>
      <w:r w:rsidR="00A9043A" w:rsidRPr="000855B2">
        <w:t xml:space="preserve">and four-stroke </w:t>
      </w:r>
      <w:r w:rsidRPr="000855B2">
        <w:t xml:space="preserve">mopeds </w:t>
      </w:r>
      <w:r w:rsidR="00D205E2" w:rsidRPr="000855B2">
        <w:t>&lt; </w:t>
      </w:r>
      <w:r w:rsidRPr="000855B2">
        <w:t>50</w:t>
      </w:r>
      <w:r w:rsidR="00363D3C" w:rsidRPr="000855B2">
        <w:t> cm</w:t>
      </w:r>
      <w:r w:rsidRPr="000855B2">
        <w:t>³</w:t>
      </w:r>
      <w:bookmarkEnd w:id="226"/>
      <w:bookmarkEnd w:id="227"/>
    </w:p>
    <w:p w14:paraId="0A2ECEDE" w14:textId="3CD6C329" w:rsidR="00FD3375" w:rsidRPr="00010CA5" w:rsidRDefault="001D2587" w:rsidP="00DC17C6">
      <w:pPr>
        <w:pStyle w:val="BodyText"/>
      </w:pPr>
      <w:r w:rsidRPr="000855B2">
        <w:t xml:space="preserve">Mopeds are mostly driven </w:t>
      </w:r>
      <w:r w:rsidR="00FD3375" w:rsidRPr="000855B2">
        <w:t>in</w:t>
      </w:r>
      <w:r w:rsidRPr="000855B2">
        <w:t xml:space="preserve"> urban</w:t>
      </w:r>
      <w:r w:rsidR="00FD3375" w:rsidRPr="000855B2">
        <w:t xml:space="preserve"> areas,</w:t>
      </w:r>
      <w:r w:rsidRPr="000855B2">
        <w:t xml:space="preserve"> and therefore only urban emission factor</w:t>
      </w:r>
      <w:r w:rsidR="00FD3375" w:rsidRPr="000855B2">
        <w:t>s are</w:t>
      </w:r>
      <w:r w:rsidRPr="000855B2">
        <w:t xml:space="preserve"> proposed</w:t>
      </w:r>
      <w:r w:rsidR="00DC17C6" w:rsidRPr="000855B2">
        <w:t>. These emissions factors should be considered as bulk values which include the cold-start fraction. No distinction is made between hot and cold-start emissions.</w:t>
      </w:r>
      <w:r w:rsidR="00834230">
        <w:t xml:space="preserve"> </w:t>
      </w:r>
      <w:r w:rsidR="00155BC3">
        <w:t xml:space="preserve">Even if single values are proposed the generic </w:t>
      </w:r>
      <w:r w:rsidR="00155BC3" w:rsidRPr="00010CA5">
        <w:t>e</w:t>
      </w:r>
      <w:r w:rsidR="00834230" w:rsidRPr="00010CA5">
        <w:t xml:space="preserve">quation </w:t>
      </w:r>
      <w:r w:rsidR="00E17971" w:rsidRPr="00010CA5">
        <w:fldChar w:fldCharType="begin"/>
      </w:r>
      <w:r w:rsidR="00305EEE" w:rsidRPr="00010CA5">
        <w:instrText xml:space="preserve"> REF _Ref476581033 \h </w:instrText>
      </w:r>
      <w:r w:rsidR="00010CA5">
        <w:instrText xml:space="preserve"> \* MERGEFORMAT </w:instrText>
      </w:r>
      <w:r w:rsidR="00E17971" w:rsidRPr="00010CA5">
        <w:fldChar w:fldCharType="separate"/>
      </w:r>
      <w:r w:rsidR="0071604C" w:rsidRPr="005B17F2">
        <w:t>(</w:t>
      </w:r>
      <w:r w:rsidR="0071604C">
        <w:rPr>
          <w:noProof/>
        </w:rPr>
        <w:t>25</w:t>
      </w:r>
      <w:r w:rsidR="0071604C" w:rsidRPr="005B17F2">
        <w:t>)</w:t>
      </w:r>
      <w:r w:rsidR="00E17971" w:rsidRPr="00010CA5">
        <w:fldChar w:fldCharType="end"/>
      </w:r>
      <w:r w:rsidR="00305EEE" w:rsidRPr="00010CA5">
        <w:t xml:space="preserve"> </w:t>
      </w:r>
      <w:r w:rsidR="00834230" w:rsidRPr="00010CA5">
        <w:t xml:space="preserve">can be used by applying the function parameters </w:t>
      </w:r>
      <w:r w:rsidR="00F26B9F" w:rsidRPr="00010CA5">
        <w:t xml:space="preserve">in </w:t>
      </w:r>
      <w:r w:rsidR="00010CA5" w:rsidRPr="00010CA5">
        <w:t>Appendix 3</w:t>
      </w:r>
      <w:r w:rsidR="00155BC3" w:rsidRPr="00010CA5">
        <w:t xml:space="preserve"> to calculate the emission factor.</w:t>
      </w:r>
    </w:p>
    <w:p w14:paraId="40C2BF37" w14:textId="77777777" w:rsidR="001D2587" w:rsidRPr="00010CA5" w:rsidRDefault="001D2587" w:rsidP="00B019EC">
      <w:pPr>
        <w:pStyle w:val="Heading4"/>
      </w:pPr>
      <w:bookmarkStart w:id="229" w:name="_Toc457131601"/>
      <w:bookmarkStart w:id="230" w:name="_Toc496264332"/>
      <w:r w:rsidRPr="00010CA5">
        <w:t xml:space="preserve">Motorcycles </w:t>
      </w:r>
      <w:r w:rsidR="00972A38" w:rsidRPr="00010CA5">
        <w:t>&gt; </w:t>
      </w:r>
      <w:r w:rsidRPr="00010CA5">
        <w:t>50</w:t>
      </w:r>
      <w:r w:rsidR="00363D3C" w:rsidRPr="00010CA5">
        <w:t> cm</w:t>
      </w:r>
      <w:r w:rsidRPr="00010CA5">
        <w:t>³</w:t>
      </w:r>
      <w:bookmarkEnd w:id="229"/>
      <w:bookmarkEnd w:id="230"/>
    </w:p>
    <w:p w14:paraId="0A2E6D09" w14:textId="1A69C12D" w:rsidR="00872AFB" w:rsidRPr="000855B2" w:rsidRDefault="001D2587" w:rsidP="00155BC3">
      <w:pPr>
        <w:pStyle w:val="BodyText"/>
      </w:pPr>
      <w:bookmarkStart w:id="231" w:name="_Ref476231524"/>
      <w:r w:rsidRPr="00010CA5">
        <w:t xml:space="preserve">The equation used to calculate the emission factor </w:t>
      </w:r>
      <w:r w:rsidR="00145106" w:rsidRPr="00010CA5">
        <w:t>for</w:t>
      </w:r>
      <w:r w:rsidRPr="00010CA5">
        <w:t xml:space="preserve"> </w:t>
      </w:r>
      <w:r w:rsidR="00145106" w:rsidRPr="00010CA5">
        <w:t>c</w:t>
      </w:r>
      <w:r w:rsidRPr="00010CA5">
        <w:t>onventional and Euro 1 motorcycles over 50</w:t>
      </w:r>
      <w:r w:rsidR="00363D3C" w:rsidRPr="00010CA5">
        <w:t> cm</w:t>
      </w:r>
      <w:r w:rsidRPr="00010CA5">
        <w:t xml:space="preserve">³ engine displacement is </w:t>
      </w:r>
      <w:r w:rsidR="003C2DC5" w:rsidRPr="00010CA5">
        <w:t>equation</w:t>
      </w:r>
      <w:bookmarkEnd w:id="231"/>
      <w:r w:rsidR="00305EEE" w:rsidRPr="00010CA5">
        <w:t xml:space="preserve"> </w:t>
      </w:r>
      <w:r w:rsidR="00E17971" w:rsidRPr="00010CA5">
        <w:fldChar w:fldCharType="begin"/>
      </w:r>
      <w:r w:rsidR="00305EEE" w:rsidRPr="00010CA5">
        <w:instrText xml:space="preserve"> REF _Ref476581033 \h </w:instrText>
      </w:r>
      <w:r w:rsidR="00010CA5">
        <w:instrText xml:space="preserve"> \* MERGEFORMAT </w:instrText>
      </w:r>
      <w:r w:rsidR="00E17971" w:rsidRPr="00010CA5">
        <w:fldChar w:fldCharType="separate"/>
      </w:r>
      <w:r w:rsidR="0071604C" w:rsidRPr="005B17F2">
        <w:t>(</w:t>
      </w:r>
      <w:r w:rsidR="0071604C">
        <w:rPr>
          <w:noProof/>
        </w:rPr>
        <w:t>25</w:t>
      </w:r>
      <w:r w:rsidR="0071604C" w:rsidRPr="005B17F2">
        <w:t>)</w:t>
      </w:r>
      <w:r w:rsidR="00E17971" w:rsidRPr="00010CA5">
        <w:fldChar w:fldCharType="end"/>
      </w:r>
      <w:r w:rsidRPr="00010CA5">
        <w:t>. The coefficients</w:t>
      </w:r>
      <w:r w:rsidR="00A433A2" w:rsidRPr="00010CA5">
        <w:t xml:space="preserve"> </w:t>
      </w:r>
      <w:r w:rsidR="00A361C8" w:rsidRPr="00010CA5">
        <w:t>needed</w:t>
      </w:r>
      <w:r w:rsidR="00E65F2C" w:rsidRPr="00010CA5">
        <w:t xml:space="preserve"> </w:t>
      </w:r>
      <w:r w:rsidRPr="00010CA5">
        <w:t xml:space="preserve">to calculate </w:t>
      </w:r>
      <w:r w:rsidR="00A361C8" w:rsidRPr="00010CA5">
        <w:t xml:space="preserve">the </w:t>
      </w:r>
      <w:r w:rsidRPr="00010CA5">
        <w:t>emission factors are</w:t>
      </w:r>
      <w:r w:rsidRPr="000855B2">
        <w:t xml:space="preserve"> given in </w:t>
      </w:r>
      <w:r w:rsidR="00010CA5">
        <w:t>Appendix 3</w:t>
      </w:r>
      <w:r w:rsidR="00A361C8" w:rsidRPr="000855B2">
        <w:t>,</w:t>
      </w:r>
      <w:r w:rsidR="00A433A2" w:rsidRPr="000855B2">
        <w:t xml:space="preserve"> for the different motorcycle categories</w:t>
      </w:r>
      <w:r w:rsidRPr="000855B2">
        <w:t>.</w:t>
      </w:r>
      <w:r w:rsidR="00155BC3">
        <w:t xml:space="preserve"> </w:t>
      </w:r>
      <w:r w:rsidR="009A1053" w:rsidRPr="000855B2">
        <w:t>PM emissions</w:t>
      </w:r>
      <w:r w:rsidRPr="000855B2">
        <w:t xml:space="preserve"> </w:t>
      </w:r>
      <w:r w:rsidR="00F26B9F">
        <w:t xml:space="preserve">from two-stroke vehicles </w:t>
      </w:r>
      <w:r w:rsidRPr="000855B2">
        <w:t xml:space="preserve">are particularly important. The emission factors </w:t>
      </w:r>
      <w:r w:rsidR="00F26B9F">
        <w:t xml:space="preserve">proposed </w:t>
      </w:r>
      <w:r w:rsidRPr="000855B2">
        <w:t xml:space="preserve">correspond to a </w:t>
      </w:r>
      <w:r w:rsidR="00F26B9F">
        <w:t xml:space="preserve">typical </w:t>
      </w:r>
      <w:r w:rsidRPr="000855B2">
        <w:t xml:space="preserve">mix of mineral and synthetic lubricant used for </w:t>
      </w:r>
      <w:r w:rsidR="00C97944" w:rsidRPr="000855B2">
        <w:t>two-stroke</w:t>
      </w:r>
      <w:r w:rsidRPr="000855B2">
        <w:t xml:space="preserve"> engines.</w:t>
      </w:r>
      <w:bookmarkStart w:id="232" w:name="_Ref140485502"/>
      <w:r w:rsidR="00F26B9F">
        <w:t xml:space="preserve"> Full synthetic oil use would lead to lower PM emission factors.</w:t>
      </w:r>
    </w:p>
    <w:p w14:paraId="3219B3C2" w14:textId="77777777" w:rsidR="001D2587" w:rsidRPr="000855B2" w:rsidRDefault="001D2587" w:rsidP="00B019EC">
      <w:pPr>
        <w:pStyle w:val="Heading4"/>
      </w:pPr>
      <w:bookmarkStart w:id="233" w:name="_Toc457131589"/>
      <w:bookmarkStart w:id="234" w:name="_Toc496264320"/>
      <w:bookmarkEnd w:id="232"/>
      <w:r w:rsidRPr="000855B2">
        <w:t>Emissions of non-regulated pollutants</w:t>
      </w:r>
      <w:bookmarkEnd w:id="233"/>
      <w:bookmarkEnd w:id="234"/>
    </w:p>
    <w:p w14:paraId="1F11E9E1" w14:textId="77777777" w:rsidR="001D2587" w:rsidRPr="000855B2" w:rsidRDefault="00FE335D">
      <w:pPr>
        <w:pStyle w:val="Heading5"/>
      </w:pPr>
      <w:r w:rsidRPr="000855B2">
        <w:t>M</w:t>
      </w:r>
      <w:r w:rsidR="001D2587" w:rsidRPr="000855B2">
        <w:t xml:space="preserve">ethane </w:t>
      </w:r>
      <w:r w:rsidRPr="000855B2">
        <w:t>and</w:t>
      </w:r>
      <w:r w:rsidR="001D2587" w:rsidRPr="000855B2">
        <w:t xml:space="preserve"> </w:t>
      </w:r>
      <w:r w:rsidRPr="000855B2">
        <w:t>NM</w:t>
      </w:r>
      <w:r w:rsidR="001D2587" w:rsidRPr="000855B2">
        <w:t>VOCs</w:t>
      </w:r>
    </w:p>
    <w:p w14:paraId="0D460C65" w14:textId="643F9998" w:rsidR="0048755A" w:rsidRPr="000855B2" w:rsidRDefault="00FE335D" w:rsidP="008D2FF3">
      <w:pPr>
        <w:pStyle w:val="BodyText"/>
      </w:pPr>
      <w:r w:rsidRPr="000855B2">
        <w:t>The emission l</w:t>
      </w:r>
      <w:r w:rsidR="001D2587" w:rsidRPr="000855B2">
        <w:t>egislation regulates total VOC emissions</w:t>
      </w:r>
      <w:r w:rsidRPr="000855B2">
        <w:t>,</w:t>
      </w:r>
      <w:r w:rsidR="001D2587" w:rsidRPr="000855B2">
        <w:t xml:space="preserve"> with no distinction </w:t>
      </w:r>
      <w:r w:rsidRPr="000855B2">
        <w:t>between</w:t>
      </w:r>
      <w:r w:rsidR="001D2587" w:rsidRPr="000855B2">
        <w:t xml:space="preserve"> methane</w:t>
      </w:r>
      <w:r w:rsidRPr="000855B2">
        <w:t xml:space="preserve"> and</w:t>
      </w:r>
      <w:r w:rsidR="001D2587" w:rsidRPr="000855B2">
        <w:t xml:space="preserve"> </w:t>
      </w:r>
      <w:r w:rsidRPr="000855B2">
        <w:t>NMVOCs</w:t>
      </w:r>
      <w:r w:rsidR="001D2587" w:rsidRPr="000855B2">
        <w:t xml:space="preserve">. </w:t>
      </w:r>
      <w:r w:rsidRPr="000855B2">
        <w:t>The p</w:t>
      </w:r>
      <w:r w:rsidR="001D2587" w:rsidRPr="000855B2">
        <w:t xml:space="preserve">revious tables </w:t>
      </w:r>
      <w:r w:rsidRPr="000855B2">
        <w:t xml:space="preserve">in this chapter </w:t>
      </w:r>
      <w:r w:rsidR="001D2587" w:rsidRPr="000855B2">
        <w:t xml:space="preserve">have provided emission factors for VOCs. However, </w:t>
      </w:r>
      <w:r w:rsidRPr="000855B2">
        <w:t>as</w:t>
      </w:r>
      <w:r w:rsidR="001D2587" w:rsidRPr="000855B2">
        <w:t xml:space="preserve"> CH</w:t>
      </w:r>
      <w:r w:rsidR="001D2587" w:rsidRPr="000855B2">
        <w:rPr>
          <w:vertAlign w:val="subscript"/>
        </w:rPr>
        <w:t>4</w:t>
      </w:r>
      <w:r w:rsidR="001D2587" w:rsidRPr="000855B2">
        <w:t xml:space="preserve"> is a greenhouse gas, </w:t>
      </w:r>
      <w:r w:rsidRPr="000855B2">
        <w:t>separate</w:t>
      </w:r>
      <w:r w:rsidR="001D2587" w:rsidRPr="000855B2">
        <w:t xml:space="preserve"> emission factors </w:t>
      </w:r>
      <w:r w:rsidRPr="000855B2">
        <w:t xml:space="preserve">are required </w:t>
      </w:r>
      <w:r w:rsidR="001D2587" w:rsidRPr="000855B2">
        <w:t>to calculate its contribution. In order to calculate hot CH</w:t>
      </w:r>
      <w:r w:rsidR="001D2587" w:rsidRPr="000855B2">
        <w:rPr>
          <w:vertAlign w:val="subscript"/>
        </w:rPr>
        <w:t>4</w:t>
      </w:r>
      <w:r w:rsidR="001D2587" w:rsidRPr="000855B2">
        <w:t xml:space="preserve"> emissions, equation </w:t>
      </w:r>
      <w:r w:rsidR="00FB454C">
        <w:fldChar w:fldCharType="begin"/>
      </w:r>
      <w:r w:rsidR="00FB454C">
        <w:instrText xml:space="preserve"> REF _Ref140576510 \h  \* MERGEFORMAT </w:instrText>
      </w:r>
      <w:r w:rsidR="00FB454C">
        <w:fldChar w:fldCharType="separate"/>
      </w:r>
      <w:r w:rsidR="0071604C" w:rsidRPr="000855B2">
        <w:t>(</w:t>
      </w:r>
      <w:r w:rsidR="0071604C">
        <w:t>8</w:t>
      </w:r>
      <w:r w:rsidR="0071604C" w:rsidRPr="000855B2">
        <w:t>)</w:t>
      </w:r>
      <w:r w:rsidR="00FB454C">
        <w:fldChar w:fldCharType="end"/>
      </w:r>
      <w:r w:rsidR="001D2587" w:rsidRPr="000855B2">
        <w:t xml:space="preserve"> can be applied with the values given in </w:t>
      </w:r>
      <w:r w:rsidR="00FB454C">
        <w:fldChar w:fldCharType="begin"/>
      </w:r>
      <w:r w:rsidR="00FB454C">
        <w:instrText xml:space="preserve"> REF _Ref172107250 \h  \* MERGEFORMAT </w:instrText>
      </w:r>
      <w:r w:rsidR="00FB454C">
        <w:fldChar w:fldCharType="separate"/>
      </w:r>
      <w:r w:rsidR="0071604C" w:rsidRPr="000855B2">
        <w:t>Table </w:t>
      </w:r>
      <w:r w:rsidR="0071604C">
        <w:t>3.46</w:t>
      </w:r>
      <w:r w:rsidR="00FB454C">
        <w:fldChar w:fldCharType="end"/>
      </w:r>
      <w:r w:rsidR="001D2587" w:rsidRPr="000855B2">
        <w:t>. Reduction factors for more recent technologies are given in</w:t>
      </w:r>
      <w:r w:rsidR="00872AFB" w:rsidRPr="000855B2">
        <w:t xml:space="preserve"> </w:t>
      </w:r>
      <w:r w:rsidR="00FB454C">
        <w:fldChar w:fldCharType="begin"/>
      </w:r>
      <w:r w:rsidR="00FB454C">
        <w:instrText xml:space="preserve"> REF _Ref201739314 \h  \* MERGEFORMAT </w:instrText>
      </w:r>
      <w:r w:rsidR="00FB454C">
        <w:fldChar w:fldCharType="separate"/>
      </w:r>
      <w:r w:rsidR="0071604C" w:rsidRPr="000855B2">
        <w:t>Table </w:t>
      </w:r>
      <w:r w:rsidR="0071604C">
        <w:t>3.47</w:t>
      </w:r>
      <w:r w:rsidR="00FB454C">
        <w:fldChar w:fldCharType="end"/>
      </w:r>
      <w:r w:rsidR="001D2587" w:rsidRPr="000855B2">
        <w:t>. In reference to those tables it should be noted that cold</w:t>
      </w:r>
      <w:r w:rsidRPr="000855B2">
        <w:t>-start</w:t>
      </w:r>
      <w:r w:rsidR="001D2587" w:rsidRPr="000855B2">
        <w:t xml:space="preserve"> emission factors appl</w:t>
      </w:r>
      <w:r w:rsidRPr="000855B2">
        <w:t>y</w:t>
      </w:r>
      <w:r w:rsidR="001D2587" w:rsidRPr="000855B2">
        <w:t xml:space="preserve"> only </w:t>
      </w:r>
      <w:r w:rsidRPr="000855B2">
        <w:t>to</w:t>
      </w:r>
      <w:r w:rsidR="001D2587" w:rsidRPr="000855B2">
        <w:t xml:space="preserve"> passenger cars and </w:t>
      </w:r>
      <w:r w:rsidR="00CF67A4" w:rsidRPr="000855B2">
        <w:t>light commercial</w:t>
      </w:r>
      <w:r w:rsidR="001D2587" w:rsidRPr="000855B2">
        <w:t xml:space="preserve"> vehicles. In </w:t>
      </w:r>
      <w:r w:rsidR="00FB454C">
        <w:fldChar w:fldCharType="begin"/>
      </w:r>
      <w:r w:rsidR="00FB454C">
        <w:instrText xml:space="preserve"> REF _Ref201739314 \h  \* MERGEFORMAT </w:instrText>
      </w:r>
      <w:r w:rsidR="00FB454C">
        <w:fldChar w:fldCharType="separate"/>
      </w:r>
      <w:r w:rsidR="0071604C" w:rsidRPr="000855B2">
        <w:t>Table </w:t>
      </w:r>
      <w:r w:rsidR="0071604C">
        <w:t>3.47</w:t>
      </w:r>
      <w:r w:rsidR="00FB454C">
        <w:fldChar w:fldCharType="end"/>
      </w:r>
      <w:r w:rsidR="001D2587" w:rsidRPr="000855B2">
        <w:t xml:space="preserve"> the reductions are </w:t>
      </w:r>
      <w:r w:rsidRPr="000855B2">
        <w:t>relative to</w:t>
      </w:r>
      <w:r w:rsidR="001D2587" w:rsidRPr="000855B2">
        <w:t xml:space="preserve"> Euro 1 for passenger cars and Euro I for heavy</w:t>
      </w:r>
      <w:r w:rsidR="006F1553" w:rsidRPr="000855B2">
        <w:t>-</w:t>
      </w:r>
      <w:r w:rsidR="001D2587" w:rsidRPr="000855B2">
        <w:t>duty vehicles and buses. For two</w:t>
      </w:r>
      <w:r w:rsidR="00F558A0" w:rsidRPr="000855B2">
        <w:t>-</w:t>
      </w:r>
      <w:r w:rsidR="001D2587" w:rsidRPr="000855B2">
        <w:t>wheel</w:t>
      </w:r>
      <w:r w:rsidR="00F558A0" w:rsidRPr="000855B2">
        <w:t xml:space="preserve"> vehicles</w:t>
      </w:r>
      <w:r w:rsidR="001D2587" w:rsidRPr="000855B2">
        <w:t xml:space="preserve"> the reductions are </w:t>
      </w:r>
      <w:r w:rsidR="00F558A0" w:rsidRPr="000855B2">
        <w:t>relative to</w:t>
      </w:r>
      <w:r w:rsidR="001D2587" w:rsidRPr="000855B2">
        <w:t xml:space="preserve"> conventional technology.</w:t>
      </w:r>
      <w:r w:rsidR="0048755A" w:rsidRPr="000855B2">
        <w:t xml:space="preserve"> </w:t>
      </w:r>
      <w:r w:rsidR="00DA3822" w:rsidRPr="000855B2">
        <w:t>The m</w:t>
      </w:r>
      <w:r w:rsidR="001D2587" w:rsidRPr="000855B2">
        <w:t xml:space="preserve">ethane emission factors </w:t>
      </w:r>
      <w:r w:rsidR="00DA3822" w:rsidRPr="000855B2">
        <w:t>were</w:t>
      </w:r>
      <w:r w:rsidR="001D2587" w:rsidRPr="000855B2">
        <w:t xml:space="preserve"> derived from the literature for all types of vehicles (Bailey </w:t>
      </w:r>
      <w:r w:rsidR="00D73F59" w:rsidRPr="000855B2">
        <w:t>et al</w:t>
      </w:r>
      <w:r w:rsidR="001D2587" w:rsidRPr="000855B2">
        <w:t>.</w:t>
      </w:r>
      <w:r w:rsidR="00F558A0" w:rsidRPr="000855B2">
        <w:t xml:space="preserve">, </w:t>
      </w:r>
      <w:r w:rsidR="001D2587" w:rsidRPr="000855B2">
        <w:t>1989</w:t>
      </w:r>
      <w:r w:rsidR="00F558A0" w:rsidRPr="000855B2">
        <w:t>;</w:t>
      </w:r>
      <w:r w:rsidR="001D2587" w:rsidRPr="000855B2">
        <w:t xml:space="preserve"> Volkswagen</w:t>
      </w:r>
      <w:r w:rsidR="00F558A0" w:rsidRPr="000855B2">
        <w:t>,</w:t>
      </w:r>
      <w:r w:rsidR="001D2587" w:rsidRPr="000855B2">
        <w:t xml:space="preserve"> 1989</w:t>
      </w:r>
      <w:r w:rsidR="00F558A0" w:rsidRPr="000855B2">
        <w:t>;</w:t>
      </w:r>
      <w:r w:rsidR="001D2587" w:rsidRPr="000855B2">
        <w:t xml:space="preserve"> OECD</w:t>
      </w:r>
      <w:r w:rsidR="00F558A0" w:rsidRPr="000855B2">
        <w:t>,</w:t>
      </w:r>
      <w:r w:rsidR="001D2587" w:rsidRPr="000855B2">
        <w:t xml:space="preserve"> 1991, Zajontz </w:t>
      </w:r>
      <w:r w:rsidR="00D73F59" w:rsidRPr="000855B2">
        <w:t>et al</w:t>
      </w:r>
      <w:r w:rsidR="001D2587" w:rsidRPr="000855B2">
        <w:t>.</w:t>
      </w:r>
      <w:r w:rsidR="00F558A0" w:rsidRPr="000855B2">
        <w:t>,</w:t>
      </w:r>
      <w:r w:rsidR="001D2587" w:rsidRPr="000855B2">
        <w:t xml:space="preserve"> 1991)</w:t>
      </w:r>
      <w:r w:rsidR="00F558A0" w:rsidRPr="000855B2">
        <w:t xml:space="preserve">, and the data from the </w:t>
      </w:r>
      <w:r w:rsidR="00CC5B0C" w:rsidRPr="000855B2">
        <w:t>Artemis</w:t>
      </w:r>
      <w:r w:rsidR="00F558A0" w:rsidRPr="000855B2">
        <w:t xml:space="preserve"> project</w:t>
      </w:r>
      <w:r w:rsidR="001D2587" w:rsidRPr="000855B2">
        <w:t>.</w:t>
      </w:r>
      <w:r w:rsidR="00E35DF9" w:rsidRPr="000855B2">
        <w:t xml:space="preserve"> Additional research (</w:t>
      </w:r>
      <w:r w:rsidR="00AE41FF" w:rsidRPr="000855B2">
        <w:t>Bach et al, 2010; Zervas and Panousi, 2010; Timmons. 2010, Vonk et al, 2010)</w:t>
      </w:r>
      <w:r w:rsidR="00E35DF9" w:rsidRPr="000855B2">
        <w:t xml:space="preserve"> led to updated CH</w:t>
      </w:r>
      <w:r w:rsidR="00E35DF9" w:rsidRPr="000855B2">
        <w:rPr>
          <w:vertAlign w:val="subscript"/>
        </w:rPr>
        <w:t>4</w:t>
      </w:r>
      <w:r w:rsidR="00E35DF9" w:rsidRPr="000855B2">
        <w:t xml:space="preserve"> factors for Euro </w:t>
      </w:r>
      <w:r w:rsidR="004E1503">
        <w:t>Petrol</w:t>
      </w:r>
      <w:r w:rsidR="00E35DF9" w:rsidRPr="000855B2">
        <w:t>/E85 passenger cars and CNG methane emissions.</w:t>
      </w:r>
    </w:p>
    <w:p w14:paraId="5356463F" w14:textId="46CD86B8" w:rsidR="001D2587" w:rsidRPr="000855B2" w:rsidRDefault="00A040D1" w:rsidP="00C92B1B">
      <w:pPr>
        <w:pStyle w:val="Caption"/>
      </w:pPr>
      <w:bookmarkStart w:id="235" w:name="_Ref172107250"/>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46</w:t>
      </w:r>
      <w:r w:rsidR="00FB454C">
        <w:rPr>
          <w:noProof/>
        </w:rPr>
        <w:fldChar w:fldCharType="end"/>
      </w:r>
      <w:bookmarkEnd w:id="235"/>
      <w:r w:rsidR="001D2587" w:rsidRPr="000855B2">
        <w:t>: Methane (CH</w:t>
      </w:r>
      <w:r w:rsidR="001D2587" w:rsidRPr="000855B2">
        <w:rPr>
          <w:vertAlign w:val="subscript"/>
        </w:rPr>
        <w:t>4</w:t>
      </w:r>
      <w:r w:rsidR="001D2587" w:rsidRPr="000855B2">
        <w:t>) emission factors (mg/km)</w:t>
      </w:r>
    </w:p>
    <w:tbl>
      <w:tblPr>
        <w:tblW w:w="8316" w:type="dxa"/>
        <w:tblLayout w:type="fixed"/>
        <w:tblLook w:val="0000" w:firstRow="0" w:lastRow="0" w:firstColumn="0" w:lastColumn="0" w:noHBand="0" w:noVBand="0"/>
      </w:tblPr>
      <w:tblGrid>
        <w:gridCol w:w="1101"/>
        <w:gridCol w:w="992"/>
        <w:gridCol w:w="2268"/>
        <w:gridCol w:w="966"/>
        <w:gridCol w:w="709"/>
        <w:gridCol w:w="850"/>
        <w:gridCol w:w="1430"/>
      </w:tblGrid>
      <w:tr w:rsidR="00A361C8" w:rsidRPr="000855B2" w14:paraId="56669753" w14:textId="77777777" w:rsidTr="00153E37">
        <w:trPr>
          <w:cantSplit/>
          <w:trHeight w:val="255"/>
        </w:trPr>
        <w:tc>
          <w:tcPr>
            <w:tcW w:w="1101" w:type="dxa"/>
            <w:vMerge w:val="restart"/>
            <w:tcBorders>
              <w:top w:val="double" w:sz="4" w:space="0" w:color="auto"/>
              <w:left w:val="double" w:sz="4" w:space="0" w:color="auto"/>
              <w:right w:val="single" w:sz="2" w:space="0" w:color="auto"/>
            </w:tcBorders>
            <w:shd w:val="clear" w:color="auto" w:fill="auto"/>
            <w:vAlign w:val="center"/>
          </w:tcPr>
          <w:p w14:paraId="2FD1CAA3" w14:textId="77777777" w:rsidR="00A361C8" w:rsidRPr="000855B2" w:rsidRDefault="00A361C8" w:rsidP="005C7955">
            <w:pPr>
              <w:keepNext/>
              <w:keepLines/>
              <w:suppressAutoHyphens/>
              <w:spacing w:line="240" w:lineRule="atLeast"/>
              <w:jc w:val="center"/>
              <w:rPr>
                <w:b/>
                <w:bCs/>
                <w:sz w:val="16"/>
                <w:szCs w:val="18"/>
                <w:lang w:val="en-GB" w:eastAsia="zh-CN"/>
              </w:rPr>
            </w:pPr>
            <w:r w:rsidRPr="000855B2">
              <w:rPr>
                <w:b/>
                <w:bCs/>
                <w:sz w:val="16"/>
                <w:szCs w:val="18"/>
                <w:lang w:val="en-GB" w:eastAsia="zh-CN"/>
              </w:rPr>
              <w:t>Vehicle type</w:t>
            </w:r>
          </w:p>
        </w:tc>
        <w:tc>
          <w:tcPr>
            <w:tcW w:w="992" w:type="dxa"/>
            <w:vMerge w:val="restart"/>
            <w:tcBorders>
              <w:top w:val="double" w:sz="4" w:space="0" w:color="auto"/>
              <w:left w:val="single" w:sz="2" w:space="0" w:color="auto"/>
              <w:right w:val="single" w:sz="2" w:space="0" w:color="auto"/>
            </w:tcBorders>
            <w:shd w:val="clear" w:color="auto" w:fill="auto"/>
            <w:vAlign w:val="center"/>
          </w:tcPr>
          <w:p w14:paraId="1E578A56" w14:textId="77777777" w:rsidR="00A361C8" w:rsidRPr="000855B2" w:rsidRDefault="00A361C8" w:rsidP="005C7955">
            <w:pPr>
              <w:keepNext/>
              <w:keepLines/>
              <w:suppressAutoHyphens/>
              <w:spacing w:line="240" w:lineRule="atLeast"/>
              <w:jc w:val="center"/>
              <w:rPr>
                <w:b/>
                <w:bCs/>
                <w:sz w:val="16"/>
                <w:szCs w:val="18"/>
                <w:lang w:val="en-GB" w:eastAsia="zh-CN"/>
              </w:rPr>
            </w:pPr>
            <w:r w:rsidRPr="000855B2">
              <w:rPr>
                <w:b/>
                <w:bCs/>
                <w:sz w:val="16"/>
                <w:szCs w:val="18"/>
                <w:lang w:val="en-GB" w:eastAsia="zh-CN"/>
              </w:rPr>
              <w:t>Fuel</w:t>
            </w:r>
          </w:p>
        </w:tc>
        <w:tc>
          <w:tcPr>
            <w:tcW w:w="2268" w:type="dxa"/>
            <w:vMerge w:val="restart"/>
            <w:tcBorders>
              <w:top w:val="double" w:sz="4" w:space="0" w:color="auto"/>
              <w:left w:val="single" w:sz="2" w:space="0" w:color="auto"/>
              <w:right w:val="single" w:sz="2" w:space="0" w:color="auto"/>
            </w:tcBorders>
            <w:shd w:val="clear" w:color="auto" w:fill="auto"/>
            <w:vAlign w:val="center"/>
          </w:tcPr>
          <w:p w14:paraId="1F62C4C9" w14:textId="77777777" w:rsidR="00A361C8" w:rsidRPr="000855B2" w:rsidRDefault="00A361C8" w:rsidP="005C7955">
            <w:pPr>
              <w:keepNext/>
              <w:keepLines/>
              <w:suppressAutoHyphens/>
              <w:spacing w:line="240" w:lineRule="atLeast"/>
              <w:jc w:val="center"/>
              <w:rPr>
                <w:b/>
                <w:bCs/>
                <w:sz w:val="16"/>
                <w:szCs w:val="18"/>
                <w:lang w:val="en-GB" w:eastAsia="zh-CN"/>
              </w:rPr>
            </w:pPr>
            <w:r w:rsidRPr="000855B2">
              <w:rPr>
                <w:b/>
                <w:bCs/>
                <w:sz w:val="16"/>
                <w:szCs w:val="18"/>
                <w:lang w:val="en-GB" w:eastAsia="zh-CN"/>
              </w:rPr>
              <w:t>Vehicle technology/class</w:t>
            </w:r>
          </w:p>
        </w:tc>
        <w:tc>
          <w:tcPr>
            <w:tcW w:w="1675" w:type="dxa"/>
            <w:gridSpan w:val="2"/>
            <w:tcBorders>
              <w:top w:val="double" w:sz="4" w:space="0" w:color="auto"/>
              <w:left w:val="single" w:sz="2" w:space="0" w:color="auto"/>
              <w:bottom w:val="single" w:sz="4" w:space="0" w:color="auto"/>
              <w:right w:val="single" w:sz="2" w:space="0" w:color="auto"/>
            </w:tcBorders>
            <w:vAlign w:val="center"/>
          </w:tcPr>
          <w:p w14:paraId="2B2407B2"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Urban</w:t>
            </w:r>
          </w:p>
        </w:tc>
        <w:tc>
          <w:tcPr>
            <w:tcW w:w="850" w:type="dxa"/>
            <w:tcBorders>
              <w:top w:val="double" w:sz="4" w:space="0" w:color="auto"/>
              <w:left w:val="single" w:sz="2" w:space="0" w:color="auto"/>
              <w:right w:val="single" w:sz="2" w:space="0" w:color="auto"/>
            </w:tcBorders>
            <w:vAlign w:val="center"/>
          </w:tcPr>
          <w:p w14:paraId="204805BE"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Rural</w:t>
            </w:r>
          </w:p>
        </w:tc>
        <w:tc>
          <w:tcPr>
            <w:tcW w:w="1430" w:type="dxa"/>
            <w:tcBorders>
              <w:top w:val="double" w:sz="4" w:space="0" w:color="auto"/>
              <w:left w:val="single" w:sz="2" w:space="0" w:color="auto"/>
              <w:right w:val="double" w:sz="4" w:space="0" w:color="auto"/>
            </w:tcBorders>
            <w:vAlign w:val="center"/>
          </w:tcPr>
          <w:p w14:paraId="061107D8"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Highway</w:t>
            </w:r>
          </w:p>
        </w:tc>
      </w:tr>
      <w:tr w:rsidR="00A361C8" w:rsidRPr="000855B2" w14:paraId="1DD77D5B" w14:textId="77777777" w:rsidTr="00153E37">
        <w:trPr>
          <w:cantSplit/>
          <w:trHeight w:val="270"/>
        </w:trPr>
        <w:tc>
          <w:tcPr>
            <w:tcW w:w="1101" w:type="dxa"/>
            <w:vMerge/>
            <w:tcBorders>
              <w:left w:val="double" w:sz="4" w:space="0" w:color="auto"/>
              <w:bottom w:val="single" w:sz="12" w:space="0" w:color="auto"/>
              <w:right w:val="single" w:sz="2" w:space="0" w:color="auto"/>
            </w:tcBorders>
            <w:shd w:val="clear" w:color="auto" w:fill="auto"/>
            <w:vAlign w:val="center"/>
          </w:tcPr>
          <w:p w14:paraId="38C82B49" w14:textId="77777777" w:rsidR="00A361C8" w:rsidRPr="000855B2" w:rsidRDefault="00A361C8" w:rsidP="005C7955">
            <w:pPr>
              <w:keepNext/>
              <w:keepLines/>
              <w:suppressAutoHyphens/>
              <w:spacing w:line="240" w:lineRule="atLeast"/>
              <w:jc w:val="center"/>
              <w:rPr>
                <w:b/>
                <w:bCs/>
                <w:sz w:val="16"/>
                <w:szCs w:val="18"/>
                <w:lang w:val="en-GB" w:eastAsia="zh-CN"/>
              </w:rPr>
            </w:pPr>
          </w:p>
        </w:tc>
        <w:tc>
          <w:tcPr>
            <w:tcW w:w="992" w:type="dxa"/>
            <w:vMerge/>
            <w:tcBorders>
              <w:left w:val="single" w:sz="2" w:space="0" w:color="auto"/>
              <w:bottom w:val="single" w:sz="12" w:space="0" w:color="auto"/>
              <w:right w:val="single" w:sz="2" w:space="0" w:color="auto"/>
            </w:tcBorders>
            <w:shd w:val="clear" w:color="auto" w:fill="auto"/>
            <w:vAlign w:val="center"/>
          </w:tcPr>
          <w:p w14:paraId="72316B14" w14:textId="77777777" w:rsidR="00A361C8" w:rsidRPr="000855B2" w:rsidRDefault="00A361C8" w:rsidP="005C7955">
            <w:pPr>
              <w:keepNext/>
              <w:keepLines/>
              <w:suppressAutoHyphens/>
              <w:spacing w:line="240" w:lineRule="atLeast"/>
              <w:jc w:val="center"/>
              <w:rPr>
                <w:b/>
                <w:bCs/>
                <w:sz w:val="16"/>
                <w:szCs w:val="18"/>
                <w:lang w:val="en-GB" w:eastAsia="zh-CN"/>
              </w:rPr>
            </w:pPr>
          </w:p>
        </w:tc>
        <w:tc>
          <w:tcPr>
            <w:tcW w:w="2268" w:type="dxa"/>
            <w:vMerge/>
            <w:tcBorders>
              <w:left w:val="single" w:sz="2" w:space="0" w:color="auto"/>
              <w:bottom w:val="single" w:sz="12" w:space="0" w:color="auto"/>
              <w:right w:val="single" w:sz="2" w:space="0" w:color="auto"/>
            </w:tcBorders>
            <w:shd w:val="clear" w:color="auto" w:fill="auto"/>
            <w:vAlign w:val="center"/>
          </w:tcPr>
          <w:p w14:paraId="6CE5DD1E" w14:textId="77777777" w:rsidR="00A361C8" w:rsidRPr="000855B2" w:rsidRDefault="00A361C8" w:rsidP="005C7955">
            <w:pPr>
              <w:keepNext/>
              <w:keepLines/>
              <w:suppressAutoHyphens/>
              <w:spacing w:line="240" w:lineRule="atLeast"/>
              <w:jc w:val="center"/>
              <w:rPr>
                <w:b/>
                <w:bCs/>
                <w:sz w:val="16"/>
                <w:szCs w:val="18"/>
                <w:lang w:val="en-GB" w:eastAsia="zh-CN"/>
              </w:rPr>
            </w:pPr>
          </w:p>
        </w:tc>
        <w:tc>
          <w:tcPr>
            <w:tcW w:w="966" w:type="dxa"/>
            <w:tcBorders>
              <w:top w:val="single" w:sz="4" w:space="0" w:color="auto"/>
              <w:left w:val="single" w:sz="2" w:space="0" w:color="auto"/>
              <w:bottom w:val="single" w:sz="12" w:space="0" w:color="auto"/>
              <w:right w:val="single" w:sz="2" w:space="0" w:color="auto"/>
            </w:tcBorders>
            <w:vAlign w:val="center"/>
          </w:tcPr>
          <w:p w14:paraId="4960B5AB"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Cold</w:t>
            </w:r>
          </w:p>
        </w:tc>
        <w:tc>
          <w:tcPr>
            <w:tcW w:w="709" w:type="dxa"/>
            <w:tcBorders>
              <w:top w:val="single" w:sz="4" w:space="0" w:color="auto"/>
              <w:left w:val="single" w:sz="2" w:space="0" w:color="auto"/>
              <w:bottom w:val="single" w:sz="12" w:space="0" w:color="auto"/>
              <w:right w:val="single" w:sz="2" w:space="0" w:color="auto"/>
            </w:tcBorders>
            <w:vAlign w:val="center"/>
          </w:tcPr>
          <w:p w14:paraId="1E263F02" w14:textId="77777777" w:rsidR="00A361C8" w:rsidRPr="000855B2" w:rsidRDefault="00A361C8" w:rsidP="005C7955">
            <w:pPr>
              <w:keepNext/>
              <w:keepLines/>
              <w:suppressAutoHyphens/>
              <w:spacing w:line="240" w:lineRule="atLeast"/>
              <w:jc w:val="center"/>
              <w:rPr>
                <w:b/>
                <w:sz w:val="16"/>
                <w:szCs w:val="18"/>
                <w:lang w:val="en-GB" w:eastAsia="zh-CN"/>
              </w:rPr>
            </w:pPr>
            <w:r w:rsidRPr="000855B2">
              <w:rPr>
                <w:b/>
                <w:sz w:val="16"/>
                <w:szCs w:val="18"/>
                <w:lang w:val="en-GB" w:eastAsia="zh-CN"/>
              </w:rPr>
              <w:t>Hot</w:t>
            </w:r>
          </w:p>
        </w:tc>
        <w:tc>
          <w:tcPr>
            <w:tcW w:w="850" w:type="dxa"/>
            <w:tcBorders>
              <w:left w:val="single" w:sz="2" w:space="0" w:color="auto"/>
              <w:bottom w:val="single" w:sz="12" w:space="0" w:color="auto"/>
              <w:right w:val="single" w:sz="2" w:space="0" w:color="auto"/>
            </w:tcBorders>
            <w:vAlign w:val="center"/>
          </w:tcPr>
          <w:p w14:paraId="3C4BFA0E" w14:textId="77777777" w:rsidR="00A361C8" w:rsidRPr="000855B2" w:rsidRDefault="00A361C8" w:rsidP="005C7955">
            <w:pPr>
              <w:keepNext/>
              <w:keepLines/>
              <w:suppressAutoHyphens/>
              <w:spacing w:line="240" w:lineRule="atLeast"/>
              <w:jc w:val="center"/>
              <w:rPr>
                <w:b/>
                <w:sz w:val="16"/>
                <w:szCs w:val="18"/>
                <w:lang w:val="en-GB" w:eastAsia="zh-CN"/>
              </w:rPr>
            </w:pPr>
          </w:p>
        </w:tc>
        <w:tc>
          <w:tcPr>
            <w:tcW w:w="1430" w:type="dxa"/>
            <w:tcBorders>
              <w:left w:val="single" w:sz="2" w:space="0" w:color="auto"/>
              <w:bottom w:val="single" w:sz="12" w:space="0" w:color="auto"/>
              <w:right w:val="double" w:sz="4" w:space="0" w:color="auto"/>
            </w:tcBorders>
            <w:vAlign w:val="center"/>
          </w:tcPr>
          <w:p w14:paraId="49C4CC1E" w14:textId="77777777" w:rsidR="00A361C8" w:rsidRPr="000855B2" w:rsidRDefault="00A361C8" w:rsidP="005C7955">
            <w:pPr>
              <w:keepNext/>
              <w:keepLines/>
              <w:suppressAutoHyphens/>
              <w:spacing w:line="240" w:lineRule="atLeast"/>
              <w:jc w:val="center"/>
              <w:rPr>
                <w:b/>
                <w:sz w:val="16"/>
                <w:szCs w:val="18"/>
                <w:lang w:val="en-GB" w:eastAsia="zh-CN"/>
              </w:rPr>
            </w:pPr>
          </w:p>
        </w:tc>
      </w:tr>
      <w:tr w:rsidR="002F02F7" w:rsidRPr="000855B2" w14:paraId="677AE209" w14:textId="77777777" w:rsidTr="00153E37">
        <w:trPr>
          <w:cantSplit/>
          <w:trHeight w:hRule="exact" w:val="255"/>
        </w:trPr>
        <w:tc>
          <w:tcPr>
            <w:tcW w:w="1101" w:type="dxa"/>
            <w:vMerge w:val="restart"/>
            <w:tcBorders>
              <w:top w:val="single" w:sz="12" w:space="0" w:color="auto"/>
              <w:left w:val="double" w:sz="4" w:space="0" w:color="auto"/>
              <w:right w:val="single" w:sz="4" w:space="0" w:color="auto"/>
            </w:tcBorders>
            <w:vAlign w:val="center"/>
          </w:tcPr>
          <w:p w14:paraId="6EF0D975"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Passenger cars</w:t>
            </w:r>
          </w:p>
        </w:tc>
        <w:tc>
          <w:tcPr>
            <w:tcW w:w="992" w:type="dxa"/>
            <w:vMerge w:val="restart"/>
            <w:tcBorders>
              <w:top w:val="single" w:sz="12" w:space="0" w:color="auto"/>
              <w:left w:val="single" w:sz="4" w:space="0" w:color="auto"/>
              <w:bottom w:val="single" w:sz="4" w:space="0" w:color="000000"/>
              <w:right w:val="single" w:sz="4" w:space="0" w:color="auto"/>
            </w:tcBorders>
            <w:vAlign w:val="center"/>
          </w:tcPr>
          <w:p w14:paraId="28D34FB2" w14:textId="77777777" w:rsidR="002F02F7" w:rsidRPr="000855B2" w:rsidRDefault="004E1503" w:rsidP="005C7955">
            <w:pPr>
              <w:keepNext/>
              <w:keepLines/>
              <w:suppressAutoHyphens/>
              <w:spacing w:line="240" w:lineRule="atLeast"/>
              <w:rPr>
                <w:sz w:val="16"/>
                <w:szCs w:val="18"/>
                <w:lang w:val="en-GB" w:eastAsia="zh-CN"/>
              </w:rPr>
            </w:pPr>
            <w:r>
              <w:rPr>
                <w:sz w:val="16"/>
                <w:szCs w:val="18"/>
                <w:lang w:val="en-GB" w:eastAsia="zh-CN"/>
              </w:rPr>
              <w:t>Petrol</w:t>
            </w:r>
          </w:p>
        </w:tc>
        <w:tc>
          <w:tcPr>
            <w:tcW w:w="2268" w:type="dxa"/>
            <w:tcBorders>
              <w:top w:val="single" w:sz="12" w:space="0" w:color="auto"/>
              <w:left w:val="nil"/>
              <w:bottom w:val="single" w:sz="4" w:space="0" w:color="auto"/>
              <w:right w:val="single" w:sz="4" w:space="0" w:color="auto"/>
            </w:tcBorders>
            <w:vAlign w:val="center"/>
          </w:tcPr>
          <w:p w14:paraId="4DA5329C"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12" w:space="0" w:color="auto"/>
              <w:left w:val="single" w:sz="4" w:space="0" w:color="auto"/>
              <w:bottom w:val="single" w:sz="4" w:space="0" w:color="auto"/>
              <w:right w:val="single" w:sz="4" w:space="0" w:color="auto"/>
            </w:tcBorders>
            <w:vAlign w:val="center"/>
          </w:tcPr>
          <w:p w14:paraId="5593676F"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201</w:t>
            </w:r>
          </w:p>
        </w:tc>
        <w:tc>
          <w:tcPr>
            <w:tcW w:w="709" w:type="dxa"/>
            <w:tcBorders>
              <w:top w:val="single" w:sz="12" w:space="0" w:color="auto"/>
              <w:left w:val="single" w:sz="4" w:space="0" w:color="auto"/>
              <w:bottom w:val="single" w:sz="4" w:space="0" w:color="auto"/>
              <w:right w:val="single" w:sz="4" w:space="0" w:color="auto"/>
            </w:tcBorders>
            <w:vAlign w:val="center"/>
          </w:tcPr>
          <w:p w14:paraId="12F3E23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131</w:t>
            </w:r>
          </w:p>
        </w:tc>
        <w:tc>
          <w:tcPr>
            <w:tcW w:w="850" w:type="dxa"/>
            <w:tcBorders>
              <w:top w:val="single" w:sz="12" w:space="0" w:color="auto"/>
              <w:left w:val="single" w:sz="4" w:space="0" w:color="auto"/>
              <w:bottom w:val="single" w:sz="4" w:space="0" w:color="auto"/>
              <w:right w:val="single" w:sz="4" w:space="0" w:color="auto"/>
            </w:tcBorders>
            <w:vAlign w:val="center"/>
          </w:tcPr>
          <w:p w14:paraId="313A5077"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86</w:t>
            </w:r>
          </w:p>
        </w:tc>
        <w:tc>
          <w:tcPr>
            <w:tcW w:w="1430" w:type="dxa"/>
            <w:tcBorders>
              <w:top w:val="single" w:sz="12" w:space="0" w:color="auto"/>
              <w:left w:val="single" w:sz="4" w:space="0" w:color="auto"/>
              <w:bottom w:val="single" w:sz="4" w:space="0" w:color="auto"/>
              <w:right w:val="double" w:sz="4" w:space="0" w:color="auto"/>
            </w:tcBorders>
            <w:vAlign w:val="center"/>
          </w:tcPr>
          <w:p w14:paraId="252DC21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41</w:t>
            </w:r>
          </w:p>
        </w:tc>
      </w:tr>
      <w:tr w:rsidR="002F02F7" w:rsidRPr="000855B2" w14:paraId="1E85437C" w14:textId="77777777" w:rsidTr="00153E37">
        <w:trPr>
          <w:cantSplit/>
          <w:trHeight w:hRule="exact" w:val="255"/>
        </w:trPr>
        <w:tc>
          <w:tcPr>
            <w:tcW w:w="1101" w:type="dxa"/>
            <w:vMerge/>
            <w:tcBorders>
              <w:left w:val="double" w:sz="4" w:space="0" w:color="auto"/>
              <w:right w:val="single" w:sz="4" w:space="0" w:color="auto"/>
            </w:tcBorders>
            <w:vAlign w:val="center"/>
          </w:tcPr>
          <w:p w14:paraId="703E67A1"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251A8F10"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06EF3128"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213D84EE"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45</w:t>
            </w:r>
          </w:p>
        </w:tc>
        <w:tc>
          <w:tcPr>
            <w:tcW w:w="709" w:type="dxa"/>
            <w:tcBorders>
              <w:top w:val="single" w:sz="4" w:space="0" w:color="auto"/>
              <w:left w:val="single" w:sz="4" w:space="0" w:color="auto"/>
              <w:bottom w:val="single" w:sz="4" w:space="0" w:color="auto"/>
              <w:right w:val="single" w:sz="4" w:space="0" w:color="auto"/>
            </w:tcBorders>
            <w:vAlign w:val="center"/>
          </w:tcPr>
          <w:p w14:paraId="5021572E"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26</w:t>
            </w:r>
          </w:p>
        </w:tc>
        <w:tc>
          <w:tcPr>
            <w:tcW w:w="850" w:type="dxa"/>
            <w:tcBorders>
              <w:top w:val="single" w:sz="4" w:space="0" w:color="auto"/>
              <w:left w:val="single" w:sz="4" w:space="0" w:color="auto"/>
              <w:bottom w:val="single" w:sz="4" w:space="0" w:color="auto"/>
              <w:right w:val="single" w:sz="4" w:space="0" w:color="auto"/>
            </w:tcBorders>
            <w:vAlign w:val="center"/>
          </w:tcPr>
          <w:p w14:paraId="2A1A6CCF"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16</w:t>
            </w:r>
          </w:p>
        </w:tc>
        <w:tc>
          <w:tcPr>
            <w:tcW w:w="1430" w:type="dxa"/>
            <w:tcBorders>
              <w:top w:val="single" w:sz="4" w:space="0" w:color="auto"/>
              <w:left w:val="single" w:sz="4" w:space="0" w:color="auto"/>
              <w:bottom w:val="single" w:sz="4" w:space="0" w:color="auto"/>
              <w:right w:val="double" w:sz="4" w:space="0" w:color="auto"/>
            </w:tcBorders>
            <w:vAlign w:val="center"/>
          </w:tcPr>
          <w:p w14:paraId="52CD06A8"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14</w:t>
            </w:r>
          </w:p>
        </w:tc>
      </w:tr>
      <w:tr w:rsidR="002F02F7" w:rsidRPr="000855B2" w14:paraId="7C580E9D" w14:textId="77777777" w:rsidTr="00153E37">
        <w:trPr>
          <w:cantSplit/>
          <w:trHeight w:hRule="exact" w:val="255"/>
        </w:trPr>
        <w:tc>
          <w:tcPr>
            <w:tcW w:w="1101" w:type="dxa"/>
            <w:vMerge/>
            <w:tcBorders>
              <w:left w:val="double" w:sz="4" w:space="0" w:color="auto"/>
              <w:right w:val="single" w:sz="4" w:space="0" w:color="auto"/>
            </w:tcBorders>
            <w:vAlign w:val="center"/>
          </w:tcPr>
          <w:p w14:paraId="797AA776"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71775BA4"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0B039380"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233E3ECA"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94</w:t>
            </w:r>
          </w:p>
        </w:tc>
        <w:tc>
          <w:tcPr>
            <w:tcW w:w="709" w:type="dxa"/>
            <w:tcBorders>
              <w:top w:val="single" w:sz="4" w:space="0" w:color="auto"/>
              <w:left w:val="single" w:sz="4" w:space="0" w:color="auto"/>
              <w:bottom w:val="single" w:sz="4" w:space="0" w:color="auto"/>
              <w:right w:val="single" w:sz="4" w:space="0" w:color="auto"/>
            </w:tcBorders>
            <w:vAlign w:val="center"/>
          </w:tcPr>
          <w:p w14:paraId="25FB8215"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17</w:t>
            </w:r>
          </w:p>
        </w:tc>
        <w:tc>
          <w:tcPr>
            <w:tcW w:w="850" w:type="dxa"/>
            <w:tcBorders>
              <w:top w:val="single" w:sz="4" w:space="0" w:color="auto"/>
              <w:left w:val="single" w:sz="4" w:space="0" w:color="auto"/>
              <w:bottom w:val="single" w:sz="4" w:space="0" w:color="auto"/>
              <w:right w:val="single" w:sz="4" w:space="0" w:color="auto"/>
            </w:tcBorders>
            <w:vAlign w:val="center"/>
          </w:tcPr>
          <w:p w14:paraId="3CBA2A0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13</w:t>
            </w:r>
          </w:p>
        </w:tc>
        <w:tc>
          <w:tcPr>
            <w:tcW w:w="1430" w:type="dxa"/>
            <w:tcBorders>
              <w:top w:val="single" w:sz="4" w:space="0" w:color="auto"/>
              <w:left w:val="single" w:sz="4" w:space="0" w:color="auto"/>
              <w:bottom w:val="single" w:sz="4" w:space="0" w:color="auto"/>
              <w:right w:val="double" w:sz="4" w:space="0" w:color="auto"/>
            </w:tcBorders>
            <w:vAlign w:val="center"/>
          </w:tcPr>
          <w:p w14:paraId="4CEB5CE8"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r>
      <w:tr w:rsidR="002F02F7" w:rsidRPr="000855B2" w14:paraId="68EB54D6" w14:textId="77777777" w:rsidTr="00153E37">
        <w:trPr>
          <w:cantSplit/>
          <w:trHeight w:hRule="exact" w:val="255"/>
        </w:trPr>
        <w:tc>
          <w:tcPr>
            <w:tcW w:w="1101" w:type="dxa"/>
            <w:vMerge/>
            <w:tcBorders>
              <w:left w:val="double" w:sz="4" w:space="0" w:color="auto"/>
              <w:right w:val="single" w:sz="4" w:space="0" w:color="auto"/>
            </w:tcBorders>
            <w:vAlign w:val="center"/>
          </w:tcPr>
          <w:p w14:paraId="5935912C"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770F33CD"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1D43321E"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35E65914"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83</w:t>
            </w:r>
          </w:p>
        </w:tc>
        <w:tc>
          <w:tcPr>
            <w:tcW w:w="709" w:type="dxa"/>
            <w:tcBorders>
              <w:top w:val="single" w:sz="4" w:space="0" w:color="auto"/>
              <w:left w:val="single" w:sz="4" w:space="0" w:color="auto"/>
              <w:bottom w:val="single" w:sz="4" w:space="0" w:color="auto"/>
              <w:right w:val="single" w:sz="4" w:space="0" w:color="auto"/>
            </w:tcBorders>
            <w:vAlign w:val="center"/>
          </w:tcPr>
          <w:p w14:paraId="60F4263C"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850" w:type="dxa"/>
            <w:tcBorders>
              <w:top w:val="single" w:sz="4" w:space="0" w:color="auto"/>
              <w:left w:val="single" w:sz="4" w:space="0" w:color="auto"/>
              <w:bottom w:val="single" w:sz="4" w:space="0" w:color="auto"/>
              <w:right w:val="single" w:sz="4" w:space="0" w:color="auto"/>
            </w:tcBorders>
            <w:vAlign w:val="center"/>
          </w:tcPr>
          <w:p w14:paraId="116BC110"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1430" w:type="dxa"/>
            <w:tcBorders>
              <w:top w:val="single" w:sz="4" w:space="0" w:color="auto"/>
              <w:left w:val="single" w:sz="4" w:space="0" w:color="auto"/>
              <w:bottom w:val="single" w:sz="4" w:space="0" w:color="auto"/>
              <w:right w:val="double" w:sz="4" w:space="0" w:color="auto"/>
            </w:tcBorders>
            <w:vAlign w:val="center"/>
          </w:tcPr>
          <w:p w14:paraId="6DDA408D"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4</w:t>
            </w:r>
          </w:p>
        </w:tc>
      </w:tr>
      <w:tr w:rsidR="002F02F7" w:rsidRPr="000855B2" w14:paraId="6E32086F" w14:textId="77777777" w:rsidTr="00153E37">
        <w:trPr>
          <w:cantSplit/>
          <w:trHeight w:hRule="exact" w:val="255"/>
        </w:trPr>
        <w:tc>
          <w:tcPr>
            <w:tcW w:w="1101" w:type="dxa"/>
            <w:vMerge/>
            <w:tcBorders>
              <w:left w:val="double" w:sz="4" w:space="0" w:color="auto"/>
              <w:right w:val="single" w:sz="4" w:space="0" w:color="auto"/>
            </w:tcBorders>
            <w:vAlign w:val="center"/>
          </w:tcPr>
          <w:p w14:paraId="27227A13"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70B1E6B1"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3EC128D" w14:textId="77777777" w:rsidR="002F02F7" w:rsidRPr="0098478C" w:rsidRDefault="002F02F7" w:rsidP="005C7955">
            <w:pPr>
              <w:keepNext/>
              <w:keepLines/>
              <w:suppressAutoHyphens/>
              <w:spacing w:line="240" w:lineRule="atLeast"/>
              <w:rPr>
                <w:sz w:val="16"/>
                <w:szCs w:val="18"/>
                <w:lang w:val="en-US" w:eastAsia="zh-CN"/>
              </w:rPr>
            </w:pPr>
            <w:r w:rsidRPr="000855B2">
              <w:rPr>
                <w:sz w:val="16"/>
                <w:szCs w:val="18"/>
                <w:lang w:val="en-GB" w:eastAsia="zh-CN"/>
              </w:rPr>
              <w:t>Euro 4</w:t>
            </w:r>
            <w:r w:rsidR="0098478C">
              <w:rPr>
                <w:sz w:val="16"/>
                <w:szCs w:val="18"/>
                <w:lang w:val="el-GR" w:eastAsia="zh-CN"/>
              </w:rPr>
              <w:t xml:space="preserve"> </w:t>
            </w:r>
            <w:r w:rsidR="0098478C">
              <w:rPr>
                <w:sz w:val="16"/>
                <w:szCs w:val="18"/>
                <w:lang w:val="en-US" w:eastAsia="zh-CN"/>
              </w:rPr>
              <w:t>and on</w:t>
            </w:r>
          </w:p>
        </w:tc>
        <w:tc>
          <w:tcPr>
            <w:tcW w:w="966" w:type="dxa"/>
            <w:tcBorders>
              <w:top w:val="single" w:sz="4" w:space="0" w:color="auto"/>
              <w:left w:val="single" w:sz="4" w:space="0" w:color="auto"/>
              <w:bottom w:val="single" w:sz="4" w:space="0" w:color="auto"/>
              <w:right w:val="single" w:sz="4" w:space="0" w:color="auto"/>
            </w:tcBorders>
            <w:vAlign w:val="center"/>
          </w:tcPr>
          <w:p w14:paraId="4290ADF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57</w:t>
            </w:r>
          </w:p>
        </w:tc>
        <w:tc>
          <w:tcPr>
            <w:tcW w:w="709" w:type="dxa"/>
            <w:tcBorders>
              <w:top w:val="single" w:sz="4" w:space="0" w:color="auto"/>
              <w:left w:val="single" w:sz="4" w:space="0" w:color="auto"/>
              <w:bottom w:val="single" w:sz="4" w:space="0" w:color="auto"/>
              <w:right w:val="single" w:sz="4" w:space="0" w:color="auto"/>
            </w:tcBorders>
            <w:vAlign w:val="center"/>
          </w:tcPr>
          <w:p w14:paraId="436F01F3" w14:textId="77777777" w:rsidR="002F02F7"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2.87</w:t>
            </w:r>
          </w:p>
        </w:tc>
        <w:tc>
          <w:tcPr>
            <w:tcW w:w="850" w:type="dxa"/>
            <w:tcBorders>
              <w:top w:val="single" w:sz="4" w:space="0" w:color="auto"/>
              <w:left w:val="single" w:sz="4" w:space="0" w:color="auto"/>
              <w:bottom w:val="single" w:sz="4" w:space="0" w:color="auto"/>
              <w:right w:val="single" w:sz="4" w:space="0" w:color="auto"/>
            </w:tcBorders>
            <w:vAlign w:val="center"/>
          </w:tcPr>
          <w:p w14:paraId="14AA8E9D" w14:textId="77777777" w:rsidR="002F02F7"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2.69</w:t>
            </w:r>
          </w:p>
        </w:tc>
        <w:tc>
          <w:tcPr>
            <w:tcW w:w="1430" w:type="dxa"/>
            <w:tcBorders>
              <w:top w:val="single" w:sz="4" w:space="0" w:color="auto"/>
              <w:left w:val="single" w:sz="4" w:space="0" w:color="auto"/>
              <w:bottom w:val="single" w:sz="4" w:space="0" w:color="auto"/>
              <w:right w:val="double" w:sz="4" w:space="0" w:color="auto"/>
            </w:tcBorders>
            <w:vAlign w:val="center"/>
          </w:tcPr>
          <w:p w14:paraId="6E2DCD83" w14:textId="77777777" w:rsidR="002F02F7"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5.08</w:t>
            </w:r>
          </w:p>
        </w:tc>
      </w:tr>
      <w:tr w:rsidR="002F02F7" w:rsidRPr="000855B2" w14:paraId="2B5463D4" w14:textId="77777777" w:rsidTr="00153E37">
        <w:trPr>
          <w:cantSplit/>
          <w:trHeight w:hRule="exact" w:val="255"/>
        </w:trPr>
        <w:tc>
          <w:tcPr>
            <w:tcW w:w="1101" w:type="dxa"/>
            <w:vMerge/>
            <w:tcBorders>
              <w:left w:val="double" w:sz="4" w:space="0" w:color="auto"/>
              <w:right w:val="single" w:sz="4" w:space="0" w:color="auto"/>
            </w:tcBorders>
            <w:vAlign w:val="center"/>
          </w:tcPr>
          <w:p w14:paraId="107A6F42"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val="restart"/>
            <w:tcBorders>
              <w:top w:val="nil"/>
              <w:left w:val="single" w:sz="4" w:space="0" w:color="auto"/>
              <w:bottom w:val="single" w:sz="4" w:space="0" w:color="000000"/>
              <w:right w:val="single" w:sz="4" w:space="0" w:color="auto"/>
            </w:tcBorders>
            <w:vAlign w:val="center"/>
          </w:tcPr>
          <w:p w14:paraId="440ADDDD"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Diesel</w:t>
            </w:r>
          </w:p>
        </w:tc>
        <w:tc>
          <w:tcPr>
            <w:tcW w:w="2268" w:type="dxa"/>
            <w:tcBorders>
              <w:top w:val="single" w:sz="4" w:space="0" w:color="auto"/>
              <w:left w:val="nil"/>
              <w:bottom w:val="single" w:sz="4" w:space="0" w:color="auto"/>
              <w:right w:val="single" w:sz="4" w:space="0" w:color="auto"/>
            </w:tcBorders>
            <w:vAlign w:val="center"/>
          </w:tcPr>
          <w:p w14:paraId="6FEE4B89"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4" w:space="0" w:color="auto"/>
              <w:left w:val="single" w:sz="4" w:space="0" w:color="auto"/>
              <w:bottom w:val="single" w:sz="4" w:space="0" w:color="auto"/>
              <w:right w:val="single" w:sz="4" w:space="0" w:color="auto"/>
            </w:tcBorders>
            <w:vAlign w:val="center"/>
          </w:tcPr>
          <w:p w14:paraId="23D4C853"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22</w:t>
            </w:r>
          </w:p>
        </w:tc>
        <w:tc>
          <w:tcPr>
            <w:tcW w:w="709" w:type="dxa"/>
            <w:tcBorders>
              <w:top w:val="single" w:sz="4" w:space="0" w:color="auto"/>
              <w:left w:val="single" w:sz="4" w:space="0" w:color="auto"/>
              <w:bottom w:val="single" w:sz="4" w:space="0" w:color="auto"/>
              <w:right w:val="single" w:sz="4" w:space="0" w:color="auto"/>
            </w:tcBorders>
            <w:vAlign w:val="center"/>
          </w:tcPr>
          <w:p w14:paraId="3515CDE0"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28</w:t>
            </w:r>
          </w:p>
        </w:tc>
        <w:tc>
          <w:tcPr>
            <w:tcW w:w="850" w:type="dxa"/>
            <w:tcBorders>
              <w:top w:val="single" w:sz="4" w:space="0" w:color="auto"/>
              <w:left w:val="single" w:sz="4" w:space="0" w:color="auto"/>
              <w:bottom w:val="single" w:sz="4" w:space="0" w:color="auto"/>
              <w:right w:val="single" w:sz="4" w:space="0" w:color="auto"/>
            </w:tcBorders>
            <w:vAlign w:val="center"/>
          </w:tcPr>
          <w:p w14:paraId="2087ED48"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12</w:t>
            </w:r>
          </w:p>
        </w:tc>
        <w:tc>
          <w:tcPr>
            <w:tcW w:w="1430" w:type="dxa"/>
            <w:tcBorders>
              <w:top w:val="single" w:sz="4" w:space="0" w:color="auto"/>
              <w:left w:val="single" w:sz="4" w:space="0" w:color="auto"/>
              <w:bottom w:val="single" w:sz="4" w:space="0" w:color="auto"/>
              <w:right w:val="double" w:sz="4" w:space="0" w:color="auto"/>
            </w:tcBorders>
            <w:vAlign w:val="center"/>
          </w:tcPr>
          <w:p w14:paraId="19A6B40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w:t>
            </w:r>
          </w:p>
        </w:tc>
      </w:tr>
      <w:tr w:rsidR="002F02F7" w:rsidRPr="000855B2" w14:paraId="0AED2C24" w14:textId="77777777" w:rsidTr="00153E37">
        <w:trPr>
          <w:cantSplit/>
          <w:trHeight w:hRule="exact" w:val="255"/>
        </w:trPr>
        <w:tc>
          <w:tcPr>
            <w:tcW w:w="1101" w:type="dxa"/>
            <w:vMerge/>
            <w:tcBorders>
              <w:left w:val="double" w:sz="4" w:space="0" w:color="auto"/>
              <w:right w:val="single" w:sz="4" w:space="0" w:color="auto"/>
            </w:tcBorders>
            <w:vAlign w:val="center"/>
          </w:tcPr>
          <w:p w14:paraId="5F869135"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487D8C40"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137A3F9B"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53E6D44E"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18</w:t>
            </w:r>
          </w:p>
        </w:tc>
        <w:tc>
          <w:tcPr>
            <w:tcW w:w="709" w:type="dxa"/>
            <w:tcBorders>
              <w:top w:val="single" w:sz="4" w:space="0" w:color="auto"/>
              <w:left w:val="single" w:sz="4" w:space="0" w:color="auto"/>
              <w:bottom w:val="single" w:sz="4" w:space="0" w:color="auto"/>
              <w:right w:val="single" w:sz="4" w:space="0" w:color="auto"/>
            </w:tcBorders>
            <w:vAlign w:val="center"/>
          </w:tcPr>
          <w:p w14:paraId="596B9A9D"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850" w:type="dxa"/>
            <w:tcBorders>
              <w:top w:val="single" w:sz="4" w:space="0" w:color="auto"/>
              <w:left w:val="single" w:sz="4" w:space="0" w:color="auto"/>
              <w:bottom w:val="single" w:sz="4" w:space="0" w:color="auto"/>
              <w:right w:val="single" w:sz="4" w:space="0" w:color="auto"/>
            </w:tcBorders>
            <w:vAlign w:val="center"/>
          </w:tcPr>
          <w:p w14:paraId="1017508E"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9</w:t>
            </w:r>
          </w:p>
        </w:tc>
        <w:tc>
          <w:tcPr>
            <w:tcW w:w="1430" w:type="dxa"/>
            <w:tcBorders>
              <w:top w:val="single" w:sz="4" w:space="0" w:color="auto"/>
              <w:left w:val="single" w:sz="4" w:space="0" w:color="auto"/>
              <w:bottom w:val="single" w:sz="4" w:space="0" w:color="auto"/>
              <w:right w:val="double" w:sz="4" w:space="0" w:color="auto"/>
            </w:tcBorders>
            <w:vAlign w:val="center"/>
          </w:tcPr>
          <w:p w14:paraId="697A110E"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r>
      <w:tr w:rsidR="002F02F7" w:rsidRPr="000855B2" w14:paraId="2FA72186" w14:textId="77777777" w:rsidTr="00153E37">
        <w:trPr>
          <w:cantSplit/>
          <w:trHeight w:hRule="exact" w:val="255"/>
        </w:trPr>
        <w:tc>
          <w:tcPr>
            <w:tcW w:w="1101" w:type="dxa"/>
            <w:vMerge/>
            <w:tcBorders>
              <w:left w:val="double" w:sz="4" w:space="0" w:color="auto"/>
              <w:right w:val="single" w:sz="4" w:space="0" w:color="auto"/>
            </w:tcBorders>
            <w:vAlign w:val="center"/>
          </w:tcPr>
          <w:p w14:paraId="47C323B0"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243D0323"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3AE1447"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584CDB55"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6</w:t>
            </w:r>
          </w:p>
        </w:tc>
        <w:tc>
          <w:tcPr>
            <w:tcW w:w="709" w:type="dxa"/>
            <w:tcBorders>
              <w:top w:val="single" w:sz="4" w:space="0" w:color="auto"/>
              <w:left w:val="single" w:sz="4" w:space="0" w:color="auto"/>
              <w:bottom w:val="single" w:sz="4" w:space="0" w:color="auto"/>
              <w:right w:val="single" w:sz="4" w:space="0" w:color="auto"/>
            </w:tcBorders>
            <w:vAlign w:val="center"/>
          </w:tcPr>
          <w:p w14:paraId="1787292B"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7</w:t>
            </w:r>
          </w:p>
        </w:tc>
        <w:tc>
          <w:tcPr>
            <w:tcW w:w="850" w:type="dxa"/>
            <w:tcBorders>
              <w:top w:val="single" w:sz="4" w:space="0" w:color="auto"/>
              <w:left w:val="single" w:sz="4" w:space="0" w:color="auto"/>
              <w:bottom w:val="single" w:sz="4" w:space="0" w:color="auto"/>
              <w:right w:val="single" w:sz="4" w:space="0" w:color="auto"/>
            </w:tcBorders>
            <w:vAlign w:val="center"/>
          </w:tcPr>
          <w:p w14:paraId="37430F91"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1430" w:type="dxa"/>
            <w:tcBorders>
              <w:top w:val="single" w:sz="4" w:space="0" w:color="auto"/>
              <w:left w:val="single" w:sz="4" w:space="0" w:color="auto"/>
              <w:bottom w:val="single" w:sz="4" w:space="0" w:color="auto"/>
              <w:right w:val="double" w:sz="4" w:space="0" w:color="auto"/>
            </w:tcBorders>
            <w:vAlign w:val="center"/>
          </w:tcPr>
          <w:p w14:paraId="22B90951"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r>
      <w:tr w:rsidR="002F02F7" w:rsidRPr="000855B2" w14:paraId="35348B8A" w14:textId="77777777" w:rsidTr="00153E37">
        <w:trPr>
          <w:cantSplit/>
          <w:trHeight w:hRule="exact" w:val="255"/>
        </w:trPr>
        <w:tc>
          <w:tcPr>
            <w:tcW w:w="1101" w:type="dxa"/>
            <w:vMerge/>
            <w:tcBorders>
              <w:left w:val="double" w:sz="4" w:space="0" w:color="auto"/>
              <w:right w:val="single" w:sz="4" w:space="0" w:color="auto"/>
            </w:tcBorders>
            <w:vAlign w:val="center"/>
          </w:tcPr>
          <w:p w14:paraId="39BDD4E4"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429D060B"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1CFDBE52"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4D7B1FF6"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14:paraId="078607D9"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850" w:type="dxa"/>
            <w:tcBorders>
              <w:top w:val="single" w:sz="4" w:space="0" w:color="auto"/>
              <w:left w:val="single" w:sz="4" w:space="0" w:color="auto"/>
              <w:bottom w:val="single" w:sz="4" w:space="0" w:color="auto"/>
              <w:right w:val="single" w:sz="4" w:space="0" w:color="auto"/>
            </w:tcBorders>
            <w:vAlign w:val="center"/>
          </w:tcPr>
          <w:p w14:paraId="3BE7BD64"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430" w:type="dxa"/>
            <w:tcBorders>
              <w:top w:val="single" w:sz="4" w:space="0" w:color="auto"/>
              <w:left w:val="single" w:sz="4" w:space="0" w:color="auto"/>
              <w:bottom w:val="single" w:sz="4" w:space="0" w:color="auto"/>
              <w:right w:val="double" w:sz="4" w:space="0" w:color="auto"/>
            </w:tcBorders>
            <w:vAlign w:val="center"/>
          </w:tcPr>
          <w:p w14:paraId="44596996"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2F02F7" w:rsidRPr="000855B2" w14:paraId="4AC44BE6" w14:textId="77777777" w:rsidTr="00153E37">
        <w:trPr>
          <w:cantSplit/>
          <w:trHeight w:hRule="exact" w:val="255"/>
        </w:trPr>
        <w:tc>
          <w:tcPr>
            <w:tcW w:w="1101" w:type="dxa"/>
            <w:vMerge/>
            <w:tcBorders>
              <w:left w:val="double" w:sz="4" w:space="0" w:color="auto"/>
              <w:right w:val="single" w:sz="4" w:space="0" w:color="auto"/>
            </w:tcBorders>
            <w:vAlign w:val="center"/>
          </w:tcPr>
          <w:p w14:paraId="3BDA0420" w14:textId="77777777" w:rsidR="002F02F7" w:rsidRPr="000855B2" w:rsidRDefault="002F02F7"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35DD150B" w14:textId="77777777" w:rsidR="002F02F7" w:rsidRPr="000855B2" w:rsidRDefault="002F02F7"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D7D2387"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Euro 4</w:t>
            </w:r>
            <w:r w:rsidR="0098478C">
              <w:rPr>
                <w:sz w:val="16"/>
                <w:szCs w:val="18"/>
                <w:lang w:val="en-GB" w:eastAsia="zh-CN"/>
              </w:rPr>
              <w:t xml:space="preserve"> and on</w:t>
            </w:r>
          </w:p>
        </w:tc>
        <w:tc>
          <w:tcPr>
            <w:tcW w:w="966" w:type="dxa"/>
            <w:tcBorders>
              <w:top w:val="single" w:sz="4" w:space="0" w:color="auto"/>
              <w:left w:val="single" w:sz="4" w:space="0" w:color="auto"/>
              <w:bottom w:val="single" w:sz="4" w:space="0" w:color="auto"/>
              <w:right w:val="single" w:sz="4" w:space="0" w:color="auto"/>
            </w:tcBorders>
            <w:vAlign w:val="center"/>
          </w:tcPr>
          <w:p w14:paraId="44C8FEC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709" w:type="dxa"/>
            <w:tcBorders>
              <w:top w:val="single" w:sz="4" w:space="0" w:color="auto"/>
              <w:left w:val="single" w:sz="4" w:space="0" w:color="auto"/>
              <w:bottom w:val="single" w:sz="4" w:space="0" w:color="auto"/>
              <w:right w:val="single" w:sz="4" w:space="0" w:color="auto"/>
            </w:tcBorders>
            <w:vAlign w:val="center"/>
          </w:tcPr>
          <w:p w14:paraId="6DE2371C"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850" w:type="dxa"/>
            <w:tcBorders>
              <w:top w:val="single" w:sz="4" w:space="0" w:color="auto"/>
              <w:left w:val="single" w:sz="4" w:space="0" w:color="auto"/>
              <w:bottom w:val="single" w:sz="4" w:space="0" w:color="auto"/>
              <w:right w:val="single" w:sz="4" w:space="0" w:color="auto"/>
            </w:tcBorders>
            <w:vAlign w:val="center"/>
          </w:tcPr>
          <w:p w14:paraId="1A6916D3"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430" w:type="dxa"/>
            <w:tcBorders>
              <w:top w:val="single" w:sz="4" w:space="0" w:color="auto"/>
              <w:left w:val="single" w:sz="4" w:space="0" w:color="auto"/>
              <w:bottom w:val="single" w:sz="4" w:space="0" w:color="auto"/>
              <w:right w:val="double" w:sz="4" w:space="0" w:color="auto"/>
            </w:tcBorders>
            <w:vAlign w:val="center"/>
          </w:tcPr>
          <w:p w14:paraId="4C9D54A0"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2F02F7" w:rsidRPr="000855B2" w14:paraId="4930F950" w14:textId="77777777" w:rsidTr="00153E37">
        <w:trPr>
          <w:cantSplit/>
          <w:trHeight w:hRule="exact" w:val="255"/>
        </w:trPr>
        <w:tc>
          <w:tcPr>
            <w:tcW w:w="1101" w:type="dxa"/>
            <w:vMerge/>
            <w:tcBorders>
              <w:left w:val="double" w:sz="4" w:space="0" w:color="auto"/>
              <w:right w:val="single" w:sz="4" w:space="0" w:color="auto"/>
            </w:tcBorders>
            <w:vAlign w:val="center"/>
          </w:tcPr>
          <w:p w14:paraId="67A0A539" w14:textId="77777777" w:rsidR="002F02F7" w:rsidRPr="000855B2" w:rsidRDefault="002F02F7" w:rsidP="005C7955">
            <w:pPr>
              <w:keepNext/>
              <w:keepLines/>
              <w:suppressAutoHyphens/>
              <w:spacing w:line="240" w:lineRule="atLeast"/>
              <w:rPr>
                <w:sz w:val="16"/>
                <w:szCs w:val="18"/>
                <w:lang w:val="en-GB" w:eastAsia="zh-CN"/>
              </w:rPr>
            </w:pPr>
          </w:p>
        </w:tc>
        <w:tc>
          <w:tcPr>
            <w:tcW w:w="992" w:type="dxa"/>
            <w:tcBorders>
              <w:top w:val="nil"/>
              <w:left w:val="single" w:sz="4" w:space="0" w:color="auto"/>
              <w:bottom w:val="single" w:sz="4" w:space="0" w:color="000000"/>
              <w:right w:val="single" w:sz="4" w:space="0" w:color="auto"/>
            </w:tcBorders>
            <w:vAlign w:val="center"/>
          </w:tcPr>
          <w:p w14:paraId="18EF606A"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LPG</w:t>
            </w:r>
          </w:p>
        </w:tc>
        <w:tc>
          <w:tcPr>
            <w:tcW w:w="2268" w:type="dxa"/>
            <w:tcBorders>
              <w:top w:val="single" w:sz="4" w:space="0" w:color="auto"/>
              <w:left w:val="nil"/>
              <w:right w:val="single" w:sz="4" w:space="0" w:color="auto"/>
            </w:tcBorders>
            <w:vAlign w:val="center"/>
          </w:tcPr>
          <w:p w14:paraId="32527AC8" w14:textId="77777777" w:rsidR="002F02F7" w:rsidRPr="000855B2" w:rsidRDefault="002F02F7" w:rsidP="005C7955">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
          <w:p w14:paraId="213D0DF2"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80</w:t>
            </w:r>
          </w:p>
        </w:tc>
        <w:tc>
          <w:tcPr>
            <w:tcW w:w="709" w:type="dxa"/>
            <w:tcBorders>
              <w:top w:val="single" w:sz="4" w:space="0" w:color="auto"/>
              <w:left w:val="single" w:sz="4" w:space="0" w:color="auto"/>
              <w:bottom w:val="single" w:sz="4" w:space="0" w:color="auto"/>
              <w:right w:val="single" w:sz="4" w:space="0" w:color="auto"/>
            </w:tcBorders>
            <w:vAlign w:val="center"/>
          </w:tcPr>
          <w:p w14:paraId="3E4CB4BC"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80</w:t>
            </w:r>
          </w:p>
        </w:tc>
        <w:tc>
          <w:tcPr>
            <w:tcW w:w="850" w:type="dxa"/>
            <w:tcBorders>
              <w:top w:val="single" w:sz="4" w:space="0" w:color="auto"/>
              <w:left w:val="single" w:sz="4" w:space="0" w:color="auto"/>
              <w:bottom w:val="single" w:sz="4" w:space="0" w:color="auto"/>
              <w:right w:val="single" w:sz="4" w:space="0" w:color="auto"/>
            </w:tcBorders>
            <w:vAlign w:val="center"/>
          </w:tcPr>
          <w:p w14:paraId="1FBE7680"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35</w:t>
            </w:r>
          </w:p>
        </w:tc>
        <w:tc>
          <w:tcPr>
            <w:tcW w:w="1430" w:type="dxa"/>
            <w:tcBorders>
              <w:top w:val="single" w:sz="4" w:space="0" w:color="auto"/>
              <w:left w:val="single" w:sz="4" w:space="0" w:color="auto"/>
              <w:bottom w:val="single" w:sz="4" w:space="0" w:color="auto"/>
              <w:right w:val="double" w:sz="4" w:space="0" w:color="auto"/>
            </w:tcBorders>
            <w:vAlign w:val="center"/>
          </w:tcPr>
          <w:p w14:paraId="68D4DD0C" w14:textId="77777777" w:rsidR="002F02F7" w:rsidRPr="000855B2" w:rsidRDefault="002F02F7" w:rsidP="005C7955">
            <w:pPr>
              <w:keepNext/>
              <w:keepLines/>
              <w:suppressAutoHyphens/>
              <w:spacing w:line="240" w:lineRule="atLeast"/>
              <w:jc w:val="center"/>
              <w:rPr>
                <w:sz w:val="16"/>
                <w:szCs w:val="18"/>
                <w:lang w:val="en-GB" w:eastAsia="zh-CN"/>
              </w:rPr>
            </w:pPr>
            <w:r w:rsidRPr="000855B2">
              <w:rPr>
                <w:sz w:val="16"/>
                <w:szCs w:val="18"/>
                <w:lang w:val="en-GB" w:eastAsia="zh-CN"/>
              </w:rPr>
              <w:t>25</w:t>
            </w:r>
          </w:p>
        </w:tc>
      </w:tr>
      <w:tr w:rsidR="009C46CB" w:rsidRPr="000855B2" w14:paraId="6E5C6A34" w14:textId="77777777" w:rsidTr="00153E37">
        <w:trPr>
          <w:cantSplit/>
          <w:trHeight w:hRule="exact" w:val="255"/>
        </w:trPr>
        <w:tc>
          <w:tcPr>
            <w:tcW w:w="1101" w:type="dxa"/>
            <w:vMerge/>
            <w:tcBorders>
              <w:left w:val="double" w:sz="4" w:space="0" w:color="auto"/>
              <w:right w:val="single" w:sz="4" w:space="0" w:color="auto"/>
            </w:tcBorders>
            <w:vAlign w:val="center"/>
          </w:tcPr>
          <w:p w14:paraId="76D957BD" w14:textId="77777777" w:rsidR="009C46CB" w:rsidRPr="000855B2" w:rsidRDefault="009C46CB" w:rsidP="005C7955">
            <w:pPr>
              <w:keepNext/>
              <w:keepLines/>
              <w:suppressAutoHyphens/>
              <w:spacing w:line="240" w:lineRule="atLeast"/>
              <w:rPr>
                <w:sz w:val="16"/>
                <w:szCs w:val="18"/>
                <w:lang w:val="en-GB" w:eastAsia="zh-CN"/>
              </w:rPr>
            </w:pPr>
          </w:p>
        </w:tc>
        <w:tc>
          <w:tcPr>
            <w:tcW w:w="992" w:type="dxa"/>
            <w:tcBorders>
              <w:top w:val="nil"/>
              <w:left w:val="single" w:sz="4" w:space="0" w:color="auto"/>
              <w:bottom w:val="single" w:sz="4" w:space="0" w:color="000000"/>
              <w:right w:val="single" w:sz="4" w:space="0" w:color="auto"/>
            </w:tcBorders>
            <w:vAlign w:val="center"/>
          </w:tcPr>
          <w:p w14:paraId="0B07DA29"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E85</w:t>
            </w:r>
          </w:p>
        </w:tc>
        <w:tc>
          <w:tcPr>
            <w:tcW w:w="2268" w:type="dxa"/>
            <w:tcBorders>
              <w:top w:val="single" w:sz="4" w:space="0" w:color="auto"/>
              <w:left w:val="nil"/>
              <w:right w:val="single" w:sz="4" w:space="0" w:color="auto"/>
            </w:tcBorders>
            <w:vAlign w:val="center"/>
          </w:tcPr>
          <w:p w14:paraId="47490AF8"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
          <w:p w14:paraId="5836AF26"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57</w:t>
            </w:r>
          </w:p>
        </w:tc>
        <w:tc>
          <w:tcPr>
            <w:tcW w:w="709" w:type="dxa"/>
            <w:tcBorders>
              <w:top w:val="single" w:sz="4" w:space="0" w:color="auto"/>
              <w:left w:val="single" w:sz="4" w:space="0" w:color="auto"/>
              <w:bottom w:val="single" w:sz="4" w:space="0" w:color="auto"/>
              <w:right w:val="single" w:sz="4" w:space="0" w:color="auto"/>
            </w:tcBorders>
            <w:vAlign w:val="center"/>
          </w:tcPr>
          <w:p w14:paraId="44EA2397"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2.87</w:t>
            </w:r>
          </w:p>
        </w:tc>
        <w:tc>
          <w:tcPr>
            <w:tcW w:w="850" w:type="dxa"/>
            <w:tcBorders>
              <w:top w:val="single" w:sz="4" w:space="0" w:color="auto"/>
              <w:left w:val="single" w:sz="4" w:space="0" w:color="auto"/>
              <w:bottom w:val="single" w:sz="4" w:space="0" w:color="auto"/>
              <w:right w:val="single" w:sz="4" w:space="0" w:color="auto"/>
            </w:tcBorders>
            <w:vAlign w:val="center"/>
          </w:tcPr>
          <w:p w14:paraId="65642913"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2.69</w:t>
            </w:r>
          </w:p>
        </w:tc>
        <w:tc>
          <w:tcPr>
            <w:tcW w:w="1430" w:type="dxa"/>
            <w:tcBorders>
              <w:top w:val="single" w:sz="4" w:space="0" w:color="auto"/>
              <w:left w:val="single" w:sz="4" w:space="0" w:color="auto"/>
              <w:bottom w:val="single" w:sz="4" w:space="0" w:color="auto"/>
              <w:right w:val="double" w:sz="4" w:space="0" w:color="auto"/>
            </w:tcBorders>
            <w:vAlign w:val="center"/>
          </w:tcPr>
          <w:p w14:paraId="4E88BA35"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5.08</w:t>
            </w:r>
          </w:p>
        </w:tc>
      </w:tr>
      <w:tr w:rsidR="009C46CB" w:rsidRPr="000855B2" w14:paraId="2C9B674B" w14:textId="77777777" w:rsidTr="00153E37">
        <w:trPr>
          <w:cantSplit/>
          <w:trHeight w:hRule="exact" w:val="255"/>
        </w:trPr>
        <w:tc>
          <w:tcPr>
            <w:tcW w:w="1101" w:type="dxa"/>
            <w:vMerge/>
            <w:tcBorders>
              <w:left w:val="double" w:sz="4" w:space="0" w:color="auto"/>
              <w:bottom w:val="single" w:sz="8" w:space="0" w:color="000000"/>
              <w:right w:val="single" w:sz="4" w:space="0" w:color="auto"/>
            </w:tcBorders>
            <w:vAlign w:val="center"/>
          </w:tcPr>
          <w:p w14:paraId="6A633CC2" w14:textId="77777777" w:rsidR="009C46CB" w:rsidRPr="000855B2" w:rsidRDefault="009C46CB" w:rsidP="005C7955">
            <w:pPr>
              <w:keepNext/>
              <w:keepLines/>
              <w:suppressAutoHyphens/>
              <w:spacing w:line="240" w:lineRule="atLeast"/>
              <w:rPr>
                <w:sz w:val="16"/>
                <w:szCs w:val="18"/>
                <w:lang w:val="en-GB" w:eastAsia="zh-CN"/>
              </w:rPr>
            </w:pPr>
          </w:p>
        </w:tc>
        <w:tc>
          <w:tcPr>
            <w:tcW w:w="992" w:type="dxa"/>
            <w:tcBorders>
              <w:top w:val="nil"/>
              <w:left w:val="single" w:sz="4" w:space="0" w:color="auto"/>
              <w:bottom w:val="single" w:sz="4" w:space="0" w:color="000000"/>
              <w:right w:val="single" w:sz="4" w:space="0" w:color="auto"/>
            </w:tcBorders>
            <w:vAlign w:val="center"/>
          </w:tcPr>
          <w:p w14:paraId="7C1EBFA8"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CNG</w:t>
            </w:r>
          </w:p>
        </w:tc>
        <w:tc>
          <w:tcPr>
            <w:tcW w:w="2268" w:type="dxa"/>
            <w:tcBorders>
              <w:top w:val="single" w:sz="4" w:space="0" w:color="auto"/>
              <w:left w:val="nil"/>
              <w:right w:val="single" w:sz="4" w:space="0" w:color="auto"/>
            </w:tcBorders>
            <w:vAlign w:val="center"/>
          </w:tcPr>
          <w:p w14:paraId="42AB806D"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
          <w:p w14:paraId="486A9AC2" w14:textId="77777777" w:rsidR="009C46CB"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3CBFD10E"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57.3</w:t>
            </w:r>
          </w:p>
        </w:tc>
        <w:tc>
          <w:tcPr>
            <w:tcW w:w="850" w:type="dxa"/>
            <w:tcBorders>
              <w:top w:val="single" w:sz="4" w:space="0" w:color="auto"/>
              <w:left w:val="single" w:sz="4" w:space="0" w:color="auto"/>
              <w:bottom w:val="single" w:sz="4" w:space="0" w:color="auto"/>
              <w:right w:val="single" w:sz="4" w:space="0" w:color="auto"/>
            </w:tcBorders>
            <w:vAlign w:val="center"/>
          </w:tcPr>
          <w:p w14:paraId="25C3D1FD"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27.73</w:t>
            </w:r>
          </w:p>
        </w:tc>
        <w:tc>
          <w:tcPr>
            <w:tcW w:w="1430" w:type="dxa"/>
            <w:tcBorders>
              <w:top w:val="single" w:sz="4" w:space="0" w:color="auto"/>
              <w:left w:val="single" w:sz="4" w:space="0" w:color="auto"/>
              <w:bottom w:val="single" w:sz="4" w:space="0" w:color="auto"/>
              <w:right w:val="double" w:sz="4" w:space="0" w:color="auto"/>
            </w:tcBorders>
            <w:vAlign w:val="center"/>
          </w:tcPr>
          <w:p w14:paraId="645BB0D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43.39</w:t>
            </w:r>
          </w:p>
        </w:tc>
      </w:tr>
      <w:tr w:rsidR="009C46CB" w:rsidRPr="000855B2" w14:paraId="2F3DBF1B" w14:textId="77777777" w:rsidTr="00153E37">
        <w:trPr>
          <w:cantSplit/>
          <w:trHeight w:hRule="exact" w:val="255"/>
        </w:trPr>
        <w:tc>
          <w:tcPr>
            <w:tcW w:w="1101" w:type="dxa"/>
            <w:vMerge w:val="restart"/>
            <w:tcBorders>
              <w:top w:val="nil"/>
              <w:left w:val="double" w:sz="4" w:space="0" w:color="auto"/>
              <w:bottom w:val="single" w:sz="8" w:space="0" w:color="000000"/>
              <w:right w:val="single" w:sz="4" w:space="0" w:color="auto"/>
            </w:tcBorders>
            <w:vAlign w:val="center"/>
          </w:tcPr>
          <w:p w14:paraId="60D67D83"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Light commercial vehicles</w:t>
            </w:r>
          </w:p>
        </w:tc>
        <w:tc>
          <w:tcPr>
            <w:tcW w:w="992" w:type="dxa"/>
            <w:vMerge w:val="restart"/>
            <w:tcBorders>
              <w:top w:val="single" w:sz="8" w:space="0" w:color="auto"/>
              <w:left w:val="single" w:sz="4" w:space="0" w:color="auto"/>
              <w:bottom w:val="single" w:sz="4" w:space="0" w:color="000000"/>
              <w:right w:val="single" w:sz="4" w:space="0" w:color="auto"/>
            </w:tcBorders>
            <w:vAlign w:val="center"/>
          </w:tcPr>
          <w:p w14:paraId="1F99FF8E" w14:textId="77777777" w:rsidR="009C46CB" w:rsidRPr="000855B2" w:rsidRDefault="004E1503" w:rsidP="005C7955">
            <w:pPr>
              <w:keepNext/>
              <w:keepLines/>
              <w:suppressAutoHyphens/>
              <w:spacing w:line="240" w:lineRule="atLeast"/>
              <w:rPr>
                <w:sz w:val="16"/>
                <w:szCs w:val="18"/>
                <w:lang w:val="en-GB" w:eastAsia="zh-CN"/>
              </w:rPr>
            </w:pPr>
            <w:r>
              <w:rPr>
                <w:sz w:val="16"/>
                <w:szCs w:val="18"/>
                <w:lang w:val="en-GB" w:eastAsia="zh-CN"/>
              </w:rPr>
              <w:t>Petrol</w:t>
            </w:r>
          </w:p>
        </w:tc>
        <w:tc>
          <w:tcPr>
            <w:tcW w:w="2268" w:type="dxa"/>
            <w:tcBorders>
              <w:top w:val="single" w:sz="4" w:space="0" w:color="auto"/>
              <w:left w:val="nil"/>
              <w:bottom w:val="single" w:sz="4" w:space="0" w:color="auto"/>
              <w:right w:val="single" w:sz="4" w:space="0" w:color="auto"/>
            </w:tcBorders>
            <w:vAlign w:val="center"/>
          </w:tcPr>
          <w:p w14:paraId="71EDB2D0"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4" w:space="0" w:color="auto"/>
              <w:left w:val="single" w:sz="4" w:space="0" w:color="auto"/>
              <w:bottom w:val="single" w:sz="4" w:space="0" w:color="auto"/>
              <w:right w:val="single" w:sz="4" w:space="0" w:color="auto"/>
            </w:tcBorders>
            <w:vAlign w:val="center"/>
          </w:tcPr>
          <w:p w14:paraId="46F1D9A9"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201</w:t>
            </w:r>
          </w:p>
        </w:tc>
        <w:tc>
          <w:tcPr>
            <w:tcW w:w="709" w:type="dxa"/>
            <w:tcBorders>
              <w:top w:val="single" w:sz="4" w:space="0" w:color="auto"/>
              <w:left w:val="single" w:sz="4" w:space="0" w:color="auto"/>
              <w:bottom w:val="single" w:sz="4" w:space="0" w:color="auto"/>
              <w:right w:val="single" w:sz="4" w:space="0" w:color="auto"/>
            </w:tcBorders>
            <w:vAlign w:val="center"/>
          </w:tcPr>
          <w:p w14:paraId="47380B3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131</w:t>
            </w:r>
          </w:p>
        </w:tc>
        <w:tc>
          <w:tcPr>
            <w:tcW w:w="850" w:type="dxa"/>
            <w:tcBorders>
              <w:top w:val="single" w:sz="4" w:space="0" w:color="auto"/>
              <w:left w:val="single" w:sz="4" w:space="0" w:color="auto"/>
              <w:bottom w:val="single" w:sz="4" w:space="0" w:color="auto"/>
              <w:right w:val="single" w:sz="4" w:space="0" w:color="auto"/>
            </w:tcBorders>
            <w:vAlign w:val="center"/>
          </w:tcPr>
          <w:p w14:paraId="4C1379F3"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86</w:t>
            </w:r>
          </w:p>
        </w:tc>
        <w:tc>
          <w:tcPr>
            <w:tcW w:w="1430" w:type="dxa"/>
            <w:tcBorders>
              <w:top w:val="single" w:sz="4" w:space="0" w:color="auto"/>
              <w:left w:val="single" w:sz="4" w:space="0" w:color="auto"/>
              <w:bottom w:val="single" w:sz="4" w:space="0" w:color="auto"/>
              <w:right w:val="double" w:sz="4" w:space="0" w:color="auto"/>
            </w:tcBorders>
            <w:vAlign w:val="center"/>
          </w:tcPr>
          <w:p w14:paraId="223A3CDD"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41</w:t>
            </w:r>
          </w:p>
        </w:tc>
      </w:tr>
      <w:tr w:rsidR="009C46CB" w:rsidRPr="000855B2" w14:paraId="00FA7DE9"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6ED939F6"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1E917354"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4D0212CA"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6397AED7"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45</w:t>
            </w:r>
          </w:p>
        </w:tc>
        <w:tc>
          <w:tcPr>
            <w:tcW w:w="709" w:type="dxa"/>
            <w:tcBorders>
              <w:top w:val="single" w:sz="4" w:space="0" w:color="auto"/>
              <w:left w:val="single" w:sz="4" w:space="0" w:color="auto"/>
              <w:bottom w:val="single" w:sz="4" w:space="0" w:color="auto"/>
              <w:right w:val="single" w:sz="4" w:space="0" w:color="auto"/>
            </w:tcBorders>
            <w:vAlign w:val="center"/>
          </w:tcPr>
          <w:p w14:paraId="4D1B57AE"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26</w:t>
            </w:r>
          </w:p>
        </w:tc>
        <w:tc>
          <w:tcPr>
            <w:tcW w:w="850" w:type="dxa"/>
            <w:tcBorders>
              <w:top w:val="single" w:sz="4" w:space="0" w:color="auto"/>
              <w:left w:val="single" w:sz="4" w:space="0" w:color="auto"/>
              <w:bottom w:val="single" w:sz="4" w:space="0" w:color="auto"/>
              <w:right w:val="single" w:sz="4" w:space="0" w:color="auto"/>
            </w:tcBorders>
            <w:vAlign w:val="center"/>
          </w:tcPr>
          <w:p w14:paraId="2CFF856E"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16</w:t>
            </w:r>
          </w:p>
        </w:tc>
        <w:tc>
          <w:tcPr>
            <w:tcW w:w="1430" w:type="dxa"/>
            <w:tcBorders>
              <w:top w:val="single" w:sz="4" w:space="0" w:color="auto"/>
              <w:left w:val="single" w:sz="4" w:space="0" w:color="auto"/>
              <w:bottom w:val="single" w:sz="4" w:space="0" w:color="auto"/>
              <w:right w:val="double" w:sz="4" w:space="0" w:color="auto"/>
            </w:tcBorders>
            <w:vAlign w:val="center"/>
          </w:tcPr>
          <w:p w14:paraId="61AE90EB"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14</w:t>
            </w:r>
          </w:p>
        </w:tc>
      </w:tr>
      <w:tr w:rsidR="009C46CB" w:rsidRPr="000855B2" w14:paraId="36BD970A"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24BD14C2"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04D22A67"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0DB15AD2"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67F5D841"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94</w:t>
            </w:r>
          </w:p>
        </w:tc>
        <w:tc>
          <w:tcPr>
            <w:tcW w:w="709" w:type="dxa"/>
            <w:tcBorders>
              <w:top w:val="single" w:sz="4" w:space="0" w:color="auto"/>
              <w:left w:val="single" w:sz="4" w:space="0" w:color="auto"/>
              <w:bottom w:val="single" w:sz="4" w:space="0" w:color="auto"/>
              <w:right w:val="single" w:sz="4" w:space="0" w:color="auto"/>
            </w:tcBorders>
            <w:vAlign w:val="center"/>
          </w:tcPr>
          <w:p w14:paraId="5D763361"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17</w:t>
            </w:r>
          </w:p>
        </w:tc>
        <w:tc>
          <w:tcPr>
            <w:tcW w:w="850" w:type="dxa"/>
            <w:tcBorders>
              <w:top w:val="single" w:sz="4" w:space="0" w:color="auto"/>
              <w:left w:val="single" w:sz="4" w:space="0" w:color="auto"/>
              <w:bottom w:val="single" w:sz="4" w:space="0" w:color="auto"/>
              <w:right w:val="single" w:sz="4" w:space="0" w:color="auto"/>
            </w:tcBorders>
            <w:vAlign w:val="center"/>
          </w:tcPr>
          <w:p w14:paraId="1A9DF8D7"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13</w:t>
            </w:r>
          </w:p>
        </w:tc>
        <w:tc>
          <w:tcPr>
            <w:tcW w:w="1430" w:type="dxa"/>
            <w:tcBorders>
              <w:top w:val="single" w:sz="4" w:space="0" w:color="auto"/>
              <w:left w:val="single" w:sz="4" w:space="0" w:color="auto"/>
              <w:bottom w:val="single" w:sz="4" w:space="0" w:color="auto"/>
              <w:right w:val="double" w:sz="4" w:space="0" w:color="auto"/>
            </w:tcBorders>
            <w:vAlign w:val="center"/>
          </w:tcPr>
          <w:p w14:paraId="39601976"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r>
      <w:tr w:rsidR="009C46CB" w:rsidRPr="000855B2" w14:paraId="1EFCC754"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225825F0"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2AB430B8"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DBDD616"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56CB02A0"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83</w:t>
            </w:r>
          </w:p>
        </w:tc>
        <w:tc>
          <w:tcPr>
            <w:tcW w:w="709" w:type="dxa"/>
            <w:tcBorders>
              <w:top w:val="single" w:sz="4" w:space="0" w:color="auto"/>
              <w:left w:val="single" w:sz="4" w:space="0" w:color="auto"/>
              <w:bottom w:val="single" w:sz="4" w:space="0" w:color="auto"/>
              <w:right w:val="single" w:sz="4" w:space="0" w:color="auto"/>
            </w:tcBorders>
            <w:vAlign w:val="center"/>
          </w:tcPr>
          <w:p w14:paraId="45309EE6"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850" w:type="dxa"/>
            <w:tcBorders>
              <w:top w:val="single" w:sz="4" w:space="0" w:color="auto"/>
              <w:left w:val="single" w:sz="4" w:space="0" w:color="auto"/>
              <w:bottom w:val="single" w:sz="4" w:space="0" w:color="auto"/>
              <w:right w:val="single" w:sz="4" w:space="0" w:color="auto"/>
            </w:tcBorders>
            <w:vAlign w:val="center"/>
          </w:tcPr>
          <w:p w14:paraId="754CB12C"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1430" w:type="dxa"/>
            <w:tcBorders>
              <w:top w:val="single" w:sz="4" w:space="0" w:color="auto"/>
              <w:left w:val="single" w:sz="4" w:space="0" w:color="auto"/>
              <w:bottom w:val="single" w:sz="4" w:space="0" w:color="auto"/>
              <w:right w:val="double" w:sz="4" w:space="0" w:color="auto"/>
            </w:tcBorders>
            <w:vAlign w:val="center"/>
          </w:tcPr>
          <w:p w14:paraId="1A35DA1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4</w:t>
            </w:r>
          </w:p>
        </w:tc>
      </w:tr>
      <w:tr w:rsidR="009C46CB" w:rsidRPr="000855B2" w14:paraId="44E14C6C"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6277979D"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2100416C"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21DA887B"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4</w:t>
            </w:r>
            <w:r w:rsidR="0098478C">
              <w:rPr>
                <w:sz w:val="16"/>
                <w:szCs w:val="18"/>
                <w:lang w:val="en-GB" w:eastAsia="zh-CN"/>
              </w:rPr>
              <w:t xml:space="preserve"> and on</w:t>
            </w:r>
          </w:p>
        </w:tc>
        <w:tc>
          <w:tcPr>
            <w:tcW w:w="966" w:type="dxa"/>
            <w:tcBorders>
              <w:top w:val="single" w:sz="4" w:space="0" w:color="auto"/>
              <w:left w:val="single" w:sz="4" w:space="0" w:color="auto"/>
              <w:bottom w:val="single" w:sz="4" w:space="0" w:color="auto"/>
              <w:right w:val="single" w:sz="4" w:space="0" w:color="auto"/>
            </w:tcBorders>
            <w:vAlign w:val="center"/>
          </w:tcPr>
          <w:p w14:paraId="57B28BA8"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57</w:t>
            </w:r>
          </w:p>
        </w:tc>
        <w:tc>
          <w:tcPr>
            <w:tcW w:w="709" w:type="dxa"/>
            <w:tcBorders>
              <w:top w:val="single" w:sz="4" w:space="0" w:color="auto"/>
              <w:left w:val="single" w:sz="4" w:space="0" w:color="auto"/>
              <w:bottom w:val="single" w:sz="4" w:space="0" w:color="auto"/>
              <w:right w:val="single" w:sz="4" w:space="0" w:color="auto"/>
            </w:tcBorders>
            <w:vAlign w:val="center"/>
          </w:tcPr>
          <w:p w14:paraId="77A495F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850" w:type="dxa"/>
            <w:tcBorders>
              <w:top w:val="single" w:sz="4" w:space="0" w:color="auto"/>
              <w:left w:val="single" w:sz="4" w:space="0" w:color="auto"/>
              <w:bottom w:val="single" w:sz="4" w:space="0" w:color="auto"/>
              <w:right w:val="single" w:sz="4" w:space="0" w:color="auto"/>
            </w:tcBorders>
            <w:vAlign w:val="center"/>
          </w:tcPr>
          <w:p w14:paraId="001A91E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c>
          <w:tcPr>
            <w:tcW w:w="1430" w:type="dxa"/>
            <w:tcBorders>
              <w:top w:val="single" w:sz="4" w:space="0" w:color="auto"/>
              <w:left w:val="single" w:sz="4" w:space="0" w:color="auto"/>
              <w:bottom w:val="single" w:sz="4" w:space="0" w:color="auto"/>
              <w:right w:val="double" w:sz="4" w:space="0" w:color="auto"/>
            </w:tcBorders>
            <w:vAlign w:val="center"/>
          </w:tcPr>
          <w:p w14:paraId="165B3A89"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9C46CB" w:rsidRPr="000855B2" w14:paraId="40959750"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123DAB5A"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val="restart"/>
            <w:tcBorders>
              <w:top w:val="nil"/>
              <w:left w:val="single" w:sz="4" w:space="0" w:color="auto"/>
              <w:bottom w:val="single" w:sz="4" w:space="0" w:color="000000"/>
              <w:right w:val="single" w:sz="4" w:space="0" w:color="auto"/>
            </w:tcBorders>
            <w:vAlign w:val="center"/>
          </w:tcPr>
          <w:p w14:paraId="62E358C3"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Diesel</w:t>
            </w:r>
          </w:p>
        </w:tc>
        <w:tc>
          <w:tcPr>
            <w:tcW w:w="2268" w:type="dxa"/>
            <w:tcBorders>
              <w:top w:val="single" w:sz="4" w:space="0" w:color="auto"/>
              <w:left w:val="nil"/>
              <w:bottom w:val="single" w:sz="4" w:space="0" w:color="auto"/>
              <w:right w:val="single" w:sz="4" w:space="0" w:color="auto"/>
            </w:tcBorders>
            <w:vAlign w:val="center"/>
          </w:tcPr>
          <w:p w14:paraId="46D10C1A"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Conventional</w:t>
            </w:r>
          </w:p>
        </w:tc>
        <w:tc>
          <w:tcPr>
            <w:tcW w:w="966" w:type="dxa"/>
            <w:tcBorders>
              <w:top w:val="single" w:sz="4" w:space="0" w:color="auto"/>
              <w:left w:val="single" w:sz="4" w:space="0" w:color="auto"/>
              <w:bottom w:val="single" w:sz="4" w:space="0" w:color="auto"/>
              <w:right w:val="single" w:sz="4" w:space="0" w:color="auto"/>
            </w:tcBorders>
            <w:vAlign w:val="center"/>
          </w:tcPr>
          <w:p w14:paraId="5CCA246D"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22</w:t>
            </w:r>
          </w:p>
        </w:tc>
        <w:tc>
          <w:tcPr>
            <w:tcW w:w="709" w:type="dxa"/>
            <w:tcBorders>
              <w:top w:val="single" w:sz="4" w:space="0" w:color="auto"/>
              <w:left w:val="single" w:sz="4" w:space="0" w:color="auto"/>
              <w:bottom w:val="single" w:sz="4" w:space="0" w:color="auto"/>
              <w:right w:val="single" w:sz="4" w:space="0" w:color="auto"/>
            </w:tcBorders>
            <w:vAlign w:val="center"/>
          </w:tcPr>
          <w:p w14:paraId="51E4416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28</w:t>
            </w:r>
          </w:p>
        </w:tc>
        <w:tc>
          <w:tcPr>
            <w:tcW w:w="850" w:type="dxa"/>
            <w:tcBorders>
              <w:top w:val="single" w:sz="4" w:space="0" w:color="auto"/>
              <w:left w:val="single" w:sz="4" w:space="0" w:color="auto"/>
              <w:bottom w:val="single" w:sz="4" w:space="0" w:color="auto"/>
              <w:right w:val="single" w:sz="4" w:space="0" w:color="auto"/>
            </w:tcBorders>
            <w:vAlign w:val="center"/>
          </w:tcPr>
          <w:p w14:paraId="3CAE54D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12</w:t>
            </w:r>
          </w:p>
        </w:tc>
        <w:tc>
          <w:tcPr>
            <w:tcW w:w="1430" w:type="dxa"/>
            <w:tcBorders>
              <w:top w:val="single" w:sz="4" w:space="0" w:color="auto"/>
              <w:left w:val="single" w:sz="4" w:space="0" w:color="auto"/>
              <w:bottom w:val="single" w:sz="4" w:space="0" w:color="auto"/>
              <w:right w:val="double" w:sz="4" w:space="0" w:color="auto"/>
            </w:tcBorders>
            <w:vAlign w:val="center"/>
          </w:tcPr>
          <w:p w14:paraId="06FA04C4"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8</w:t>
            </w:r>
          </w:p>
        </w:tc>
      </w:tr>
      <w:tr w:rsidR="009C46CB" w:rsidRPr="000855B2" w14:paraId="4B584DA7"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45DAB62C"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728B9537"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6FE85A03"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1</w:t>
            </w:r>
          </w:p>
        </w:tc>
        <w:tc>
          <w:tcPr>
            <w:tcW w:w="966" w:type="dxa"/>
            <w:tcBorders>
              <w:top w:val="single" w:sz="4" w:space="0" w:color="auto"/>
              <w:left w:val="single" w:sz="4" w:space="0" w:color="auto"/>
              <w:bottom w:val="single" w:sz="4" w:space="0" w:color="auto"/>
              <w:right w:val="single" w:sz="4" w:space="0" w:color="auto"/>
            </w:tcBorders>
            <w:vAlign w:val="center"/>
          </w:tcPr>
          <w:p w14:paraId="3FD208D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18</w:t>
            </w:r>
          </w:p>
        </w:tc>
        <w:tc>
          <w:tcPr>
            <w:tcW w:w="709" w:type="dxa"/>
            <w:tcBorders>
              <w:top w:val="single" w:sz="4" w:space="0" w:color="auto"/>
              <w:left w:val="single" w:sz="4" w:space="0" w:color="auto"/>
              <w:bottom w:val="single" w:sz="4" w:space="0" w:color="auto"/>
              <w:right w:val="single" w:sz="4" w:space="0" w:color="auto"/>
            </w:tcBorders>
            <w:vAlign w:val="center"/>
          </w:tcPr>
          <w:p w14:paraId="77A9312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850" w:type="dxa"/>
            <w:tcBorders>
              <w:top w:val="single" w:sz="4" w:space="0" w:color="auto"/>
              <w:left w:val="single" w:sz="4" w:space="0" w:color="auto"/>
              <w:bottom w:val="single" w:sz="4" w:space="0" w:color="auto"/>
              <w:right w:val="single" w:sz="4" w:space="0" w:color="auto"/>
            </w:tcBorders>
            <w:vAlign w:val="center"/>
          </w:tcPr>
          <w:p w14:paraId="30CEE52E"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9</w:t>
            </w:r>
          </w:p>
        </w:tc>
        <w:tc>
          <w:tcPr>
            <w:tcW w:w="1430" w:type="dxa"/>
            <w:tcBorders>
              <w:top w:val="single" w:sz="4" w:space="0" w:color="auto"/>
              <w:left w:val="single" w:sz="4" w:space="0" w:color="auto"/>
              <w:bottom w:val="single" w:sz="4" w:space="0" w:color="auto"/>
              <w:right w:val="double" w:sz="4" w:space="0" w:color="auto"/>
            </w:tcBorders>
            <w:vAlign w:val="center"/>
          </w:tcPr>
          <w:p w14:paraId="0C3AEB0F"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r>
      <w:tr w:rsidR="009C46CB" w:rsidRPr="000855B2" w14:paraId="176C1800"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15A7EA25"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65CE4530"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354121AC"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2</w:t>
            </w:r>
          </w:p>
        </w:tc>
        <w:tc>
          <w:tcPr>
            <w:tcW w:w="966" w:type="dxa"/>
            <w:tcBorders>
              <w:top w:val="single" w:sz="4" w:space="0" w:color="auto"/>
              <w:left w:val="single" w:sz="4" w:space="0" w:color="auto"/>
              <w:bottom w:val="single" w:sz="4" w:space="0" w:color="auto"/>
              <w:right w:val="single" w:sz="4" w:space="0" w:color="auto"/>
            </w:tcBorders>
            <w:vAlign w:val="center"/>
          </w:tcPr>
          <w:p w14:paraId="1EB59828"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6</w:t>
            </w:r>
          </w:p>
        </w:tc>
        <w:tc>
          <w:tcPr>
            <w:tcW w:w="709" w:type="dxa"/>
            <w:tcBorders>
              <w:top w:val="single" w:sz="4" w:space="0" w:color="auto"/>
              <w:left w:val="single" w:sz="4" w:space="0" w:color="auto"/>
              <w:bottom w:val="single" w:sz="4" w:space="0" w:color="auto"/>
              <w:right w:val="single" w:sz="4" w:space="0" w:color="auto"/>
            </w:tcBorders>
            <w:vAlign w:val="center"/>
          </w:tcPr>
          <w:p w14:paraId="379AF3C0"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7</w:t>
            </w:r>
          </w:p>
        </w:tc>
        <w:tc>
          <w:tcPr>
            <w:tcW w:w="850" w:type="dxa"/>
            <w:tcBorders>
              <w:top w:val="single" w:sz="4" w:space="0" w:color="auto"/>
              <w:left w:val="single" w:sz="4" w:space="0" w:color="auto"/>
              <w:bottom w:val="single" w:sz="4" w:space="0" w:color="auto"/>
              <w:right w:val="single" w:sz="4" w:space="0" w:color="auto"/>
            </w:tcBorders>
            <w:vAlign w:val="center"/>
          </w:tcPr>
          <w:p w14:paraId="4E85CF96"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1430" w:type="dxa"/>
            <w:tcBorders>
              <w:top w:val="single" w:sz="4" w:space="0" w:color="auto"/>
              <w:left w:val="single" w:sz="4" w:space="0" w:color="auto"/>
              <w:bottom w:val="single" w:sz="4" w:space="0" w:color="auto"/>
              <w:right w:val="double" w:sz="4" w:space="0" w:color="auto"/>
            </w:tcBorders>
            <w:vAlign w:val="center"/>
          </w:tcPr>
          <w:p w14:paraId="7E79883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w:t>
            </w:r>
          </w:p>
        </w:tc>
      </w:tr>
      <w:tr w:rsidR="009C46CB" w:rsidRPr="000855B2" w14:paraId="5514131B" w14:textId="77777777" w:rsidTr="00153E37">
        <w:trPr>
          <w:cantSplit/>
          <w:trHeight w:hRule="exact" w:val="255"/>
        </w:trPr>
        <w:tc>
          <w:tcPr>
            <w:tcW w:w="1101" w:type="dxa"/>
            <w:vMerge/>
            <w:tcBorders>
              <w:top w:val="nil"/>
              <w:left w:val="double" w:sz="4" w:space="0" w:color="auto"/>
              <w:bottom w:val="single" w:sz="8" w:space="0" w:color="000000"/>
              <w:right w:val="single" w:sz="4" w:space="0" w:color="auto"/>
            </w:tcBorders>
            <w:vAlign w:val="center"/>
          </w:tcPr>
          <w:p w14:paraId="28E18674"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6EEFCA6F"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0035EA4E"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3</w:t>
            </w:r>
          </w:p>
        </w:tc>
        <w:tc>
          <w:tcPr>
            <w:tcW w:w="966" w:type="dxa"/>
            <w:tcBorders>
              <w:top w:val="single" w:sz="4" w:space="0" w:color="auto"/>
              <w:left w:val="single" w:sz="4" w:space="0" w:color="auto"/>
              <w:bottom w:val="single" w:sz="4" w:space="0" w:color="auto"/>
              <w:right w:val="single" w:sz="4" w:space="0" w:color="auto"/>
            </w:tcBorders>
            <w:vAlign w:val="center"/>
          </w:tcPr>
          <w:p w14:paraId="2F6A6E0E"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14:paraId="210CE003"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3</w:t>
            </w:r>
          </w:p>
        </w:tc>
        <w:tc>
          <w:tcPr>
            <w:tcW w:w="850" w:type="dxa"/>
            <w:tcBorders>
              <w:top w:val="single" w:sz="4" w:space="0" w:color="auto"/>
              <w:left w:val="single" w:sz="4" w:space="0" w:color="auto"/>
              <w:bottom w:val="single" w:sz="4" w:space="0" w:color="auto"/>
              <w:right w:val="single" w:sz="4" w:space="0" w:color="auto"/>
            </w:tcBorders>
            <w:vAlign w:val="center"/>
          </w:tcPr>
          <w:p w14:paraId="05FA9B8D"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430" w:type="dxa"/>
            <w:tcBorders>
              <w:top w:val="single" w:sz="4" w:space="0" w:color="auto"/>
              <w:left w:val="single" w:sz="4" w:space="0" w:color="auto"/>
              <w:bottom w:val="single" w:sz="4" w:space="0" w:color="auto"/>
              <w:right w:val="double" w:sz="4" w:space="0" w:color="auto"/>
            </w:tcBorders>
            <w:vAlign w:val="center"/>
          </w:tcPr>
          <w:p w14:paraId="7A2E162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9C46CB" w:rsidRPr="000855B2" w14:paraId="567125F3" w14:textId="77777777" w:rsidTr="00153E37">
        <w:trPr>
          <w:cantSplit/>
          <w:trHeight w:hRule="exact" w:val="255"/>
        </w:trPr>
        <w:tc>
          <w:tcPr>
            <w:tcW w:w="1101" w:type="dxa"/>
            <w:vMerge/>
            <w:tcBorders>
              <w:top w:val="nil"/>
              <w:left w:val="double" w:sz="4" w:space="0" w:color="auto"/>
              <w:bottom w:val="single" w:sz="4" w:space="0" w:color="auto"/>
              <w:right w:val="single" w:sz="4" w:space="0" w:color="auto"/>
            </w:tcBorders>
            <w:vAlign w:val="center"/>
          </w:tcPr>
          <w:p w14:paraId="7E2DDD47"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408EF144"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46CA9CF0"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4</w:t>
            </w:r>
            <w:r w:rsidR="0098478C">
              <w:rPr>
                <w:sz w:val="16"/>
                <w:szCs w:val="18"/>
                <w:lang w:val="en-GB" w:eastAsia="zh-CN"/>
              </w:rPr>
              <w:t xml:space="preserve"> and on</w:t>
            </w:r>
          </w:p>
        </w:tc>
        <w:tc>
          <w:tcPr>
            <w:tcW w:w="966" w:type="dxa"/>
            <w:tcBorders>
              <w:top w:val="single" w:sz="4" w:space="0" w:color="auto"/>
              <w:left w:val="single" w:sz="4" w:space="0" w:color="auto"/>
              <w:bottom w:val="single" w:sz="4" w:space="0" w:color="auto"/>
              <w:right w:val="single" w:sz="4" w:space="0" w:color="auto"/>
            </w:tcBorders>
            <w:vAlign w:val="center"/>
          </w:tcPr>
          <w:p w14:paraId="65F377DB"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709" w:type="dxa"/>
            <w:tcBorders>
              <w:top w:val="single" w:sz="4" w:space="0" w:color="auto"/>
              <w:left w:val="single" w:sz="4" w:space="0" w:color="auto"/>
              <w:bottom w:val="single" w:sz="4" w:space="0" w:color="auto"/>
              <w:right w:val="single" w:sz="4" w:space="0" w:color="auto"/>
            </w:tcBorders>
            <w:vAlign w:val="center"/>
          </w:tcPr>
          <w:p w14:paraId="4849F023"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1.1</w:t>
            </w:r>
          </w:p>
        </w:tc>
        <w:tc>
          <w:tcPr>
            <w:tcW w:w="850" w:type="dxa"/>
            <w:tcBorders>
              <w:top w:val="single" w:sz="4" w:space="0" w:color="auto"/>
              <w:left w:val="single" w:sz="4" w:space="0" w:color="auto"/>
              <w:bottom w:val="single" w:sz="4" w:space="0" w:color="auto"/>
              <w:right w:val="single" w:sz="4" w:space="0" w:color="auto"/>
            </w:tcBorders>
            <w:vAlign w:val="center"/>
          </w:tcPr>
          <w:p w14:paraId="578E57E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c>
          <w:tcPr>
            <w:tcW w:w="1430" w:type="dxa"/>
            <w:tcBorders>
              <w:top w:val="single" w:sz="4" w:space="0" w:color="auto"/>
              <w:left w:val="single" w:sz="4" w:space="0" w:color="auto"/>
              <w:bottom w:val="single" w:sz="4" w:space="0" w:color="auto"/>
              <w:right w:val="double" w:sz="4" w:space="0" w:color="auto"/>
            </w:tcBorders>
            <w:vAlign w:val="center"/>
          </w:tcPr>
          <w:p w14:paraId="0ACF86C0"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0</w:t>
            </w:r>
          </w:p>
        </w:tc>
      </w:tr>
      <w:tr w:rsidR="009C46CB" w:rsidRPr="000855B2" w14:paraId="4F4C1D69" w14:textId="77777777" w:rsidTr="00153E37">
        <w:trPr>
          <w:cantSplit/>
          <w:trHeight w:hRule="exact" w:val="255"/>
        </w:trPr>
        <w:tc>
          <w:tcPr>
            <w:tcW w:w="1101" w:type="dxa"/>
            <w:vMerge w:val="restart"/>
            <w:tcBorders>
              <w:top w:val="single" w:sz="4" w:space="0" w:color="auto"/>
              <w:left w:val="double" w:sz="4" w:space="0" w:color="auto"/>
              <w:bottom w:val="single" w:sz="4" w:space="0" w:color="auto"/>
              <w:right w:val="single" w:sz="4" w:space="0" w:color="auto"/>
            </w:tcBorders>
            <w:vAlign w:val="center"/>
          </w:tcPr>
          <w:p w14:paraId="4DC9CFF1"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Heavy- duty vehicles and buses</w:t>
            </w:r>
          </w:p>
        </w:tc>
        <w:tc>
          <w:tcPr>
            <w:tcW w:w="992" w:type="dxa"/>
            <w:tcBorders>
              <w:top w:val="single" w:sz="8" w:space="0" w:color="auto"/>
              <w:left w:val="nil"/>
              <w:bottom w:val="single" w:sz="4" w:space="0" w:color="auto"/>
              <w:right w:val="single" w:sz="4" w:space="0" w:color="auto"/>
            </w:tcBorders>
            <w:vAlign w:val="center"/>
          </w:tcPr>
          <w:p w14:paraId="523B2345" w14:textId="77777777" w:rsidR="009C46CB" w:rsidRPr="000855B2" w:rsidRDefault="004E1503" w:rsidP="005C7955">
            <w:pPr>
              <w:keepNext/>
              <w:keepLines/>
              <w:suppressAutoHyphens/>
              <w:spacing w:line="240" w:lineRule="atLeast"/>
              <w:rPr>
                <w:sz w:val="16"/>
                <w:szCs w:val="18"/>
                <w:lang w:val="en-GB" w:eastAsia="zh-CN"/>
              </w:rPr>
            </w:pPr>
            <w:r>
              <w:rPr>
                <w:sz w:val="16"/>
                <w:szCs w:val="18"/>
                <w:lang w:val="en-GB" w:eastAsia="zh-CN"/>
              </w:rPr>
              <w:t>Petrol</w:t>
            </w:r>
          </w:p>
        </w:tc>
        <w:tc>
          <w:tcPr>
            <w:tcW w:w="2268" w:type="dxa"/>
            <w:tcBorders>
              <w:top w:val="single" w:sz="4" w:space="0" w:color="auto"/>
              <w:left w:val="nil"/>
              <w:bottom w:val="single" w:sz="4" w:space="0" w:color="auto"/>
              <w:right w:val="single" w:sz="4" w:space="0" w:color="auto"/>
            </w:tcBorders>
            <w:vAlign w:val="center"/>
          </w:tcPr>
          <w:p w14:paraId="41C4FC49"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All Technologies</w:t>
            </w:r>
          </w:p>
        </w:tc>
        <w:tc>
          <w:tcPr>
            <w:tcW w:w="966" w:type="dxa"/>
            <w:tcBorders>
              <w:top w:val="single" w:sz="4" w:space="0" w:color="auto"/>
              <w:left w:val="single" w:sz="4" w:space="0" w:color="auto"/>
              <w:bottom w:val="single" w:sz="4" w:space="0" w:color="auto"/>
              <w:right w:val="single" w:sz="4" w:space="0" w:color="auto"/>
            </w:tcBorders>
            <w:vAlign w:val="center"/>
          </w:tcPr>
          <w:p w14:paraId="3D0F5DC7"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118D6C4B"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140</w:t>
            </w:r>
          </w:p>
        </w:tc>
        <w:tc>
          <w:tcPr>
            <w:tcW w:w="850" w:type="dxa"/>
            <w:tcBorders>
              <w:top w:val="single" w:sz="4" w:space="0" w:color="auto"/>
              <w:left w:val="single" w:sz="4" w:space="0" w:color="auto"/>
              <w:bottom w:val="single" w:sz="4" w:space="0" w:color="auto"/>
              <w:right w:val="single" w:sz="4" w:space="0" w:color="auto"/>
            </w:tcBorders>
            <w:vAlign w:val="center"/>
          </w:tcPr>
          <w:p w14:paraId="79803A48"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110</w:t>
            </w:r>
          </w:p>
        </w:tc>
        <w:tc>
          <w:tcPr>
            <w:tcW w:w="1430" w:type="dxa"/>
            <w:tcBorders>
              <w:top w:val="single" w:sz="4" w:space="0" w:color="auto"/>
              <w:left w:val="single" w:sz="4" w:space="0" w:color="auto"/>
              <w:bottom w:val="single" w:sz="4" w:space="0" w:color="auto"/>
              <w:right w:val="double" w:sz="4" w:space="0" w:color="auto"/>
            </w:tcBorders>
            <w:vAlign w:val="center"/>
          </w:tcPr>
          <w:p w14:paraId="4748CF79"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70</w:t>
            </w:r>
          </w:p>
        </w:tc>
      </w:tr>
      <w:tr w:rsidR="009C46CB" w:rsidRPr="000855B2" w14:paraId="792C119F"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361137C9"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val="restart"/>
            <w:tcBorders>
              <w:top w:val="nil"/>
              <w:left w:val="single" w:sz="4" w:space="0" w:color="auto"/>
              <w:bottom w:val="single" w:sz="4" w:space="0" w:color="000000"/>
              <w:right w:val="single" w:sz="4" w:space="0" w:color="auto"/>
            </w:tcBorders>
            <w:vAlign w:val="center"/>
          </w:tcPr>
          <w:p w14:paraId="4D95F069"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Diesel</w:t>
            </w:r>
          </w:p>
        </w:tc>
        <w:tc>
          <w:tcPr>
            <w:tcW w:w="2268" w:type="dxa"/>
            <w:tcBorders>
              <w:top w:val="single" w:sz="4" w:space="0" w:color="auto"/>
              <w:left w:val="nil"/>
              <w:bottom w:val="single" w:sz="4" w:space="0" w:color="auto"/>
              <w:right w:val="single" w:sz="4" w:space="0" w:color="auto"/>
            </w:tcBorders>
            <w:vAlign w:val="center"/>
          </w:tcPr>
          <w:p w14:paraId="0C34D68C"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GVW&lt; 16t</w:t>
            </w:r>
          </w:p>
        </w:tc>
        <w:tc>
          <w:tcPr>
            <w:tcW w:w="966" w:type="dxa"/>
            <w:tcBorders>
              <w:top w:val="single" w:sz="4" w:space="0" w:color="auto"/>
              <w:left w:val="single" w:sz="4" w:space="0" w:color="auto"/>
              <w:bottom w:val="single" w:sz="4" w:space="0" w:color="auto"/>
              <w:right w:val="single" w:sz="4" w:space="0" w:color="auto"/>
            </w:tcBorders>
            <w:vAlign w:val="center"/>
          </w:tcPr>
          <w:p w14:paraId="621769A3"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373C759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85</w:t>
            </w:r>
          </w:p>
        </w:tc>
        <w:tc>
          <w:tcPr>
            <w:tcW w:w="850" w:type="dxa"/>
            <w:tcBorders>
              <w:top w:val="single" w:sz="4" w:space="0" w:color="auto"/>
              <w:left w:val="single" w:sz="4" w:space="0" w:color="auto"/>
              <w:bottom w:val="single" w:sz="4" w:space="0" w:color="auto"/>
              <w:right w:val="single" w:sz="4" w:space="0" w:color="auto"/>
            </w:tcBorders>
            <w:vAlign w:val="center"/>
          </w:tcPr>
          <w:p w14:paraId="25773656"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23</w:t>
            </w:r>
          </w:p>
        </w:tc>
        <w:tc>
          <w:tcPr>
            <w:tcW w:w="1430" w:type="dxa"/>
            <w:tcBorders>
              <w:top w:val="single" w:sz="4" w:space="0" w:color="auto"/>
              <w:left w:val="single" w:sz="4" w:space="0" w:color="auto"/>
              <w:bottom w:val="single" w:sz="4" w:space="0" w:color="auto"/>
              <w:right w:val="double" w:sz="4" w:space="0" w:color="auto"/>
            </w:tcBorders>
            <w:vAlign w:val="center"/>
          </w:tcPr>
          <w:p w14:paraId="696C41F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20</w:t>
            </w:r>
          </w:p>
        </w:tc>
      </w:tr>
      <w:tr w:rsidR="009C46CB" w:rsidRPr="000855B2" w14:paraId="2CBC2F69"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2AACFFFE"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000000"/>
              <w:right w:val="single" w:sz="4" w:space="0" w:color="auto"/>
            </w:tcBorders>
            <w:vAlign w:val="center"/>
          </w:tcPr>
          <w:p w14:paraId="49E5773C"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031C08F9"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GVW&gt; 16t</w:t>
            </w:r>
          </w:p>
        </w:tc>
        <w:tc>
          <w:tcPr>
            <w:tcW w:w="966" w:type="dxa"/>
            <w:tcBorders>
              <w:top w:val="single" w:sz="4" w:space="0" w:color="auto"/>
              <w:left w:val="single" w:sz="4" w:space="0" w:color="auto"/>
              <w:bottom w:val="single" w:sz="4" w:space="0" w:color="auto"/>
              <w:right w:val="single" w:sz="4" w:space="0" w:color="auto"/>
            </w:tcBorders>
            <w:vAlign w:val="center"/>
          </w:tcPr>
          <w:p w14:paraId="6590F991"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05C329F7"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175</w:t>
            </w:r>
          </w:p>
        </w:tc>
        <w:tc>
          <w:tcPr>
            <w:tcW w:w="850" w:type="dxa"/>
            <w:tcBorders>
              <w:top w:val="single" w:sz="4" w:space="0" w:color="auto"/>
              <w:left w:val="single" w:sz="4" w:space="0" w:color="auto"/>
              <w:bottom w:val="single" w:sz="4" w:space="0" w:color="auto"/>
              <w:right w:val="single" w:sz="4" w:space="0" w:color="auto"/>
            </w:tcBorders>
            <w:vAlign w:val="center"/>
          </w:tcPr>
          <w:p w14:paraId="2B2D9DA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80</w:t>
            </w:r>
          </w:p>
        </w:tc>
        <w:tc>
          <w:tcPr>
            <w:tcW w:w="1430" w:type="dxa"/>
            <w:tcBorders>
              <w:top w:val="single" w:sz="4" w:space="0" w:color="auto"/>
              <w:left w:val="single" w:sz="4" w:space="0" w:color="auto"/>
              <w:bottom w:val="single" w:sz="4" w:space="0" w:color="auto"/>
              <w:right w:val="double" w:sz="4" w:space="0" w:color="auto"/>
            </w:tcBorders>
            <w:vAlign w:val="center"/>
          </w:tcPr>
          <w:p w14:paraId="10050C79"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70</w:t>
            </w:r>
          </w:p>
        </w:tc>
      </w:tr>
      <w:tr w:rsidR="009C46CB" w:rsidRPr="000855B2" w14:paraId="572CB095"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4A73A47D"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nil"/>
              <w:left w:val="single" w:sz="4" w:space="0" w:color="auto"/>
              <w:bottom w:val="single" w:sz="4" w:space="0" w:color="auto"/>
              <w:right w:val="single" w:sz="4" w:space="0" w:color="auto"/>
            </w:tcBorders>
            <w:vAlign w:val="center"/>
          </w:tcPr>
          <w:p w14:paraId="517A24FA"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5E9754B"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Urban Buses and Coaches</w:t>
            </w:r>
          </w:p>
        </w:tc>
        <w:tc>
          <w:tcPr>
            <w:tcW w:w="966" w:type="dxa"/>
            <w:tcBorders>
              <w:top w:val="single" w:sz="4" w:space="0" w:color="auto"/>
              <w:left w:val="single" w:sz="4" w:space="0" w:color="auto"/>
              <w:bottom w:val="single" w:sz="4" w:space="0" w:color="auto"/>
              <w:right w:val="single" w:sz="4" w:space="0" w:color="auto"/>
            </w:tcBorders>
            <w:vAlign w:val="center"/>
          </w:tcPr>
          <w:p w14:paraId="78459C5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218C2E4B"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175</w:t>
            </w:r>
          </w:p>
        </w:tc>
        <w:tc>
          <w:tcPr>
            <w:tcW w:w="850" w:type="dxa"/>
            <w:tcBorders>
              <w:top w:val="single" w:sz="4" w:space="0" w:color="auto"/>
              <w:left w:val="single" w:sz="4" w:space="0" w:color="auto"/>
              <w:bottom w:val="single" w:sz="4" w:space="0" w:color="auto"/>
              <w:right w:val="single" w:sz="4" w:space="0" w:color="auto"/>
            </w:tcBorders>
            <w:vAlign w:val="center"/>
          </w:tcPr>
          <w:p w14:paraId="19D8C7FE"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80</w:t>
            </w:r>
          </w:p>
        </w:tc>
        <w:tc>
          <w:tcPr>
            <w:tcW w:w="1430" w:type="dxa"/>
            <w:tcBorders>
              <w:top w:val="single" w:sz="4" w:space="0" w:color="auto"/>
              <w:left w:val="single" w:sz="4" w:space="0" w:color="auto"/>
              <w:bottom w:val="single" w:sz="4" w:space="0" w:color="auto"/>
              <w:right w:val="double" w:sz="4" w:space="0" w:color="auto"/>
            </w:tcBorders>
            <w:vAlign w:val="center"/>
          </w:tcPr>
          <w:p w14:paraId="2C7D1F76"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70</w:t>
            </w:r>
          </w:p>
        </w:tc>
      </w:tr>
      <w:tr w:rsidR="009C46CB" w:rsidRPr="000855B2" w14:paraId="76F418C9"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687F1F3D"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FDE6291"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CNG</w:t>
            </w:r>
          </w:p>
        </w:tc>
        <w:tc>
          <w:tcPr>
            <w:tcW w:w="2268" w:type="dxa"/>
            <w:tcBorders>
              <w:top w:val="single" w:sz="4" w:space="0" w:color="auto"/>
              <w:left w:val="nil"/>
              <w:bottom w:val="single" w:sz="4" w:space="0" w:color="auto"/>
              <w:right w:val="single" w:sz="4" w:space="0" w:color="auto"/>
            </w:tcBorders>
            <w:vAlign w:val="center"/>
          </w:tcPr>
          <w:p w14:paraId="417834BC"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I</w:t>
            </w:r>
          </w:p>
        </w:tc>
        <w:tc>
          <w:tcPr>
            <w:tcW w:w="966" w:type="dxa"/>
            <w:tcBorders>
              <w:top w:val="single" w:sz="4" w:space="0" w:color="auto"/>
              <w:left w:val="nil"/>
              <w:bottom w:val="single" w:sz="4" w:space="0" w:color="auto"/>
              <w:right w:val="single" w:sz="4" w:space="0" w:color="auto"/>
            </w:tcBorders>
            <w:vAlign w:val="center"/>
          </w:tcPr>
          <w:p w14:paraId="3B8BE50B"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nil"/>
              <w:bottom w:val="single" w:sz="4" w:space="0" w:color="auto"/>
              <w:right w:val="double" w:sz="4" w:space="0" w:color="auto"/>
            </w:tcBorders>
            <w:vAlign w:val="center"/>
          </w:tcPr>
          <w:p w14:paraId="00DE9B2F"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6800</w:t>
            </w:r>
          </w:p>
        </w:tc>
      </w:tr>
      <w:tr w:rsidR="009C46CB" w:rsidRPr="000855B2" w14:paraId="15D61103"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0D67D880"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3E960B8"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0B3051DB"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Euro II</w:t>
            </w:r>
          </w:p>
        </w:tc>
        <w:tc>
          <w:tcPr>
            <w:tcW w:w="966" w:type="dxa"/>
            <w:tcBorders>
              <w:top w:val="single" w:sz="4" w:space="0" w:color="auto"/>
              <w:left w:val="single" w:sz="4" w:space="0" w:color="auto"/>
              <w:bottom w:val="single" w:sz="4" w:space="0" w:color="auto"/>
              <w:right w:val="single" w:sz="4" w:space="0" w:color="auto"/>
            </w:tcBorders>
            <w:vAlign w:val="center"/>
          </w:tcPr>
          <w:p w14:paraId="57C0FE5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single" w:sz="4" w:space="0" w:color="auto"/>
              <w:bottom w:val="single" w:sz="4" w:space="0" w:color="auto"/>
              <w:right w:val="double" w:sz="4" w:space="0" w:color="auto"/>
            </w:tcBorders>
            <w:vAlign w:val="center"/>
          </w:tcPr>
          <w:p w14:paraId="21E97FBC"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4500</w:t>
            </w:r>
          </w:p>
        </w:tc>
      </w:tr>
      <w:tr w:rsidR="009C46CB" w:rsidRPr="000855B2" w14:paraId="4241AACD"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50575F07"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2E57F90"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795B7FFD"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 xml:space="preserve">Euro </w:t>
            </w:r>
            <w:smartTag w:uri="urn:schemas-microsoft-com:office:smarttags" w:element="stockticker">
              <w:r w:rsidRPr="000855B2">
                <w:rPr>
                  <w:sz w:val="16"/>
                  <w:szCs w:val="18"/>
                  <w:lang w:val="en-GB" w:eastAsia="zh-CN"/>
                </w:rPr>
                <w:t>III</w:t>
              </w:r>
            </w:smartTag>
          </w:p>
        </w:tc>
        <w:tc>
          <w:tcPr>
            <w:tcW w:w="966" w:type="dxa"/>
            <w:tcBorders>
              <w:top w:val="single" w:sz="4" w:space="0" w:color="auto"/>
              <w:left w:val="single" w:sz="4" w:space="0" w:color="auto"/>
              <w:bottom w:val="single" w:sz="4" w:space="0" w:color="auto"/>
              <w:right w:val="single" w:sz="4" w:space="0" w:color="auto"/>
            </w:tcBorders>
            <w:vAlign w:val="center"/>
          </w:tcPr>
          <w:p w14:paraId="464A1475"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single" w:sz="4" w:space="0" w:color="auto"/>
              <w:bottom w:val="single" w:sz="4" w:space="0" w:color="auto"/>
              <w:right w:val="double" w:sz="4" w:space="0" w:color="auto"/>
            </w:tcBorders>
            <w:vAlign w:val="center"/>
          </w:tcPr>
          <w:p w14:paraId="22FF969C"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1280</w:t>
            </w:r>
          </w:p>
        </w:tc>
      </w:tr>
      <w:tr w:rsidR="009C46CB" w:rsidRPr="000855B2" w14:paraId="54FAC12D"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6C4242ED" w14:textId="77777777" w:rsidR="009C46CB" w:rsidRPr="000855B2" w:rsidRDefault="009C46CB" w:rsidP="005C7955">
            <w:pPr>
              <w:keepNext/>
              <w:keepLines/>
              <w:suppressAutoHyphens/>
              <w:spacing w:line="240" w:lineRule="atLeast"/>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50E70BD" w14:textId="77777777" w:rsidR="009C46CB" w:rsidRPr="000855B2" w:rsidRDefault="009C46CB"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607D934"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EEV</w:t>
            </w:r>
          </w:p>
        </w:tc>
        <w:tc>
          <w:tcPr>
            <w:tcW w:w="966" w:type="dxa"/>
            <w:tcBorders>
              <w:top w:val="single" w:sz="4" w:space="0" w:color="auto"/>
              <w:left w:val="single" w:sz="4" w:space="0" w:color="auto"/>
              <w:bottom w:val="single" w:sz="4" w:space="0" w:color="auto"/>
              <w:right w:val="single" w:sz="4" w:space="0" w:color="auto"/>
            </w:tcBorders>
            <w:vAlign w:val="center"/>
          </w:tcPr>
          <w:p w14:paraId="062471DE"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2989" w:type="dxa"/>
            <w:gridSpan w:val="3"/>
            <w:tcBorders>
              <w:top w:val="single" w:sz="4" w:space="0" w:color="auto"/>
              <w:left w:val="single" w:sz="4" w:space="0" w:color="auto"/>
              <w:bottom w:val="single" w:sz="4" w:space="0" w:color="auto"/>
              <w:right w:val="double" w:sz="4" w:space="0" w:color="auto"/>
            </w:tcBorders>
            <w:vAlign w:val="center"/>
          </w:tcPr>
          <w:p w14:paraId="3F30FA2F"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980</w:t>
            </w:r>
          </w:p>
        </w:tc>
      </w:tr>
      <w:tr w:rsidR="009C46CB" w:rsidRPr="000855B2" w14:paraId="611E37E4" w14:textId="77777777" w:rsidTr="00153E37">
        <w:trPr>
          <w:cantSplit/>
          <w:trHeight w:hRule="exact" w:val="255"/>
        </w:trPr>
        <w:tc>
          <w:tcPr>
            <w:tcW w:w="1101" w:type="dxa"/>
            <w:vMerge w:val="restart"/>
            <w:tcBorders>
              <w:top w:val="single" w:sz="4" w:space="0" w:color="auto"/>
              <w:left w:val="double" w:sz="4" w:space="0" w:color="auto"/>
              <w:bottom w:val="single" w:sz="4" w:space="0" w:color="auto"/>
              <w:right w:val="single" w:sz="4" w:space="0" w:color="auto"/>
            </w:tcBorders>
            <w:vAlign w:val="center"/>
          </w:tcPr>
          <w:p w14:paraId="32D1CEF7"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Two-wheel vehicles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5FD979F" w14:textId="77777777" w:rsidR="009C46CB" w:rsidRPr="000855B2" w:rsidRDefault="004E1503" w:rsidP="005C7955">
            <w:pPr>
              <w:keepNext/>
              <w:keepLines/>
              <w:suppressAutoHyphens/>
              <w:spacing w:line="240" w:lineRule="atLeast"/>
              <w:rPr>
                <w:sz w:val="16"/>
                <w:szCs w:val="18"/>
                <w:lang w:val="en-GB" w:eastAsia="zh-CN"/>
              </w:rPr>
            </w:pPr>
            <w:r>
              <w:rPr>
                <w:sz w:val="16"/>
                <w:szCs w:val="18"/>
                <w:lang w:val="en-GB" w:eastAsia="zh-CN"/>
              </w:rPr>
              <w:t>Petrol</w:t>
            </w:r>
          </w:p>
        </w:tc>
        <w:tc>
          <w:tcPr>
            <w:tcW w:w="2268" w:type="dxa"/>
            <w:tcBorders>
              <w:top w:val="single" w:sz="4" w:space="0" w:color="auto"/>
              <w:left w:val="nil"/>
              <w:bottom w:val="single" w:sz="4" w:space="0" w:color="auto"/>
              <w:right w:val="single" w:sz="4" w:space="0" w:color="auto"/>
            </w:tcBorders>
            <w:vAlign w:val="center"/>
          </w:tcPr>
          <w:p w14:paraId="5CAE89F3" w14:textId="77777777" w:rsidR="009C46CB" w:rsidRPr="000855B2" w:rsidRDefault="009C46CB" w:rsidP="005C7955">
            <w:pPr>
              <w:keepNext/>
              <w:keepLines/>
              <w:suppressAutoHyphens/>
              <w:spacing w:line="240" w:lineRule="atLeast"/>
              <w:rPr>
                <w:sz w:val="16"/>
                <w:szCs w:val="18"/>
                <w:lang w:val="en-GB" w:eastAsia="zh-CN"/>
              </w:rPr>
            </w:pPr>
            <w:r w:rsidRPr="000855B2">
              <w:rPr>
                <w:sz w:val="16"/>
                <w:szCs w:val="18"/>
                <w:lang w:val="en-GB" w:eastAsia="zh-CN"/>
              </w:rPr>
              <w:t>&lt; 50 cm</w:t>
            </w:r>
            <w:r w:rsidRPr="000855B2">
              <w:rPr>
                <w:sz w:val="16"/>
                <w:szCs w:val="18"/>
                <w:vertAlign w:val="superscript"/>
                <w:lang w:val="en-GB" w:eastAsia="zh-CN"/>
              </w:rPr>
              <w:t xml:space="preserve">3 </w:t>
            </w:r>
            <w:r w:rsidRPr="000855B2">
              <w:rPr>
                <w:sz w:val="16"/>
                <w:szCs w:val="18"/>
                <w:lang w:val="en-GB" w:eastAsia="zh-CN"/>
              </w:rPr>
              <w:t>2-stroke</w:t>
            </w:r>
          </w:p>
        </w:tc>
        <w:tc>
          <w:tcPr>
            <w:tcW w:w="966" w:type="dxa"/>
            <w:tcBorders>
              <w:top w:val="single" w:sz="4" w:space="0" w:color="auto"/>
              <w:left w:val="single" w:sz="4" w:space="0" w:color="auto"/>
              <w:bottom w:val="single" w:sz="4" w:space="0" w:color="auto"/>
              <w:right w:val="single" w:sz="4" w:space="0" w:color="auto"/>
            </w:tcBorders>
            <w:vAlign w:val="center"/>
          </w:tcPr>
          <w:p w14:paraId="2EEF0B4A"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2390F1D2"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850" w:type="dxa"/>
            <w:tcBorders>
              <w:top w:val="single" w:sz="4" w:space="0" w:color="auto"/>
              <w:left w:val="single" w:sz="4" w:space="0" w:color="auto"/>
              <w:bottom w:val="single" w:sz="4" w:space="0" w:color="auto"/>
              <w:right w:val="single" w:sz="4" w:space="0" w:color="auto"/>
            </w:tcBorders>
            <w:vAlign w:val="center"/>
          </w:tcPr>
          <w:p w14:paraId="0A99DA43"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1430" w:type="dxa"/>
            <w:tcBorders>
              <w:top w:val="single" w:sz="4" w:space="0" w:color="auto"/>
              <w:left w:val="single" w:sz="4" w:space="0" w:color="auto"/>
              <w:bottom w:val="single" w:sz="4" w:space="0" w:color="auto"/>
              <w:right w:val="double" w:sz="4" w:space="0" w:color="auto"/>
            </w:tcBorders>
            <w:vAlign w:val="center"/>
          </w:tcPr>
          <w:p w14:paraId="4B56EF11" w14:textId="77777777" w:rsidR="009C46CB" w:rsidRPr="000855B2" w:rsidRDefault="009C46CB" w:rsidP="005C7955">
            <w:pPr>
              <w:keepNext/>
              <w:keepLines/>
              <w:suppressAutoHyphens/>
              <w:spacing w:line="240" w:lineRule="atLeast"/>
              <w:jc w:val="center"/>
              <w:rPr>
                <w:sz w:val="16"/>
                <w:szCs w:val="18"/>
                <w:lang w:val="en-GB" w:eastAsia="zh-CN"/>
              </w:rPr>
            </w:pPr>
            <w:r w:rsidRPr="000855B2">
              <w:rPr>
                <w:sz w:val="16"/>
                <w:szCs w:val="18"/>
                <w:lang w:val="en-GB" w:eastAsia="zh-CN"/>
              </w:rPr>
              <w:t>219</w:t>
            </w:r>
          </w:p>
        </w:tc>
      </w:tr>
      <w:tr w:rsidR="007B2B80" w:rsidRPr="000855B2" w14:paraId="632048B6"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5F530210" w14:textId="77777777" w:rsidR="007B2B80" w:rsidRPr="000855B2" w:rsidRDefault="007B2B80" w:rsidP="005C7955">
            <w:pPr>
              <w:keepNext/>
              <w:keepLines/>
              <w:suppressAutoHyphens/>
              <w:spacing w:line="240" w:lineRule="atLeast"/>
              <w:jc w:val="center"/>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E8310A8" w14:textId="77777777" w:rsidR="007B2B80" w:rsidRPr="000855B2" w:rsidRDefault="007B2B80"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5522C5A3" w14:textId="77777777" w:rsidR="007B2B80" w:rsidRPr="000855B2" w:rsidRDefault="007B2B80" w:rsidP="005C7955">
            <w:pPr>
              <w:keepNext/>
              <w:keepLines/>
              <w:suppressAutoHyphens/>
              <w:spacing w:line="240" w:lineRule="atLeast"/>
              <w:rPr>
                <w:sz w:val="16"/>
                <w:szCs w:val="18"/>
                <w:lang w:val="en-GB" w:eastAsia="zh-CN"/>
              </w:rPr>
            </w:pPr>
            <w:r w:rsidRPr="000855B2">
              <w:rPr>
                <w:sz w:val="16"/>
                <w:szCs w:val="18"/>
                <w:lang w:val="en-GB" w:eastAsia="zh-CN"/>
              </w:rPr>
              <w:t>&lt; 50 cm</w:t>
            </w:r>
            <w:r w:rsidRPr="000855B2">
              <w:rPr>
                <w:sz w:val="16"/>
                <w:szCs w:val="18"/>
                <w:vertAlign w:val="superscript"/>
                <w:lang w:val="en-GB" w:eastAsia="zh-CN"/>
              </w:rPr>
              <w:t xml:space="preserve">3 </w:t>
            </w:r>
            <w:r w:rsidRPr="000855B2">
              <w:rPr>
                <w:sz w:val="16"/>
                <w:szCs w:val="18"/>
                <w:lang w:val="en-GB" w:eastAsia="zh-CN"/>
              </w:rPr>
              <w:t>4-stroke</w:t>
            </w:r>
          </w:p>
        </w:tc>
        <w:tc>
          <w:tcPr>
            <w:tcW w:w="966" w:type="dxa"/>
            <w:tcBorders>
              <w:top w:val="single" w:sz="4" w:space="0" w:color="auto"/>
              <w:left w:val="single" w:sz="4" w:space="0" w:color="auto"/>
              <w:bottom w:val="single" w:sz="4" w:space="0" w:color="auto"/>
              <w:right w:val="single" w:sz="4" w:space="0" w:color="auto"/>
            </w:tcBorders>
            <w:vAlign w:val="center"/>
          </w:tcPr>
          <w:p w14:paraId="3204D86E"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7EEFC21C"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850" w:type="dxa"/>
            <w:tcBorders>
              <w:top w:val="single" w:sz="4" w:space="0" w:color="auto"/>
              <w:left w:val="single" w:sz="4" w:space="0" w:color="auto"/>
              <w:bottom w:val="single" w:sz="4" w:space="0" w:color="auto"/>
              <w:right w:val="single" w:sz="4" w:space="0" w:color="auto"/>
            </w:tcBorders>
            <w:vAlign w:val="center"/>
          </w:tcPr>
          <w:p w14:paraId="4EF69752"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219</w:t>
            </w:r>
          </w:p>
        </w:tc>
        <w:tc>
          <w:tcPr>
            <w:tcW w:w="1430" w:type="dxa"/>
            <w:tcBorders>
              <w:top w:val="single" w:sz="4" w:space="0" w:color="auto"/>
              <w:left w:val="single" w:sz="4" w:space="0" w:color="auto"/>
              <w:bottom w:val="single" w:sz="4" w:space="0" w:color="auto"/>
              <w:right w:val="double" w:sz="4" w:space="0" w:color="auto"/>
            </w:tcBorders>
            <w:vAlign w:val="center"/>
          </w:tcPr>
          <w:p w14:paraId="6517F509"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219</w:t>
            </w:r>
          </w:p>
        </w:tc>
      </w:tr>
      <w:tr w:rsidR="007B2B80" w:rsidRPr="000855B2" w14:paraId="1ECA0470" w14:textId="77777777" w:rsidTr="00153E37">
        <w:trPr>
          <w:cantSplit/>
          <w:trHeight w:hRule="exact" w:val="255"/>
        </w:trPr>
        <w:tc>
          <w:tcPr>
            <w:tcW w:w="1101" w:type="dxa"/>
            <w:vMerge/>
            <w:tcBorders>
              <w:top w:val="single" w:sz="4" w:space="0" w:color="auto"/>
              <w:left w:val="double" w:sz="4" w:space="0" w:color="auto"/>
              <w:bottom w:val="single" w:sz="4" w:space="0" w:color="auto"/>
              <w:right w:val="single" w:sz="4" w:space="0" w:color="auto"/>
            </w:tcBorders>
            <w:vAlign w:val="center"/>
          </w:tcPr>
          <w:p w14:paraId="68926447" w14:textId="77777777" w:rsidR="007B2B80" w:rsidRPr="000855B2" w:rsidRDefault="007B2B80" w:rsidP="005C7955">
            <w:pPr>
              <w:keepNext/>
              <w:keepLines/>
              <w:suppressAutoHyphens/>
              <w:spacing w:line="240" w:lineRule="atLeast"/>
              <w:jc w:val="center"/>
              <w:rPr>
                <w:sz w:val="16"/>
                <w:szCs w:val="18"/>
                <w:lang w:val="en-GB"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1DE2CA" w14:textId="77777777" w:rsidR="007B2B80" w:rsidRPr="000855B2" w:rsidRDefault="007B2B80"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single" w:sz="4" w:space="0" w:color="auto"/>
              <w:right w:val="single" w:sz="4" w:space="0" w:color="auto"/>
            </w:tcBorders>
            <w:vAlign w:val="center"/>
          </w:tcPr>
          <w:p w14:paraId="3C9247E9" w14:textId="77777777" w:rsidR="007B2B80" w:rsidRPr="000855B2" w:rsidRDefault="007B2B80" w:rsidP="005C7955">
            <w:pPr>
              <w:keepNext/>
              <w:keepLines/>
              <w:suppressAutoHyphens/>
              <w:spacing w:line="240" w:lineRule="atLeast"/>
              <w:rPr>
                <w:sz w:val="16"/>
                <w:szCs w:val="18"/>
                <w:lang w:val="en-GB" w:eastAsia="zh-CN"/>
              </w:rPr>
            </w:pPr>
            <w:r w:rsidRPr="000855B2">
              <w:rPr>
                <w:sz w:val="16"/>
                <w:szCs w:val="18"/>
                <w:lang w:val="en-GB" w:eastAsia="zh-CN"/>
              </w:rPr>
              <w:t>&gt; 50 cm</w:t>
            </w:r>
            <w:r w:rsidRPr="000855B2">
              <w:rPr>
                <w:sz w:val="16"/>
                <w:szCs w:val="18"/>
                <w:vertAlign w:val="superscript"/>
                <w:lang w:val="en-GB" w:eastAsia="zh-CN"/>
              </w:rPr>
              <w:t>3</w:t>
            </w:r>
            <w:r w:rsidRPr="000855B2">
              <w:rPr>
                <w:sz w:val="16"/>
                <w:szCs w:val="18"/>
                <w:lang w:val="en-GB" w:eastAsia="zh-CN"/>
              </w:rPr>
              <w:t xml:space="preserve"> 2-stroke</w:t>
            </w:r>
          </w:p>
        </w:tc>
        <w:tc>
          <w:tcPr>
            <w:tcW w:w="966" w:type="dxa"/>
            <w:tcBorders>
              <w:top w:val="single" w:sz="4" w:space="0" w:color="auto"/>
              <w:left w:val="single" w:sz="4" w:space="0" w:color="auto"/>
              <w:bottom w:val="single" w:sz="4" w:space="0" w:color="auto"/>
              <w:right w:val="single" w:sz="4" w:space="0" w:color="auto"/>
            </w:tcBorders>
            <w:vAlign w:val="center"/>
          </w:tcPr>
          <w:p w14:paraId="52DD7808"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single" w:sz="4" w:space="0" w:color="auto"/>
              <w:right w:val="single" w:sz="4" w:space="0" w:color="auto"/>
            </w:tcBorders>
            <w:vAlign w:val="center"/>
          </w:tcPr>
          <w:p w14:paraId="1552A233"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150</w:t>
            </w:r>
          </w:p>
        </w:tc>
        <w:tc>
          <w:tcPr>
            <w:tcW w:w="850" w:type="dxa"/>
            <w:tcBorders>
              <w:top w:val="single" w:sz="4" w:space="0" w:color="auto"/>
              <w:left w:val="single" w:sz="4" w:space="0" w:color="auto"/>
              <w:bottom w:val="single" w:sz="4" w:space="0" w:color="auto"/>
              <w:right w:val="single" w:sz="4" w:space="0" w:color="auto"/>
            </w:tcBorders>
            <w:vAlign w:val="center"/>
          </w:tcPr>
          <w:p w14:paraId="1E254975"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150</w:t>
            </w:r>
          </w:p>
        </w:tc>
        <w:tc>
          <w:tcPr>
            <w:tcW w:w="1430" w:type="dxa"/>
            <w:tcBorders>
              <w:top w:val="single" w:sz="4" w:space="0" w:color="auto"/>
              <w:left w:val="single" w:sz="4" w:space="0" w:color="auto"/>
              <w:bottom w:val="single" w:sz="4" w:space="0" w:color="auto"/>
              <w:right w:val="double" w:sz="4" w:space="0" w:color="auto"/>
            </w:tcBorders>
            <w:vAlign w:val="center"/>
          </w:tcPr>
          <w:p w14:paraId="177FD98F"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150</w:t>
            </w:r>
          </w:p>
        </w:tc>
      </w:tr>
      <w:tr w:rsidR="007B2B80" w:rsidRPr="000855B2" w14:paraId="5DBB932B" w14:textId="77777777" w:rsidTr="00153E37">
        <w:trPr>
          <w:cantSplit/>
          <w:trHeight w:hRule="exact" w:val="255"/>
        </w:trPr>
        <w:tc>
          <w:tcPr>
            <w:tcW w:w="1101" w:type="dxa"/>
            <w:vMerge/>
            <w:tcBorders>
              <w:top w:val="single" w:sz="4" w:space="0" w:color="auto"/>
              <w:left w:val="double" w:sz="4" w:space="0" w:color="auto"/>
              <w:bottom w:val="double" w:sz="4" w:space="0" w:color="auto"/>
              <w:right w:val="single" w:sz="4" w:space="0" w:color="auto"/>
            </w:tcBorders>
            <w:vAlign w:val="center"/>
          </w:tcPr>
          <w:p w14:paraId="47190D16" w14:textId="77777777" w:rsidR="007B2B80" w:rsidRPr="000855B2" w:rsidRDefault="007B2B80" w:rsidP="005C7955">
            <w:pPr>
              <w:keepNext/>
              <w:keepLines/>
              <w:suppressAutoHyphens/>
              <w:spacing w:line="240" w:lineRule="atLeast"/>
              <w:jc w:val="center"/>
              <w:rPr>
                <w:sz w:val="16"/>
                <w:szCs w:val="18"/>
                <w:lang w:val="en-GB" w:eastAsia="zh-CN"/>
              </w:rPr>
            </w:pPr>
          </w:p>
        </w:tc>
        <w:tc>
          <w:tcPr>
            <w:tcW w:w="992" w:type="dxa"/>
            <w:vMerge/>
            <w:tcBorders>
              <w:top w:val="single" w:sz="4" w:space="0" w:color="auto"/>
              <w:left w:val="single" w:sz="4" w:space="0" w:color="auto"/>
              <w:bottom w:val="double" w:sz="4" w:space="0" w:color="auto"/>
              <w:right w:val="single" w:sz="4" w:space="0" w:color="auto"/>
            </w:tcBorders>
            <w:vAlign w:val="center"/>
          </w:tcPr>
          <w:p w14:paraId="2717DB03" w14:textId="77777777" w:rsidR="007B2B80" w:rsidRPr="000855B2" w:rsidRDefault="007B2B80" w:rsidP="005C7955">
            <w:pPr>
              <w:keepNext/>
              <w:keepLines/>
              <w:suppressAutoHyphens/>
              <w:spacing w:line="240" w:lineRule="atLeast"/>
              <w:rPr>
                <w:sz w:val="16"/>
                <w:szCs w:val="18"/>
                <w:lang w:val="en-GB" w:eastAsia="zh-CN"/>
              </w:rPr>
            </w:pPr>
          </w:p>
        </w:tc>
        <w:tc>
          <w:tcPr>
            <w:tcW w:w="2268" w:type="dxa"/>
            <w:tcBorders>
              <w:top w:val="single" w:sz="4" w:space="0" w:color="auto"/>
              <w:left w:val="nil"/>
              <w:bottom w:val="double" w:sz="4" w:space="0" w:color="auto"/>
              <w:right w:val="single" w:sz="4" w:space="0" w:color="auto"/>
            </w:tcBorders>
            <w:vAlign w:val="center"/>
          </w:tcPr>
          <w:p w14:paraId="5939C9A5" w14:textId="77777777" w:rsidR="007B2B80" w:rsidRPr="000855B2" w:rsidRDefault="007B2B80" w:rsidP="005C7955">
            <w:pPr>
              <w:keepNext/>
              <w:keepLines/>
              <w:suppressAutoHyphens/>
              <w:spacing w:line="240" w:lineRule="atLeast"/>
              <w:rPr>
                <w:sz w:val="16"/>
                <w:szCs w:val="18"/>
                <w:lang w:val="en-GB" w:eastAsia="zh-CN"/>
              </w:rPr>
            </w:pPr>
            <w:r w:rsidRPr="000855B2">
              <w:rPr>
                <w:sz w:val="16"/>
                <w:szCs w:val="18"/>
                <w:lang w:val="en-GB" w:eastAsia="zh-CN"/>
              </w:rPr>
              <w:t>&gt; 50 cm</w:t>
            </w:r>
            <w:r w:rsidRPr="000855B2">
              <w:rPr>
                <w:sz w:val="16"/>
                <w:szCs w:val="18"/>
                <w:vertAlign w:val="superscript"/>
                <w:lang w:val="en-GB" w:eastAsia="zh-CN"/>
              </w:rPr>
              <w:t>3</w:t>
            </w:r>
            <w:r w:rsidRPr="000855B2">
              <w:rPr>
                <w:sz w:val="16"/>
                <w:szCs w:val="18"/>
                <w:lang w:val="en-GB" w:eastAsia="zh-CN"/>
              </w:rPr>
              <w:t xml:space="preserve"> 4-stroke</w:t>
            </w:r>
          </w:p>
        </w:tc>
        <w:tc>
          <w:tcPr>
            <w:tcW w:w="966" w:type="dxa"/>
            <w:tcBorders>
              <w:top w:val="single" w:sz="4" w:space="0" w:color="auto"/>
              <w:left w:val="single" w:sz="4" w:space="0" w:color="auto"/>
              <w:bottom w:val="double" w:sz="4" w:space="0" w:color="auto"/>
              <w:right w:val="single" w:sz="4" w:space="0" w:color="auto"/>
            </w:tcBorders>
            <w:vAlign w:val="center"/>
          </w:tcPr>
          <w:p w14:paraId="18F9AAB1"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w:t>
            </w:r>
          </w:p>
        </w:tc>
        <w:tc>
          <w:tcPr>
            <w:tcW w:w="709" w:type="dxa"/>
            <w:tcBorders>
              <w:top w:val="single" w:sz="4" w:space="0" w:color="auto"/>
              <w:left w:val="single" w:sz="4" w:space="0" w:color="auto"/>
              <w:bottom w:val="double" w:sz="4" w:space="0" w:color="auto"/>
              <w:right w:val="single" w:sz="4" w:space="0" w:color="auto"/>
            </w:tcBorders>
            <w:vAlign w:val="center"/>
          </w:tcPr>
          <w:p w14:paraId="3D16036B"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200</w:t>
            </w:r>
          </w:p>
        </w:tc>
        <w:tc>
          <w:tcPr>
            <w:tcW w:w="850" w:type="dxa"/>
            <w:tcBorders>
              <w:top w:val="single" w:sz="4" w:space="0" w:color="auto"/>
              <w:left w:val="single" w:sz="4" w:space="0" w:color="auto"/>
              <w:bottom w:val="double" w:sz="4" w:space="0" w:color="auto"/>
              <w:right w:val="single" w:sz="4" w:space="0" w:color="auto"/>
            </w:tcBorders>
            <w:vAlign w:val="center"/>
          </w:tcPr>
          <w:p w14:paraId="108E05C7"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200</w:t>
            </w:r>
          </w:p>
        </w:tc>
        <w:tc>
          <w:tcPr>
            <w:tcW w:w="1430" w:type="dxa"/>
            <w:tcBorders>
              <w:top w:val="single" w:sz="4" w:space="0" w:color="auto"/>
              <w:left w:val="single" w:sz="4" w:space="0" w:color="auto"/>
              <w:bottom w:val="double" w:sz="4" w:space="0" w:color="auto"/>
              <w:right w:val="double" w:sz="4" w:space="0" w:color="auto"/>
            </w:tcBorders>
            <w:vAlign w:val="center"/>
          </w:tcPr>
          <w:p w14:paraId="338057F8" w14:textId="77777777" w:rsidR="007B2B80" w:rsidRPr="000855B2" w:rsidRDefault="007B2B80" w:rsidP="005C7955">
            <w:pPr>
              <w:keepNext/>
              <w:keepLines/>
              <w:suppressAutoHyphens/>
              <w:spacing w:line="240" w:lineRule="atLeast"/>
              <w:jc w:val="center"/>
              <w:rPr>
                <w:sz w:val="16"/>
                <w:szCs w:val="18"/>
                <w:lang w:val="en-GB" w:eastAsia="zh-CN"/>
              </w:rPr>
            </w:pPr>
            <w:r w:rsidRPr="000855B2">
              <w:rPr>
                <w:sz w:val="16"/>
                <w:szCs w:val="18"/>
                <w:lang w:val="en-GB" w:eastAsia="zh-CN"/>
              </w:rPr>
              <w:t>200</w:t>
            </w:r>
          </w:p>
        </w:tc>
      </w:tr>
    </w:tbl>
    <w:p w14:paraId="0009BCCE" w14:textId="77777777" w:rsidR="00631228" w:rsidRPr="00EA3292" w:rsidRDefault="00D32FE9" w:rsidP="00A361C8">
      <w:pPr>
        <w:pStyle w:val="BodyText"/>
        <w:rPr>
          <w:szCs w:val="18"/>
          <w:lang w:val="en-US"/>
        </w:rPr>
      </w:pPr>
      <w:bookmarkStart w:id="236" w:name="_Ref172107367"/>
      <w:r w:rsidRPr="000855B2">
        <w:rPr>
          <w:szCs w:val="18"/>
        </w:rPr>
        <w:t xml:space="preserve">* Methane cold emissions from CNG passenger cars are calculated </w:t>
      </w:r>
      <w:r w:rsidR="000807DB" w:rsidRPr="000855B2">
        <w:rPr>
          <w:szCs w:val="18"/>
        </w:rPr>
        <w:t>as a ratio of VOC cold emissions</w:t>
      </w:r>
      <w:r w:rsidRPr="000855B2">
        <w:rPr>
          <w:szCs w:val="18"/>
        </w:rPr>
        <w:t>:</w:t>
      </w:r>
    </w:p>
    <w:p w14:paraId="109CD8B2" w14:textId="75A861E1" w:rsidR="00D32FE9" w:rsidRPr="000855B2" w:rsidRDefault="00D32FE9" w:rsidP="00A361C8">
      <w:pPr>
        <w:pStyle w:val="BodyText"/>
        <w:rPr>
          <w:szCs w:val="18"/>
        </w:rPr>
      </w:pPr>
      <w:r w:rsidRPr="000855B2">
        <w:rPr>
          <w:szCs w:val="18"/>
        </w:rPr>
        <w:t>CH</w:t>
      </w:r>
      <w:r w:rsidRPr="000855B2">
        <w:rPr>
          <w:szCs w:val="18"/>
          <w:vertAlign w:val="subscript"/>
        </w:rPr>
        <w:t>4 cold</w:t>
      </w:r>
      <w:r w:rsidRPr="000855B2">
        <w:rPr>
          <w:szCs w:val="18"/>
        </w:rPr>
        <w:t xml:space="preserve"> = </w:t>
      </w:r>
      <w:r w:rsidR="000807DB" w:rsidRPr="000855B2">
        <w:rPr>
          <w:szCs w:val="18"/>
        </w:rPr>
        <w:t>0.620</w:t>
      </w:r>
      <w:r w:rsidR="000742A2" w:rsidRPr="000855B2">
        <w:rPr>
          <w:szCs w:val="18"/>
        </w:rPr>
        <w:t xml:space="preserve"> </w:t>
      </w:r>
      <w:r w:rsidRPr="000855B2">
        <w:rPr>
          <w:szCs w:val="18"/>
        </w:rPr>
        <w:t>VOC</w:t>
      </w:r>
      <w:r w:rsidR="000742A2" w:rsidRPr="000855B2">
        <w:rPr>
          <w:szCs w:val="18"/>
        </w:rPr>
        <w:t xml:space="preserve"> </w:t>
      </w:r>
      <w:r w:rsidRPr="000855B2">
        <w:rPr>
          <w:szCs w:val="18"/>
          <w:vertAlign w:val="subscript"/>
        </w:rPr>
        <w:t>cold</w:t>
      </w:r>
      <w:r w:rsidR="00010CA5">
        <w:rPr>
          <w:szCs w:val="18"/>
        </w:rPr>
        <w:t xml:space="preserve"> </w:t>
      </w:r>
    </w:p>
    <w:p w14:paraId="6C31DE6F" w14:textId="7F381929" w:rsidR="008D2FF3" w:rsidRPr="000855B2" w:rsidRDefault="00A361C8" w:rsidP="008D2FF3">
      <w:pPr>
        <w:pStyle w:val="BodyText"/>
      </w:pPr>
      <w:r w:rsidRPr="000855B2">
        <w:t>The NMVOC emission factors were calculated as the remainder of the subtraction of CH</w:t>
      </w:r>
      <w:r w:rsidRPr="000855B2">
        <w:rPr>
          <w:vertAlign w:val="subscript"/>
        </w:rPr>
        <w:t>4</w:t>
      </w:r>
      <w:r w:rsidRPr="000855B2">
        <w:t xml:space="preserve"> emissions from total VOC emissions. Hence, after VOC and CH</w:t>
      </w:r>
      <w:r w:rsidRPr="000855B2">
        <w:rPr>
          <w:vertAlign w:val="subscript"/>
        </w:rPr>
        <w:t>4</w:t>
      </w:r>
      <w:r w:rsidRPr="000855B2">
        <w:t xml:space="preserve"> have been calculated by equation </w:t>
      </w:r>
      <w:r w:rsidR="00FB454C">
        <w:fldChar w:fldCharType="begin"/>
      </w:r>
      <w:r w:rsidR="00FB454C">
        <w:instrText xml:space="preserve"> REF _Ref172107221 \h  \* MERGEFORMAT </w:instrText>
      </w:r>
      <w:r w:rsidR="00FB454C">
        <w:fldChar w:fldCharType="separate"/>
      </w:r>
      <w:r w:rsidR="0071604C" w:rsidRPr="000855B2">
        <w:t>(</w:t>
      </w:r>
      <w:r w:rsidR="0071604C">
        <w:t>6</w:t>
      </w:r>
      <w:r w:rsidR="00FB454C">
        <w:fldChar w:fldCharType="end"/>
      </w:r>
      <w:r w:rsidRPr="000855B2">
        <w:t>), NMVOC emissions can also be calculated by:</w:t>
      </w:r>
    </w:p>
    <w:tbl>
      <w:tblPr>
        <w:tblW w:w="0" w:type="auto"/>
        <w:tblBorders>
          <w:insideH w:val="single" w:sz="4" w:space="0" w:color="auto"/>
        </w:tblBorders>
        <w:tblLook w:val="01E0" w:firstRow="1" w:lastRow="1" w:firstColumn="1" w:lastColumn="1" w:noHBand="0" w:noVBand="0"/>
      </w:tblPr>
      <w:tblGrid>
        <w:gridCol w:w="7707"/>
        <w:gridCol w:w="756"/>
      </w:tblGrid>
      <w:tr w:rsidR="00A361C8" w:rsidRPr="000855B2" w14:paraId="505BEFD0" w14:textId="77777777" w:rsidTr="008D2FF3">
        <w:tc>
          <w:tcPr>
            <w:tcW w:w="7707" w:type="dxa"/>
            <w:tcMar>
              <w:left w:w="0" w:type="dxa"/>
              <w:right w:w="0" w:type="dxa"/>
            </w:tcMar>
            <w:vAlign w:val="center"/>
          </w:tcPr>
          <w:p w14:paraId="502F318B" w14:textId="77777777" w:rsidR="00A361C8" w:rsidRPr="000855B2" w:rsidRDefault="00A361C8" w:rsidP="008D2FF3">
            <w:pPr>
              <w:numPr>
                <w:ilvl w:val="12"/>
                <w:numId w:val="0"/>
              </w:numPr>
              <w:rPr>
                <w:lang w:val="en-GB"/>
              </w:rPr>
            </w:pPr>
            <w:r w:rsidRPr="000855B2">
              <w:rPr>
                <w:lang w:val="en-GB"/>
              </w:rPr>
              <w:t>E</w:t>
            </w:r>
            <w:r w:rsidRPr="000855B2">
              <w:rPr>
                <w:vertAlign w:val="subscript"/>
                <w:lang w:val="en-GB"/>
              </w:rPr>
              <w:t>NMVOC</w:t>
            </w:r>
            <w:r w:rsidRPr="000855B2">
              <w:rPr>
                <w:lang w:val="en-GB"/>
              </w:rPr>
              <w:t xml:space="preserve"> = E</w:t>
            </w:r>
            <w:r w:rsidRPr="000855B2">
              <w:rPr>
                <w:vertAlign w:val="subscript"/>
                <w:lang w:val="en-GB"/>
              </w:rPr>
              <w:t>VOC</w:t>
            </w:r>
            <w:r w:rsidRPr="000855B2">
              <w:rPr>
                <w:lang w:val="en-GB"/>
              </w:rPr>
              <w:t xml:space="preserve"> – E</w:t>
            </w:r>
            <w:r w:rsidRPr="000855B2">
              <w:rPr>
                <w:vertAlign w:val="subscript"/>
                <w:lang w:val="en-GB"/>
              </w:rPr>
              <w:t>CH4</w:t>
            </w:r>
          </w:p>
        </w:tc>
        <w:tc>
          <w:tcPr>
            <w:tcW w:w="756" w:type="dxa"/>
            <w:tcMar>
              <w:left w:w="0" w:type="dxa"/>
              <w:right w:w="0" w:type="dxa"/>
            </w:tcMar>
            <w:vAlign w:val="center"/>
          </w:tcPr>
          <w:p w14:paraId="3D8C7471" w14:textId="568F59E7" w:rsidR="00A361C8" w:rsidRPr="000855B2" w:rsidRDefault="00A361C8" w:rsidP="008D2FF3">
            <w:pPr>
              <w:numPr>
                <w:ilvl w:val="12"/>
                <w:numId w:val="0"/>
              </w:numPr>
              <w:rPr>
                <w:lang w:val="en-GB"/>
              </w:rPr>
            </w:pPr>
            <w:r w:rsidRPr="000855B2">
              <w:rPr>
                <w:lang w:val="en-GB"/>
              </w:rPr>
              <w:t>(</w:t>
            </w:r>
            <w:r w:rsidR="00E17971">
              <w:rPr>
                <w:lang w:val="en-GB"/>
              </w:rPr>
              <w:fldChar w:fldCharType="begin"/>
            </w:r>
            <w:r w:rsidR="00017B39">
              <w:rPr>
                <w:lang w:val="en-GB"/>
              </w:rPr>
              <w:instrText xml:space="preserve"> SEQ Εξίσωση \* ARABIC </w:instrText>
            </w:r>
            <w:r w:rsidR="00E17971">
              <w:rPr>
                <w:lang w:val="en-GB"/>
              </w:rPr>
              <w:fldChar w:fldCharType="separate"/>
            </w:r>
            <w:r w:rsidR="0071604C">
              <w:rPr>
                <w:noProof/>
                <w:lang w:val="en-GB"/>
              </w:rPr>
              <w:t>27</w:t>
            </w:r>
            <w:r w:rsidR="00E17971">
              <w:rPr>
                <w:lang w:val="en-GB"/>
              </w:rPr>
              <w:fldChar w:fldCharType="end"/>
            </w:r>
            <w:r w:rsidRPr="000855B2">
              <w:rPr>
                <w:lang w:val="en-GB"/>
              </w:rPr>
              <w:t>)</w:t>
            </w:r>
          </w:p>
        </w:tc>
      </w:tr>
    </w:tbl>
    <w:p w14:paraId="720BD374" w14:textId="77777777" w:rsidR="00A361C8" w:rsidRPr="000855B2" w:rsidRDefault="00A361C8" w:rsidP="008D2FF3">
      <w:pPr>
        <w:rPr>
          <w:lang w:val="en-GB"/>
        </w:rPr>
      </w:pPr>
    </w:p>
    <w:p w14:paraId="4ABC01A0" w14:textId="47D156D4" w:rsidR="001D2587" w:rsidRPr="000855B2" w:rsidRDefault="00A040D1" w:rsidP="00C92B1B">
      <w:pPr>
        <w:pStyle w:val="Caption"/>
        <w:rPr>
          <w:highlight w:val="yellow"/>
        </w:rPr>
      </w:pPr>
      <w:bookmarkStart w:id="237" w:name="_Ref201739314"/>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47</w:t>
      </w:r>
      <w:r w:rsidR="00FB454C">
        <w:rPr>
          <w:noProof/>
        </w:rPr>
        <w:fldChar w:fldCharType="end"/>
      </w:r>
      <w:bookmarkEnd w:id="236"/>
      <w:bookmarkEnd w:id="237"/>
      <w:r w:rsidR="001D2587" w:rsidRPr="000855B2">
        <w:t>: Methane (CH</w:t>
      </w:r>
      <w:r w:rsidR="001D2587" w:rsidRPr="000855B2">
        <w:rPr>
          <w:vertAlign w:val="subscript"/>
        </w:rPr>
        <w:t>4</w:t>
      </w:r>
      <w:r w:rsidR="001D2587" w:rsidRPr="000855B2">
        <w:t>) emission reduction factors (%). Reductions are over Euro 1 for passenger cars, Euro I for heavy</w:t>
      </w:r>
      <w:r w:rsidR="006F1553" w:rsidRPr="000855B2">
        <w:t>-</w:t>
      </w:r>
      <w:r w:rsidR="001D2587" w:rsidRPr="000855B2">
        <w:t xml:space="preserve">duty vehicles and </w:t>
      </w:r>
      <w:r w:rsidR="00BA6BBF" w:rsidRPr="000855B2">
        <w:t>buses</w:t>
      </w:r>
      <w:r w:rsidR="001D2587" w:rsidRPr="000855B2">
        <w:t xml:space="preserve"> and the </w:t>
      </w:r>
      <w:r w:rsidR="006F1553" w:rsidRPr="000855B2">
        <w:t>c</w:t>
      </w:r>
      <w:r w:rsidR="001D2587" w:rsidRPr="000855B2">
        <w:t>onventional technology for</w:t>
      </w:r>
      <w:r w:rsidR="00DA3822" w:rsidRPr="000855B2">
        <w:t xml:space="preserve"> </w:t>
      </w:r>
      <w:r w:rsidR="001D2587" w:rsidRPr="000855B2">
        <w:t>two</w:t>
      </w:r>
      <w:r w:rsidR="00DA3822" w:rsidRPr="000855B2">
        <w:t>-</w:t>
      </w:r>
      <w:r w:rsidR="001D2587" w:rsidRPr="000855B2">
        <w:t>wheel</w:t>
      </w:r>
      <w:r w:rsidR="00DA3822" w:rsidRPr="000855B2">
        <w:t xml:space="preserve"> vehicles</w:t>
      </w:r>
    </w:p>
    <w:tbl>
      <w:tblPr>
        <w:tblW w:w="7763" w:type="dxa"/>
        <w:tblLayout w:type="fixed"/>
        <w:tblLook w:val="0000" w:firstRow="0" w:lastRow="0" w:firstColumn="0" w:lastColumn="0" w:noHBand="0" w:noVBand="0"/>
      </w:tblPr>
      <w:tblGrid>
        <w:gridCol w:w="1090"/>
        <w:gridCol w:w="900"/>
        <w:gridCol w:w="2520"/>
        <w:gridCol w:w="1260"/>
        <w:gridCol w:w="7"/>
        <w:gridCol w:w="994"/>
        <w:gridCol w:w="992"/>
      </w:tblGrid>
      <w:tr w:rsidR="001D2587" w:rsidRPr="000855B2" w14:paraId="34F8501C" w14:textId="77777777" w:rsidTr="008D1D4F">
        <w:trPr>
          <w:cantSplit/>
          <w:trHeight w:val="315"/>
        </w:trPr>
        <w:tc>
          <w:tcPr>
            <w:tcW w:w="1090" w:type="dxa"/>
            <w:vMerge w:val="restart"/>
            <w:tcBorders>
              <w:top w:val="double" w:sz="4" w:space="0" w:color="auto"/>
              <w:left w:val="double" w:sz="4" w:space="0" w:color="auto"/>
              <w:bottom w:val="single" w:sz="12" w:space="0" w:color="auto"/>
              <w:right w:val="single" w:sz="4" w:space="0" w:color="auto"/>
            </w:tcBorders>
            <w:vAlign w:val="center"/>
          </w:tcPr>
          <w:p w14:paraId="299733F6"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r w:rsidRPr="000855B2">
              <w:rPr>
                <w:rFonts w:cs="Tahoma"/>
                <w:b/>
                <w:bCs/>
                <w:sz w:val="16"/>
                <w:szCs w:val="18"/>
                <w:lang w:val="en-GB" w:eastAsia="zh-CN"/>
              </w:rPr>
              <w:t xml:space="preserve">Vehicle </w:t>
            </w:r>
            <w:r w:rsidR="00DA3822" w:rsidRPr="000855B2">
              <w:rPr>
                <w:rFonts w:cs="Tahoma"/>
                <w:b/>
                <w:bCs/>
                <w:sz w:val="16"/>
                <w:szCs w:val="18"/>
                <w:lang w:val="en-GB" w:eastAsia="zh-CN"/>
              </w:rPr>
              <w:t>t</w:t>
            </w:r>
            <w:r w:rsidRPr="000855B2">
              <w:rPr>
                <w:rFonts w:cs="Tahoma"/>
                <w:b/>
                <w:bCs/>
                <w:sz w:val="16"/>
                <w:szCs w:val="18"/>
                <w:lang w:val="en-GB" w:eastAsia="zh-CN"/>
              </w:rPr>
              <w:t>ype</w:t>
            </w:r>
          </w:p>
        </w:tc>
        <w:tc>
          <w:tcPr>
            <w:tcW w:w="900" w:type="dxa"/>
            <w:vMerge w:val="restart"/>
            <w:tcBorders>
              <w:top w:val="double" w:sz="4" w:space="0" w:color="auto"/>
              <w:left w:val="single" w:sz="4" w:space="0" w:color="auto"/>
              <w:bottom w:val="single" w:sz="12" w:space="0" w:color="auto"/>
              <w:right w:val="single" w:sz="4" w:space="0" w:color="auto"/>
            </w:tcBorders>
            <w:vAlign w:val="center"/>
          </w:tcPr>
          <w:p w14:paraId="28B1403B"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r w:rsidRPr="000855B2">
              <w:rPr>
                <w:rFonts w:cs="Tahoma"/>
                <w:b/>
                <w:bCs/>
                <w:sz w:val="16"/>
                <w:szCs w:val="18"/>
                <w:lang w:val="en-GB" w:eastAsia="zh-CN"/>
              </w:rPr>
              <w:t>Fuel</w:t>
            </w:r>
          </w:p>
        </w:tc>
        <w:tc>
          <w:tcPr>
            <w:tcW w:w="2520" w:type="dxa"/>
            <w:vMerge w:val="restart"/>
            <w:tcBorders>
              <w:top w:val="double" w:sz="4" w:space="0" w:color="auto"/>
              <w:left w:val="single" w:sz="4" w:space="0" w:color="auto"/>
              <w:bottom w:val="single" w:sz="12" w:space="0" w:color="auto"/>
              <w:right w:val="single" w:sz="4" w:space="0" w:color="auto"/>
            </w:tcBorders>
            <w:vAlign w:val="center"/>
          </w:tcPr>
          <w:p w14:paraId="32F9E56F"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r w:rsidRPr="000855B2">
              <w:rPr>
                <w:rFonts w:cs="Tahoma"/>
                <w:b/>
                <w:bCs/>
                <w:sz w:val="16"/>
                <w:szCs w:val="18"/>
                <w:lang w:val="en-GB" w:eastAsia="zh-CN"/>
              </w:rPr>
              <w:t xml:space="preserve">Vehicle </w:t>
            </w:r>
            <w:r w:rsidR="00DA3822" w:rsidRPr="000855B2">
              <w:rPr>
                <w:rFonts w:cs="Tahoma"/>
                <w:b/>
                <w:bCs/>
                <w:sz w:val="16"/>
                <w:szCs w:val="18"/>
                <w:lang w:val="en-GB" w:eastAsia="zh-CN"/>
              </w:rPr>
              <w:t>t</w:t>
            </w:r>
            <w:r w:rsidRPr="000855B2">
              <w:rPr>
                <w:rFonts w:cs="Tahoma"/>
                <w:b/>
                <w:bCs/>
                <w:sz w:val="16"/>
                <w:szCs w:val="18"/>
                <w:lang w:val="en-GB" w:eastAsia="zh-CN"/>
              </w:rPr>
              <w:t>echnology/</w:t>
            </w:r>
            <w:r w:rsidR="00DA3822" w:rsidRPr="000855B2">
              <w:rPr>
                <w:rFonts w:cs="Tahoma"/>
                <w:b/>
                <w:bCs/>
                <w:sz w:val="16"/>
                <w:szCs w:val="18"/>
                <w:lang w:val="en-GB" w:eastAsia="zh-CN"/>
              </w:rPr>
              <w:t>c</w:t>
            </w:r>
            <w:r w:rsidRPr="000855B2">
              <w:rPr>
                <w:rFonts w:cs="Tahoma"/>
                <w:b/>
                <w:bCs/>
                <w:sz w:val="16"/>
                <w:szCs w:val="18"/>
                <w:lang w:val="en-GB" w:eastAsia="zh-CN"/>
              </w:rPr>
              <w:t>lass</w:t>
            </w:r>
          </w:p>
        </w:tc>
        <w:tc>
          <w:tcPr>
            <w:tcW w:w="3253" w:type="dxa"/>
            <w:gridSpan w:val="4"/>
            <w:tcBorders>
              <w:top w:val="double" w:sz="4" w:space="0" w:color="auto"/>
              <w:left w:val="single" w:sz="4" w:space="0" w:color="auto"/>
              <w:bottom w:val="single" w:sz="2" w:space="0" w:color="auto"/>
              <w:right w:val="double" w:sz="4" w:space="0" w:color="auto"/>
            </w:tcBorders>
            <w:vAlign w:val="center"/>
          </w:tcPr>
          <w:p w14:paraId="37E3B089"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CH</w:t>
            </w:r>
            <w:r w:rsidRPr="000855B2">
              <w:rPr>
                <w:rFonts w:cs="Tahoma"/>
                <w:b/>
                <w:sz w:val="16"/>
                <w:szCs w:val="18"/>
                <w:vertAlign w:val="subscript"/>
                <w:lang w:val="en-GB" w:eastAsia="zh-CN"/>
              </w:rPr>
              <w:t>4</w:t>
            </w:r>
            <w:r w:rsidRPr="000855B2">
              <w:rPr>
                <w:rFonts w:cs="Tahoma"/>
                <w:b/>
                <w:sz w:val="16"/>
                <w:szCs w:val="18"/>
                <w:lang w:val="en-GB" w:eastAsia="zh-CN"/>
              </w:rPr>
              <w:t xml:space="preserve"> Emission Reduction Factors (%)</w:t>
            </w:r>
          </w:p>
        </w:tc>
      </w:tr>
      <w:tr w:rsidR="001D2587" w:rsidRPr="000855B2" w14:paraId="404480BE" w14:textId="77777777" w:rsidTr="008D1D4F">
        <w:trPr>
          <w:cantSplit/>
          <w:trHeight w:val="255"/>
        </w:trPr>
        <w:tc>
          <w:tcPr>
            <w:tcW w:w="1090" w:type="dxa"/>
            <w:vMerge/>
            <w:tcBorders>
              <w:top w:val="single" w:sz="4" w:space="0" w:color="auto"/>
              <w:left w:val="double" w:sz="4" w:space="0" w:color="auto"/>
              <w:bottom w:val="single" w:sz="12" w:space="0" w:color="auto"/>
              <w:right w:val="single" w:sz="4" w:space="0" w:color="auto"/>
            </w:tcBorders>
            <w:vAlign w:val="center"/>
          </w:tcPr>
          <w:p w14:paraId="352621EE"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p>
        </w:tc>
        <w:tc>
          <w:tcPr>
            <w:tcW w:w="900" w:type="dxa"/>
            <w:vMerge/>
            <w:tcBorders>
              <w:top w:val="single" w:sz="4" w:space="0" w:color="auto"/>
              <w:left w:val="single" w:sz="4" w:space="0" w:color="auto"/>
              <w:bottom w:val="single" w:sz="12" w:space="0" w:color="auto"/>
              <w:right w:val="single" w:sz="4" w:space="0" w:color="auto"/>
            </w:tcBorders>
            <w:vAlign w:val="center"/>
          </w:tcPr>
          <w:p w14:paraId="12F0868C"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p>
        </w:tc>
        <w:tc>
          <w:tcPr>
            <w:tcW w:w="2520" w:type="dxa"/>
            <w:vMerge/>
            <w:tcBorders>
              <w:top w:val="single" w:sz="4" w:space="0" w:color="auto"/>
              <w:left w:val="single" w:sz="4" w:space="0" w:color="auto"/>
              <w:bottom w:val="single" w:sz="12" w:space="0" w:color="auto"/>
              <w:right w:val="single" w:sz="4" w:space="0" w:color="auto"/>
            </w:tcBorders>
            <w:vAlign w:val="center"/>
          </w:tcPr>
          <w:p w14:paraId="30666F98" w14:textId="77777777" w:rsidR="001D2587" w:rsidRPr="000855B2" w:rsidRDefault="001D2587" w:rsidP="005C7955">
            <w:pPr>
              <w:keepNext/>
              <w:keepLines/>
              <w:suppressAutoHyphens/>
              <w:spacing w:line="240" w:lineRule="atLeast"/>
              <w:jc w:val="center"/>
              <w:rPr>
                <w:rFonts w:cs="Tahoma"/>
                <w:b/>
                <w:bCs/>
                <w:sz w:val="16"/>
                <w:szCs w:val="18"/>
                <w:lang w:val="en-GB" w:eastAsia="zh-CN"/>
              </w:rPr>
            </w:pPr>
          </w:p>
        </w:tc>
        <w:tc>
          <w:tcPr>
            <w:tcW w:w="1260" w:type="dxa"/>
            <w:tcBorders>
              <w:top w:val="single" w:sz="2" w:space="0" w:color="auto"/>
              <w:left w:val="single" w:sz="4" w:space="0" w:color="auto"/>
              <w:bottom w:val="single" w:sz="12" w:space="0" w:color="auto"/>
              <w:right w:val="single" w:sz="4" w:space="0" w:color="auto"/>
            </w:tcBorders>
            <w:vAlign w:val="center"/>
          </w:tcPr>
          <w:p w14:paraId="64D3DFAD"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Urban</w:t>
            </w:r>
          </w:p>
        </w:tc>
        <w:tc>
          <w:tcPr>
            <w:tcW w:w="1001" w:type="dxa"/>
            <w:gridSpan w:val="2"/>
            <w:tcBorders>
              <w:top w:val="single" w:sz="2" w:space="0" w:color="auto"/>
              <w:left w:val="single" w:sz="4" w:space="0" w:color="auto"/>
              <w:bottom w:val="single" w:sz="12" w:space="0" w:color="auto"/>
              <w:right w:val="single" w:sz="4" w:space="0" w:color="auto"/>
            </w:tcBorders>
            <w:vAlign w:val="center"/>
          </w:tcPr>
          <w:p w14:paraId="2F38D84D"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Rural</w:t>
            </w:r>
          </w:p>
        </w:tc>
        <w:tc>
          <w:tcPr>
            <w:tcW w:w="992" w:type="dxa"/>
            <w:tcBorders>
              <w:top w:val="single" w:sz="2" w:space="0" w:color="auto"/>
              <w:left w:val="single" w:sz="4" w:space="0" w:color="auto"/>
              <w:bottom w:val="single" w:sz="12" w:space="0" w:color="auto"/>
              <w:right w:val="double" w:sz="4" w:space="0" w:color="auto"/>
            </w:tcBorders>
            <w:vAlign w:val="center"/>
          </w:tcPr>
          <w:p w14:paraId="32CEBD64" w14:textId="77777777" w:rsidR="001D2587" w:rsidRPr="000855B2" w:rsidRDefault="001D2587" w:rsidP="005C7955">
            <w:pPr>
              <w:keepNext/>
              <w:keepLines/>
              <w:suppressAutoHyphens/>
              <w:spacing w:line="240" w:lineRule="atLeast"/>
              <w:jc w:val="center"/>
              <w:rPr>
                <w:rFonts w:cs="Tahoma"/>
                <w:b/>
                <w:sz w:val="16"/>
                <w:szCs w:val="18"/>
                <w:lang w:val="en-GB" w:eastAsia="zh-CN"/>
              </w:rPr>
            </w:pPr>
            <w:r w:rsidRPr="000855B2">
              <w:rPr>
                <w:rFonts w:cs="Tahoma"/>
                <w:b/>
                <w:sz w:val="16"/>
                <w:szCs w:val="18"/>
                <w:lang w:val="en-GB" w:eastAsia="zh-CN"/>
              </w:rPr>
              <w:t>Highway</w:t>
            </w:r>
          </w:p>
        </w:tc>
      </w:tr>
      <w:tr w:rsidR="001D2587" w:rsidRPr="000855B2" w14:paraId="63961077" w14:textId="77777777" w:rsidTr="008D1D4F">
        <w:trPr>
          <w:cantSplit/>
          <w:trHeight w:val="70"/>
        </w:trPr>
        <w:tc>
          <w:tcPr>
            <w:tcW w:w="1090" w:type="dxa"/>
            <w:vMerge w:val="restart"/>
            <w:tcBorders>
              <w:top w:val="single" w:sz="12" w:space="0" w:color="auto"/>
              <w:left w:val="double" w:sz="4" w:space="0" w:color="auto"/>
              <w:right w:val="single" w:sz="4" w:space="0" w:color="auto"/>
            </w:tcBorders>
            <w:vAlign w:val="center"/>
          </w:tcPr>
          <w:p w14:paraId="1F0BC394"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Passenger </w:t>
            </w:r>
            <w:r w:rsidR="006F1553" w:rsidRPr="000855B2">
              <w:rPr>
                <w:rFonts w:cs="Tahoma"/>
                <w:sz w:val="16"/>
                <w:szCs w:val="18"/>
                <w:lang w:val="en-GB" w:eastAsia="zh-CN"/>
              </w:rPr>
              <w:t>c</w:t>
            </w:r>
            <w:r w:rsidRPr="000855B2">
              <w:rPr>
                <w:rFonts w:cs="Tahoma"/>
                <w:sz w:val="16"/>
                <w:szCs w:val="18"/>
                <w:lang w:val="en-GB" w:eastAsia="zh-CN"/>
              </w:rPr>
              <w:t>ars</w:t>
            </w:r>
          </w:p>
        </w:tc>
        <w:tc>
          <w:tcPr>
            <w:tcW w:w="900" w:type="dxa"/>
            <w:vMerge w:val="restart"/>
            <w:tcBorders>
              <w:top w:val="single" w:sz="12" w:space="0" w:color="auto"/>
              <w:left w:val="single" w:sz="4" w:space="0" w:color="auto"/>
              <w:right w:val="single" w:sz="4" w:space="0" w:color="auto"/>
            </w:tcBorders>
            <w:vAlign w:val="center"/>
          </w:tcPr>
          <w:p w14:paraId="215AD457"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LPG</w:t>
            </w:r>
          </w:p>
        </w:tc>
        <w:tc>
          <w:tcPr>
            <w:tcW w:w="2520" w:type="dxa"/>
            <w:tcBorders>
              <w:top w:val="single" w:sz="12" w:space="0" w:color="auto"/>
              <w:left w:val="nil"/>
              <w:bottom w:val="single" w:sz="4" w:space="0" w:color="auto"/>
              <w:right w:val="single" w:sz="4" w:space="0" w:color="auto"/>
            </w:tcBorders>
            <w:vAlign w:val="center"/>
          </w:tcPr>
          <w:p w14:paraId="3490E3B3"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2</w:t>
            </w:r>
          </w:p>
        </w:tc>
        <w:tc>
          <w:tcPr>
            <w:tcW w:w="1267" w:type="dxa"/>
            <w:gridSpan w:val="2"/>
            <w:tcBorders>
              <w:top w:val="single" w:sz="12" w:space="0" w:color="auto"/>
              <w:left w:val="single" w:sz="4" w:space="0" w:color="auto"/>
              <w:bottom w:val="single" w:sz="4" w:space="0" w:color="auto"/>
              <w:right w:val="single" w:sz="4" w:space="0" w:color="auto"/>
            </w:tcBorders>
            <w:vAlign w:val="center"/>
          </w:tcPr>
          <w:p w14:paraId="357C188E"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76</w:t>
            </w:r>
          </w:p>
        </w:tc>
        <w:tc>
          <w:tcPr>
            <w:tcW w:w="994" w:type="dxa"/>
            <w:tcBorders>
              <w:top w:val="single" w:sz="12" w:space="0" w:color="auto"/>
              <w:left w:val="single" w:sz="4" w:space="0" w:color="auto"/>
              <w:bottom w:val="single" w:sz="4" w:space="0" w:color="auto"/>
              <w:right w:val="single" w:sz="4" w:space="0" w:color="auto"/>
            </w:tcBorders>
            <w:vAlign w:val="center"/>
          </w:tcPr>
          <w:p w14:paraId="74C6C0D8"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76</w:t>
            </w:r>
          </w:p>
        </w:tc>
        <w:tc>
          <w:tcPr>
            <w:tcW w:w="992" w:type="dxa"/>
            <w:tcBorders>
              <w:top w:val="single" w:sz="12" w:space="0" w:color="auto"/>
              <w:left w:val="single" w:sz="4" w:space="0" w:color="auto"/>
              <w:bottom w:val="single" w:sz="4" w:space="0" w:color="auto"/>
              <w:right w:val="double" w:sz="4" w:space="0" w:color="auto"/>
            </w:tcBorders>
            <w:vAlign w:val="center"/>
          </w:tcPr>
          <w:p w14:paraId="07E126B1"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76</w:t>
            </w:r>
          </w:p>
        </w:tc>
      </w:tr>
      <w:tr w:rsidR="001D2587" w:rsidRPr="000855B2" w14:paraId="173F94D0" w14:textId="77777777" w:rsidTr="008D1D4F">
        <w:trPr>
          <w:cantSplit/>
          <w:trHeight w:val="240"/>
        </w:trPr>
        <w:tc>
          <w:tcPr>
            <w:tcW w:w="1090" w:type="dxa"/>
            <w:vMerge/>
            <w:tcBorders>
              <w:left w:val="double" w:sz="4" w:space="0" w:color="auto"/>
              <w:right w:val="single" w:sz="4" w:space="0" w:color="auto"/>
            </w:tcBorders>
            <w:vAlign w:val="center"/>
          </w:tcPr>
          <w:p w14:paraId="0F029FF7"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72BF8E6F"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39C83202"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3</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50334FF7"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84</w:t>
            </w:r>
          </w:p>
        </w:tc>
        <w:tc>
          <w:tcPr>
            <w:tcW w:w="994" w:type="dxa"/>
            <w:tcBorders>
              <w:top w:val="single" w:sz="4" w:space="0" w:color="auto"/>
              <w:left w:val="single" w:sz="4" w:space="0" w:color="auto"/>
              <w:bottom w:val="single" w:sz="4" w:space="0" w:color="auto"/>
              <w:right w:val="single" w:sz="4" w:space="0" w:color="auto"/>
            </w:tcBorders>
            <w:vAlign w:val="center"/>
          </w:tcPr>
          <w:p w14:paraId="5B8F9D62"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84</w:t>
            </w:r>
          </w:p>
        </w:tc>
        <w:tc>
          <w:tcPr>
            <w:tcW w:w="992" w:type="dxa"/>
            <w:tcBorders>
              <w:top w:val="single" w:sz="4" w:space="0" w:color="auto"/>
              <w:left w:val="single" w:sz="4" w:space="0" w:color="auto"/>
              <w:bottom w:val="single" w:sz="4" w:space="0" w:color="auto"/>
              <w:right w:val="double" w:sz="4" w:space="0" w:color="auto"/>
            </w:tcBorders>
            <w:vAlign w:val="center"/>
          </w:tcPr>
          <w:p w14:paraId="2F958C99"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84</w:t>
            </w:r>
          </w:p>
        </w:tc>
      </w:tr>
      <w:tr w:rsidR="001D2587" w:rsidRPr="000855B2" w14:paraId="47EABFDE" w14:textId="77777777" w:rsidTr="008D1D4F">
        <w:trPr>
          <w:cantSplit/>
          <w:trHeight w:val="240"/>
        </w:trPr>
        <w:tc>
          <w:tcPr>
            <w:tcW w:w="1090" w:type="dxa"/>
            <w:vMerge/>
            <w:tcBorders>
              <w:left w:val="double" w:sz="4" w:space="0" w:color="auto"/>
              <w:bottom w:val="single" w:sz="4" w:space="0" w:color="auto"/>
              <w:right w:val="single" w:sz="4" w:space="0" w:color="auto"/>
            </w:tcBorders>
            <w:vAlign w:val="center"/>
          </w:tcPr>
          <w:p w14:paraId="7D3CB11F"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bottom w:val="single" w:sz="4" w:space="0" w:color="000000"/>
              <w:right w:val="single" w:sz="4" w:space="0" w:color="auto"/>
            </w:tcBorders>
            <w:vAlign w:val="center"/>
          </w:tcPr>
          <w:p w14:paraId="1C63EFFE"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40FAB552"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4</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6D0AE0A8"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95</w:t>
            </w:r>
          </w:p>
        </w:tc>
        <w:tc>
          <w:tcPr>
            <w:tcW w:w="994" w:type="dxa"/>
            <w:tcBorders>
              <w:top w:val="single" w:sz="4" w:space="0" w:color="auto"/>
              <w:left w:val="single" w:sz="4" w:space="0" w:color="auto"/>
              <w:bottom w:val="single" w:sz="4" w:space="0" w:color="auto"/>
              <w:right w:val="single" w:sz="4" w:space="0" w:color="auto"/>
            </w:tcBorders>
            <w:vAlign w:val="center"/>
          </w:tcPr>
          <w:p w14:paraId="55596D03"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95</w:t>
            </w:r>
          </w:p>
        </w:tc>
        <w:tc>
          <w:tcPr>
            <w:tcW w:w="992" w:type="dxa"/>
            <w:tcBorders>
              <w:top w:val="single" w:sz="4" w:space="0" w:color="auto"/>
              <w:left w:val="single" w:sz="4" w:space="0" w:color="auto"/>
              <w:bottom w:val="single" w:sz="4" w:space="0" w:color="auto"/>
              <w:right w:val="double" w:sz="4" w:space="0" w:color="auto"/>
            </w:tcBorders>
            <w:vAlign w:val="center"/>
          </w:tcPr>
          <w:p w14:paraId="62B80027"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95</w:t>
            </w:r>
          </w:p>
        </w:tc>
      </w:tr>
      <w:tr w:rsidR="001D2587" w:rsidRPr="000855B2" w14:paraId="3E7369FB" w14:textId="77777777" w:rsidTr="008D1D4F">
        <w:trPr>
          <w:cantSplit/>
          <w:trHeight w:val="162"/>
        </w:trPr>
        <w:tc>
          <w:tcPr>
            <w:tcW w:w="1090" w:type="dxa"/>
            <w:vMerge w:val="restart"/>
            <w:tcBorders>
              <w:top w:val="single" w:sz="4" w:space="0" w:color="auto"/>
              <w:left w:val="double" w:sz="4" w:space="0" w:color="auto"/>
              <w:right w:val="single" w:sz="4" w:space="0" w:color="auto"/>
            </w:tcBorders>
            <w:vAlign w:val="center"/>
          </w:tcPr>
          <w:p w14:paraId="13CF907A"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Heavy</w:t>
            </w:r>
            <w:r w:rsidR="006F1553" w:rsidRPr="000855B2">
              <w:rPr>
                <w:rFonts w:cs="Tahoma"/>
                <w:sz w:val="16"/>
                <w:szCs w:val="18"/>
                <w:lang w:val="en-GB" w:eastAsia="zh-CN"/>
              </w:rPr>
              <w:t>-d</w:t>
            </w:r>
            <w:r w:rsidRPr="000855B2">
              <w:rPr>
                <w:rFonts w:cs="Tahoma"/>
                <w:sz w:val="16"/>
                <w:szCs w:val="18"/>
                <w:lang w:val="en-GB" w:eastAsia="zh-CN"/>
              </w:rPr>
              <w:t xml:space="preserve">uty </w:t>
            </w:r>
            <w:r w:rsidR="006F1553" w:rsidRPr="000855B2">
              <w:rPr>
                <w:rFonts w:cs="Tahoma"/>
                <w:sz w:val="16"/>
                <w:szCs w:val="18"/>
                <w:lang w:val="en-GB" w:eastAsia="zh-CN"/>
              </w:rPr>
              <w:t>v</w:t>
            </w:r>
            <w:r w:rsidRPr="000855B2">
              <w:rPr>
                <w:rFonts w:cs="Tahoma"/>
                <w:sz w:val="16"/>
                <w:szCs w:val="18"/>
                <w:lang w:val="en-GB" w:eastAsia="zh-CN"/>
              </w:rPr>
              <w:t>ehicles</w:t>
            </w:r>
          </w:p>
        </w:tc>
        <w:tc>
          <w:tcPr>
            <w:tcW w:w="900" w:type="dxa"/>
            <w:vMerge w:val="restart"/>
            <w:tcBorders>
              <w:top w:val="nil"/>
              <w:left w:val="single" w:sz="4" w:space="0" w:color="auto"/>
              <w:right w:val="single" w:sz="4" w:space="0" w:color="auto"/>
            </w:tcBorders>
            <w:vAlign w:val="center"/>
          </w:tcPr>
          <w:p w14:paraId="1CE65038"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Diesel</w:t>
            </w:r>
          </w:p>
        </w:tc>
        <w:tc>
          <w:tcPr>
            <w:tcW w:w="2520" w:type="dxa"/>
            <w:tcBorders>
              <w:top w:val="single" w:sz="4" w:space="0" w:color="auto"/>
              <w:left w:val="nil"/>
              <w:bottom w:val="single" w:sz="4" w:space="0" w:color="auto"/>
              <w:right w:val="single" w:sz="4" w:space="0" w:color="auto"/>
            </w:tcBorders>
            <w:vAlign w:val="center"/>
          </w:tcPr>
          <w:p w14:paraId="4AA03B27"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II</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000A1399"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36</w:t>
            </w:r>
          </w:p>
        </w:tc>
        <w:tc>
          <w:tcPr>
            <w:tcW w:w="994" w:type="dxa"/>
            <w:tcBorders>
              <w:top w:val="single" w:sz="4" w:space="0" w:color="auto"/>
              <w:left w:val="single" w:sz="4" w:space="0" w:color="auto"/>
              <w:bottom w:val="single" w:sz="4" w:space="0" w:color="auto"/>
              <w:right w:val="single" w:sz="4" w:space="0" w:color="auto"/>
            </w:tcBorders>
            <w:vAlign w:val="center"/>
          </w:tcPr>
          <w:p w14:paraId="1D9E928D"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13</w:t>
            </w:r>
          </w:p>
        </w:tc>
        <w:tc>
          <w:tcPr>
            <w:tcW w:w="992" w:type="dxa"/>
            <w:tcBorders>
              <w:top w:val="single" w:sz="4" w:space="0" w:color="auto"/>
              <w:left w:val="single" w:sz="4" w:space="0" w:color="auto"/>
              <w:bottom w:val="single" w:sz="4" w:space="0" w:color="auto"/>
              <w:right w:val="double" w:sz="4" w:space="0" w:color="auto"/>
            </w:tcBorders>
            <w:vAlign w:val="center"/>
          </w:tcPr>
          <w:p w14:paraId="6768E704"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w:t>
            </w:r>
          </w:p>
        </w:tc>
      </w:tr>
      <w:tr w:rsidR="001D2587" w:rsidRPr="000855B2" w14:paraId="002E45EF" w14:textId="77777777" w:rsidTr="008D1D4F">
        <w:trPr>
          <w:cantSplit/>
          <w:trHeight w:val="161"/>
        </w:trPr>
        <w:tc>
          <w:tcPr>
            <w:tcW w:w="1090" w:type="dxa"/>
            <w:vMerge/>
            <w:tcBorders>
              <w:left w:val="double" w:sz="4" w:space="0" w:color="auto"/>
              <w:right w:val="single" w:sz="4" w:space="0" w:color="auto"/>
            </w:tcBorders>
            <w:vAlign w:val="center"/>
          </w:tcPr>
          <w:p w14:paraId="6CB5A0BE"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0EE47BB5"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6E6A8AC5"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Euro </w:t>
            </w:r>
            <w:smartTag w:uri="urn:schemas-microsoft-com:office:smarttags" w:element="stockticker">
              <w:r w:rsidRPr="000855B2">
                <w:rPr>
                  <w:rFonts w:cs="Tahoma"/>
                  <w:sz w:val="16"/>
                  <w:szCs w:val="18"/>
                  <w:lang w:val="en-GB" w:eastAsia="zh-CN"/>
                </w:rPr>
                <w:t>III</w:t>
              </w:r>
            </w:smartTag>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085A945E"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44</w:t>
            </w:r>
          </w:p>
        </w:tc>
        <w:tc>
          <w:tcPr>
            <w:tcW w:w="994" w:type="dxa"/>
            <w:tcBorders>
              <w:top w:val="single" w:sz="4" w:space="0" w:color="auto"/>
              <w:left w:val="single" w:sz="4" w:space="0" w:color="auto"/>
              <w:bottom w:val="single" w:sz="4" w:space="0" w:color="auto"/>
              <w:right w:val="single" w:sz="4" w:space="0" w:color="auto"/>
            </w:tcBorders>
            <w:vAlign w:val="center"/>
          </w:tcPr>
          <w:p w14:paraId="15FA83BD"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w:t>
            </w:r>
          </w:p>
        </w:tc>
        <w:tc>
          <w:tcPr>
            <w:tcW w:w="992" w:type="dxa"/>
            <w:tcBorders>
              <w:top w:val="single" w:sz="4" w:space="0" w:color="auto"/>
              <w:left w:val="single" w:sz="4" w:space="0" w:color="auto"/>
              <w:bottom w:val="single" w:sz="4" w:space="0" w:color="auto"/>
              <w:right w:val="double" w:sz="4" w:space="0" w:color="auto"/>
            </w:tcBorders>
            <w:vAlign w:val="center"/>
          </w:tcPr>
          <w:p w14:paraId="469C95DE"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w:t>
            </w:r>
          </w:p>
        </w:tc>
      </w:tr>
      <w:tr w:rsidR="001D2587" w:rsidRPr="000855B2" w14:paraId="4B407B4D" w14:textId="77777777" w:rsidTr="008D1D4F">
        <w:trPr>
          <w:cantSplit/>
          <w:trHeight w:val="161"/>
        </w:trPr>
        <w:tc>
          <w:tcPr>
            <w:tcW w:w="1090" w:type="dxa"/>
            <w:vMerge/>
            <w:tcBorders>
              <w:left w:val="double" w:sz="4" w:space="0" w:color="auto"/>
              <w:right w:val="single" w:sz="4" w:space="0" w:color="auto"/>
            </w:tcBorders>
            <w:vAlign w:val="center"/>
          </w:tcPr>
          <w:p w14:paraId="0A3DA4F7"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79EE419D"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445820DB"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IV</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03F153CB"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4" w:type="dxa"/>
            <w:tcBorders>
              <w:top w:val="single" w:sz="4" w:space="0" w:color="auto"/>
              <w:left w:val="single" w:sz="4" w:space="0" w:color="auto"/>
              <w:bottom w:val="single" w:sz="4" w:space="0" w:color="auto"/>
              <w:right w:val="single" w:sz="4" w:space="0" w:color="auto"/>
            </w:tcBorders>
            <w:vAlign w:val="center"/>
          </w:tcPr>
          <w:p w14:paraId="5C284B3E"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93</w:t>
            </w:r>
          </w:p>
        </w:tc>
        <w:tc>
          <w:tcPr>
            <w:tcW w:w="992" w:type="dxa"/>
            <w:tcBorders>
              <w:top w:val="single" w:sz="4" w:space="0" w:color="auto"/>
              <w:left w:val="single" w:sz="4" w:space="0" w:color="auto"/>
              <w:bottom w:val="single" w:sz="4" w:space="0" w:color="auto"/>
              <w:right w:val="double" w:sz="4" w:space="0" w:color="auto"/>
            </w:tcBorders>
            <w:vAlign w:val="center"/>
          </w:tcPr>
          <w:p w14:paraId="10DB61B8"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94</w:t>
            </w:r>
          </w:p>
        </w:tc>
      </w:tr>
      <w:tr w:rsidR="001D2587" w:rsidRPr="000855B2" w14:paraId="5A34115D" w14:textId="77777777" w:rsidTr="008D1D4F">
        <w:trPr>
          <w:cantSplit/>
          <w:trHeight w:val="161"/>
        </w:trPr>
        <w:tc>
          <w:tcPr>
            <w:tcW w:w="1090" w:type="dxa"/>
            <w:vMerge/>
            <w:tcBorders>
              <w:left w:val="double" w:sz="4" w:space="0" w:color="auto"/>
              <w:bottom w:val="single" w:sz="4" w:space="0" w:color="auto"/>
              <w:right w:val="single" w:sz="4" w:space="0" w:color="auto"/>
            </w:tcBorders>
            <w:vAlign w:val="center"/>
          </w:tcPr>
          <w:p w14:paraId="03C7204E"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bottom w:val="single" w:sz="4" w:space="0" w:color="000000"/>
              <w:right w:val="single" w:sz="4" w:space="0" w:color="auto"/>
            </w:tcBorders>
            <w:vAlign w:val="center"/>
          </w:tcPr>
          <w:p w14:paraId="092EEFF6"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68B85681"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V and later</w:t>
            </w: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02DB7E2A"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4" w:type="dxa"/>
            <w:tcBorders>
              <w:top w:val="single" w:sz="4" w:space="0" w:color="auto"/>
              <w:left w:val="single" w:sz="4" w:space="0" w:color="auto"/>
              <w:bottom w:val="single" w:sz="4" w:space="0" w:color="auto"/>
              <w:right w:val="single" w:sz="4" w:space="0" w:color="auto"/>
            </w:tcBorders>
            <w:vAlign w:val="center"/>
          </w:tcPr>
          <w:p w14:paraId="3983C8EE"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93</w:t>
            </w:r>
          </w:p>
        </w:tc>
        <w:tc>
          <w:tcPr>
            <w:tcW w:w="992" w:type="dxa"/>
            <w:tcBorders>
              <w:top w:val="single" w:sz="4" w:space="0" w:color="auto"/>
              <w:left w:val="single" w:sz="4" w:space="0" w:color="auto"/>
              <w:bottom w:val="single" w:sz="4" w:space="0" w:color="auto"/>
              <w:right w:val="double" w:sz="4" w:space="0" w:color="auto"/>
            </w:tcBorders>
            <w:vAlign w:val="center"/>
          </w:tcPr>
          <w:p w14:paraId="0FC02ABB"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94</w:t>
            </w:r>
          </w:p>
        </w:tc>
      </w:tr>
      <w:tr w:rsidR="001D2587" w:rsidRPr="000855B2" w14:paraId="393A1EA4" w14:textId="77777777" w:rsidTr="008D1D4F">
        <w:trPr>
          <w:cantSplit/>
          <w:trHeight w:val="281"/>
        </w:trPr>
        <w:tc>
          <w:tcPr>
            <w:tcW w:w="1090" w:type="dxa"/>
            <w:vMerge w:val="restart"/>
            <w:tcBorders>
              <w:top w:val="single" w:sz="4" w:space="0" w:color="auto"/>
              <w:left w:val="double" w:sz="4" w:space="0" w:color="auto"/>
              <w:bottom w:val="single" w:sz="4" w:space="0" w:color="auto"/>
              <w:right w:val="single" w:sz="4" w:space="0" w:color="auto"/>
            </w:tcBorders>
            <w:vAlign w:val="center"/>
          </w:tcPr>
          <w:p w14:paraId="1A8AF6ED"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Buses</w:t>
            </w:r>
          </w:p>
        </w:tc>
        <w:tc>
          <w:tcPr>
            <w:tcW w:w="900" w:type="dxa"/>
            <w:vMerge w:val="restart"/>
            <w:tcBorders>
              <w:top w:val="nil"/>
              <w:left w:val="single" w:sz="4" w:space="0" w:color="auto"/>
              <w:right w:val="single" w:sz="4" w:space="0" w:color="auto"/>
            </w:tcBorders>
            <w:vAlign w:val="center"/>
          </w:tcPr>
          <w:p w14:paraId="602FA947"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Diesel</w:t>
            </w:r>
          </w:p>
        </w:tc>
        <w:tc>
          <w:tcPr>
            <w:tcW w:w="2520" w:type="dxa"/>
            <w:tcBorders>
              <w:top w:val="single" w:sz="4" w:space="0" w:color="auto"/>
              <w:left w:val="nil"/>
              <w:bottom w:val="single" w:sz="4" w:space="0" w:color="auto"/>
              <w:right w:val="single" w:sz="4" w:space="0" w:color="auto"/>
            </w:tcBorders>
            <w:vAlign w:val="center"/>
          </w:tcPr>
          <w:p w14:paraId="1F7DF810"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II</w:t>
            </w:r>
          </w:p>
        </w:tc>
        <w:tc>
          <w:tcPr>
            <w:tcW w:w="1260" w:type="dxa"/>
            <w:tcBorders>
              <w:top w:val="single" w:sz="4" w:space="0" w:color="auto"/>
              <w:left w:val="single" w:sz="4" w:space="0" w:color="auto"/>
              <w:bottom w:val="single" w:sz="4" w:space="0" w:color="auto"/>
              <w:right w:val="single" w:sz="4" w:space="0" w:color="auto"/>
            </w:tcBorders>
            <w:vAlign w:val="center"/>
          </w:tcPr>
          <w:p w14:paraId="3EA24D89"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738564CC"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c>
          <w:tcPr>
            <w:tcW w:w="992" w:type="dxa"/>
            <w:tcBorders>
              <w:top w:val="single" w:sz="4" w:space="0" w:color="auto"/>
              <w:left w:val="single" w:sz="4" w:space="0" w:color="auto"/>
              <w:bottom w:val="single" w:sz="4" w:space="0" w:color="auto"/>
              <w:right w:val="double" w:sz="4" w:space="0" w:color="auto"/>
            </w:tcBorders>
            <w:vAlign w:val="center"/>
          </w:tcPr>
          <w:p w14:paraId="5F78D2C1"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r>
      <w:tr w:rsidR="001D2587" w:rsidRPr="000855B2" w14:paraId="6AE6973D" w14:textId="77777777" w:rsidTr="008D1D4F">
        <w:trPr>
          <w:cantSplit/>
          <w:trHeight w:val="255"/>
        </w:trPr>
        <w:tc>
          <w:tcPr>
            <w:tcW w:w="1090" w:type="dxa"/>
            <w:vMerge/>
            <w:tcBorders>
              <w:top w:val="single" w:sz="4" w:space="0" w:color="auto"/>
              <w:left w:val="double" w:sz="4" w:space="0" w:color="auto"/>
              <w:bottom w:val="single" w:sz="4" w:space="0" w:color="auto"/>
              <w:right w:val="single" w:sz="4" w:space="0" w:color="auto"/>
            </w:tcBorders>
            <w:vAlign w:val="center"/>
          </w:tcPr>
          <w:p w14:paraId="05B63BF8"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3B274A06"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6D4F931B"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Euro </w:t>
            </w:r>
            <w:smartTag w:uri="urn:schemas-microsoft-com:office:smarttags" w:element="stockticker">
              <w:r w:rsidRPr="000855B2">
                <w:rPr>
                  <w:rFonts w:cs="Tahoma"/>
                  <w:sz w:val="16"/>
                  <w:szCs w:val="18"/>
                  <w:lang w:val="en-GB" w:eastAsia="zh-CN"/>
                </w:rPr>
                <w:t>III</w:t>
              </w:r>
            </w:smartTag>
          </w:p>
        </w:tc>
        <w:tc>
          <w:tcPr>
            <w:tcW w:w="1260" w:type="dxa"/>
            <w:tcBorders>
              <w:top w:val="single" w:sz="4" w:space="0" w:color="auto"/>
              <w:left w:val="single" w:sz="4" w:space="0" w:color="auto"/>
              <w:bottom w:val="single" w:sz="4" w:space="0" w:color="auto"/>
            </w:tcBorders>
            <w:vAlign w:val="center"/>
          </w:tcPr>
          <w:p w14:paraId="20CB653A"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41</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5F723A2"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41</w:t>
            </w:r>
          </w:p>
        </w:tc>
        <w:tc>
          <w:tcPr>
            <w:tcW w:w="992" w:type="dxa"/>
            <w:tcBorders>
              <w:top w:val="single" w:sz="4" w:space="0" w:color="auto"/>
              <w:left w:val="single" w:sz="4" w:space="0" w:color="auto"/>
              <w:bottom w:val="single" w:sz="4" w:space="0" w:color="auto"/>
              <w:right w:val="double" w:sz="4" w:space="0" w:color="auto"/>
            </w:tcBorders>
            <w:vAlign w:val="center"/>
          </w:tcPr>
          <w:p w14:paraId="651ED537"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41</w:t>
            </w:r>
          </w:p>
        </w:tc>
      </w:tr>
      <w:tr w:rsidR="001D2587" w:rsidRPr="000855B2" w14:paraId="53FD2369" w14:textId="77777777" w:rsidTr="008D1D4F">
        <w:trPr>
          <w:cantSplit/>
          <w:trHeight w:val="392"/>
        </w:trPr>
        <w:tc>
          <w:tcPr>
            <w:tcW w:w="1090" w:type="dxa"/>
            <w:vMerge/>
            <w:tcBorders>
              <w:top w:val="single" w:sz="4" w:space="0" w:color="auto"/>
              <w:left w:val="double" w:sz="4" w:space="0" w:color="auto"/>
              <w:bottom w:val="single" w:sz="4" w:space="0" w:color="auto"/>
              <w:right w:val="single" w:sz="4" w:space="0" w:color="auto"/>
            </w:tcBorders>
            <w:vAlign w:val="center"/>
          </w:tcPr>
          <w:p w14:paraId="2B44ED75"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right w:val="single" w:sz="4" w:space="0" w:color="auto"/>
            </w:tcBorders>
            <w:vAlign w:val="center"/>
          </w:tcPr>
          <w:p w14:paraId="0E56635F"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232EDA07"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IV</w:t>
            </w:r>
          </w:p>
        </w:tc>
        <w:tc>
          <w:tcPr>
            <w:tcW w:w="1260" w:type="dxa"/>
            <w:tcBorders>
              <w:top w:val="single" w:sz="4" w:space="0" w:color="auto"/>
              <w:left w:val="single" w:sz="4" w:space="0" w:color="auto"/>
              <w:bottom w:val="single" w:sz="4" w:space="0" w:color="auto"/>
            </w:tcBorders>
            <w:vAlign w:val="center"/>
          </w:tcPr>
          <w:p w14:paraId="576EFFF4"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85E236F"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2" w:type="dxa"/>
            <w:tcBorders>
              <w:top w:val="single" w:sz="4" w:space="0" w:color="auto"/>
              <w:left w:val="single" w:sz="4" w:space="0" w:color="auto"/>
              <w:bottom w:val="single" w:sz="4" w:space="0" w:color="auto"/>
              <w:right w:val="double" w:sz="4" w:space="0" w:color="auto"/>
            </w:tcBorders>
            <w:vAlign w:val="center"/>
          </w:tcPr>
          <w:p w14:paraId="2E823377"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r>
      <w:tr w:rsidR="001D2587" w:rsidRPr="000855B2" w14:paraId="26B2CCF6" w14:textId="77777777" w:rsidTr="008D1D4F">
        <w:trPr>
          <w:cantSplit/>
          <w:trHeight w:val="229"/>
        </w:trPr>
        <w:tc>
          <w:tcPr>
            <w:tcW w:w="1090" w:type="dxa"/>
            <w:vMerge/>
            <w:tcBorders>
              <w:top w:val="single" w:sz="4" w:space="0" w:color="auto"/>
              <w:left w:val="double" w:sz="4" w:space="0" w:color="auto"/>
              <w:bottom w:val="single" w:sz="4" w:space="0" w:color="auto"/>
              <w:right w:val="single" w:sz="4" w:space="0" w:color="auto"/>
            </w:tcBorders>
            <w:vAlign w:val="center"/>
          </w:tcPr>
          <w:p w14:paraId="3144626A"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900" w:type="dxa"/>
            <w:vMerge/>
            <w:tcBorders>
              <w:left w:val="single" w:sz="4" w:space="0" w:color="auto"/>
              <w:bottom w:val="nil"/>
              <w:right w:val="single" w:sz="4" w:space="0" w:color="auto"/>
            </w:tcBorders>
            <w:vAlign w:val="center"/>
          </w:tcPr>
          <w:p w14:paraId="27804C3C"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nil"/>
              <w:right w:val="single" w:sz="4" w:space="0" w:color="auto"/>
            </w:tcBorders>
            <w:vAlign w:val="center"/>
          </w:tcPr>
          <w:p w14:paraId="7FF95776"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Euro V and later</w:t>
            </w:r>
          </w:p>
        </w:tc>
        <w:tc>
          <w:tcPr>
            <w:tcW w:w="1260" w:type="dxa"/>
            <w:tcBorders>
              <w:top w:val="single" w:sz="4" w:space="0" w:color="auto"/>
              <w:left w:val="single" w:sz="4" w:space="0" w:color="auto"/>
              <w:bottom w:val="single" w:sz="4" w:space="0" w:color="auto"/>
              <w:right w:val="single" w:sz="4" w:space="0" w:color="auto"/>
            </w:tcBorders>
            <w:vAlign w:val="center"/>
          </w:tcPr>
          <w:p w14:paraId="1B9D3684"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1001" w:type="dxa"/>
            <w:gridSpan w:val="2"/>
            <w:tcBorders>
              <w:top w:val="single" w:sz="4" w:space="0" w:color="auto"/>
              <w:left w:val="single" w:sz="4" w:space="0" w:color="auto"/>
              <w:right w:val="single" w:sz="4" w:space="0" w:color="auto"/>
            </w:tcBorders>
            <w:vAlign w:val="center"/>
          </w:tcPr>
          <w:p w14:paraId="7941281D"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c>
          <w:tcPr>
            <w:tcW w:w="992" w:type="dxa"/>
            <w:tcBorders>
              <w:top w:val="single" w:sz="4" w:space="0" w:color="auto"/>
              <w:left w:val="single" w:sz="4" w:space="0" w:color="auto"/>
              <w:right w:val="double" w:sz="4" w:space="0" w:color="auto"/>
            </w:tcBorders>
            <w:vAlign w:val="center"/>
          </w:tcPr>
          <w:p w14:paraId="53ACC949"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97</w:t>
            </w:r>
          </w:p>
        </w:tc>
      </w:tr>
      <w:tr w:rsidR="001D2587" w:rsidRPr="000855B2" w14:paraId="3CA2F66A" w14:textId="77777777" w:rsidTr="008D1D4F">
        <w:trPr>
          <w:cantSplit/>
          <w:trHeight w:val="70"/>
        </w:trPr>
        <w:tc>
          <w:tcPr>
            <w:tcW w:w="1090" w:type="dxa"/>
            <w:vMerge w:val="restart"/>
            <w:tcBorders>
              <w:top w:val="single" w:sz="4" w:space="0" w:color="auto"/>
              <w:left w:val="double" w:sz="4" w:space="0" w:color="auto"/>
              <w:bottom w:val="double" w:sz="4" w:space="0" w:color="auto"/>
              <w:right w:val="single" w:sz="4" w:space="0" w:color="auto"/>
            </w:tcBorders>
            <w:vAlign w:val="center"/>
          </w:tcPr>
          <w:p w14:paraId="346DD23C" w14:textId="77777777" w:rsidR="001D2587" w:rsidRPr="000855B2" w:rsidRDefault="001D258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Two</w:t>
            </w:r>
            <w:r w:rsidR="006F1553" w:rsidRPr="000855B2">
              <w:rPr>
                <w:rFonts w:cs="Tahoma"/>
                <w:sz w:val="16"/>
                <w:szCs w:val="18"/>
                <w:lang w:val="en-GB" w:eastAsia="zh-CN"/>
              </w:rPr>
              <w:t>-w</w:t>
            </w:r>
            <w:r w:rsidRPr="000855B2">
              <w:rPr>
                <w:rFonts w:cs="Tahoma"/>
                <w:sz w:val="16"/>
                <w:szCs w:val="18"/>
                <w:lang w:val="en-GB" w:eastAsia="zh-CN"/>
              </w:rPr>
              <w:t>heel</w:t>
            </w:r>
            <w:r w:rsidR="006F1553" w:rsidRPr="000855B2">
              <w:rPr>
                <w:rFonts w:cs="Tahoma"/>
                <w:sz w:val="16"/>
                <w:szCs w:val="18"/>
                <w:lang w:val="en-GB" w:eastAsia="zh-CN"/>
              </w:rPr>
              <w:t xml:space="preserve"> vehicles</w:t>
            </w:r>
          </w:p>
        </w:tc>
        <w:tc>
          <w:tcPr>
            <w:tcW w:w="900" w:type="dxa"/>
            <w:vMerge w:val="restart"/>
            <w:tcBorders>
              <w:top w:val="single" w:sz="4" w:space="0" w:color="auto"/>
              <w:left w:val="single" w:sz="4" w:space="0" w:color="auto"/>
              <w:right w:val="single" w:sz="4" w:space="0" w:color="auto"/>
            </w:tcBorders>
            <w:vAlign w:val="center"/>
          </w:tcPr>
          <w:p w14:paraId="74270B9B" w14:textId="77777777" w:rsidR="001D2587" w:rsidRPr="000855B2" w:rsidRDefault="004E1503" w:rsidP="005C7955">
            <w:pPr>
              <w:keepNext/>
              <w:keepLines/>
              <w:suppressAutoHyphens/>
              <w:spacing w:line="240" w:lineRule="atLeast"/>
              <w:rPr>
                <w:rFonts w:cs="Tahoma"/>
                <w:sz w:val="16"/>
                <w:szCs w:val="18"/>
                <w:lang w:val="en-GB" w:eastAsia="zh-CN"/>
              </w:rPr>
            </w:pPr>
            <w:r>
              <w:rPr>
                <w:rFonts w:cs="Tahoma"/>
                <w:sz w:val="16"/>
                <w:szCs w:val="18"/>
                <w:lang w:val="en-GB" w:eastAsia="zh-CN"/>
              </w:rPr>
              <w:t>Petrol</w:t>
            </w:r>
          </w:p>
        </w:tc>
        <w:tc>
          <w:tcPr>
            <w:tcW w:w="2520" w:type="dxa"/>
            <w:tcBorders>
              <w:top w:val="single" w:sz="4" w:space="0" w:color="auto"/>
              <w:left w:val="nil"/>
              <w:bottom w:val="single" w:sz="4" w:space="0" w:color="auto"/>
              <w:right w:val="single" w:sz="4" w:space="0" w:color="auto"/>
            </w:tcBorders>
            <w:vAlign w:val="center"/>
          </w:tcPr>
          <w:p w14:paraId="18F521E9" w14:textId="77777777" w:rsidR="001D2587" w:rsidRPr="000855B2" w:rsidRDefault="002F02F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2-stroke </w:t>
            </w:r>
            <w:r w:rsidR="00D205E2" w:rsidRPr="000855B2">
              <w:rPr>
                <w:rFonts w:cs="Tahoma"/>
                <w:sz w:val="16"/>
                <w:szCs w:val="18"/>
                <w:lang w:val="en-GB" w:eastAsia="zh-CN"/>
              </w:rPr>
              <w:t>&lt; </w:t>
            </w:r>
            <w:r w:rsidR="001D2587" w:rsidRPr="000855B2">
              <w:rPr>
                <w:rFonts w:cs="Tahoma"/>
                <w:sz w:val="16"/>
                <w:szCs w:val="18"/>
                <w:lang w:val="en-GB" w:eastAsia="zh-CN"/>
              </w:rPr>
              <w:t>50</w:t>
            </w:r>
            <w:r w:rsidR="00363D3C" w:rsidRPr="000855B2">
              <w:rPr>
                <w:rFonts w:cs="Tahoma"/>
                <w:sz w:val="16"/>
                <w:szCs w:val="18"/>
                <w:lang w:val="en-GB" w:eastAsia="zh-CN"/>
              </w:rPr>
              <w:t> cm</w:t>
            </w:r>
            <w:r w:rsidR="001D2587" w:rsidRPr="000855B2">
              <w:rPr>
                <w:rFonts w:cs="Tahoma"/>
                <w:sz w:val="16"/>
                <w:szCs w:val="18"/>
                <w:vertAlign w:val="superscript"/>
                <w:lang w:val="en-GB" w:eastAsia="zh-CN"/>
              </w:rPr>
              <w:t>3</w:t>
            </w:r>
            <w:r w:rsidR="001D2587" w:rsidRPr="000855B2">
              <w:rPr>
                <w:rFonts w:cs="Tahoma"/>
                <w:sz w:val="16"/>
                <w:szCs w:val="18"/>
                <w:lang w:val="en-GB" w:eastAsia="zh-CN"/>
              </w:rPr>
              <w:t xml:space="preserve"> </w:t>
            </w:r>
            <w:r w:rsidR="000F3E28" w:rsidRPr="000855B2">
              <w:rPr>
                <w:sz w:val="16"/>
                <w:szCs w:val="20"/>
                <w:lang w:val="en-GB"/>
              </w:rPr>
              <w:t>—</w:t>
            </w:r>
            <w:r w:rsidR="001D2587" w:rsidRPr="000855B2">
              <w:rPr>
                <w:rFonts w:cs="Tahoma"/>
                <w:sz w:val="16"/>
                <w:szCs w:val="18"/>
                <w:lang w:val="en-GB" w:eastAsia="zh-CN"/>
              </w:rPr>
              <w:t xml:space="preserve"> Euro 1</w:t>
            </w:r>
          </w:p>
        </w:tc>
        <w:tc>
          <w:tcPr>
            <w:tcW w:w="1260" w:type="dxa"/>
            <w:tcBorders>
              <w:top w:val="single" w:sz="4" w:space="0" w:color="auto"/>
              <w:left w:val="single" w:sz="4" w:space="0" w:color="auto"/>
              <w:bottom w:val="single" w:sz="4" w:space="0" w:color="auto"/>
              <w:right w:val="single" w:sz="4" w:space="0" w:color="auto"/>
            </w:tcBorders>
            <w:vAlign w:val="center"/>
          </w:tcPr>
          <w:p w14:paraId="0F22B101"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c>
          <w:tcPr>
            <w:tcW w:w="1001" w:type="dxa"/>
            <w:gridSpan w:val="2"/>
            <w:vMerge w:val="restart"/>
            <w:tcBorders>
              <w:top w:val="single" w:sz="4" w:space="0" w:color="auto"/>
              <w:left w:val="single" w:sz="4" w:space="0" w:color="auto"/>
              <w:right w:val="single" w:sz="4" w:space="0" w:color="auto"/>
            </w:tcBorders>
            <w:vAlign w:val="center"/>
          </w:tcPr>
          <w:p w14:paraId="40ED202C"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w:t>
            </w:r>
          </w:p>
        </w:tc>
        <w:tc>
          <w:tcPr>
            <w:tcW w:w="992" w:type="dxa"/>
            <w:vMerge w:val="restart"/>
            <w:tcBorders>
              <w:top w:val="single" w:sz="4" w:space="0" w:color="auto"/>
              <w:left w:val="single" w:sz="4" w:space="0" w:color="auto"/>
              <w:right w:val="double" w:sz="4" w:space="0" w:color="auto"/>
            </w:tcBorders>
            <w:vAlign w:val="center"/>
          </w:tcPr>
          <w:p w14:paraId="63F80349"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w:t>
            </w:r>
          </w:p>
        </w:tc>
      </w:tr>
      <w:tr w:rsidR="001D2587" w:rsidRPr="000855B2" w14:paraId="650CDD58" w14:textId="77777777" w:rsidTr="008D1D4F">
        <w:trPr>
          <w:cantSplit/>
          <w:trHeight w:val="70"/>
        </w:trPr>
        <w:tc>
          <w:tcPr>
            <w:tcW w:w="1090" w:type="dxa"/>
            <w:vMerge/>
            <w:tcBorders>
              <w:left w:val="double" w:sz="4" w:space="0" w:color="auto"/>
              <w:bottom w:val="double" w:sz="4" w:space="0" w:color="auto"/>
              <w:right w:val="single" w:sz="4" w:space="0" w:color="auto"/>
            </w:tcBorders>
            <w:vAlign w:val="center"/>
          </w:tcPr>
          <w:p w14:paraId="52D413C1" w14:textId="77777777" w:rsidR="001D2587" w:rsidRPr="000855B2" w:rsidRDefault="001D2587"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D06A563"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73038B5F" w14:textId="77777777" w:rsidR="001D2587" w:rsidRPr="000855B2" w:rsidRDefault="002F02F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2-stroke </w:t>
            </w:r>
            <w:r w:rsidR="00D205E2" w:rsidRPr="000855B2">
              <w:rPr>
                <w:rFonts w:cs="Tahoma"/>
                <w:sz w:val="16"/>
                <w:szCs w:val="18"/>
                <w:lang w:val="en-GB" w:eastAsia="zh-CN"/>
              </w:rPr>
              <w:t>&lt; </w:t>
            </w:r>
            <w:r w:rsidR="001D2587" w:rsidRPr="000855B2">
              <w:rPr>
                <w:rFonts w:cs="Tahoma"/>
                <w:sz w:val="16"/>
                <w:szCs w:val="18"/>
                <w:lang w:val="en-GB" w:eastAsia="zh-CN"/>
              </w:rPr>
              <w:t>50</w:t>
            </w:r>
            <w:r w:rsidR="00363D3C" w:rsidRPr="000855B2">
              <w:rPr>
                <w:rFonts w:cs="Tahoma"/>
                <w:sz w:val="16"/>
                <w:szCs w:val="18"/>
                <w:lang w:val="en-GB" w:eastAsia="zh-CN"/>
              </w:rPr>
              <w:t> cm</w:t>
            </w:r>
            <w:r w:rsidR="001D2587" w:rsidRPr="000855B2">
              <w:rPr>
                <w:rFonts w:cs="Tahoma"/>
                <w:sz w:val="16"/>
                <w:szCs w:val="18"/>
                <w:vertAlign w:val="superscript"/>
                <w:lang w:val="en-GB" w:eastAsia="zh-CN"/>
              </w:rPr>
              <w:t>3</w:t>
            </w:r>
            <w:r w:rsidR="001D2587" w:rsidRPr="000855B2">
              <w:rPr>
                <w:rFonts w:cs="Tahoma"/>
                <w:sz w:val="16"/>
                <w:szCs w:val="18"/>
                <w:lang w:val="en-GB" w:eastAsia="zh-CN"/>
              </w:rPr>
              <w:t xml:space="preserve"> </w:t>
            </w:r>
            <w:r w:rsidR="000F3E28" w:rsidRPr="000855B2">
              <w:rPr>
                <w:sz w:val="16"/>
                <w:szCs w:val="20"/>
                <w:lang w:val="en-GB"/>
              </w:rPr>
              <w:t>—</w:t>
            </w:r>
            <w:r w:rsidR="001D2587" w:rsidRPr="000855B2">
              <w:rPr>
                <w:rFonts w:cs="Tahoma"/>
                <w:sz w:val="16"/>
                <w:szCs w:val="18"/>
                <w:lang w:val="en-GB" w:eastAsia="zh-CN"/>
              </w:rPr>
              <w:t xml:space="preserve"> Euro 2</w:t>
            </w:r>
          </w:p>
        </w:tc>
        <w:tc>
          <w:tcPr>
            <w:tcW w:w="1260" w:type="dxa"/>
            <w:tcBorders>
              <w:top w:val="single" w:sz="4" w:space="0" w:color="auto"/>
              <w:left w:val="single" w:sz="4" w:space="0" w:color="auto"/>
              <w:bottom w:val="single" w:sz="4" w:space="0" w:color="auto"/>
              <w:right w:val="single" w:sz="4" w:space="0" w:color="auto"/>
            </w:tcBorders>
            <w:vAlign w:val="center"/>
          </w:tcPr>
          <w:p w14:paraId="6A06B57E"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89</w:t>
            </w:r>
          </w:p>
        </w:tc>
        <w:tc>
          <w:tcPr>
            <w:tcW w:w="1001" w:type="dxa"/>
            <w:gridSpan w:val="2"/>
            <w:vMerge/>
            <w:tcBorders>
              <w:left w:val="single" w:sz="4" w:space="0" w:color="auto"/>
              <w:right w:val="single" w:sz="4" w:space="0" w:color="auto"/>
            </w:tcBorders>
            <w:vAlign w:val="center"/>
          </w:tcPr>
          <w:p w14:paraId="1E6D97E4" w14:textId="77777777" w:rsidR="001D2587" w:rsidRPr="000855B2" w:rsidRDefault="001D2587" w:rsidP="005C7955">
            <w:pPr>
              <w:keepNext/>
              <w:keepLines/>
              <w:suppressAutoHyphens/>
              <w:spacing w:line="240" w:lineRule="atLeast"/>
              <w:jc w:val="center"/>
              <w:rPr>
                <w:rFonts w:cs="Tahoma"/>
                <w:sz w:val="16"/>
                <w:szCs w:val="18"/>
                <w:lang w:val="en-GB" w:eastAsia="zh-CN"/>
              </w:rPr>
            </w:pPr>
          </w:p>
        </w:tc>
        <w:tc>
          <w:tcPr>
            <w:tcW w:w="992" w:type="dxa"/>
            <w:vMerge/>
            <w:tcBorders>
              <w:left w:val="single" w:sz="4" w:space="0" w:color="auto"/>
              <w:right w:val="double" w:sz="4" w:space="0" w:color="auto"/>
            </w:tcBorders>
            <w:vAlign w:val="center"/>
          </w:tcPr>
          <w:p w14:paraId="6D68B5A1" w14:textId="77777777" w:rsidR="001D2587" w:rsidRPr="000855B2" w:rsidRDefault="001D2587" w:rsidP="005C7955">
            <w:pPr>
              <w:keepNext/>
              <w:keepLines/>
              <w:suppressAutoHyphens/>
              <w:spacing w:line="240" w:lineRule="atLeast"/>
              <w:jc w:val="center"/>
              <w:rPr>
                <w:rFonts w:cs="Tahoma"/>
                <w:sz w:val="16"/>
                <w:szCs w:val="18"/>
                <w:lang w:val="en-GB" w:eastAsia="zh-CN"/>
              </w:rPr>
            </w:pPr>
          </w:p>
        </w:tc>
      </w:tr>
      <w:tr w:rsidR="001D2587" w:rsidRPr="000855B2" w14:paraId="48AEC269" w14:textId="77777777" w:rsidTr="008D1D4F">
        <w:trPr>
          <w:cantSplit/>
          <w:trHeight w:val="70"/>
        </w:trPr>
        <w:tc>
          <w:tcPr>
            <w:tcW w:w="1090" w:type="dxa"/>
            <w:vMerge/>
            <w:tcBorders>
              <w:left w:val="double" w:sz="4" w:space="0" w:color="auto"/>
              <w:bottom w:val="double" w:sz="4" w:space="0" w:color="auto"/>
              <w:right w:val="single" w:sz="4" w:space="0" w:color="auto"/>
            </w:tcBorders>
            <w:vAlign w:val="center"/>
          </w:tcPr>
          <w:p w14:paraId="39945C8D" w14:textId="77777777" w:rsidR="001D2587" w:rsidRPr="000855B2" w:rsidRDefault="001D2587"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0BAF5010" w14:textId="77777777" w:rsidR="001D2587" w:rsidRPr="000855B2" w:rsidRDefault="001D2587"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F9F2A30" w14:textId="77777777" w:rsidR="001D2587" w:rsidRPr="000855B2" w:rsidRDefault="002F02F7"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 xml:space="preserve">2-stroke </w:t>
            </w:r>
            <w:r w:rsidR="00D205E2" w:rsidRPr="000855B2">
              <w:rPr>
                <w:rFonts w:cs="Tahoma"/>
                <w:sz w:val="16"/>
                <w:szCs w:val="18"/>
                <w:lang w:val="en-GB" w:eastAsia="zh-CN"/>
              </w:rPr>
              <w:t>&lt; </w:t>
            </w:r>
            <w:r w:rsidR="001D2587" w:rsidRPr="000855B2">
              <w:rPr>
                <w:rFonts w:cs="Tahoma"/>
                <w:sz w:val="16"/>
                <w:szCs w:val="18"/>
                <w:lang w:val="en-GB" w:eastAsia="zh-CN"/>
              </w:rPr>
              <w:t>50</w:t>
            </w:r>
            <w:r w:rsidR="00363D3C" w:rsidRPr="000855B2">
              <w:rPr>
                <w:rFonts w:cs="Tahoma"/>
                <w:sz w:val="16"/>
                <w:szCs w:val="18"/>
                <w:lang w:val="en-GB" w:eastAsia="zh-CN"/>
              </w:rPr>
              <w:t> cm</w:t>
            </w:r>
            <w:r w:rsidR="001D2587" w:rsidRPr="000855B2">
              <w:rPr>
                <w:rFonts w:cs="Tahoma"/>
                <w:sz w:val="16"/>
                <w:szCs w:val="18"/>
                <w:vertAlign w:val="superscript"/>
                <w:lang w:val="en-GB" w:eastAsia="zh-CN"/>
              </w:rPr>
              <w:t>3</w:t>
            </w:r>
            <w:r w:rsidR="000F3E28" w:rsidRPr="000855B2">
              <w:rPr>
                <w:rFonts w:cs="Tahoma"/>
                <w:sz w:val="16"/>
                <w:szCs w:val="18"/>
                <w:lang w:val="en-GB" w:eastAsia="zh-CN"/>
              </w:rPr>
              <w:t xml:space="preserve"> — </w:t>
            </w:r>
            <w:r w:rsidR="001D2587" w:rsidRPr="000855B2">
              <w:rPr>
                <w:rFonts w:cs="Tahoma"/>
                <w:sz w:val="16"/>
                <w:szCs w:val="18"/>
                <w:lang w:val="en-GB" w:eastAsia="zh-CN"/>
              </w:rPr>
              <w:t>Euro 3</w:t>
            </w:r>
          </w:p>
        </w:tc>
        <w:tc>
          <w:tcPr>
            <w:tcW w:w="1260" w:type="dxa"/>
            <w:tcBorders>
              <w:top w:val="single" w:sz="4" w:space="0" w:color="auto"/>
              <w:left w:val="single" w:sz="4" w:space="0" w:color="auto"/>
              <w:bottom w:val="single" w:sz="4" w:space="0" w:color="auto"/>
              <w:right w:val="single" w:sz="4" w:space="0" w:color="auto"/>
            </w:tcBorders>
            <w:vAlign w:val="center"/>
          </w:tcPr>
          <w:p w14:paraId="78224C00" w14:textId="77777777" w:rsidR="001D2587" w:rsidRPr="000855B2" w:rsidRDefault="001D2587"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91</w:t>
            </w:r>
          </w:p>
        </w:tc>
        <w:tc>
          <w:tcPr>
            <w:tcW w:w="1001" w:type="dxa"/>
            <w:gridSpan w:val="2"/>
            <w:vMerge/>
            <w:tcBorders>
              <w:left w:val="single" w:sz="4" w:space="0" w:color="auto"/>
              <w:bottom w:val="single" w:sz="4" w:space="0" w:color="auto"/>
              <w:right w:val="single" w:sz="4" w:space="0" w:color="auto"/>
            </w:tcBorders>
            <w:vAlign w:val="center"/>
          </w:tcPr>
          <w:p w14:paraId="56CA90AA" w14:textId="77777777" w:rsidR="001D2587" w:rsidRPr="000855B2" w:rsidRDefault="001D2587" w:rsidP="005C7955">
            <w:pPr>
              <w:keepNext/>
              <w:keepLines/>
              <w:suppressAutoHyphens/>
              <w:spacing w:line="240" w:lineRule="atLeast"/>
              <w:jc w:val="center"/>
              <w:rPr>
                <w:rFonts w:cs="Tahoma"/>
                <w:sz w:val="16"/>
                <w:szCs w:val="18"/>
                <w:lang w:val="en-GB" w:eastAsia="zh-CN"/>
              </w:rPr>
            </w:pPr>
          </w:p>
        </w:tc>
        <w:tc>
          <w:tcPr>
            <w:tcW w:w="992" w:type="dxa"/>
            <w:vMerge/>
            <w:tcBorders>
              <w:left w:val="single" w:sz="4" w:space="0" w:color="auto"/>
              <w:bottom w:val="single" w:sz="4" w:space="0" w:color="auto"/>
              <w:right w:val="double" w:sz="4" w:space="0" w:color="auto"/>
            </w:tcBorders>
            <w:vAlign w:val="center"/>
          </w:tcPr>
          <w:p w14:paraId="341C9C8E" w14:textId="77777777" w:rsidR="001D2587" w:rsidRPr="000855B2" w:rsidRDefault="001D2587" w:rsidP="005C7955">
            <w:pPr>
              <w:keepNext/>
              <w:keepLines/>
              <w:suppressAutoHyphens/>
              <w:spacing w:line="240" w:lineRule="atLeast"/>
              <w:jc w:val="center"/>
              <w:rPr>
                <w:rFonts w:cs="Tahoma"/>
                <w:sz w:val="16"/>
                <w:szCs w:val="18"/>
                <w:lang w:val="en-GB" w:eastAsia="zh-CN"/>
              </w:rPr>
            </w:pPr>
          </w:p>
        </w:tc>
      </w:tr>
      <w:tr w:rsidR="001D603E" w:rsidRPr="000855B2" w14:paraId="606D0D63" w14:textId="77777777" w:rsidTr="008D1D4F">
        <w:trPr>
          <w:cantSplit/>
          <w:trHeight w:val="70"/>
        </w:trPr>
        <w:tc>
          <w:tcPr>
            <w:tcW w:w="1090" w:type="dxa"/>
            <w:vMerge/>
            <w:tcBorders>
              <w:left w:val="double" w:sz="4" w:space="0" w:color="auto"/>
              <w:bottom w:val="double" w:sz="4" w:space="0" w:color="auto"/>
              <w:right w:val="single" w:sz="4" w:space="0" w:color="auto"/>
            </w:tcBorders>
            <w:vAlign w:val="center"/>
          </w:tcPr>
          <w:p w14:paraId="73651347"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07A18288"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A195912"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1</w:t>
            </w:r>
          </w:p>
        </w:tc>
        <w:tc>
          <w:tcPr>
            <w:tcW w:w="1260" w:type="dxa"/>
            <w:tcBorders>
              <w:top w:val="single" w:sz="4" w:space="0" w:color="auto"/>
              <w:left w:val="single" w:sz="4" w:space="0" w:color="auto"/>
              <w:bottom w:val="single" w:sz="4" w:space="0" w:color="auto"/>
              <w:right w:val="single" w:sz="4" w:space="0" w:color="auto"/>
            </w:tcBorders>
            <w:vAlign w:val="center"/>
          </w:tcPr>
          <w:p w14:paraId="197AF430"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c>
          <w:tcPr>
            <w:tcW w:w="1001" w:type="dxa"/>
            <w:gridSpan w:val="2"/>
            <w:vMerge w:val="restart"/>
            <w:tcBorders>
              <w:left w:val="single" w:sz="4" w:space="0" w:color="auto"/>
              <w:right w:val="single" w:sz="4" w:space="0" w:color="auto"/>
            </w:tcBorders>
            <w:vAlign w:val="center"/>
          </w:tcPr>
          <w:p w14:paraId="1CF69774"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w:t>
            </w:r>
          </w:p>
        </w:tc>
        <w:tc>
          <w:tcPr>
            <w:tcW w:w="992" w:type="dxa"/>
            <w:vMerge w:val="restart"/>
            <w:tcBorders>
              <w:left w:val="single" w:sz="4" w:space="0" w:color="auto"/>
              <w:right w:val="double" w:sz="4" w:space="0" w:color="auto"/>
            </w:tcBorders>
            <w:vAlign w:val="center"/>
          </w:tcPr>
          <w:p w14:paraId="3B1CF197"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w:t>
            </w:r>
          </w:p>
        </w:tc>
      </w:tr>
      <w:tr w:rsidR="001D603E" w:rsidRPr="000855B2" w14:paraId="0BE9132B" w14:textId="77777777" w:rsidTr="008D1D4F">
        <w:trPr>
          <w:cantSplit/>
          <w:trHeight w:val="70"/>
        </w:trPr>
        <w:tc>
          <w:tcPr>
            <w:tcW w:w="1090" w:type="dxa"/>
            <w:vMerge/>
            <w:tcBorders>
              <w:left w:val="double" w:sz="4" w:space="0" w:color="auto"/>
              <w:bottom w:val="double" w:sz="4" w:space="0" w:color="auto"/>
              <w:right w:val="single" w:sz="4" w:space="0" w:color="auto"/>
            </w:tcBorders>
            <w:vAlign w:val="center"/>
          </w:tcPr>
          <w:p w14:paraId="52A77F82"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7ED37152"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10AF417D"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2</w:t>
            </w:r>
          </w:p>
        </w:tc>
        <w:tc>
          <w:tcPr>
            <w:tcW w:w="1260" w:type="dxa"/>
            <w:tcBorders>
              <w:top w:val="single" w:sz="4" w:space="0" w:color="auto"/>
              <w:left w:val="single" w:sz="4" w:space="0" w:color="auto"/>
              <w:bottom w:val="single" w:sz="4" w:space="0" w:color="auto"/>
              <w:right w:val="single" w:sz="4" w:space="0" w:color="auto"/>
            </w:tcBorders>
            <w:vAlign w:val="center"/>
          </w:tcPr>
          <w:p w14:paraId="2E702510"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89</w:t>
            </w:r>
          </w:p>
        </w:tc>
        <w:tc>
          <w:tcPr>
            <w:tcW w:w="1001" w:type="dxa"/>
            <w:gridSpan w:val="2"/>
            <w:vMerge/>
            <w:tcBorders>
              <w:left w:val="single" w:sz="4" w:space="0" w:color="auto"/>
              <w:right w:val="single" w:sz="4" w:space="0" w:color="auto"/>
            </w:tcBorders>
            <w:vAlign w:val="center"/>
          </w:tcPr>
          <w:p w14:paraId="1F4AA9AF"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92" w:type="dxa"/>
            <w:vMerge/>
            <w:tcBorders>
              <w:left w:val="single" w:sz="4" w:space="0" w:color="auto"/>
              <w:right w:val="double" w:sz="4" w:space="0" w:color="auto"/>
            </w:tcBorders>
            <w:vAlign w:val="center"/>
          </w:tcPr>
          <w:p w14:paraId="0E5C745F"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r>
      <w:tr w:rsidR="001D603E" w:rsidRPr="000855B2" w14:paraId="0B0D7602" w14:textId="77777777" w:rsidTr="008D1D4F">
        <w:trPr>
          <w:cantSplit/>
          <w:trHeight w:val="70"/>
        </w:trPr>
        <w:tc>
          <w:tcPr>
            <w:tcW w:w="1090" w:type="dxa"/>
            <w:vMerge/>
            <w:tcBorders>
              <w:left w:val="double" w:sz="4" w:space="0" w:color="auto"/>
              <w:bottom w:val="double" w:sz="4" w:space="0" w:color="auto"/>
              <w:right w:val="single" w:sz="4" w:space="0" w:color="auto"/>
            </w:tcBorders>
            <w:vAlign w:val="center"/>
          </w:tcPr>
          <w:p w14:paraId="07910402"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61537AB8"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A97D54F"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0DDF2A31"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91</w:t>
            </w:r>
          </w:p>
        </w:tc>
        <w:tc>
          <w:tcPr>
            <w:tcW w:w="1001" w:type="dxa"/>
            <w:gridSpan w:val="2"/>
            <w:vMerge/>
            <w:tcBorders>
              <w:left w:val="single" w:sz="4" w:space="0" w:color="auto"/>
              <w:bottom w:val="single" w:sz="4" w:space="0" w:color="auto"/>
              <w:right w:val="single" w:sz="4" w:space="0" w:color="auto"/>
            </w:tcBorders>
            <w:vAlign w:val="center"/>
          </w:tcPr>
          <w:p w14:paraId="45626242"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92" w:type="dxa"/>
            <w:vMerge/>
            <w:tcBorders>
              <w:left w:val="single" w:sz="4" w:space="0" w:color="auto"/>
              <w:bottom w:val="single" w:sz="4" w:space="0" w:color="auto"/>
              <w:right w:val="double" w:sz="4" w:space="0" w:color="auto"/>
            </w:tcBorders>
            <w:vAlign w:val="center"/>
          </w:tcPr>
          <w:p w14:paraId="6A604A40"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r>
      <w:tr w:rsidR="001D603E" w:rsidRPr="000855B2" w14:paraId="3BB4DD89" w14:textId="77777777" w:rsidTr="008D1D4F">
        <w:trPr>
          <w:cantSplit/>
          <w:trHeight w:val="255"/>
        </w:trPr>
        <w:tc>
          <w:tcPr>
            <w:tcW w:w="1090" w:type="dxa"/>
            <w:vMerge/>
            <w:tcBorders>
              <w:left w:val="double" w:sz="4" w:space="0" w:color="auto"/>
              <w:bottom w:val="double" w:sz="4" w:space="0" w:color="auto"/>
              <w:right w:val="single" w:sz="4" w:space="0" w:color="auto"/>
            </w:tcBorders>
            <w:vAlign w:val="center"/>
          </w:tcPr>
          <w:p w14:paraId="1E74EEC4"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06F885FC"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738D18B"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&gt; 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29CB6F6E"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34</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7C7E8FB2"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29</w:t>
            </w:r>
          </w:p>
        </w:tc>
        <w:tc>
          <w:tcPr>
            <w:tcW w:w="992" w:type="dxa"/>
            <w:tcBorders>
              <w:top w:val="single" w:sz="4" w:space="0" w:color="auto"/>
              <w:left w:val="single" w:sz="4" w:space="0" w:color="auto"/>
              <w:bottom w:val="single" w:sz="4" w:space="0" w:color="auto"/>
              <w:right w:val="double" w:sz="4" w:space="0" w:color="auto"/>
            </w:tcBorders>
            <w:vAlign w:val="center"/>
          </w:tcPr>
          <w:p w14:paraId="1E5B9D79"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35</w:t>
            </w:r>
          </w:p>
        </w:tc>
      </w:tr>
      <w:tr w:rsidR="001D603E" w:rsidRPr="000855B2" w14:paraId="0A2E9283"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24A39B8D"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33932E57"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30658956"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&gt; 50 cm</w:t>
            </w:r>
            <w:r w:rsidRPr="000855B2">
              <w:rPr>
                <w:rFonts w:cs="Tahoma"/>
                <w:sz w:val="16"/>
                <w:szCs w:val="18"/>
                <w:vertAlign w:val="superscript"/>
                <w:lang w:val="en-GB" w:eastAsia="zh-CN"/>
              </w:rPr>
              <w:t>3</w:t>
            </w:r>
            <w:r w:rsidRPr="000855B2">
              <w:rPr>
                <w:rFonts w:cs="Tahoma"/>
                <w:sz w:val="16"/>
                <w:szCs w:val="18"/>
                <w:lang w:val="en-GB" w:eastAsia="zh-CN"/>
              </w:rPr>
              <w:t xml:space="preserve"> — Euro 2</w:t>
            </w:r>
          </w:p>
        </w:tc>
        <w:tc>
          <w:tcPr>
            <w:tcW w:w="1260" w:type="dxa"/>
            <w:tcBorders>
              <w:top w:val="single" w:sz="4" w:space="0" w:color="auto"/>
              <w:left w:val="single" w:sz="4" w:space="0" w:color="auto"/>
              <w:bottom w:val="single" w:sz="4" w:space="0" w:color="auto"/>
              <w:right w:val="single" w:sz="4" w:space="0" w:color="auto"/>
            </w:tcBorders>
            <w:vAlign w:val="center"/>
          </w:tcPr>
          <w:p w14:paraId="425277E4"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70CE42E3"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79</w:t>
            </w:r>
          </w:p>
        </w:tc>
        <w:tc>
          <w:tcPr>
            <w:tcW w:w="992" w:type="dxa"/>
            <w:tcBorders>
              <w:top w:val="single" w:sz="4" w:space="0" w:color="auto"/>
              <w:left w:val="single" w:sz="4" w:space="0" w:color="auto"/>
              <w:bottom w:val="single" w:sz="4" w:space="0" w:color="auto"/>
              <w:right w:val="double" w:sz="4" w:space="0" w:color="auto"/>
            </w:tcBorders>
            <w:vAlign w:val="center"/>
          </w:tcPr>
          <w:p w14:paraId="33E8EF3C"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80</w:t>
            </w:r>
          </w:p>
        </w:tc>
      </w:tr>
      <w:tr w:rsidR="001D603E" w:rsidRPr="000855B2" w14:paraId="1934F88A"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37B76A88"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127EAD10"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20C2077F"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2-stroke &gt; 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4EA64DF4"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92</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D097A08"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91</w:t>
            </w:r>
          </w:p>
        </w:tc>
        <w:tc>
          <w:tcPr>
            <w:tcW w:w="992" w:type="dxa"/>
            <w:tcBorders>
              <w:top w:val="single" w:sz="4" w:space="0" w:color="auto"/>
              <w:left w:val="single" w:sz="4" w:space="0" w:color="auto"/>
              <w:bottom w:val="single" w:sz="4" w:space="0" w:color="auto"/>
              <w:right w:val="double" w:sz="4" w:space="0" w:color="auto"/>
            </w:tcBorders>
            <w:vAlign w:val="center"/>
          </w:tcPr>
          <w:p w14:paraId="4F9B706D"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92</w:t>
            </w:r>
          </w:p>
        </w:tc>
      </w:tr>
      <w:tr w:rsidR="001D603E" w:rsidRPr="000855B2" w14:paraId="1DBD5AD6"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202F920A"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5C023D2F"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CF20CB7"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250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4CDE9DC0"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29</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13569D5A"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28</w:t>
            </w:r>
          </w:p>
        </w:tc>
        <w:tc>
          <w:tcPr>
            <w:tcW w:w="992" w:type="dxa"/>
            <w:tcBorders>
              <w:top w:val="single" w:sz="4" w:space="0" w:color="auto"/>
              <w:left w:val="single" w:sz="4" w:space="0" w:color="auto"/>
              <w:bottom w:val="single" w:sz="4" w:space="0" w:color="auto"/>
              <w:right w:val="double" w:sz="4" w:space="0" w:color="auto"/>
            </w:tcBorders>
            <w:vAlign w:val="center"/>
          </w:tcPr>
          <w:p w14:paraId="7CDF4DEC"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34</w:t>
            </w:r>
          </w:p>
        </w:tc>
      </w:tr>
      <w:tr w:rsidR="001D603E" w:rsidRPr="000855B2" w14:paraId="5DDC8F73"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04528037"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6C0D617E"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586222B9"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250 cm</w:t>
            </w:r>
            <w:r w:rsidRPr="000855B2">
              <w:rPr>
                <w:rFonts w:cs="Tahoma"/>
                <w:sz w:val="16"/>
                <w:szCs w:val="18"/>
                <w:vertAlign w:val="superscript"/>
                <w:lang w:val="en-GB" w:eastAsia="zh-CN"/>
              </w:rPr>
              <w:t>3</w:t>
            </w:r>
            <w:r w:rsidRPr="000855B2">
              <w:rPr>
                <w:rFonts w:cs="Tahoma"/>
                <w:sz w:val="16"/>
                <w:szCs w:val="18"/>
                <w:lang w:val="en-GB" w:eastAsia="zh-CN"/>
              </w:rPr>
              <w:t xml:space="preserve"> — Euro 2</w:t>
            </w:r>
          </w:p>
        </w:tc>
        <w:tc>
          <w:tcPr>
            <w:tcW w:w="1260" w:type="dxa"/>
            <w:tcBorders>
              <w:top w:val="single" w:sz="4" w:space="0" w:color="auto"/>
              <w:left w:val="single" w:sz="4" w:space="0" w:color="auto"/>
              <w:bottom w:val="single" w:sz="4" w:space="0" w:color="auto"/>
              <w:right w:val="single" w:sz="4" w:space="0" w:color="auto"/>
            </w:tcBorders>
            <w:vAlign w:val="center"/>
          </w:tcPr>
          <w:p w14:paraId="47DAE81A"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32</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406FF91"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c>
          <w:tcPr>
            <w:tcW w:w="992" w:type="dxa"/>
            <w:tcBorders>
              <w:top w:val="single" w:sz="4" w:space="0" w:color="auto"/>
              <w:left w:val="single" w:sz="4" w:space="0" w:color="auto"/>
              <w:bottom w:val="single" w:sz="4" w:space="0" w:color="auto"/>
              <w:right w:val="double" w:sz="4" w:space="0" w:color="auto"/>
            </w:tcBorders>
            <w:vAlign w:val="center"/>
          </w:tcPr>
          <w:p w14:paraId="0B873A84"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r>
      <w:tr w:rsidR="001D603E" w:rsidRPr="000855B2" w14:paraId="5C53F65A"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71782323"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28E8F94A"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CB0643A"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&lt; 250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6601BE77"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59</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6BF4BA50"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84</w:t>
            </w:r>
          </w:p>
        </w:tc>
        <w:tc>
          <w:tcPr>
            <w:tcW w:w="992" w:type="dxa"/>
            <w:tcBorders>
              <w:top w:val="single" w:sz="4" w:space="0" w:color="auto"/>
              <w:left w:val="single" w:sz="4" w:space="0" w:color="auto"/>
              <w:bottom w:val="single" w:sz="4" w:space="0" w:color="auto"/>
              <w:right w:val="double" w:sz="4" w:space="0" w:color="auto"/>
            </w:tcBorders>
            <w:vAlign w:val="center"/>
          </w:tcPr>
          <w:p w14:paraId="269C7C29"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86</w:t>
            </w:r>
          </w:p>
        </w:tc>
      </w:tr>
      <w:tr w:rsidR="001D603E" w:rsidRPr="000855B2" w14:paraId="03C3C1A3"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1C1EC326"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63314439"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74131A1E"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250</w:t>
            </w:r>
            <w:r w:rsidRPr="000855B2">
              <w:rPr>
                <w:sz w:val="16"/>
                <w:szCs w:val="20"/>
                <w:lang w:val="en-GB"/>
              </w:rPr>
              <w:t>–</w:t>
            </w:r>
            <w:r w:rsidRPr="000855B2">
              <w:rPr>
                <w:rFonts w:cs="Tahoma"/>
                <w:sz w:val="16"/>
                <w:szCs w:val="18"/>
                <w:lang w:val="en-GB" w:eastAsia="zh-CN"/>
              </w:rPr>
              <w:t>750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1BDDE1D1"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26</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2A2CDE94"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13</w:t>
            </w:r>
          </w:p>
        </w:tc>
        <w:tc>
          <w:tcPr>
            <w:tcW w:w="992" w:type="dxa"/>
            <w:tcBorders>
              <w:top w:val="single" w:sz="4" w:space="0" w:color="auto"/>
              <w:left w:val="single" w:sz="4" w:space="0" w:color="auto"/>
              <w:bottom w:val="single" w:sz="4" w:space="0" w:color="auto"/>
              <w:right w:val="double" w:sz="4" w:space="0" w:color="auto"/>
            </w:tcBorders>
            <w:vAlign w:val="center"/>
          </w:tcPr>
          <w:p w14:paraId="16638A77"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22</w:t>
            </w:r>
          </w:p>
        </w:tc>
      </w:tr>
      <w:tr w:rsidR="001D603E" w:rsidRPr="000855B2" w14:paraId="21807322"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07E84BDB"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75B2C887"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66C3D72E"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250</w:t>
            </w:r>
            <w:r w:rsidRPr="000855B2">
              <w:rPr>
                <w:sz w:val="16"/>
                <w:szCs w:val="20"/>
                <w:lang w:val="en-GB"/>
              </w:rPr>
              <w:t>–</w:t>
            </w:r>
            <w:r w:rsidRPr="000855B2">
              <w:rPr>
                <w:rFonts w:cs="Tahoma"/>
                <w:sz w:val="16"/>
                <w:szCs w:val="18"/>
                <w:lang w:val="en-GB" w:eastAsia="zh-CN"/>
              </w:rPr>
              <w:t>750 cm</w:t>
            </w:r>
            <w:r w:rsidRPr="000855B2">
              <w:rPr>
                <w:rFonts w:cs="Tahoma"/>
                <w:sz w:val="16"/>
                <w:szCs w:val="18"/>
                <w:vertAlign w:val="superscript"/>
                <w:lang w:val="en-GB" w:eastAsia="zh-CN"/>
              </w:rPr>
              <w:t>3</w:t>
            </w:r>
            <w:r w:rsidRPr="000855B2">
              <w:rPr>
                <w:rFonts w:cs="Tahoma"/>
                <w:sz w:val="16"/>
                <w:szCs w:val="18"/>
                <w:lang w:val="en-GB" w:eastAsia="zh-CN"/>
              </w:rPr>
              <w:t xml:space="preserve"> </w:t>
            </w:r>
            <w:r w:rsidRPr="000855B2">
              <w:rPr>
                <w:sz w:val="16"/>
                <w:szCs w:val="20"/>
                <w:lang w:val="en-GB"/>
              </w:rPr>
              <w:t>—</w:t>
            </w:r>
            <w:r w:rsidRPr="000855B2">
              <w:rPr>
                <w:rFonts w:cs="Tahoma"/>
                <w:sz w:val="16"/>
                <w:szCs w:val="18"/>
                <w:lang w:val="en-GB" w:eastAsia="zh-CN"/>
              </w:rPr>
              <w:t xml:space="preserve"> Euro 2</w:t>
            </w:r>
          </w:p>
        </w:tc>
        <w:tc>
          <w:tcPr>
            <w:tcW w:w="1260" w:type="dxa"/>
            <w:tcBorders>
              <w:top w:val="single" w:sz="4" w:space="0" w:color="auto"/>
              <w:left w:val="single" w:sz="4" w:space="0" w:color="auto"/>
              <w:bottom w:val="single" w:sz="4" w:space="0" w:color="auto"/>
              <w:right w:val="single" w:sz="4" w:space="0" w:color="auto"/>
            </w:tcBorders>
            <w:vAlign w:val="center"/>
          </w:tcPr>
          <w:p w14:paraId="0222EE89"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22</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1125A3B0"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40</w:t>
            </w:r>
          </w:p>
        </w:tc>
        <w:tc>
          <w:tcPr>
            <w:tcW w:w="992" w:type="dxa"/>
            <w:tcBorders>
              <w:top w:val="single" w:sz="4" w:space="0" w:color="auto"/>
              <w:left w:val="single" w:sz="4" w:space="0" w:color="auto"/>
              <w:bottom w:val="single" w:sz="4" w:space="0" w:color="auto"/>
              <w:right w:val="double" w:sz="4" w:space="0" w:color="auto"/>
            </w:tcBorders>
            <w:vAlign w:val="center"/>
          </w:tcPr>
          <w:p w14:paraId="6C0546F7"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39</w:t>
            </w:r>
          </w:p>
        </w:tc>
      </w:tr>
      <w:tr w:rsidR="001D603E" w:rsidRPr="000855B2" w14:paraId="2731D5F0"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57CDAD80"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0885F2A7"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15BA9A68"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250-750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single" w:sz="4" w:space="0" w:color="auto"/>
              <w:right w:val="single" w:sz="4" w:space="0" w:color="auto"/>
            </w:tcBorders>
            <w:vAlign w:val="center"/>
          </w:tcPr>
          <w:p w14:paraId="32C241ED"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53</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6167F923"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79</w:t>
            </w:r>
          </w:p>
        </w:tc>
        <w:tc>
          <w:tcPr>
            <w:tcW w:w="992" w:type="dxa"/>
            <w:tcBorders>
              <w:top w:val="single" w:sz="4" w:space="0" w:color="auto"/>
              <w:left w:val="single" w:sz="4" w:space="0" w:color="auto"/>
              <w:bottom w:val="single" w:sz="4" w:space="0" w:color="auto"/>
              <w:right w:val="double" w:sz="4" w:space="0" w:color="auto"/>
            </w:tcBorders>
            <w:vAlign w:val="center"/>
          </w:tcPr>
          <w:p w14:paraId="6CCD9DF6"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82</w:t>
            </w:r>
          </w:p>
        </w:tc>
      </w:tr>
      <w:tr w:rsidR="001D603E" w:rsidRPr="000855B2" w14:paraId="05ABF09D"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3DE91D7F"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right w:val="single" w:sz="4" w:space="0" w:color="auto"/>
            </w:tcBorders>
            <w:vAlign w:val="center"/>
          </w:tcPr>
          <w:p w14:paraId="331D6BA7"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0AB7A955"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&gt; 750 cm</w:t>
            </w:r>
            <w:r w:rsidRPr="000855B2">
              <w:rPr>
                <w:rFonts w:cs="Tahoma"/>
                <w:sz w:val="16"/>
                <w:szCs w:val="18"/>
                <w:vertAlign w:val="superscript"/>
                <w:lang w:val="en-GB" w:eastAsia="zh-CN"/>
              </w:rPr>
              <w:t>3</w:t>
            </w:r>
            <w:r w:rsidRPr="000855B2">
              <w:rPr>
                <w:rFonts w:cs="Tahoma"/>
                <w:sz w:val="16"/>
                <w:szCs w:val="18"/>
                <w:lang w:val="en-GB" w:eastAsia="zh-CN"/>
              </w:rPr>
              <w:t xml:space="preserve"> — Euro 1</w:t>
            </w:r>
          </w:p>
        </w:tc>
        <w:tc>
          <w:tcPr>
            <w:tcW w:w="1260" w:type="dxa"/>
            <w:tcBorders>
              <w:top w:val="single" w:sz="4" w:space="0" w:color="auto"/>
              <w:left w:val="single" w:sz="4" w:space="0" w:color="auto"/>
              <w:bottom w:val="single" w:sz="4" w:space="0" w:color="auto"/>
              <w:right w:val="single" w:sz="4" w:space="0" w:color="auto"/>
            </w:tcBorders>
            <w:vAlign w:val="center"/>
          </w:tcPr>
          <w:p w14:paraId="42E7D62E"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310744F"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54</w:t>
            </w:r>
          </w:p>
        </w:tc>
        <w:tc>
          <w:tcPr>
            <w:tcW w:w="992" w:type="dxa"/>
            <w:tcBorders>
              <w:top w:val="single" w:sz="4" w:space="0" w:color="auto"/>
              <w:left w:val="single" w:sz="4" w:space="0" w:color="auto"/>
              <w:bottom w:val="single" w:sz="4" w:space="0" w:color="auto"/>
              <w:right w:val="double" w:sz="4" w:space="0" w:color="auto"/>
            </w:tcBorders>
            <w:vAlign w:val="center"/>
          </w:tcPr>
          <w:p w14:paraId="394ACD1F"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23</w:t>
            </w:r>
          </w:p>
        </w:tc>
      </w:tr>
      <w:tr w:rsidR="001D603E" w:rsidRPr="000855B2" w14:paraId="477C013A" w14:textId="77777777" w:rsidTr="008D1D4F">
        <w:trPr>
          <w:cantSplit/>
          <w:trHeight w:val="270"/>
        </w:trPr>
        <w:tc>
          <w:tcPr>
            <w:tcW w:w="1090" w:type="dxa"/>
            <w:vMerge/>
            <w:tcBorders>
              <w:left w:val="double" w:sz="4" w:space="0" w:color="auto"/>
              <w:bottom w:val="double" w:sz="4" w:space="0" w:color="auto"/>
              <w:right w:val="single" w:sz="4" w:space="0" w:color="auto"/>
            </w:tcBorders>
            <w:vAlign w:val="center"/>
          </w:tcPr>
          <w:p w14:paraId="303A5C0D"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left w:val="single" w:sz="4" w:space="0" w:color="auto"/>
              <w:bottom w:val="double" w:sz="4" w:space="0" w:color="auto"/>
              <w:right w:val="single" w:sz="4" w:space="0" w:color="auto"/>
            </w:tcBorders>
            <w:vAlign w:val="center"/>
          </w:tcPr>
          <w:p w14:paraId="49EA2E39"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single" w:sz="4" w:space="0" w:color="auto"/>
              <w:right w:val="single" w:sz="4" w:space="0" w:color="auto"/>
            </w:tcBorders>
            <w:vAlign w:val="center"/>
          </w:tcPr>
          <w:p w14:paraId="37FC0FD5"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&gt; 750 cm</w:t>
            </w:r>
            <w:r w:rsidRPr="000855B2">
              <w:rPr>
                <w:rFonts w:cs="Tahoma"/>
                <w:sz w:val="16"/>
                <w:szCs w:val="18"/>
                <w:vertAlign w:val="superscript"/>
                <w:lang w:val="en-GB" w:eastAsia="zh-CN"/>
              </w:rPr>
              <w:t>3</w:t>
            </w:r>
            <w:r w:rsidRPr="000855B2">
              <w:rPr>
                <w:rFonts w:cs="Tahoma"/>
                <w:sz w:val="16"/>
                <w:szCs w:val="18"/>
                <w:lang w:val="en-GB" w:eastAsia="zh-CN"/>
              </w:rPr>
              <w:t xml:space="preserve"> — Euro 2</w:t>
            </w:r>
          </w:p>
        </w:tc>
        <w:tc>
          <w:tcPr>
            <w:tcW w:w="1260" w:type="dxa"/>
            <w:tcBorders>
              <w:top w:val="single" w:sz="4" w:space="0" w:color="auto"/>
              <w:left w:val="single" w:sz="4" w:space="0" w:color="auto"/>
              <w:bottom w:val="single" w:sz="4" w:space="0" w:color="auto"/>
              <w:right w:val="single" w:sz="4" w:space="0" w:color="auto"/>
            </w:tcBorders>
            <w:vAlign w:val="center"/>
          </w:tcPr>
          <w:p w14:paraId="5BF83106"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58</w:t>
            </w: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B7D9A6E"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69</w:t>
            </w:r>
          </w:p>
        </w:tc>
        <w:tc>
          <w:tcPr>
            <w:tcW w:w="992" w:type="dxa"/>
            <w:tcBorders>
              <w:top w:val="single" w:sz="4" w:space="0" w:color="auto"/>
              <w:left w:val="single" w:sz="4" w:space="0" w:color="auto"/>
              <w:bottom w:val="single" w:sz="4" w:space="0" w:color="auto"/>
              <w:right w:val="double" w:sz="4" w:space="0" w:color="auto"/>
            </w:tcBorders>
            <w:vAlign w:val="center"/>
          </w:tcPr>
          <w:p w14:paraId="7C9A5356"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49</w:t>
            </w:r>
          </w:p>
        </w:tc>
      </w:tr>
      <w:tr w:rsidR="001D603E" w:rsidRPr="000855B2" w14:paraId="7982483F" w14:textId="77777777" w:rsidTr="008D1D4F">
        <w:trPr>
          <w:cantSplit/>
          <w:trHeight w:val="270"/>
        </w:trPr>
        <w:tc>
          <w:tcPr>
            <w:tcW w:w="1090" w:type="dxa"/>
            <w:vMerge/>
            <w:tcBorders>
              <w:top w:val="double" w:sz="4" w:space="0" w:color="auto"/>
              <w:left w:val="double" w:sz="4" w:space="0" w:color="auto"/>
              <w:bottom w:val="double" w:sz="4" w:space="0" w:color="auto"/>
              <w:right w:val="single" w:sz="4" w:space="0" w:color="auto"/>
            </w:tcBorders>
            <w:vAlign w:val="center"/>
          </w:tcPr>
          <w:p w14:paraId="7B47F8FD" w14:textId="77777777" w:rsidR="001D603E" w:rsidRPr="000855B2" w:rsidRDefault="001D603E" w:rsidP="005C7955">
            <w:pPr>
              <w:keepNext/>
              <w:keepLines/>
              <w:suppressAutoHyphens/>
              <w:spacing w:line="240" w:lineRule="atLeast"/>
              <w:jc w:val="center"/>
              <w:rPr>
                <w:rFonts w:cs="Tahoma"/>
                <w:sz w:val="16"/>
                <w:szCs w:val="18"/>
                <w:lang w:val="en-GB" w:eastAsia="zh-CN"/>
              </w:rPr>
            </w:pPr>
          </w:p>
        </w:tc>
        <w:tc>
          <w:tcPr>
            <w:tcW w:w="900" w:type="dxa"/>
            <w:vMerge/>
            <w:tcBorders>
              <w:top w:val="double" w:sz="4" w:space="0" w:color="auto"/>
              <w:left w:val="single" w:sz="4" w:space="0" w:color="auto"/>
              <w:bottom w:val="double" w:sz="4" w:space="0" w:color="auto"/>
              <w:right w:val="single" w:sz="4" w:space="0" w:color="auto"/>
            </w:tcBorders>
            <w:vAlign w:val="center"/>
          </w:tcPr>
          <w:p w14:paraId="132809D5" w14:textId="77777777" w:rsidR="001D603E" w:rsidRPr="000855B2" w:rsidRDefault="001D603E" w:rsidP="005C7955">
            <w:pPr>
              <w:keepNext/>
              <w:keepLines/>
              <w:suppressAutoHyphens/>
              <w:spacing w:line="240" w:lineRule="atLeast"/>
              <w:rPr>
                <w:rFonts w:cs="Tahoma"/>
                <w:sz w:val="16"/>
                <w:szCs w:val="18"/>
                <w:lang w:val="en-GB" w:eastAsia="zh-CN"/>
              </w:rPr>
            </w:pPr>
          </w:p>
        </w:tc>
        <w:tc>
          <w:tcPr>
            <w:tcW w:w="2520" w:type="dxa"/>
            <w:tcBorders>
              <w:top w:val="single" w:sz="4" w:space="0" w:color="auto"/>
              <w:left w:val="nil"/>
              <w:bottom w:val="double" w:sz="4" w:space="0" w:color="auto"/>
              <w:right w:val="single" w:sz="4" w:space="0" w:color="auto"/>
            </w:tcBorders>
            <w:vAlign w:val="center"/>
          </w:tcPr>
          <w:p w14:paraId="020DF70A" w14:textId="77777777" w:rsidR="001D603E" w:rsidRPr="000855B2" w:rsidRDefault="001D603E" w:rsidP="005C7955">
            <w:pPr>
              <w:keepNext/>
              <w:keepLines/>
              <w:suppressAutoHyphens/>
              <w:spacing w:line="240" w:lineRule="atLeast"/>
              <w:rPr>
                <w:rFonts w:cs="Tahoma"/>
                <w:sz w:val="16"/>
                <w:szCs w:val="18"/>
                <w:lang w:val="en-GB" w:eastAsia="zh-CN"/>
              </w:rPr>
            </w:pPr>
            <w:r w:rsidRPr="000855B2">
              <w:rPr>
                <w:rFonts w:cs="Tahoma"/>
                <w:sz w:val="16"/>
                <w:szCs w:val="18"/>
                <w:lang w:val="en-GB" w:eastAsia="zh-CN"/>
              </w:rPr>
              <w:t>4-stroke &gt; 750 cm</w:t>
            </w:r>
            <w:r w:rsidRPr="000855B2">
              <w:rPr>
                <w:rFonts w:cs="Tahoma"/>
                <w:sz w:val="16"/>
                <w:szCs w:val="18"/>
                <w:vertAlign w:val="superscript"/>
                <w:lang w:val="en-GB" w:eastAsia="zh-CN"/>
              </w:rPr>
              <w:t>3</w:t>
            </w:r>
            <w:r w:rsidRPr="000855B2">
              <w:rPr>
                <w:rFonts w:cs="Tahoma"/>
                <w:sz w:val="16"/>
                <w:szCs w:val="18"/>
                <w:lang w:val="en-GB" w:eastAsia="zh-CN"/>
              </w:rPr>
              <w:t xml:space="preserve"> — Euro 3</w:t>
            </w:r>
          </w:p>
        </w:tc>
        <w:tc>
          <w:tcPr>
            <w:tcW w:w="1260" w:type="dxa"/>
            <w:tcBorders>
              <w:top w:val="single" w:sz="4" w:space="0" w:color="auto"/>
              <w:left w:val="single" w:sz="4" w:space="0" w:color="auto"/>
              <w:bottom w:val="double" w:sz="4" w:space="0" w:color="auto"/>
              <w:right w:val="single" w:sz="4" w:space="0" w:color="auto"/>
            </w:tcBorders>
            <w:vAlign w:val="center"/>
          </w:tcPr>
          <w:p w14:paraId="6CCAF91F"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75</w:t>
            </w:r>
          </w:p>
        </w:tc>
        <w:tc>
          <w:tcPr>
            <w:tcW w:w="1001" w:type="dxa"/>
            <w:gridSpan w:val="2"/>
            <w:tcBorders>
              <w:top w:val="single" w:sz="4" w:space="0" w:color="auto"/>
              <w:left w:val="single" w:sz="4" w:space="0" w:color="auto"/>
              <w:bottom w:val="double" w:sz="4" w:space="0" w:color="auto"/>
              <w:right w:val="single" w:sz="4" w:space="0" w:color="auto"/>
            </w:tcBorders>
            <w:vAlign w:val="center"/>
          </w:tcPr>
          <w:p w14:paraId="41C406D6"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89</w:t>
            </w:r>
          </w:p>
        </w:tc>
        <w:tc>
          <w:tcPr>
            <w:tcW w:w="992" w:type="dxa"/>
            <w:tcBorders>
              <w:top w:val="single" w:sz="4" w:space="0" w:color="auto"/>
              <w:left w:val="single" w:sz="4" w:space="0" w:color="auto"/>
              <w:bottom w:val="double" w:sz="4" w:space="0" w:color="auto"/>
              <w:right w:val="single" w:sz="4" w:space="0" w:color="auto"/>
            </w:tcBorders>
            <w:vAlign w:val="center"/>
          </w:tcPr>
          <w:p w14:paraId="184711CB" w14:textId="77777777" w:rsidR="001D603E" w:rsidRPr="000855B2" w:rsidRDefault="001D603E" w:rsidP="005C7955">
            <w:pPr>
              <w:keepNext/>
              <w:keepLines/>
              <w:suppressAutoHyphens/>
              <w:spacing w:line="240" w:lineRule="atLeast"/>
              <w:jc w:val="center"/>
              <w:rPr>
                <w:rFonts w:cs="Tahoma"/>
                <w:sz w:val="16"/>
                <w:szCs w:val="18"/>
                <w:lang w:val="en-GB" w:eastAsia="zh-CN"/>
              </w:rPr>
            </w:pPr>
            <w:r w:rsidRPr="000855B2">
              <w:rPr>
                <w:rFonts w:cs="Tahoma"/>
                <w:sz w:val="16"/>
                <w:szCs w:val="18"/>
                <w:lang w:val="en-GB" w:eastAsia="zh-CN"/>
              </w:rPr>
              <w:t>85</w:t>
            </w:r>
          </w:p>
        </w:tc>
      </w:tr>
    </w:tbl>
    <w:p w14:paraId="161A9F3C" w14:textId="77777777" w:rsidR="001D2587" w:rsidRPr="000855B2" w:rsidRDefault="001D2587">
      <w:pPr>
        <w:pStyle w:val="Heading5"/>
      </w:pPr>
      <w:bookmarkStart w:id="238" w:name="_Toc482876846"/>
      <w:bookmarkStart w:id="239" w:name="_Toc496265299"/>
      <w:bookmarkStart w:id="240" w:name="_Ref140485607"/>
      <w:r w:rsidRPr="000855B2">
        <w:t>PM characteristics</w:t>
      </w:r>
    </w:p>
    <w:p w14:paraId="165B8E80" w14:textId="77777777" w:rsidR="008D2FF3" w:rsidRPr="000855B2" w:rsidRDefault="001D2587" w:rsidP="008D2FF3">
      <w:pPr>
        <w:pStyle w:val="BodyText"/>
      </w:pPr>
      <w:r w:rsidRPr="000855B2">
        <w:t xml:space="preserve">New emission factors for PM characteristics have been developed on the basis of the </w:t>
      </w:r>
      <w:r w:rsidR="00DA3822" w:rsidRPr="000855B2">
        <w:t>P</w:t>
      </w:r>
      <w:r w:rsidR="000F3E28" w:rsidRPr="000855B2">
        <w:t>aticulates</w:t>
      </w:r>
      <w:r w:rsidR="00DA3822" w:rsidRPr="000855B2">
        <w:t xml:space="preserve"> </w:t>
      </w:r>
      <w:r w:rsidRPr="000855B2">
        <w:t>project</w:t>
      </w:r>
      <w:r w:rsidR="00DA3822" w:rsidRPr="000855B2">
        <w:t>,</w:t>
      </w:r>
      <w:r w:rsidRPr="000855B2">
        <w:t xml:space="preserve"> and </w:t>
      </w:r>
      <w:r w:rsidR="00DA3822" w:rsidRPr="000855B2">
        <w:t xml:space="preserve">these </w:t>
      </w:r>
      <w:r w:rsidRPr="000855B2">
        <w:t xml:space="preserve">are presented in the following tables. </w:t>
      </w:r>
      <w:r w:rsidR="00DA3822" w:rsidRPr="000855B2">
        <w:t xml:space="preserve">New metrics </w:t>
      </w:r>
      <w:r w:rsidRPr="000855B2">
        <w:t xml:space="preserve">include the </w:t>
      </w:r>
      <w:r w:rsidR="00DA3822" w:rsidRPr="000855B2">
        <w:t>‘a</w:t>
      </w:r>
      <w:r w:rsidRPr="000855B2">
        <w:t xml:space="preserve">ctive </w:t>
      </w:r>
      <w:r w:rsidR="00DA3822" w:rsidRPr="000855B2">
        <w:t>s</w:t>
      </w:r>
      <w:r w:rsidRPr="000855B2">
        <w:t xml:space="preserve">urface </w:t>
      </w:r>
      <w:r w:rsidR="00DA3822" w:rsidRPr="000855B2">
        <w:t>a</w:t>
      </w:r>
      <w:r w:rsidRPr="000855B2">
        <w:t>rea</w:t>
      </w:r>
      <w:r w:rsidR="00DA3822" w:rsidRPr="000855B2">
        <w:t>’</w:t>
      </w:r>
      <w:r w:rsidRPr="000855B2">
        <w:t xml:space="preserve"> in </w:t>
      </w:r>
      <w:r w:rsidR="00DA3822" w:rsidRPr="000855B2">
        <w:t>(</w:t>
      </w:r>
      <w:r w:rsidRPr="000855B2">
        <w:t>cm²/km</w:t>
      </w:r>
      <w:r w:rsidR="00DA3822" w:rsidRPr="000855B2">
        <w:t>)</w:t>
      </w:r>
      <w:r w:rsidRPr="000855B2">
        <w:t xml:space="preserve">, the </w:t>
      </w:r>
      <w:r w:rsidR="00DA3822" w:rsidRPr="000855B2">
        <w:t>‘t</w:t>
      </w:r>
      <w:r w:rsidRPr="000855B2">
        <w:t xml:space="preserve">otal </w:t>
      </w:r>
      <w:r w:rsidR="00DA3822" w:rsidRPr="000855B2">
        <w:t>p</w:t>
      </w:r>
      <w:r w:rsidRPr="000855B2">
        <w:t xml:space="preserve">article </w:t>
      </w:r>
      <w:r w:rsidR="00DA3822" w:rsidRPr="000855B2">
        <w:t>n</w:t>
      </w:r>
      <w:r w:rsidRPr="000855B2">
        <w:t>umber</w:t>
      </w:r>
      <w:r w:rsidR="00DA3822" w:rsidRPr="000855B2">
        <w:t>’</w:t>
      </w:r>
      <w:r w:rsidRPr="000855B2">
        <w:t xml:space="preserve"> </w:t>
      </w:r>
      <w:r w:rsidR="00DA3822" w:rsidRPr="000855B2">
        <w:t>(</w:t>
      </w:r>
      <w:r w:rsidRPr="000855B2">
        <w:t>in #/km</w:t>
      </w:r>
      <w:r w:rsidR="00DA3822" w:rsidRPr="000855B2">
        <w:t>)</w:t>
      </w:r>
      <w:r w:rsidRPr="000855B2">
        <w:t xml:space="preserve">, and the </w:t>
      </w:r>
      <w:r w:rsidR="00DA3822" w:rsidRPr="000855B2">
        <w:t>‘s</w:t>
      </w:r>
      <w:r w:rsidRPr="000855B2">
        <w:t xml:space="preserve">olid </w:t>
      </w:r>
      <w:r w:rsidR="00DA3822" w:rsidRPr="000855B2">
        <w:t>p</w:t>
      </w:r>
      <w:r w:rsidRPr="000855B2">
        <w:t xml:space="preserve">article </w:t>
      </w:r>
      <w:r w:rsidR="00DA3822" w:rsidRPr="000855B2">
        <w:t>n</w:t>
      </w:r>
      <w:r w:rsidRPr="000855B2">
        <w:t>umber</w:t>
      </w:r>
      <w:r w:rsidR="00DA3822" w:rsidRPr="000855B2">
        <w:t>’</w:t>
      </w:r>
      <w:r w:rsidRPr="000855B2">
        <w:t xml:space="preserve"> </w:t>
      </w:r>
      <w:r w:rsidR="00DA3822" w:rsidRPr="000855B2">
        <w:t>(</w:t>
      </w:r>
      <w:r w:rsidRPr="000855B2">
        <w:t>in #/km</w:t>
      </w:r>
      <w:r w:rsidR="00DA3822" w:rsidRPr="000855B2">
        <w:t xml:space="preserve">) divided </w:t>
      </w:r>
      <w:r w:rsidRPr="000855B2">
        <w:t>in</w:t>
      </w:r>
      <w:r w:rsidR="00DA3822" w:rsidRPr="000855B2">
        <w:t>to</w:t>
      </w:r>
      <w:r w:rsidRPr="000855B2">
        <w:t xml:space="preserve"> three different </w:t>
      </w:r>
      <w:r w:rsidR="00DA3822" w:rsidRPr="000855B2">
        <w:t>size bands</w:t>
      </w:r>
      <w:r w:rsidRPr="000855B2">
        <w:t xml:space="preserve"> (</w:t>
      </w:r>
      <w:r w:rsidR="00D205E2" w:rsidRPr="000855B2">
        <w:t>&lt; </w:t>
      </w:r>
      <w:r w:rsidRPr="000855B2">
        <w:t>50</w:t>
      </w:r>
      <w:r w:rsidR="000F3E28" w:rsidRPr="000855B2">
        <w:t> </w:t>
      </w:r>
      <w:r w:rsidRPr="000855B2">
        <w:t>nm, 50</w:t>
      </w:r>
      <w:r w:rsidR="000F3E28" w:rsidRPr="000855B2">
        <w:t>–</w:t>
      </w:r>
      <w:r w:rsidRPr="000855B2">
        <w:t>100</w:t>
      </w:r>
      <w:r w:rsidR="000F3E28" w:rsidRPr="000855B2">
        <w:t> </w:t>
      </w:r>
      <w:r w:rsidRPr="000855B2">
        <w:t>nm, 100</w:t>
      </w:r>
      <w:r w:rsidR="000F3E28" w:rsidRPr="000855B2">
        <w:t>–</w:t>
      </w:r>
      <w:r w:rsidRPr="000855B2">
        <w:t>1</w:t>
      </w:r>
      <w:r w:rsidR="000F3E28" w:rsidRPr="000855B2">
        <w:t> </w:t>
      </w:r>
      <w:r w:rsidRPr="000855B2">
        <w:t>000</w:t>
      </w:r>
      <w:r w:rsidR="000F3E28" w:rsidRPr="000855B2">
        <w:t> </w:t>
      </w:r>
      <w:r w:rsidRPr="000855B2">
        <w:t>nm). The total particle number emitted by vehicles is only indicative of the total emission flux, since vehicles emit both solid and volatile particles</w:t>
      </w:r>
      <w:r w:rsidR="00DA3822" w:rsidRPr="000855B2">
        <w:t>,</w:t>
      </w:r>
      <w:r w:rsidRPr="000855B2">
        <w:t xml:space="preserve"> and the number concentration of the latter depends on the ambient conditions (temperature, humidity, traffic conditions, </w:t>
      </w:r>
      <w:r w:rsidR="00D73F59" w:rsidRPr="000855B2">
        <w:t>etc</w:t>
      </w:r>
      <w:r w:rsidRPr="000855B2">
        <w:rPr>
          <w:i/>
        </w:rPr>
        <w:t>.</w:t>
      </w:r>
      <w:r w:rsidRPr="000855B2">
        <w:t xml:space="preserve">). The values given in the following </w:t>
      </w:r>
      <w:r w:rsidR="00DA3822" w:rsidRPr="000855B2">
        <w:t>T</w:t>
      </w:r>
      <w:r w:rsidRPr="000855B2">
        <w:t xml:space="preserve">ables </w:t>
      </w:r>
      <w:r w:rsidR="00DA3822" w:rsidRPr="000855B2">
        <w:t>were</w:t>
      </w:r>
      <w:r w:rsidRPr="000855B2">
        <w:t xml:space="preserve"> obtained in the laboratory under conditions </w:t>
      </w:r>
      <w:r w:rsidR="00DA3822" w:rsidRPr="000855B2">
        <w:t xml:space="preserve">which were </w:t>
      </w:r>
      <w:r w:rsidRPr="000855B2">
        <w:t>expected to maximi</w:t>
      </w:r>
      <w:r w:rsidR="00DA3822" w:rsidRPr="000855B2">
        <w:t>s</w:t>
      </w:r>
      <w:r w:rsidRPr="000855B2">
        <w:t>e the concentration</w:t>
      </w:r>
      <w:r w:rsidR="00DA3822" w:rsidRPr="000855B2">
        <w:t>s</w:t>
      </w:r>
      <w:r w:rsidRPr="000855B2">
        <w:t xml:space="preserve">, hence they should be considered to represent a </w:t>
      </w:r>
      <w:r w:rsidR="00DA3822" w:rsidRPr="000855B2">
        <w:t>near-</w:t>
      </w:r>
      <w:r w:rsidRPr="000855B2">
        <w:t xml:space="preserve">maximum emission rate. More details on the sampling conditions and the relevance of these values is given by Samaras </w:t>
      </w:r>
      <w:r w:rsidR="00D73F59" w:rsidRPr="000855B2">
        <w:t>et al</w:t>
      </w:r>
      <w:r w:rsidRPr="000855B2">
        <w:rPr>
          <w:i/>
        </w:rPr>
        <w:t>.</w:t>
      </w:r>
      <w:r w:rsidRPr="000855B2">
        <w:t xml:space="preserve"> (2005).</w:t>
      </w:r>
    </w:p>
    <w:bookmarkEnd w:id="238"/>
    <w:bookmarkEnd w:id="239"/>
    <w:bookmarkEnd w:id="240"/>
    <w:p w14:paraId="517685D6" w14:textId="561CC7B5" w:rsidR="001D2587" w:rsidRPr="000855B2" w:rsidRDefault="00A040D1" w:rsidP="00C92B1B">
      <w:pPr>
        <w:pStyle w:val="Caption"/>
      </w:pPr>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48</w:t>
      </w:r>
      <w:r w:rsidR="00FB454C">
        <w:rPr>
          <w:noProof/>
        </w:rPr>
        <w:fldChar w:fldCharType="end"/>
      </w:r>
      <w:r w:rsidR="001D2587" w:rsidRPr="000855B2">
        <w:t xml:space="preserve">: PM characteristics of </w:t>
      </w:r>
      <w:r w:rsidR="00DA3822" w:rsidRPr="000855B2">
        <w:t>d</w:t>
      </w:r>
      <w:r w:rsidR="001D2587" w:rsidRPr="000855B2">
        <w:t xml:space="preserve">iesel </w:t>
      </w:r>
      <w:r w:rsidR="00DA3822" w:rsidRPr="000855B2">
        <w:t>p</w:t>
      </w:r>
      <w:r w:rsidR="001D2587" w:rsidRPr="000855B2">
        <w:t xml:space="preserve">assenger </w:t>
      </w:r>
      <w:r w:rsidR="00DA3822" w:rsidRPr="000855B2">
        <w:t>c</w:t>
      </w:r>
      <w:r w:rsidR="001D2587" w:rsidRPr="000855B2">
        <w:t>ars</w:t>
      </w:r>
    </w:p>
    <w:tbl>
      <w:tblPr>
        <w:tblW w:w="852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127"/>
        <w:gridCol w:w="2035"/>
        <w:gridCol w:w="1842"/>
        <w:gridCol w:w="1362"/>
        <w:gridCol w:w="1078"/>
        <w:gridCol w:w="1078"/>
      </w:tblGrid>
      <w:tr w:rsidR="001D2587" w:rsidRPr="000855B2" w14:paraId="1FF6F925" w14:textId="77777777" w:rsidTr="00887829">
        <w:trPr>
          <w:cantSplit/>
          <w:trHeight w:val="255"/>
        </w:trPr>
        <w:tc>
          <w:tcPr>
            <w:tcW w:w="1127" w:type="dxa"/>
            <w:vMerge w:val="restart"/>
            <w:tcBorders>
              <w:top w:val="double" w:sz="4" w:space="0" w:color="auto"/>
              <w:left w:val="double" w:sz="4" w:space="0" w:color="auto"/>
              <w:bottom w:val="single" w:sz="12" w:space="0" w:color="auto"/>
              <w:right w:val="single" w:sz="2" w:space="0" w:color="auto"/>
            </w:tcBorders>
            <w:noWrap/>
            <w:tcMar>
              <w:left w:w="28" w:type="dxa"/>
              <w:right w:w="28" w:type="dxa"/>
            </w:tcMar>
            <w:vAlign w:val="center"/>
          </w:tcPr>
          <w:p w14:paraId="4AF94B91"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Pollutant</w:t>
            </w:r>
          </w:p>
        </w:tc>
        <w:tc>
          <w:tcPr>
            <w:tcW w:w="2035" w:type="dxa"/>
            <w:vMerge w:val="restart"/>
            <w:tcBorders>
              <w:top w:val="double" w:sz="4" w:space="0" w:color="auto"/>
              <w:left w:val="single" w:sz="2" w:space="0" w:color="auto"/>
              <w:bottom w:val="single" w:sz="12" w:space="0" w:color="auto"/>
              <w:right w:val="single" w:sz="2" w:space="0" w:color="auto"/>
            </w:tcBorders>
            <w:noWrap/>
            <w:tcMar>
              <w:left w:w="28" w:type="dxa"/>
              <w:right w:w="28" w:type="dxa"/>
            </w:tcMar>
            <w:vAlign w:val="center"/>
          </w:tcPr>
          <w:p w14:paraId="58D4D7EF"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Category</w:t>
            </w:r>
          </w:p>
        </w:tc>
        <w:tc>
          <w:tcPr>
            <w:tcW w:w="1842" w:type="dxa"/>
            <w:vMerge w:val="restart"/>
            <w:tcBorders>
              <w:top w:val="double" w:sz="4" w:space="0" w:color="auto"/>
              <w:left w:val="single" w:sz="2" w:space="0" w:color="auto"/>
              <w:bottom w:val="single" w:sz="12" w:space="0" w:color="auto"/>
              <w:right w:val="single" w:sz="2" w:space="0" w:color="auto"/>
            </w:tcBorders>
            <w:noWrap/>
            <w:tcMar>
              <w:left w:w="28" w:type="dxa"/>
              <w:right w:w="28" w:type="dxa"/>
            </w:tcMar>
            <w:vAlign w:val="center"/>
          </w:tcPr>
          <w:p w14:paraId="786CD8FE" w14:textId="77777777" w:rsidR="001D2587" w:rsidRPr="00C92B1B" w:rsidRDefault="00660D54" w:rsidP="005C7955">
            <w:pPr>
              <w:keepNext/>
              <w:keepLines/>
              <w:suppressAutoHyphens/>
              <w:spacing w:line="240" w:lineRule="atLeast"/>
              <w:jc w:val="center"/>
              <w:rPr>
                <w:b/>
                <w:sz w:val="16"/>
                <w:szCs w:val="20"/>
                <w:lang w:val="en-GB"/>
              </w:rPr>
            </w:pPr>
            <w:r w:rsidRPr="00C92B1B">
              <w:rPr>
                <w:b/>
                <w:sz w:val="16"/>
                <w:szCs w:val="20"/>
                <w:lang w:val="en-GB"/>
              </w:rPr>
              <w:t xml:space="preserve">Fuel </w:t>
            </w:r>
            <w:r w:rsidR="000F3E28" w:rsidRPr="00C92B1B">
              <w:rPr>
                <w:b/>
                <w:sz w:val="16"/>
                <w:szCs w:val="20"/>
                <w:lang w:val="en-GB"/>
              </w:rPr>
              <w:t>s</w:t>
            </w:r>
            <w:r w:rsidRPr="00C92B1B">
              <w:rPr>
                <w:b/>
                <w:sz w:val="16"/>
                <w:szCs w:val="20"/>
                <w:lang w:val="en-GB"/>
              </w:rPr>
              <w:t>pecifications</w:t>
            </w:r>
          </w:p>
        </w:tc>
        <w:tc>
          <w:tcPr>
            <w:tcW w:w="3518" w:type="dxa"/>
            <w:gridSpan w:val="3"/>
            <w:tcBorders>
              <w:top w:val="double" w:sz="4" w:space="0" w:color="auto"/>
              <w:left w:val="single" w:sz="2" w:space="0" w:color="auto"/>
              <w:bottom w:val="single" w:sz="2" w:space="0" w:color="auto"/>
              <w:right w:val="double" w:sz="4" w:space="0" w:color="auto"/>
            </w:tcBorders>
            <w:noWrap/>
            <w:tcMar>
              <w:left w:w="28" w:type="dxa"/>
              <w:right w:w="28" w:type="dxa"/>
            </w:tcMar>
            <w:vAlign w:val="center"/>
          </w:tcPr>
          <w:p w14:paraId="02CD7B11"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 xml:space="preserve">Emission </w:t>
            </w:r>
            <w:r w:rsidR="008B3C4B" w:rsidRPr="00C92B1B">
              <w:rPr>
                <w:b/>
                <w:sz w:val="16"/>
                <w:szCs w:val="20"/>
                <w:lang w:val="en-GB"/>
              </w:rPr>
              <w:t>f</w:t>
            </w:r>
            <w:r w:rsidRPr="00C92B1B">
              <w:rPr>
                <w:b/>
                <w:sz w:val="16"/>
                <w:szCs w:val="20"/>
                <w:lang w:val="en-GB"/>
              </w:rPr>
              <w:t>actor</w:t>
            </w:r>
          </w:p>
        </w:tc>
      </w:tr>
      <w:tr w:rsidR="001D2587" w:rsidRPr="000855B2" w14:paraId="1E8C179F" w14:textId="77777777" w:rsidTr="00887829">
        <w:trPr>
          <w:cantSplit/>
          <w:trHeight w:val="285"/>
        </w:trPr>
        <w:tc>
          <w:tcPr>
            <w:tcW w:w="1127" w:type="dxa"/>
            <w:vMerge/>
            <w:tcBorders>
              <w:bottom w:val="single" w:sz="12" w:space="0" w:color="auto"/>
            </w:tcBorders>
            <w:tcMar>
              <w:left w:w="28" w:type="dxa"/>
              <w:right w:w="28" w:type="dxa"/>
            </w:tcMar>
            <w:vAlign w:val="center"/>
          </w:tcPr>
          <w:p w14:paraId="60C0BC3C" w14:textId="77777777" w:rsidR="001D2587" w:rsidRPr="00C92B1B" w:rsidRDefault="001D2587" w:rsidP="005C7955">
            <w:pPr>
              <w:keepNext/>
              <w:keepLines/>
              <w:suppressAutoHyphens/>
              <w:spacing w:line="240" w:lineRule="atLeast"/>
              <w:jc w:val="center"/>
              <w:rPr>
                <w:b/>
                <w:sz w:val="16"/>
                <w:szCs w:val="20"/>
                <w:lang w:val="en-GB"/>
              </w:rPr>
            </w:pPr>
          </w:p>
        </w:tc>
        <w:tc>
          <w:tcPr>
            <w:tcW w:w="2035" w:type="dxa"/>
            <w:vMerge/>
            <w:tcBorders>
              <w:bottom w:val="single" w:sz="12" w:space="0" w:color="auto"/>
            </w:tcBorders>
            <w:tcMar>
              <w:left w:w="28" w:type="dxa"/>
              <w:right w:w="28" w:type="dxa"/>
            </w:tcMar>
            <w:vAlign w:val="center"/>
          </w:tcPr>
          <w:p w14:paraId="5D0238B0" w14:textId="77777777" w:rsidR="001D2587" w:rsidRPr="00C92B1B" w:rsidRDefault="001D2587" w:rsidP="005C7955">
            <w:pPr>
              <w:keepNext/>
              <w:keepLines/>
              <w:suppressAutoHyphens/>
              <w:spacing w:line="240" w:lineRule="atLeast"/>
              <w:jc w:val="center"/>
              <w:rPr>
                <w:b/>
                <w:sz w:val="16"/>
                <w:szCs w:val="20"/>
                <w:lang w:val="en-GB"/>
              </w:rPr>
            </w:pPr>
          </w:p>
        </w:tc>
        <w:tc>
          <w:tcPr>
            <w:tcW w:w="1842" w:type="dxa"/>
            <w:vMerge/>
            <w:tcBorders>
              <w:bottom w:val="single" w:sz="12" w:space="0" w:color="auto"/>
            </w:tcBorders>
            <w:tcMar>
              <w:left w:w="28" w:type="dxa"/>
              <w:right w:w="28" w:type="dxa"/>
            </w:tcMar>
            <w:vAlign w:val="center"/>
          </w:tcPr>
          <w:p w14:paraId="3945B18C" w14:textId="77777777" w:rsidR="001D2587" w:rsidRPr="00C92B1B" w:rsidRDefault="001D2587" w:rsidP="005C7955">
            <w:pPr>
              <w:keepNext/>
              <w:keepLines/>
              <w:suppressAutoHyphens/>
              <w:spacing w:line="240" w:lineRule="atLeast"/>
              <w:jc w:val="center"/>
              <w:rPr>
                <w:b/>
                <w:sz w:val="16"/>
                <w:szCs w:val="20"/>
                <w:lang w:val="en-GB"/>
              </w:rPr>
            </w:pPr>
          </w:p>
        </w:tc>
        <w:tc>
          <w:tcPr>
            <w:tcW w:w="1362" w:type="dxa"/>
            <w:tcBorders>
              <w:top w:val="single" w:sz="2" w:space="0" w:color="auto"/>
              <w:bottom w:val="single" w:sz="12" w:space="0" w:color="auto"/>
            </w:tcBorders>
            <w:noWrap/>
            <w:tcMar>
              <w:left w:w="28" w:type="dxa"/>
              <w:right w:w="28" w:type="dxa"/>
            </w:tcMar>
            <w:vAlign w:val="center"/>
          </w:tcPr>
          <w:p w14:paraId="41B91A22"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Urban</w:t>
            </w:r>
          </w:p>
        </w:tc>
        <w:tc>
          <w:tcPr>
            <w:tcW w:w="1078" w:type="dxa"/>
            <w:tcBorders>
              <w:top w:val="single" w:sz="2" w:space="0" w:color="auto"/>
              <w:bottom w:val="single" w:sz="12" w:space="0" w:color="auto"/>
            </w:tcBorders>
            <w:noWrap/>
            <w:tcMar>
              <w:left w:w="28" w:type="dxa"/>
              <w:right w:w="28" w:type="dxa"/>
            </w:tcMar>
            <w:vAlign w:val="center"/>
          </w:tcPr>
          <w:p w14:paraId="752C4EC2"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Rural</w:t>
            </w:r>
          </w:p>
        </w:tc>
        <w:tc>
          <w:tcPr>
            <w:tcW w:w="1078" w:type="dxa"/>
            <w:tcBorders>
              <w:top w:val="single" w:sz="2" w:space="0" w:color="auto"/>
              <w:bottom w:val="single" w:sz="12" w:space="0" w:color="auto"/>
            </w:tcBorders>
            <w:noWrap/>
            <w:tcMar>
              <w:left w:w="28" w:type="dxa"/>
              <w:right w:w="28" w:type="dxa"/>
            </w:tcMar>
            <w:vAlign w:val="center"/>
          </w:tcPr>
          <w:p w14:paraId="3FD66276"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Highway</w:t>
            </w:r>
          </w:p>
        </w:tc>
      </w:tr>
      <w:tr w:rsidR="001D2587" w:rsidRPr="000855B2" w14:paraId="16821035" w14:textId="77777777" w:rsidTr="00887829">
        <w:trPr>
          <w:cantSplit/>
          <w:trHeight w:val="270"/>
        </w:trPr>
        <w:tc>
          <w:tcPr>
            <w:tcW w:w="1127" w:type="dxa"/>
            <w:vMerge w:val="restart"/>
            <w:tcBorders>
              <w:top w:val="single" w:sz="12" w:space="0" w:color="auto"/>
            </w:tcBorders>
            <w:noWrap/>
            <w:tcMar>
              <w:left w:w="28" w:type="dxa"/>
              <w:right w:w="28" w:type="dxa"/>
            </w:tcMar>
            <w:vAlign w:val="center"/>
          </w:tcPr>
          <w:p w14:paraId="7F72DE90"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Active surface area [m²/km]</w:t>
            </w:r>
          </w:p>
        </w:tc>
        <w:tc>
          <w:tcPr>
            <w:tcW w:w="2035" w:type="dxa"/>
            <w:tcBorders>
              <w:top w:val="single" w:sz="12" w:space="0" w:color="auto"/>
            </w:tcBorders>
            <w:noWrap/>
            <w:tcMar>
              <w:left w:w="28" w:type="dxa"/>
              <w:right w:w="28" w:type="dxa"/>
            </w:tcMar>
            <w:vAlign w:val="center"/>
          </w:tcPr>
          <w:p w14:paraId="74D1362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842" w:type="dxa"/>
            <w:tcBorders>
              <w:top w:val="single" w:sz="12" w:space="0" w:color="auto"/>
            </w:tcBorders>
            <w:noWrap/>
            <w:tcMar>
              <w:left w:w="28" w:type="dxa"/>
              <w:right w:w="28" w:type="dxa"/>
            </w:tcMar>
            <w:vAlign w:val="center"/>
          </w:tcPr>
          <w:p w14:paraId="1917F33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tcBorders>
              <w:top w:val="single" w:sz="12" w:space="0" w:color="auto"/>
            </w:tcBorders>
            <w:noWrap/>
            <w:tcMar>
              <w:left w:w="28" w:type="dxa"/>
              <w:right w:w="28" w:type="dxa"/>
            </w:tcMar>
            <w:vAlign w:val="center"/>
          </w:tcPr>
          <w:p w14:paraId="46D9D4C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2.10E+01</w:t>
            </w:r>
          </w:p>
        </w:tc>
        <w:tc>
          <w:tcPr>
            <w:tcW w:w="1078" w:type="dxa"/>
            <w:tcBorders>
              <w:top w:val="single" w:sz="12" w:space="0" w:color="auto"/>
            </w:tcBorders>
            <w:noWrap/>
            <w:tcMar>
              <w:left w:w="28" w:type="dxa"/>
              <w:right w:w="28" w:type="dxa"/>
            </w:tcMar>
            <w:vAlign w:val="center"/>
          </w:tcPr>
          <w:p w14:paraId="2DC59E2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1.91E+01</w:t>
            </w:r>
          </w:p>
        </w:tc>
        <w:tc>
          <w:tcPr>
            <w:tcW w:w="1078" w:type="dxa"/>
            <w:tcBorders>
              <w:top w:val="single" w:sz="12" w:space="0" w:color="auto"/>
            </w:tcBorders>
            <w:noWrap/>
            <w:tcMar>
              <w:left w:w="28" w:type="dxa"/>
              <w:right w:w="28" w:type="dxa"/>
            </w:tcMar>
            <w:vAlign w:val="center"/>
          </w:tcPr>
          <w:p w14:paraId="11521F2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2.94E+01</w:t>
            </w:r>
          </w:p>
        </w:tc>
      </w:tr>
      <w:tr w:rsidR="001D2587" w:rsidRPr="000855B2" w14:paraId="0F6F2320" w14:textId="77777777" w:rsidTr="00887829">
        <w:trPr>
          <w:cantSplit/>
          <w:trHeight w:val="255"/>
        </w:trPr>
        <w:tc>
          <w:tcPr>
            <w:tcW w:w="1127" w:type="dxa"/>
            <w:vMerge/>
            <w:noWrap/>
            <w:tcMar>
              <w:left w:w="28" w:type="dxa"/>
              <w:right w:w="28" w:type="dxa"/>
            </w:tcMar>
            <w:vAlign w:val="center"/>
          </w:tcPr>
          <w:p w14:paraId="16B49075" w14:textId="77777777" w:rsidR="001D2587" w:rsidRPr="00C92B1B" w:rsidRDefault="001D2587" w:rsidP="005C7955">
            <w:pPr>
              <w:keepNext/>
              <w:keepLines/>
              <w:suppressAutoHyphens/>
              <w:spacing w:line="240" w:lineRule="atLeast"/>
              <w:rPr>
                <w:sz w:val="16"/>
                <w:szCs w:val="20"/>
                <w:lang w:val="en-GB"/>
              </w:rPr>
            </w:pPr>
          </w:p>
        </w:tc>
        <w:tc>
          <w:tcPr>
            <w:tcW w:w="2035" w:type="dxa"/>
            <w:vMerge w:val="restart"/>
            <w:noWrap/>
            <w:tcMar>
              <w:left w:w="28" w:type="dxa"/>
              <w:right w:w="28" w:type="dxa"/>
            </w:tcMar>
            <w:vAlign w:val="center"/>
          </w:tcPr>
          <w:p w14:paraId="28168BC2"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842" w:type="dxa"/>
            <w:noWrap/>
            <w:tcMar>
              <w:left w:w="28" w:type="dxa"/>
              <w:right w:w="28" w:type="dxa"/>
            </w:tcMar>
            <w:vAlign w:val="center"/>
          </w:tcPr>
          <w:p w14:paraId="03FC4E3F"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0152864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1.68E+01</w:t>
            </w:r>
          </w:p>
        </w:tc>
        <w:tc>
          <w:tcPr>
            <w:tcW w:w="1078" w:type="dxa"/>
            <w:vMerge w:val="restart"/>
            <w:noWrap/>
            <w:tcMar>
              <w:left w:w="28" w:type="dxa"/>
              <w:right w:w="28" w:type="dxa"/>
            </w:tcMar>
            <w:vAlign w:val="center"/>
          </w:tcPr>
          <w:p w14:paraId="55F61EE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1.71E+01</w:t>
            </w:r>
          </w:p>
        </w:tc>
        <w:tc>
          <w:tcPr>
            <w:tcW w:w="1078" w:type="dxa"/>
            <w:noWrap/>
            <w:tcMar>
              <w:left w:w="28" w:type="dxa"/>
              <w:right w:w="28" w:type="dxa"/>
            </w:tcMar>
            <w:vAlign w:val="center"/>
          </w:tcPr>
          <w:p w14:paraId="5E0C0D8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2.78E+01</w:t>
            </w:r>
          </w:p>
        </w:tc>
      </w:tr>
      <w:tr w:rsidR="001D2587" w:rsidRPr="000855B2" w14:paraId="09186332" w14:textId="77777777" w:rsidTr="00887829">
        <w:trPr>
          <w:cantSplit/>
          <w:trHeight w:val="255"/>
        </w:trPr>
        <w:tc>
          <w:tcPr>
            <w:tcW w:w="1127" w:type="dxa"/>
            <w:vMerge/>
            <w:noWrap/>
            <w:tcMar>
              <w:left w:w="28" w:type="dxa"/>
              <w:right w:w="28" w:type="dxa"/>
            </w:tcMar>
            <w:vAlign w:val="center"/>
          </w:tcPr>
          <w:p w14:paraId="35A32F82" w14:textId="77777777" w:rsidR="001D2587" w:rsidRPr="00C92B1B" w:rsidRDefault="001D2587" w:rsidP="005C7955">
            <w:pPr>
              <w:keepNext/>
              <w:keepLines/>
              <w:suppressAutoHyphens/>
              <w:spacing w:line="240" w:lineRule="atLeast"/>
              <w:rPr>
                <w:sz w:val="16"/>
                <w:szCs w:val="20"/>
                <w:lang w:val="en-GB"/>
              </w:rPr>
            </w:pPr>
          </w:p>
        </w:tc>
        <w:tc>
          <w:tcPr>
            <w:tcW w:w="2035" w:type="dxa"/>
            <w:vMerge/>
            <w:tcMar>
              <w:left w:w="28" w:type="dxa"/>
              <w:right w:w="28" w:type="dxa"/>
            </w:tcMar>
            <w:vAlign w:val="center"/>
          </w:tcPr>
          <w:p w14:paraId="5062607F"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691CD2E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11D40845"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0E4DE775"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5DB5234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3.62E+01</w:t>
            </w:r>
          </w:p>
        </w:tc>
      </w:tr>
      <w:tr w:rsidR="001D2587" w:rsidRPr="000855B2" w14:paraId="04EFB498" w14:textId="77777777" w:rsidTr="00887829">
        <w:trPr>
          <w:cantSplit/>
          <w:trHeight w:val="255"/>
        </w:trPr>
        <w:tc>
          <w:tcPr>
            <w:tcW w:w="1127" w:type="dxa"/>
            <w:vMerge/>
            <w:noWrap/>
            <w:tcMar>
              <w:left w:w="28" w:type="dxa"/>
              <w:right w:w="28" w:type="dxa"/>
            </w:tcMar>
            <w:vAlign w:val="center"/>
          </w:tcPr>
          <w:p w14:paraId="07A2324F" w14:textId="77777777" w:rsidR="001D2587" w:rsidRPr="00C92B1B" w:rsidRDefault="001D2587" w:rsidP="005C7955">
            <w:pPr>
              <w:keepNext/>
              <w:keepLines/>
              <w:suppressAutoHyphens/>
              <w:spacing w:line="240" w:lineRule="atLeast"/>
              <w:rPr>
                <w:sz w:val="16"/>
                <w:szCs w:val="20"/>
                <w:lang w:val="en-GB"/>
              </w:rPr>
            </w:pPr>
          </w:p>
        </w:tc>
        <w:tc>
          <w:tcPr>
            <w:tcW w:w="2035" w:type="dxa"/>
            <w:vMerge w:val="restart"/>
            <w:noWrap/>
            <w:tcMar>
              <w:left w:w="28" w:type="dxa"/>
              <w:right w:w="28" w:type="dxa"/>
            </w:tcMar>
            <w:vAlign w:val="center"/>
          </w:tcPr>
          <w:p w14:paraId="7470BC90"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842" w:type="dxa"/>
            <w:noWrap/>
            <w:tcMar>
              <w:left w:w="28" w:type="dxa"/>
              <w:right w:w="28" w:type="dxa"/>
            </w:tcMar>
            <w:vAlign w:val="center"/>
          </w:tcPr>
          <w:p w14:paraId="23FEE58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04B8911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1.53E+01</w:t>
            </w:r>
          </w:p>
        </w:tc>
        <w:tc>
          <w:tcPr>
            <w:tcW w:w="1078" w:type="dxa"/>
            <w:vMerge w:val="restart"/>
            <w:noWrap/>
            <w:tcMar>
              <w:left w:w="28" w:type="dxa"/>
              <w:right w:w="28" w:type="dxa"/>
            </w:tcMar>
            <w:vAlign w:val="center"/>
          </w:tcPr>
          <w:p w14:paraId="37A3BEE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1.34E+01</w:t>
            </w:r>
          </w:p>
        </w:tc>
        <w:tc>
          <w:tcPr>
            <w:tcW w:w="1078" w:type="dxa"/>
            <w:noWrap/>
            <w:tcMar>
              <w:left w:w="28" w:type="dxa"/>
              <w:right w:w="28" w:type="dxa"/>
            </w:tcMar>
            <w:vAlign w:val="center"/>
          </w:tcPr>
          <w:p w14:paraId="1FE08F8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1.85E+01</w:t>
            </w:r>
          </w:p>
        </w:tc>
      </w:tr>
      <w:tr w:rsidR="001D2587" w:rsidRPr="000855B2" w14:paraId="69ED0F5D" w14:textId="77777777" w:rsidTr="00887829">
        <w:trPr>
          <w:cantSplit/>
          <w:trHeight w:val="255"/>
        </w:trPr>
        <w:tc>
          <w:tcPr>
            <w:tcW w:w="1127" w:type="dxa"/>
            <w:vMerge/>
            <w:noWrap/>
            <w:tcMar>
              <w:left w:w="28" w:type="dxa"/>
              <w:right w:w="28" w:type="dxa"/>
            </w:tcMar>
            <w:vAlign w:val="center"/>
          </w:tcPr>
          <w:p w14:paraId="7AEFF0AD" w14:textId="77777777" w:rsidR="001D2587" w:rsidRPr="00C92B1B" w:rsidRDefault="001D2587" w:rsidP="005C7955">
            <w:pPr>
              <w:keepNext/>
              <w:keepLines/>
              <w:suppressAutoHyphens/>
              <w:spacing w:line="240" w:lineRule="atLeast"/>
              <w:rPr>
                <w:sz w:val="16"/>
                <w:szCs w:val="20"/>
                <w:lang w:val="en-GB"/>
              </w:rPr>
            </w:pPr>
          </w:p>
        </w:tc>
        <w:tc>
          <w:tcPr>
            <w:tcW w:w="2035" w:type="dxa"/>
            <w:vMerge/>
            <w:tcMar>
              <w:left w:w="28" w:type="dxa"/>
              <w:right w:w="28" w:type="dxa"/>
            </w:tcMar>
            <w:vAlign w:val="center"/>
          </w:tcPr>
          <w:p w14:paraId="61F1054C"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7665168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1F1E957C"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73597881"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4A70F17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3.93E+01</w:t>
            </w:r>
          </w:p>
        </w:tc>
      </w:tr>
      <w:tr w:rsidR="001D2587" w:rsidRPr="000855B2" w14:paraId="34878409" w14:textId="77777777" w:rsidTr="00887829">
        <w:trPr>
          <w:cantSplit/>
          <w:trHeight w:val="255"/>
        </w:trPr>
        <w:tc>
          <w:tcPr>
            <w:tcW w:w="1127" w:type="dxa"/>
            <w:vMerge/>
            <w:noWrap/>
            <w:tcMar>
              <w:left w:w="28" w:type="dxa"/>
              <w:right w:w="28" w:type="dxa"/>
            </w:tcMar>
            <w:vAlign w:val="center"/>
          </w:tcPr>
          <w:p w14:paraId="46736383" w14:textId="77777777" w:rsidR="001D2587" w:rsidRPr="00C92B1B" w:rsidRDefault="001D2587" w:rsidP="005C7955">
            <w:pPr>
              <w:keepNext/>
              <w:keepLines/>
              <w:suppressAutoHyphens/>
              <w:spacing w:line="240" w:lineRule="atLeast"/>
              <w:rPr>
                <w:sz w:val="16"/>
                <w:szCs w:val="20"/>
                <w:lang w:val="en-GB"/>
              </w:rPr>
            </w:pPr>
          </w:p>
        </w:tc>
        <w:tc>
          <w:tcPr>
            <w:tcW w:w="2035" w:type="dxa"/>
            <w:vMerge w:val="restart"/>
            <w:noWrap/>
            <w:tcMar>
              <w:left w:w="28" w:type="dxa"/>
              <w:right w:w="28" w:type="dxa"/>
            </w:tcMar>
            <w:vAlign w:val="center"/>
          </w:tcPr>
          <w:p w14:paraId="53BD74AD"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842" w:type="dxa"/>
            <w:noWrap/>
            <w:tcMar>
              <w:left w:w="28" w:type="dxa"/>
              <w:right w:w="28" w:type="dxa"/>
            </w:tcMar>
            <w:vAlign w:val="center"/>
          </w:tcPr>
          <w:p w14:paraId="2631F3C1"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656103F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1.21E-02</w:t>
            </w:r>
          </w:p>
        </w:tc>
        <w:tc>
          <w:tcPr>
            <w:tcW w:w="1078" w:type="dxa"/>
            <w:noWrap/>
            <w:tcMar>
              <w:left w:w="28" w:type="dxa"/>
              <w:right w:w="28" w:type="dxa"/>
            </w:tcMar>
            <w:vAlign w:val="center"/>
          </w:tcPr>
          <w:p w14:paraId="55E1CDD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1.32E-02</w:t>
            </w:r>
          </w:p>
        </w:tc>
        <w:tc>
          <w:tcPr>
            <w:tcW w:w="1078" w:type="dxa"/>
            <w:noWrap/>
            <w:tcMar>
              <w:left w:w="28" w:type="dxa"/>
              <w:right w:w="28" w:type="dxa"/>
            </w:tcMar>
            <w:vAlign w:val="center"/>
          </w:tcPr>
          <w:p w14:paraId="52A2399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2.20E-01</w:t>
            </w:r>
          </w:p>
        </w:tc>
      </w:tr>
      <w:tr w:rsidR="001D2587" w:rsidRPr="000855B2" w14:paraId="4D8E5E0C" w14:textId="77777777" w:rsidTr="00887829">
        <w:trPr>
          <w:cantSplit/>
          <w:trHeight w:val="255"/>
        </w:trPr>
        <w:tc>
          <w:tcPr>
            <w:tcW w:w="1127" w:type="dxa"/>
            <w:vMerge/>
            <w:noWrap/>
            <w:tcMar>
              <w:left w:w="28" w:type="dxa"/>
              <w:right w:w="28" w:type="dxa"/>
            </w:tcMar>
            <w:vAlign w:val="center"/>
          </w:tcPr>
          <w:p w14:paraId="4DE1199F" w14:textId="77777777" w:rsidR="001D2587" w:rsidRPr="00C92B1B" w:rsidRDefault="001D2587" w:rsidP="005C7955">
            <w:pPr>
              <w:keepNext/>
              <w:keepLines/>
              <w:suppressAutoHyphens/>
              <w:spacing w:line="240" w:lineRule="atLeast"/>
              <w:rPr>
                <w:sz w:val="16"/>
                <w:szCs w:val="20"/>
                <w:lang w:val="en-GB"/>
              </w:rPr>
            </w:pPr>
          </w:p>
        </w:tc>
        <w:tc>
          <w:tcPr>
            <w:tcW w:w="2035" w:type="dxa"/>
            <w:vMerge/>
            <w:tcMar>
              <w:left w:w="28" w:type="dxa"/>
              <w:right w:w="28" w:type="dxa"/>
            </w:tcMar>
            <w:vAlign w:val="center"/>
          </w:tcPr>
          <w:p w14:paraId="4FA0C61F"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65DD798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7C8C7AA5"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344A122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4.03E+00</w:t>
            </w:r>
          </w:p>
        </w:tc>
        <w:tc>
          <w:tcPr>
            <w:tcW w:w="1078" w:type="dxa"/>
            <w:noWrap/>
            <w:tcMar>
              <w:left w:w="28" w:type="dxa"/>
              <w:right w:w="28" w:type="dxa"/>
            </w:tcMar>
            <w:vAlign w:val="center"/>
          </w:tcPr>
          <w:p w14:paraId="18A6AED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4.46E+01</w:t>
            </w:r>
          </w:p>
        </w:tc>
      </w:tr>
      <w:tr w:rsidR="001D2587" w:rsidRPr="000855B2" w14:paraId="356FBA4D" w14:textId="77777777" w:rsidTr="00887829">
        <w:trPr>
          <w:cantSplit/>
          <w:trHeight w:val="255"/>
        </w:trPr>
        <w:tc>
          <w:tcPr>
            <w:tcW w:w="1127" w:type="dxa"/>
            <w:vMerge/>
            <w:noWrap/>
            <w:tcMar>
              <w:left w:w="28" w:type="dxa"/>
              <w:right w:w="28" w:type="dxa"/>
            </w:tcMar>
            <w:vAlign w:val="center"/>
          </w:tcPr>
          <w:p w14:paraId="69BADA6F" w14:textId="77777777" w:rsidR="001D2587" w:rsidRPr="00C92B1B" w:rsidRDefault="001D2587" w:rsidP="005C7955">
            <w:pPr>
              <w:keepNext/>
              <w:keepLines/>
              <w:suppressAutoHyphens/>
              <w:spacing w:line="240" w:lineRule="atLeast"/>
              <w:rPr>
                <w:sz w:val="16"/>
                <w:szCs w:val="20"/>
                <w:lang w:val="en-GB"/>
              </w:rPr>
            </w:pPr>
          </w:p>
        </w:tc>
        <w:tc>
          <w:tcPr>
            <w:tcW w:w="2035" w:type="dxa"/>
            <w:noWrap/>
            <w:tcMar>
              <w:left w:w="28" w:type="dxa"/>
              <w:right w:w="28" w:type="dxa"/>
            </w:tcMar>
            <w:vAlign w:val="center"/>
          </w:tcPr>
          <w:p w14:paraId="405AB9A1"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1</w:t>
            </w:r>
          </w:p>
        </w:tc>
        <w:tc>
          <w:tcPr>
            <w:tcW w:w="1842" w:type="dxa"/>
            <w:noWrap/>
            <w:tcMar>
              <w:left w:w="28" w:type="dxa"/>
              <w:right w:w="28" w:type="dxa"/>
            </w:tcMar>
            <w:vAlign w:val="center"/>
          </w:tcPr>
          <w:p w14:paraId="73901F2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7B07971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6.82E-01</w:t>
            </w:r>
          </w:p>
        </w:tc>
        <w:tc>
          <w:tcPr>
            <w:tcW w:w="1078" w:type="dxa"/>
            <w:noWrap/>
            <w:tcMar>
              <w:left w:w="28" w:type="dxa"/>
              <w:right w:w="28" w:type="dxa"/>
            </w:tcMar>
            <w:vAlign w:val="center"/>
          </w:tcPr>
          <w:p w14:paraId="6D3D619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4.33E-01</w:t>
            </w:r>
          </w:p>
        </w:tc>
        <w:tc>
          <w:tcPr>
            <w:tcW w:w="1078" w:type="dxa"/>
            <w:noWrap/>
            <w:tcMar>
              <w:left w:w="28" w:type="dxa"/>
              <w:right w:w="28" w:type="dxa"/>
            </w:tcMar>
            <w:vAlign w:val="center"/>
          </w:tcPr>
          <w:p w14:paraId="66D5DC4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4.98E-01</w:t>
            </w:r>
          </w:p>
        </w:tc>
      </w:tr>
      <w:tr w:rsidR="001D2587" w:rsidRPr="000855B2" w14:paraId="147935A3" w14:textId="77777777" w:rsidTr="00887829">
        <w:trPr>
          <w:cantSplit/>
          <w:trHeight w:val="255"/>
        </w:trPr>
        <w:tc>
          <w:tcPr>
            <w:tcW w:w="1127" w:type="dxa"/>
            <w:vMerge/>
            <w:noWrap/>
            <w:tcMar>
              <w:left w:w="28" w:type="dxa"/>
              <w:right w:w="28" w:type="dxa"/>
            </w:tcMar>
            <w:vAlign w:val="center"/>
          </w:tcPr>
          <w:p w14:paraId="1A4AEC26" w14:textId="77777777" w:rsidR="001D2587" w:rsidRPr="00C92B1B" w:rsidRDefault="001D2587" w:rsidP="005C7955">
            <w:pPr>
              <w:keepNext/>
              <w:keepLines/>
              <w:suppressAutoHyphens/>
              <w:spacing w:line="240" w:lineRule="atLeast"/>
              <w:rPr>
                <w:sz w:val="16"/>
                <w:szCs w:val="20"/>
                <w:lang w:val="en-GB"/>
              </w:rPr>
            </w:pPr>
          </w:p>
        </w:tc>
        <w:tc>
          <w:tcPr>
            <w:tcW w:w="2035" w:type="dxa"/>
            <w:noWrap/>
            <w:tcMar>
              <w:left w:w="28" w:type="dxa"/>
              <w:right w:w="28" w:type="dxa"/>
            </w:tcMar>
            <w:vAlign w:val="center"/>
          </w:tcPr>
          <w:p w14:paraId="47522EE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3</w:t>
            </w:r>
          </w:p>
        </w:tc>
        <w:tc>
          <w:tcPr>
            <w:tcW w:w="1842" w:type="dxa"/>
            <w:noWrap/>
            <w:tcMar>
              <w:left w:w="28" w:type="dxa"/>
              <w:right w:w="28" w:type="dxa"/>
            </w:tcMar>
            <w:vAlign w:val="center"/>
          </w:tcPr>
          <w:p w14:paraId="36DEC14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1AAA1E8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2.38E-02</w:t>
            </w:r>
          </w:p>
        </w:tc>
        <w:tc>
          <w:tcPr>
            <w:tcW w:w="1078" w:type="dxa"/>
            <w:noWrap/>
            <w:tcMar>
              <w:left w:w="28" w:type="dxa"/>
              <w:right w:w="28" w:type="dxa"/>
            </w:tcMar>
            <w:vAlign w:val="center"/>
          </w:tcPr>
          <w:p w14:paraId="0B6126E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3.32E-02</w:t>
            </w:r>
          </w:p>
        </w:tc>
        <w:tc>
          <w:tcPr>
            <w:tcW w:w="1078" w:type="dxa"/>
            <w:noWrap/>
            <w:tcMar>
              <w:left w:w="28" w:type="dxa"/>
              <w:right w:w="28" w:type="dxa"/>
            </w:tcMar>
            <w:vAlign w:val="center"/>
          </w:tcPr>
          <w:p w14:paraId="291E8FA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7.43E-02</w:t>
            </w:r>
          </w:p>
        </w:tc>
      </w:tr>
      <w:tr w:rsidR="001D2587" w:rsidRPr="000855B2" w14:paraId="692F6817" w14:textId="77777777" w:rsidTr="00887829">
        <w:trPr>
          <w:cantSplit/>
          <w:trHeight w:val="270"/>
        </w:trPr>
        <w:tc>
          <w:tcPr>
            <w:tcW w:w="1127" w:type="dxa"/>
            <w:vMerge/>
            <w:noWrap/>
            <w:tcMar>
              <w:left w:w="28" w:type="dxa"/>
              <w:right w:w="28" w:type="dxa"/>
            </w:tcMar>
            <w:vAlign w:val="center"/>
          </w:tcPr>
          <w:p w14:paraId="090B6464" w14:textId="77777777" w:rsidR="001D2587" w:rsidRPr="00C92B1B" w:rsidRDefault="001D2587" w:rsidP="005C7955">
            <w:pPr>
              <w:keepNext/>
              <w:keepLines/>
              <w:suppressAutoHyphens/>
              <w:spacing w:line="240" w:lineRule="atLeast"/>
              <w:rPr>
                <w:sz w:val="16"/>
                <w:szCs w:val="20"/>
                <w:lang w:val="en-GB"/>
              </w:rPr>
            </w:pPr>
          </w:p>
        </w:tc>
        <w:tc>
          <w:tcPr>
            <w:tcW w:w="2035" w:type="dxa"/>
            <w:noWrap/>
            <w:tcMar>
              <w:left w:w="28" w:type="dxa"/>
              <w:right w:w="28" w:type="dxa"/>
            </w:tcMar>
            <w:vAlign w:val="center"/>
          </w:tcPr>
          <w:p w14:paraId="15171052"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3 DISI</w:t>
            </w:r>
          </w:p>
        </w:tc>
        <w:tc>
          <w:tcPr>
            <w:tcW w:w="1842" w:type="dxa"/>
            <w:noWrap/>
            <w:tcMar>
              <w:left w:w="28" w:type="dxa"/>
              <w:right w:w="28" w:type="dxa"/>
            </w:tcMar>
            <w:vAlign w:val="center"/>
          </w:tcPr>
          <w:p w14:paraId="30D9D1E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2F56B35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2.04E+00</w:t>
            </w:r>
          </w:p>
        </w:tc>
        <w:tc>
          <w:tcPr>
            <w:tcW w:w="1078" w:type="dxa"/>
            <w:noWrap/>
            <w:tcMar>
              <w:left w:w="28" w:type="dxa"/>
              <w:right w:w="28" w:type="dxa"/>
            </w:tcMar>
            <w:vAlign w:val="center"/>
          </w:tcPr>
          <w:p w14:paraId="2C2B907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1.77E+00</w:t>
            </w:r>
          </w:p>
        </w:tc>
        <w:tc>
          <w:tcPr>
            <w:tcW w:w="1078" w:type="dxa"/>
            <w:noWrap/>
            <w:tcMar>
              <w:left w:w="28" w:type="dxa"/>
              <w:right w:w="28" w:type="dxa"/>
            </w:tcMar>
            <w:vAlign w:val="center"/>
          </w:tcPr>
          <w:p w14:paraId="1E52CA8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2.48E+00</w:t>
            </w:r>
          </w:p>
        </w:tc>
      </w:tr>
      <w:tr w:rsidR="001D2587" w:rsidRPr="000855B2" w14:paraId="6B4E7BEC" w14:textId="77777777" w:rsidTr="00887829">
        <w:trPr>
          <w:cantSplit/>
          <w:trHeight w:val="255"/>
        </w:trPr>
        <w:tc>
          <w:tcPr>
            <w:tcW w:w="1127" w:type="dxa"/>
            <w:vMerge w:val="restart"/>
            <w:noWrap/>
            <w:tcMar>
              <w:left w:w="28" w:type="dxa"/>
              <w:right w:w="28" w:type="dxa"/>
            </w:tcMar>
            <w:vAlign w:val="center"/>
          </w:tcPr>
          <w:p w14:paraId="5AB9212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Total particle number [#/km]</w:t>
            </w:r>
          </w:p>
        </w:tc>
        <w:tc>
          <w:tcPr>
            <w:tcW w:w="2035" w:type="dxa"/>
            <w:noWrap/>
            <w:tcMar>
              <w:left w:w="28" w:type="dxa"/>
              <w:right w:w="28" w:type="dxa"/>
            </w:tcMar>
            <w:vAlign w:val="center"/>
          </w:tcPr>
          <w:p w14:paraId="0B39DD77"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842" w:type="dxa"/>
            <w:noWrap/>
            <w:tcMar>
              <w:left w:w="28" w:type="dxa"/>
              <w:right w:w="28" w:type="dxa"/>
            </w:tcMar>
            <w:vAlign w:val="center"/>
          </w:tcPr>
          <w:p w14:paraId="45F1E137"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6B59E3A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4.04E+14</w:t>
            </w:r>
          </w:p>
        </w:tc>
        <w:tc>
          <w:tcPr>
            <w:tcW w:w="1078" w:type="dxa"/>
            <w:noWrap/>
            <w:tcMar>
              <w:left w:w="28" w:type="dxa"/>
              <w:right w:w="28" w:type="dxa"/>
            </w:tcMar>
            <w:vAlign w:val="center"/>
          </w:tcPr>
          <w:p w14:paraId="727F745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3.00E+14</w:t>
            </w:r>
          </w:p>
        </w:tc>
        <w:tc>
          <w:tcPr>
            <w:tcW w:w="1078" w:type="dxa"/>
            <w:noWrap/>
            <w:tcMar>
              <w:left w:w="28" w:type="dxa"/>
              <w:right w:w="28" w:type="dxa"/>
            </w:tcMar>
            <w:vAlign w:val="center"/>
          </w:tcPr>
          <w:p w14:paraId="1E9F961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3.21E+14</w:t>
            </w:r>
          </w:p>
        </w:tc>
      </w:tr>
      <w:tr w:rsidR="001D2587" w:rsidRPr="000855B2" w14:paraId="51C1F4EC" w14:textId="77777777" w:rsidTr="00887829">
        <w:trPr>
          <w:cantSplit/>
          <w:trHeight w:val="255"/>
        </w:trPr>
        <w:tc>
          <w:tcPr>
            <w:tcW w:w="1127" w:type="dxa"/>
            <w:vMerge/>
            <w:noWrap/>
            <w:tcMar>
              <w:left w:w="28" w:type="dxa"/>
              <w:right w:w="28" w:type="dxa"/>
            </w:tcMar>
            <w:vAlign w:val="center"/>
          </w:tcPr>
          <w:p w14:paraId="3CF4FF13"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val="restart"/>
            <w:noWrap/>
            <w:tcMar>
              <w:left w:w="28" w:type="dxa"/>
              <w:right w:w="28" w:type="dxa"/>
            </w:tcMar>
            <w:vAlign w:val="center"/>
          </w:tcPr>
          <w:p w14:paraId="1DEA5CF0"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842" w:type="dxa"/>
            <w:noWrap/>
            <w:tcMar>
              <w:left w:w="28" w:type="dxa"/>
              <w:right w:w="28" w:type="dxa"/>
            </w:tcMar>
            <w:vAlign w:val="center"/>
          </w:tcPr>
          <w:p w14:paraId="42FC1F4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5D48DA8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2.12E+14</w:t>
            </w:r>
          </w:p>
        </w:tc>
        <w:tc>
          <w:tcPr>
            <w:tcW w:w="1078" w:type="dxa"/>
            <w:vMerge w:val="restart"/>
            <w:noWrap/>
            <w:tcMar>
              <w:left w:w="28" w:type="dxa"/>
              <w:right w:w="28" w:type="dxa"/>
            </w:tcMar>
            <w:vAlign w:val="center"/>
          </w:tcPr>
          <w:p w14:paraId="4EF56BC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2.05E+14</w:t>
            </w:r>
          </w:p>
        </w:tc>
        <w:tc>
          <w:tcPr>
            <w:tcW w:w="1078" w:type="dxa"/>
            <w:noWrap/>
            <w:tcMar>
              <w:left w:w="28" w:type="dxa"/>
              <w:right w:w="28" w:type="dxa"/>
            </w:tcMar>
            <w:vAlign w:val="center"/>
          </w:tcPr>
          <w:p w14:paraId="3834843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4.35E+14</w:t>
            </w:r>
          </w:p>
        </w:tc>
      </w:tr>
      <w:tr w:rsidR="001D2587" w:rsidRPr="000855B2" w14:paraId="57EA5F68" w14:textId="77777777" w:rsidTr="00887829">
        <w:trPr>
          <w:cantSplit/>
          <w:trHeight w:val="255"/>
        </w:trPr>
        <w:tc>
          <w:tcPr>
            <w:tcW w:w="1127" w:type="dxa"/>
            <w:vMerge/>
            <w:noWrap/>
            <w:tcMar>
              <w:left w:w="28" w:type="dxa"/>
              <w:right w:w="28" w:type="dxa"/>
            </w:tcMar>
            <w:vAlign w:val="center"/>
          </w:tcPr>
          <w:p w14:paraId="18DDD6A1"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tcMar>
              <w:left w:w="28" w:type="dxa"/>
              <w:right w:w="28" w:type="dxa"/>
            </w:tcMar>
            <w:vAlign w:val="center"/>
          </w:tcPr>
          <w:p w14:paraId="117FB09D"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6AA72D81"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2A89B017"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7F35305A"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368CF04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7.10E+14</w:t>
            </w:r>
          </w:p>
        </w:tc>
      </w:tr>
      <w:tr w:rsidR="001D2587" w:rsidRPr="000855B2" w14:paraId="22D843B0" w14:textId="77777777" w:rsidTr="00887829">
        <w:trPr>
          <w:cantSplit/>
          <w:trHeight w:val="255"/>
        </w:trPr>
        <w:tc>
          <w:tcPr>
            <w:tcW w:w="1127" w:type="dxa"/>
            <w:vMerge/>
            <w:noWrap/>
            <w:tcMar>
              <w:left w:w="28" w:type="dxa"/>
              <w:right w:w="28" w:type="dxa"/>
            </w:tcMar>
            <w:vAlign w:val="center"/>
          </w:tcPr>
          <w:p w14:paraId="555AF88A"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val="restart"/>
            <w:noWrap/>
            <w:tcMar>
              <w:left w:w="28" w:type="dxa"/>
              <w:right w:w="28" w:type="dxa"/>
            </w:tcMar>
            <w:vAlign w:val="center"/>
          </w:tcPr>
          <w:p w14:paraId="1DFDA53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842" w:type="dxa"/>
            <w:noWrap/>
            <w:tcMar>
              <w:left w:w="28" w:type="dxa"/>
              <w:right w:w="28" w:type="dxa"/>
            </w:tcMar>
            <w:vAlign w:val="center"/>
          </w:tcPr>
          <w:p w14:paraId="26B81C1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0019F0B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1.64E+14</w:t>
            </w:r>
          </w:p>
        </w:tc>
        <w:tc>
          <w:tcPr>
            <w:tcW w:w="1078" w:type="dxa"/>
            <w:vMerge w:val="restart"/>
            <w:noWrap/>
            <w:tcMar>
              <w:left w:w="28" w:type="dxa"/>
              <w:right w:w="28" w:type="dxa"/>
            </w:tcMar>
            <w:vAlign w:val="center"/>
          </w:tcPr>
          <w:p w14:paraId="7E34D1A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1.73E+14</w:t>
            </w:r>
          </w:p>
        </w:tc>
        <w:tc>
          <w:tcPr>
            <w:tcW w:w="1078" w:type="dxa"/>
            <w:noWrap/>
            <w:tcMar>
              <w:left w:w="28" w:type="dxa"/>
              <w:right w:w="28" w:type="dxa"/>
            </w:tcMar>
            <w:vAlign w:val="center"/>
          </w:tcPr>
          <w:p w14:paraId="4B5BFBD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2.82E+14</w:t>
            </w:r>
          </w:p>
        </w:tc>
      </w:tr>
      <w:tr w:rsidR="001D2587" w:rsidRPr="000855B2" w14:paraId="70D60F2A" w14:textId="77777777" w:rsidTr="00010CA5">
        <w:trPr>
          <w:cantSplit/>
          <w:trHeight w:val="112"/>
        </w:trPr>
        <w:tc>
          <w:tcPr>
            <w:tcW w:w="1127" w:type="dxa"/>
            <w:vMerge/>
            <w:noWrap/>
            <w:tcMar>
              <w:left w:w="28" w:type="dxa"/>
              <w:right w:w="28" w:type="dxa"/>
            </w:tcMar>
            <w:vAlign w:val="center"/>
          </w:tcPr>
          <w:p w14:paraId="5DA98AB5"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tcMar>
              <w:left w:w="28" w:type="dxa"/>
              <w:right w:w="28" w:type="dxa"/>
            </w:tcMar>
            <w:vAlign w:val="center"/>
          </w:tcPr>
          <w:p w14:paraId="4C3B1E71"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130BA2F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40782710" w14:textId="77777777" w:rsidR="001D2587" w:rsidRPr="00C92B1B" w:rsidRDefault="001D2587" w:rsidP="005C7955">
            <w:pPr>
              <w:keepNext/>
              <w:keepLines/>
              <w:suppressAutoHyphens/>
              <w:spacing w:line="240" w:lineRule="atLeast"/>
              <w:jc w:val="center"/>
              <w:rPr>
                <w:sz w:val="16"/>
                <w:szCs w:val="20"/>
                <w:lang w:val="en-GB"/>
              </w:rPr>
            </w:pPr>
          </w:p>
        </w:tc>
        <w:tc>
          <w:tcPr>
            <w:tcW w:w="1078" w:type="dxa"/>
            <w:vMerge/>
            <w:tcMar>
              <w:left w:w="28" w:type="dxa"/>
              <w:right w:w="28" w:type="dxa"/>
            </w:tcMar>
            <w:vAlign w:val="center"/>
          </w:tcPr>
          <w:p w14:paraId="5C7F6D46"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1F8FF5D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1.23E+15</w:t>
            </w:r>
          </w:p>
        </w:tc>
      </w:tr>
      <w:tr w:rsidR="001D2587" w:rsidRPr="000855B2" w14:paraId="7088C7C3" w14:textId="77777777" w:rsidTr="00887829">
        <w:trPr>
          <w:cantSplit/>
          <w:trHeight w:val="255"/>
        </w:trPr>
        <w:tc>
          <w:tcPr>
            <w:tcW w:w="1127" w:type="dxa"/>
            <w:vMerge/>
            <w:noWrap/>
            <w:tcMar>
              <w:left w:w="28" w:type="dxa"/>
              <w:right w:w="28" w:type="dxa"/>
            </w:tcMar>
            <w:vAlign w:val="center"/>
          </w:tcPr>
          <w:p w14:paraId="5F10BFF5"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val="restart"/>
            <w:noWrap/>
            <w:tcMar>
              <w:left w:w="28" w:type="dxa"/>
              <w:right w:w="28" w:type="dxa"/>
            </w:tcMar>
            <w:vAlign w:val="center"/>
          </w:tcPr>
          <w:p w14:paraId="20A1040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842" w:type="dxa"/>
            <w:noWrap/>
            <w:tcMar>
              <w:left w:w="28" w:type="dxa"/>
              <w:right w:w="28" w:type="dxa"/>
            </w:tcMar>
            <w:vAlign w:val="center"/>
          </w:tcPr>
          <w:p w14:paraId="5C245B3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2005</w:t>
            </w:r>
            <w:r w:rsidR="000F3E28" w:rsidRPr="00C92B1B">
              <w:rPr>
                <w:sz w:val="16"/>
                <w:szCs w:val="20"/>
                <w:lang w:val="en-GB"/>
              </w:rPr>
              <w:t>–</w:t>
            </w:r>
            <w:r w:rsidRPr="00C92B1B">
              <w:rPr>
                <w:sz w:val="16"/>
                <w:szCs w:val="20"/>
                <w:lang w:val="en-GB"/>
              </w:rPr>
              <w:t>2009</w:t>
            </w:r>
          </w:p>
        </w:tc>
        <w:tc>
          <w:tcPr>
            <w:tcW w:w="1362" w:type="dxa"/>
            <w:vMerge w:val="restart"/>
            <w:noWrap/>
            <w:tcMar>
              <w:left w:w="28" w:type="dxa"/>
              <w:right w:w="28" w:type="dxa"/>
            </w:tcMar>
            <w:vAlign w:val="center"/>
          </w:tcPr>
          <w:p w14:paraId="79CBD1D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6.71E+10</w:t>
            </w:r>
          </w:p>
        </w:tc>
        <w:tc>
          <w:tcPr>
            <w:tcW w:w="1078" w:type="dxa"/>
            <w:noWrap/>
            <w:tcMar>
              <w:left w:w="28" w:type="dxa"/>
              <w:right w:w="28" w:type="dxa"/>
            </w:tcMar>
            <w:vAlign w:val="center"/>
          </w:tcPr>
          <w:p w14:paraId="1B3E6A9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9.00E+12</w:t>
            </w:r>
          </w:p>
        </w:tc>
        <w:tc>
          <w:tcPr>
            <w:tcW w:w="1078" w:type="dxa"/>
            <w:noWrap/>
            <w:tcMar>
              <w:left w:w="28" w:type="dxa"/>
              <w:right w:w="28" w:type="dxa"/>
            </w:tcMar>
            <w:vAlign w:val="center"/>
          </w:tcPr>
          <w:p w14:paraId="448D01B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1.79E+14</w:t>
            </w:r>
          </w:p>
        </w:tc>
      </w:tr>
      <w:tr w:rsidR="001D2587" w:rsidRPr="000855B2" w14:paraId="67DA8AE9" w14:textId="77777777" w:rsidTr="00887829">
        <w:trPr>
          <w:cantSplit/>
          <w:trHeight w:val="255"/>
        </w:trPr>
        <w:tc>
          <w:tcPr>
            <w:tcW w:w="1127" w:type="dxa"/>
            <w:vMerge/>
            <w:noWrap/>
            <w:tcMar>
              <w:left w:w="28" w:type="dxa"/>
              <w:right w:w="28" w:type="dxa"/>
            </w:tcMar>
            <w:vAlign w:val="center"/>
          </w:tcPr>
          <w:p w14:paraId="4A6479B4" w14:textId="77777777" w:rsidR="001D2587" w:rsidRPr="00C92B1B" w:rsidRDefault="001D2587" w:rsidP="005C7955">
            <w:pPr>
              <w:keepNext/>
              <w:keepLines/>
              <w:suppressAutoHyphens/>
              <w:spacing w:line="240" w:lineRule="atLeast"/>
              <w:jc w:val="center"/>
              <w:rPr>
                <w:sz w:val="16"/>
                <w:szCs w:val="20"/>
                <w:lang w:val="en-GB"/>
              </w:rPr>
            </w:pPr>
          </w:p>
        </w:tc>
        <w:tc>
          <w:tcPr>
            <w:tcW w:w="2035" w:type="dxa"/>
            <w:vMerge/>
            <w:tcMar>
              <w:left w:w="28" w:type="dxa"/>
              <w:right w:w="28" w:type="dxa"/>
            </w:tcMar>
            <w:vAlign w:val="center"/>
          </w:tcPr>
          <w:p w14:paraId="0B9DBD98" w14:textId="77777777" w:rsidR="001D2587" w:rsidRPr="00C92B1B" w:rsidRDefault="001D2587" w:rsidP="005C7955">
            <w:pPr>
              <w:keepNext/>
              <w:keepLines/>
              <w:suppressAutoHyphens/>
              <w:spacing w:line="240" w:lineRule="atLeast"/>
              <w:rPr>
                <w:sz w:val="16"/>
                <w:szCs w:val="20"/>
                <w:lang w:val="en-GB"/>
              </w:rPr>
            </w:pPr>
          </w:p>
        </w:tc>
        <w:tc>
          <w:tcPr>
            <w:tcW w:w="1842" w:type="dxa"/>
            <w:noWrap/>
            <w:tcMar>
              <w:left w:w="28" w:type="dxa"/>
              <w:right w:w="28" w:type="dxa"/>
            </w:tcMar>
            <w:vAlign w:val="center"/>
          </w:tcPr>
          <w:p w14:paraId="3D7F237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2000</w:t>
            </w:r>
          </w:p>
        </w:tc>
        <w:tc>
          <w:tcPr>
            <w:tcW w:w="1362" w:type="dxa"/>
            <w:vMerge/>
            <w:tcMar>
              <w:left w:w="28" w:type="dxa"/>
              <w:right w:w="28" w:type="dxa"/>
            </w:tcMar>
            <w:vAlign w:val="center"/>
          </w:tcPr>
          <w:p w14:paraId="518095B9" w14:textId="77777777" w:rsidR="001D2587" w:rsidRPr="00C92B1B" w:rsidRDefault="001D2587" w:rsidP="005C7955">
            <w:pPr>
              <w:keepNext/>
              <w:keepLines/>
              <w:suppressAutoHyphens/>
              <w:spacing w:line="240" w:lineRule="atLeast"/>
              <w:jc w:val="center"/>
              <w:rPr>
                <w:sz w:val="16"/>
                <w:szCs w:val="20"/>
                <w:lang w:val="en-GB"/>
              </w:rPr>
            </w:pPr>
          </w:p>
        </w:tc>
        <w:tc>
          <w:tcPr>
            <w:tcW w:w="1078" w:type="dxa"/>
            <w:noWrap/>
            <w:tcMar>
              <w:left w:w="28" w:type="dxa"/>
              <w:right w:w="28" w:type="dxa"/>
            </w:tcMar>
            <w:vAlign w:val="center"/>
          </w:tcPr>
          <w:p w14:paraId="4CFCBFF6"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1.67E+14</w:t>
            </w:r>
          </w:p>
        </w:tc>
        <w:tc>
          <w:tcPr>
            <w:tcW w:w="1078" w:type="dxa"/>
            <w:noWrap/>
            <w:tcMar>
              <w:left w:w="28" w:type="dxa"/>
              <w:right w:w="28" w:type="dxa"/>
            </w:tcMar>
            <w:vAlign w:val="center"/>
          </w:tcPr>
          <w:p w14:paraId="175D0D7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1.34E+15</w:t>
            </w:r>
          </w:p>
        </w:tc>
      </w:tr>
      <w:tr w:rsidR="001D2587" w:rsidRPr="000855B2" w14:paraId="0ABDAE55" w14:textId="77777777" w:rsidTr="00887829">
        <w:trPr>
          <w:cantSplit/>
          <w:trHeight w:val="255"/>
        </w:trPr>
        <w:tc>
          <w:tcPr>
            <w:tcW w:w="1127" w:type="dxa"/>
            <w:vMerge/>
            <w:noWrap/>
            <w:tcMar>
              <w:left w:w="28" w:type="dxa"/>
              <w:right w:w="28" w:type="dxa"/>
            </w:tcMar>
            <w:vAlign w:val="center"/>
          </w:tcPr>
          <w:p w14:paraId="460FF013" w14:textId="77777777" w:rsidR="001D2587" w:rsidRPr="00C92B1B" w:rsidRDefault="001D2587" w:rsidP="005C7955">
            <w:pPr>
              <w:keepNext/>
              <w:keepLines/>
              <w:suppressAutoHyphens/>
              <w:spacing w:line="240" w:lineRule="atLeast"/>
              <w:jc w:val="center"/>
              <w:rPr>
                <w:sz w:val="16"/>
                <w:szCs w:val="20"/>
                <w:lang w:val="en-GB"/>
              </w:rPr>
            </w:pPr>
          </w:p>
        </w:tc>
        <w:tc>
          <w:tcPr>
            <w:tcW w:w="2035" w:type="dxa"/>
            <w:noWrap/>
            <w:tcMar>
              <w:left w:w="28" w:type="dxa"/>
              <w:right w:w="28" w:type="dxa"/>
            </w:tcMar>
            <w:vAlign w:val="center"/>
          </w:tcPr>
          <w:p w14:paraId="6C79E42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1</w:t>
            </w:r>
          </w:p>
        </w:tc>
        <w:tc>
          <w:tcPr>
            <w:tcW w:w="1842" w:type="dxa"/>
            <w:noWrap/>
            <w:tcMar>
              <w:left w:w="28" w:type="dxa"/>
              <w:right w:w="28" w:type="dxa"/>
            </w:tcMar>
            <w:vAlign w:val="center"/>
          </w:tcPr>
          <w:p w14:paraId="1B33023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0EE9B60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8.76E+12</w:t>
            </w:r>
          </w:p>
        </w:tc>
        <w:tc>
          <w:tcPr>
            <w:tcW w:w="1078" w:type="dxa"/>
            <w:noWrap/>
            <w:tcMar>
              <w:left w:w="28" w:type="dxa"/>
              <w:right w:w="28" w:type="dxa"/>
            </w:tcMar>
            <w:vAlign w:val="center"/>
          </w:tcPr>
          <w:p w14:paraId="36F9ED0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7.35E+12</w:t>
            </w:r>
          </w:p>
        </w:tc>
        <w:tc>
          <w:tcPr>
            <w:tcW w:w="1078" w:type="dxa"/>
            <w:noWrap/>
            <w:tcMar>
              <w:left w:w="28" w:type="dxa"/>
              <w:right w:w="28" w:type="dxa"/>
            </w:tcMar>
            <w:vAlign w:val="center"/>
          </w:tcPr>
          <w:p w14:paraId="2D0743B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1.81E+13</w:t>
            </w:r>
          </w:p>
        </w:tc>
      </w:tr>
      <w:tr w:rsidR="001D2587" w:rsidRPr="000855B2" w14:paraId="18F0B8AE" w14:textId="77777777" w:rsidTr="00887829">
        <w:trPr>
          <w:cantSplit/>
          <w:trHeight w:val="255"/>
        </w:trPr>
        <w:tc>
          <w:tcPr>
            <w:tcW w:w="1127" w:type="dxa"/>
            <w:vMerge/>
            <w:noWrap/>
            <w:tcMar>
              <w:left w:w="28" w:type="dxa"/>
              <w:right w:w="28" w:type="dxa"/>
            </w:tcMar>
            <w:vAlign w:val="center"/>
          </w:tcPr>
          <w:p w14:paraId="29D5A71B" w14:textId="77777777" w:rsidR="001D2587" w:rsidRPr="00C92B1B" w:rsidRDefault="001D2587" w:rsidP="005C7955">
            <w:pPr>
              <w:keepNext/>
              <w:keepLines/>
              <w:suppressAutoHyphens/>
              <w:spacing w:line="240" w:lineRule="atLeast"/>
              <w:jc w:val="center"/>
              <w:rPr>
                <w:sz w:val="16"/>
                <w:szCs w:val="20"/>
                <w:lang w:val="en-GB"/>
              </w:rPr>
            </w:pPr>
          </w:p>
        </w:tc>
        <w:tc>
          <w:tcPr>
            <w:tcW w:w="2035" w:type="dxa"/>
            <w:noWrap/>
            <w:tcMar>
              <w:left w:w="28" w:type="dxa"/>
              <w:right w:w="28" w:type="dxa"/>
            </w:tcMar>
            <w:vAlign w:val="center"/>
          </w:tcPr>
          <w:p w14:paraId="04788171"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w:t>
            </w:r>
          </w:p>
        </w:tc>
        <w:tc>
          <w:tcPr>
            <w:tcW w:w="1842" w:type="dxa"/>
            <w:noWrap/>
            <w:tcMar>
              <w:left w:w="28" w:type="dxa"/>
              <w:right w:w="28" w:type="dxa"/>
            </w:tcMar>
            <w:vAlign w:val="center"/>
          </w:tcPr>
          <w:p w14:paraId="1E0A7C3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134CB56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6.99E+11</w:t>
            </w:r>
          </w:p>
        </w:tc>
        <w:tc>
          <w:tcPr>
            <w:tcW w:w="1078" w:type="dxa"/>
            <w:noWrap/>
            <w:tcMar>
              <w:left w:w="28" w:type="dxa"/>
              <w:right w:w="28" w:type="dxa"/>
            </w:tcMar>
            <w:vAlign w:val="center"/>
          </w:tcPr>
          <w:p w14:paraId="00D825A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5.26E+12</w:t>
            </w:r>
          </w:p>
        </w:tc>
        <w:tc>
          <w:tcPr>
            <w:tcW w:w="1078" w:type="dxa"/>
            <w:noWrap/>
            <w:tcMar>
              <w:left w:w="28" w:type="dxa"/>
              <w:right w:w="28" w:type="dxa"/>
            </w:tcMar>
            <w:vAlign w:val="center"/>
          </w:tcPr>
          <w:p w14:paraId="7F2A685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5.59E+12</w:t>
            </w:r>
          </w:p>
        </w:tc>
      </w:tr>
      <w:tr w:rsidR="001D2587" w:rsidRPr="000855B2" w14:paraId="7BD734D7" w14:textId="77777777" w:rsidTr="00887829">
        <w:trPr>
          <w:cantSplit/>
          <w:trHeight w:val="270"/>
        </w:trPr>
        <w:tc>
          <w:tcPr>
            <w:tcW w:w="1127" w:type="dxa"/>
            <w:vMerge/>
            <w:noWrap/>
            <w:tcMar>
              <w:left w:w="28" w:type="dxa"/>
              <w:right w:w="28" w:type="dxa"/>
            </w:tcMar>
            <w:vAlign w:val="center"/>
          </w:tcPr>
          <w:p w14:paraId="65E9B4B7" w14:textId="77777777" w:rsidR="001D2587" w:rsidRPr="00C92B1B" w:rsidRDefault="001D2587" w:rsidP="005C7955">
            <w:pPr>
              <w:keepNext/>
              <w:keepLines/>
              <w:suppressAutoHyphens/>
              <w:spacing w:line="240" w:lineRule="atLeast"/>
              <w:jc w:val="center"/>
              <w:rPr>
                <w:sz w:val="16"/>
                <w:szCs w:val="20"/>
                <w:lang w:val="en-GB"/>
              </w:rPr>
            </w:pPr>
          </w:p>
        </w:tc>
        <w:tc>
          <w:tcPr>
            <w:tcW w:w="2035" w:type="dxa"/>
            <w:noWrap/>
            <w:tcMar>
              <w:left w:w="28" w:type="dxa"/>
              <w:right w:w="28" w:type="dxa"/>
            </w:tcMar>
            <w:vAlign w:val="center"/>
          </w:tcPr>
          <w:p w14:paraId="51C6B196"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petrol Euro 3 DISI</w:t>
            </w:r>
          </w:p>
        </w:tc>
        <w:tc>
          <w:tcPr>
            <w:tcW w:w="1842" w:type="dxa"/>
            <w:noWrap/>
            <w:tcMar>
              <w:left w:w="28" w:type="dxa"/>
              <w:right w:w="28" w:type="dxa"/>
            </w:tcMar>
            <w:vAlign w:val="center"/>
          </w:tcPr>
          <w:p w14:paraId="4E97B0E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later than 2000</w:t>
            </w:r>
          </w:p>
        </w:tc>
        <w:tc>
          <w:tcPr>
            <w:tcW w:w="1362" w:type="dxa"/>
            <w:noWrap/>
            <w:tcMar>
              <w:left w:w="28" w:type="dxa"/>
              <w:right w:w="28" w:type="dxa"/>
            </w:tcMar>
            <w:vAlign w:val="center"/>
          </w:tcPr>
          <w:p w14:paraId="2C6AF0A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1.47E+13</w:t>
            </w:r>
          </w:p>
        </w:tc>
        <w:tc>
          <w:tcPr>
            <w:tcW w:w="1078" w:type="dxa"/>
            <w:noWrap/>
            <w:tcMar>
              <w:left w:w="28" w:type="dxa"/>
              <w:right w:w="28" w:type="dxa"/>
            </w:tcMar>
            <w:vAlign w:val="center"/>
          </w:tcPr>
          <w:p w14:paraId="1D9F02D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1.13E+13</w:t>
            </w:r>
          </w:p>
        </w:tc>
        <w:tc>
          <w:tcPr>
            <w:tcW w:w="1078" w:type="dxa"/>
            <w:noWrap/>
            <w:tcMar>
              <w:left w:w="28" w:type="dxa"/>
              <w:right w:w="28" w:type="dxa"/>
            </w:tcMar>
            <w:vAlign w:val="center"/>
          </w:tcPr>
          <w:p w14:paraId="783DF46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9.02E+13</w:t>
            </w:r>
          </w:p>
        </w:tc>
      </w:tr>
    </w:tbl>
    <w:p w14:paraId="0A131950" w14:textId="110F5B7C" w:rsidR="001D2587" w:rsidRPr="000855B2" w:rsidRDefault="00A040D1" w:rsidP="008D1D4F">
      <w:pPr>
        <w:pStyle w:val="Caption"/>
      </w:pPr>
      <w:bookmarkStart w:id="241" w:name="_Ref140907220"/>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49</w:t>
      </w:r>
      <w:r w:rsidR="00FB454C">
        <w:rPr>
          <w:noProof/>
        </w:rPr>
        <w:fldChar w:fldCharType="end"/>
      </w:r>
      <w:bookmarkEnd w:id="241"/>
      <w:r w:rsidR="001D2587" w:rsidRPr="000855B2">
        <w:t xml:space="preserve">: Solid particle number emission from </w:t>
      </w:r>
      <w:r w:rsidR="008B3C4B" w:rsidRPr="000855B2">
        <w:t>d</w:t>
      </w:r>
      <w:r w:rsidR="001D2587" w:rsidRPr="000855B2">
        <w:t xml:space="preserve">iesel </w:t>
      </w:r>
      <w:r w:rsidR="008B3C4B" w:rsidRPr="000855B2">
        <w:t>p</w:t>
      </w:r>
      <w:r w:rsidR="001D2587" w:rsidRPr="000855B2">
        <w:t xml:space="preserve">assenger </w:t>
      </w:r>
      <w:r w:rsidR="008B3C4B" w:rsidRPr="000855B2">
        <w:t>c</w:t>
      </w:r>
      <w:r w:rsidR="001D2587" w:rsidRPr="000855B2">
        <w:t>ars (not affected by fuel sulphur content)</w:t>
      </w:r>
    </w:p>
    <w:tbl>
      <w:tblPr>
        <w:tblW w:w="856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2320"/>
        <w:gridCol w:w="2993"/>
        <w:gridCol w:w="1136"/>
        <w:gridCol w:w="1019"/>
        <w:gridCol w:w="1095"/>
      </w:tblGrid>
      <w:tr w:rsidR="001D2587" w:rsidRPr="000855B2" w14:paraId="1DDCDDA4" w14:textId="77777777" w:rsidTr="00887829">
        <w:trPr>
          <w:cantSplit/>
          <w:trHeight w:val="255"/>
        </w:trPr>
        <w:tc>
          <w:tcPr>
            <w:tcW w:w="2320" w:type="dxa"/>
            <w:vMerge w:val="restart"/>
            <w:tcBorders>
              <w:top w:val="double" w:sz="4" w:space="0" w:color="auto"/>
              <w:bottom w:val="single" w:sz="2" w:space="0" w:color="auto"/>
            </w:tcBorders>
            <w:noWrap/>
            <w:tcMar>
              <w:left w:w="28" w:type="dxa"/>
              <w:right w:w="28" w:type="dxa"/>
            </w:tcMar>
            <w:vAlign w:val="center"/>
          </w:tcPr>
          <w:p w14:paraId="19BED99F"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lastRenderedPageBreak/>
              <w:t>Pollutant</w:t>
            </w:r>
            <w:r w:rsidR="00DA3822" w:rsidRPr="00C92B1B">
              <w:rPr>
                <w:b/>
                <w:sz w:val="16"/>
                <w:szCs w:val="20"/>
                <w:lang w:val="en-GB"/>
              </w:rPr>
              <w:t xml:space="preserve"> metric</w:t>
            </w:r>
          </w:p>
        </w:tc>
        <w:tc>
          <w:tcPr>
            <w:tcW w:w="2993" w:type="dxa"/>
            <w:vMerge w:val="restart"/>
            <w:tcBorders>
              <w:top w:val="double" w:sz="4" w:space="0" w:color="auto"/>
              <w:bottom w:val="single" w:sz="2" w:space="0" w:color="auto"/>
            </w:tcBorders>
            <w:noWrap/>
            <w:tcMar>
              <w:left w:w="28" w:type="dxa"/>
              <w:right w:w="28" w:type="dxa"/>
            </w:tcMar>
            <w:vAlign w:val="center"/>
          </w:tcPr>
          <w:p w14:paraId="49AF6E25"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Category</w:t>
            </w:r>
          </w:p>
        </w:tc>
        <w:tc>
          <w:tcPr>
            <w:tcW w:w="3250" w:type="dxa"/>
            <w:gridSpan w:val="3"/>
            <w:tcBorders>
              <w:top w:val="double" w:sz="4" w:space="0" w:color="auto"/>
              <w:bottom w:val="single" w:sz="2" w:space="0" w:color="auto"/>
            </w:tcBorders>
            <w:noWrap/>
            <w:tcMar>
              <w:left w:w="28" w:type="dxa"/>
              <w:right w:w="28" w:type="dxa"/>
            </w:tcMar>
            <w:vAlign w:val="center"/>
          </w:tcPr>
          <w:p w14:paraId="6A2162EC"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 xml:space="preserve">Emission </w:t>
            </w:r>
            <w:r w:rsidR="008B3C4B" w:rsidRPr="00C92B1B">
              <w:rPr>
                <w:b/>
                <w:sz w:val="16"/>
                <w:szCs w:val="20"/>
                <w:lang w:val="en-GB"/>
              </w:rPr>
              <w:t>f</w:t>
            </w:r>
            <w:r w:rsidRPr="00C92B1B">
              <w:rPr>
                <w:b/>
                <w:sz w:val="16"/>
                <w:szCs w:val="20"/>
                <w:lang w:val="en-GB"/>
              </w:rPr>
              <w:t>actor (#/km)</w:t>
            </w:r>
          </w:p>
        </w:tc>
      </w:tr>
      <w:tr w:rsidR="001D2587" w:rsidRPr="000855B2" w14:paraId="6E16C877" w14:textId="77777777" w:rsidTr="00887829">
        <w:trPr>
          <w:cantSplit/>
          <w:trHeight w:val="270"/>
        </w:trPr>
        <w:tc>
          <w:tcPr>
            <w:tcW w:w="2320" w:type="dxa"/>
            <w:vMerge/>
            <w:tcBorders>
              <w:top w:val="single" w:sz="2" w:space="0" w:color="auto"/>
              <w:bottom w:val="single" w:sz="12" w:space="0" w:color="auto"/>
            </w:tcBorders>
            <w:tcMar>
              <w:left w:w="28" w:type="dxa"/>
              <w:right w:w="28" w:type="dxa"/>
            </w:tcMar>
            <w:vAlign w:val="center"/>
          </w:tcPr>
          <w:p w14:paraId="3D2F9141" w14:textId="77777777" w:rsidR="001D2587" w:rsidRPr="00C92B1B" w:rsidRDefault="001D2587" w:rsidP="005C7955">
            <w:pPr>
              <w:keepNext/>
              <w:keepLines/>
              <w:suppressAutoHyphens/>
              <w:spacing w:line="240" w:lineRule="atLeast"/>
              <w:jc w:val="center"/>
              <w:rPr>
                <w:b/>
                <w:sz w:val="16"/>
                <w:szCs w:val="20"/>
                <w:lang w:val="en-GB"/>
              </w:rPr>
            </w:pPr>
          </w:p>
        </w:tc>
        <w:tc>
          <w:tcPr>
            <w:tcW w:w="2993" w:type="dxa"/>
            <w:vMerge/>
            <w:tcBorders>
              <w:top w:val="single" w:sz="2" w:space="0" w:color="auto"/>
              <w:bottom w:val="single" w:sz="12" w:space="0" w:color="auto"/>
            </w:tcBorders>
            <w:tcMar>
              <w:left w:w="28" w:type="dxa"/>
              <w:right w:w="28" w:type="dxa"/>
            </w:tcMar>
            <w:vAlign w:val="center"/>
          </w:tcPr>
          <w:p w14:paraId="64E438B0" w14:textId="77777777" w:rsidR="001D2587" w:rsidRPr="00C92B1B" w:rsidRDefault="001D2587" w:rsidP="005C7955">
            <w:pPr>
              <w:keepNext/>
              <w:keepLines/>
              <w:suppressAutoHyphens/>
              <w:spacing w:line="240" w:lineRule="atLeast"/>
              <w:jc w:val="center"/>
              <w:rPr>
                <w:b/>
                <w:sz w:val="16"/>
                <w:szCs w:val="20"/>
                <w:lang w:val="en-GB"/>
              </w:rPr>
            </w:pPr>
          </w:p>
        </w:tc>
        <w:tc>
          <w:tcPr>
            <w:tcW w:w="1136" w:type="dxa"/>
            <w:tcBorders>
              <w:top w:val="single" w:sz="2" w:space="0" w:color="auto"/>
              <w:bottom w:val="single" w:sz="12" w:space="0" w:color="auto"/>
            </w:tcBorders>
            <w:noWrap/>
            <w:tcMar>
              <w:left w:w="28" w:type="dxa"/>
              <w:right w:w="28" w:type="dxa"/>
            </w:tcMar>
            <w:vAlign w:val="center"/>
          </w:tcPr>
          <w:p w14:paraId="225F9C1E"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Urban</w:t>
            </w:r>
          </w:p>
        </w:tc>
        <w:tc>
          <w:tcPr>
            <w:tcW w:w="1019" w:type="dxa"/>
            <w:tcBorders>
              <w:top w:val="single" w:sz="2" w:space="0" w:color="auto"/>
              <w:bottom w:val="single" w:sz="12" w:space="0" w:color="auto"/>
            </w:tcBorders>
            <w:noWrap/>
            <w:tcMar>
              <w:left w:w="28" w:type="dxa"/>
              <w:right w:w="28" w:type="dxa"/>
            </w:tcMar>
            <w:vAlign w:val="center"/>
          </w:tcPr>
          <w:p w14:paraId="48F4FF1E"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Rural</w:t>
            </w:r>
          </w:p>
        </w:tc>
        <w:tc>
          <w:tcPr>
            <w:tcW w:w="1095" w:type="dxa"/>
            <w:tcBorders>
              <w:top w:val="single" w:sz="2" w:space="0" w:color="auto"/>
              <w:bottom w:val="single" w:sz="12" w:space="0" w:color="auto"/>
            </w:tcBorders>
            <w:noWrap/>
            <w:tcMar>
              <w:left w:w="28" w:type="dxa"/>
              <w:right w:w="28" w:type="dxa"/>
            </w:tcMar>
            <w:vAlign w:val="center"/>
          </w:tcPr>
          <w:p w14:paraId="79EC0207" w14:textId="77777777" w:rsidR="001D2587" w:rsidRPr="00C92B1B" w:rsidRDefault="001D2587" w:rsidP="005C7955">
            <w:pPr>
              <w:keepNext/>
              <w:keepLines/>
              <w:suppressAutoHyphens/>
              <w:spacing w:line="240" w:lineRule="atLeast"/>
              <w:jc w:val="center"/>
              <w:rPr>
                <w:b/>
                <w:sz w:val="16"/>
                <w:szCs w:val="20"/>
                <w:lang w:val="en-GB"/>
              </w:rPr>
            </w:pPr>
            <w:r w:rsidRPr="00C92B1B">
              <w:rPr>
                <w:b/>
                <w:sz w:val="16"/>
                <w:szCs w:val="20"/>
                <w:lang w:val="en-GB"/>
              </w:rPr>
              <w:t>Highway</w:t>
            </w:r>
          </w:p>
        </w:tc>
      </w:tr>
      <w:tr w:rsidR="001D2587" w:rsidRPr="000855B2" w14:paraId="0FCC0A23" w14:textId="77777777" w:rsidTr="00887829">
        <w:trPr>
          <w:cantSplit/>
          <w:trHeight w:val="255"/>
        </w:trPr>
        <w:tc>
          <w:tcPr>
            <w:tcW w:w="2320" w:type="dxa"/>
            <w:vMerge w:val="restart"/>
            <w:tcBorders>
              <w:top w:val="single" w:sz="12" w:space="0" w:color="auto"/>
            </w:tcBorders>
            <w:noWrap/>
            <w:tcMar>
              <w:left w:w="28" w:type="dxa"/>
              <w:right w:w="28" w:type="dxa"/>
            </w:tcMar>
            <w:vAlign w:val="center"/>
          </w:tcPr>
          <w:p w14:paraId="7B157C3B"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Number of solid particles </w:t>
            </w:r>
            <w:r w:rsidR="00D205E2" w:rsidRPr="00C92B1B">
              <w:rPr>
                <w:sz w:val="16"/>
                <w:szCs w:val="20"/>
                <w:lang w:val="en-GB"/>
              </w:rPr>
              <w:t>&lt; </w:t>
            </w:r>
            <w:r w:rsidRPr="00C92B1B">
              <w:rPr>
                <w:sz w:val="16"/>
                <w:szCs w:val="20"/>
                <w:lang w:val="en-GB"/>
              </w:rPr>
              <w:t>50</w:t>
            </w:r>
            <w:r w:rsidR="000F3E28" w:rsidRPr="00C92B1B">
              <w:rPr>
                <w:sz w:val="16"/>
                <w:szCs w:val="20"/>
                <w:lang w:val="en-GB"/>
              </w:rPr>
              <w:t> nm</w:t>
            </w:r>
          </w:p>
        </w:tc>
        <w:tc>
          <w:tcPr>
            <w:tcW w:w="2993" w:type="dxa"/>
            <w:tcBorders>
              <w:top w:val="single" w:sz="12" w:space="0" w:color="auto"/>
            </w:tcBorders>
            <w:noWrap/>
            <w:tcMar>
              <w:left w:w="28" w:type="dxa"/>
              <w:right w:w="28" w:type="dxa"/>
            </w:tcMar>
            <w:vAlign w:val="center"/>
          </w:tcPr>
          <w:p w14:paraId="024BDF25"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136" w:type="dxa"/>
            <w:tcBorders>
              <w:top w:val="single" w:sz="12" w:space="0" w:color="auto"/>
            </w:tcBorders>
            <w:noWrap/>
            <w:tcMar>
              <w:left w:w="28" w:type="dxa"/>
              <w:right w:w="28" w:type="dxa"/>
            </w:tcMar>
            <w:vAlign w:val="center"/>
          </w:tcPr>
          <w:p w14:paraId="33BC3DB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8.5E+13</w:t>
            </w:r>
          </w:p>
        </w:tc>
        <w:tc>
          <w:tcPr>
            <w:tcW w:w="1019" w:type="dxa"/>
            <w:tcBorders>
              <w:top w:val="single" w:sz="12" w:space="0" w:color="auto"/>
            </w:tcBorders>
            <w:noWrap/>
            <w:tcMar>
              <w:left w:w="28" w:type="dxa"/>
              <w:right w:w="28" w:type="dxa"/>
            </w:tcMar>
            <w:vAlign w:val="center"/>
          </w:tcPr>
          <w:p w14:paraId="5798AD4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8.6E+13</w:t>
            </w:r>
          </w:p>
        </w:tc>
        <w:tc>
          <w:tcPr>
            <w:tcW w:w="1095" w:type="dxa"/>
            <w:tcBorders>
              <w:top w:val="single" w:sz="12" w:space="0" w:color="auto"/>
            </w:tcBorders>
            <w:noWrap/>
            <w:tcMar>
              <w:left w:w="28" w:type="dxa"/>
              <w:right w:w="28" w:type="dxa"/>
            </w:tcMar>
            <w:vAlign w:val="center"/>
          </w:tcPr>
          <w:p w14:paraId="173CBA8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7.2E+13</w:t>
            </w:r>
          </w:p>
        </w:tc>
      </w:tr>
      <w:tr w:rsidR="001D2587" w:rsidRPr="000855B2" w14:paraId="7C3EB130" w14:textId="77777777" w:rsidTr="00887829">
        <w:trPr>
          <w:cantSplit/>
          <w:trHeight w:val="255"/>
        </w:trPr>
        <w:tc>
          <w:tcPr>
            <w:tcW w:w="2320" w:type="dxa"/>
            <w:vMerge/>
            <w:noWrap/>
            <w:tcMar>
              <w:left w:w="28" w:type="dxa"/>
              <w:right w:w="28" w:type="dxa"/>
            </w:tcMar>
            <w:vAlign w:val="center"/>
          </w:tcPr>
          <w:p w14:paraId="21AD8C53"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19ED1B0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136" w:type="dxa"/>
            <w:noWrap/>
            <w:tcMar>
              <w:left w:w="28" w:type="dxa"/>
              <w:right w:w="28" w:type="dxa"/>
            </w:tcMar>
            <w:vAlign w:val="center"/>
          </w:tcPr>
          <w:p w14:paraId="3833A5D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7.6E+13</w:t>
            </w:r>
          </w:p>
        </w:tc>
        <w:tc>
          <w:tcPr>
            <w:tcW w:w="1019" w:type="dxa"/>
            <w:noWrap/>
            <w:tcMar>
              <w:left w:w="28" w:type="dxa"/>
              <w:right w:w="28" w:type="dxa"/>
            </w:tcMar>
            <w:vAlign w:val="center"/>
          </w:tcPr>
          <w:p w14:paraId="306D834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7.6E+13</w:t>
            </w:r>
          </w:p>
        </w:tc>
        <w:tc>
          <w:tcPr>
            <w:tcW w:w="1095" w:type="dxa"/>
            <w:noWrap/>
            <w:tcMar>
              <w:left w:w="28" w:type="dxa"/>
              <w:right w:w="28" w:type="dxa"/>
            </w:tcMar>
            <w:vAlign w:val="center"/>
          </w:tcPr>
          <w:p w14:paraId="7451ABF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6.1E+13</w:t>
            </w:r>
          </w:p>
        </w:tc>
      </w:tr>
      <w:tr w:rsidR="001D2587" w:rsidRPr="000855B2" w14:paraId="2E893144" w14:textId="77777777" w:rsidTr="00887829">
        <w:trPr>
          <w:cantSplit/>
          <w:trHeight w:val="255"/>
        </w:trPr>
        <w:tc>
          <w:tcPr>
            <w:tcW w:w="2320" w:type="dxa"/>
            <w:vMerge/>
            <w:noWrap/>
            <w:tcMar>
              <w:left w:w="28" w:type="dxa"/>
              <w:right w:w="28" w:type="dxa"/>
            </w:tcMar>
            <w:vAlign w:val="center"/>
          </w:tcPr>
          <w:p w14:paraId="0C2080E4"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55FD6772"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136" w:type="dxa"/>
            <w:noWrap/>
            <w:tcMar>
              <w:left w:w="28" w:type="dxa"/>
              <w:right w:w="28" w:type="dxa"/>
            </w:tcMar>
            <w:vAlign w:val="center"/>
          </w:tcPr>
          <w:p w14:paraId="7576583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7.9E+13</w:t>
            </w:r>
          </w:p>
        </w:tc>
        <w:tc>
          <w:tcPr>
            <w:tcW w:w="1019" w:type="dxa"/>
            <w:noWrap/>
            <w:tcMar>
              <w:left w:w="28" w:type="dxa"/>
              <w:right w:w="28" w:type="dxa"/>
            </w:tcMar>
            <w:vAlign w:val="center"/>
          </w:tcPr>
          <w:p w14:paraId="5823A4C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7.1E+13</w:t>
            </w:r>
          </w:p>
        </w:tc>
        <w:tc>
          <w:tcPr>
            <w:tcW w:w="1095" w:type="dxa"/>
            <w:noWrap/>
            <w:tcMar>
              <w:left w:w="28" w:type="dxa"/>
              <w:right w:w="28" w:type="dxa"/>
            </w:tcMar>
            <w:vAlign w:val="center"/>
          </w:tcPr>
          <w:p w14:paraId="6A753BE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5.8E+13</w:t>
            </w:r>
          </w:p>
        </w:tc>
      </w:tr>
      <w:tr w:rsidR="001D2587" w:rsidRPr="000855B2" w14:paraId="5BEB1A80" w14:textId="77777777" w:rsidTr="00887829">
        <w:trPr>
          <w:cantSplit/>
          <w:trHeight w:val="255"/>
        </w:trPr>
        <w:tc>
          <w:tcPr>
            <w:tcW w:w="2320" w:type="dxa"/>
            <w:vMerge/>
            <w:noWrap/>
            <w:tcMar>
              <w:left w:w="28" w:type="dxa"/>
              <w:right w:w="28" w:type="dxa"/>
            </w:tcMar>
            <w:vAlign w:val="center"/>
          </w:tcPr>
          <w:p w14:paraId="6033D7B1"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3FE680E9"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136" w:type="dxa"/>
            <w:noWrap/>
            <w:tcMar>
              <w:left w:w="28" w:type="dxa"/>
              <w:right w:w="28" w:type="dxa"/>
            </w:tcMar>
            <w:vAlign w:val="center"/>
          </w:tcPr>
          <w:p w14:paraId="08EC3BC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5.5E+10</w:t>
            </w:r>
          </w:p>
        </w:tc>
        <w:tc>
          <w:tcPr>
            <w:tcW w:w="1019" w:type="dxa"/>
            <w:noWrap/>
            <w:tcMar>
              <w:left w:w="28" w:type="dxa"/>
              <w:right w:w="28" w:type="dxa"/>
            </w:tcMar>
            <w:vAlign w:val="center"/>
          </w:tcPr>
          <w:p w14:paraId="69BEA9B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4.0E+10</w:t>
            </w:r>
          </w:p>
        </w:tc>
        <w:tc>
          <w:tcPr>
            <w:tcW w:w="1095" w:type="dxa"/>
            <w:noWrap/>
            <w:tcMar>
              <w:left w:w="28" w:type="dxa"/>
              <w:right w:w="28" w:type="dxa"/>
            </w:tcMar>
            <w:vAlign w:val="center"/>
          </w:tcPr>
          <w:p w14:paraId="5281E2E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2.3E+11</w:t>
            </w:r>
          </w:p>
        </w:tc>
      </w:tr>
      <w:tr w:rsidR="001D2587" w:rsidRPr="000855B2" w14:paraId="7CE0BE12" w14:textId="77777777" w:rsidTr="00887829">
        <w:trPr>
          <w:cantSplit/>
          <w:trHeight w:val="255"/>
        </w:trPr>
        <w:tc>
          <w:tcPr>
            <w:tcW w:w="2320" w:type="dxa"/>
            <w:vMerge/>
            <w:noWrap/>
            <w:tcMar>
              <w:left w:w="28" w:type="dxa"/>
              <w:right w:w="28" w:type="dxa"/>
            </w:tcMar>
            <w:vAlign w:val="center"/>
          </w:tcPr>
          <w:p w14:paraId="65648520"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5C541AA7"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1</w:t>
            </w:r>
          </w:p>
        </w:tc>
        <w:tc>
          <w:tcPr>
            <w:tcW w:w="1136" w:type="dxa"/>
            <w:noWrap/>
            <w:tcMar>
              <w:left w:w="28" w:type="dxa"/>
              <w:right w:w="28" w:type="dxa"/>
            </w:tcMar>
            <w:vAlign w:val="center"/>
          </w:tcPr>
          <w:p w14:paraId="218F667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3.2E+12</w:t>
            </w:r>
          </w:p>
        </w:tc>
        <w:tc>
          <w:tcPr>
            <w:tcW w:w="1019" w:type="dxa"/>
            <w:noWrap/>
            <w:tcMar>
              <w:left w:w="28" w:type="dxa"/>
              <w:right w:w="28" w:type="dxa"/>
            </w:tcMar>
            <w:vAlign w:val="center"/>
          </w:tcPr>
          <w:p w14:paraId="1559B48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2.4E+12</w:t>
            </w:r>
          </w:p>
        </w:tc>
        <w:tc>
          <w:tcPr>
            <w:tcW w:w="1095" w:type="dxa"/>
            <w:noWrap/>
            <w:tcMar>
              <w:left w:w="28" w:type="dxa"/>
              <w:right w:w="28" w:type="dxa"/>
            </w:tcMar>
            <w:vAlign w:val="center"/>
          </w:tcPr>
          <w:p w14:paraId="2D6E55D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8.6E+11</w:t>
            </w:r>
          </w:p>
        </w:tc>
      </w:tr>
      <w:tr w:rsidR="001D2587" w:rsidRPr="000855B2" w14:paraId="54580326" w14:textId="77777777" w:rsidTr="00887829">
        <w:trPr>
          <w:cantSplit/>
          <w:trHeight w:val="255"/>
        </w:trPr>
        <w:tc>
          <w:tcPr>
            <w:tcW w:w="2320" w:type="dxa"/>
            <w:vMerge/>
            <w:noWrap/>
            <w:tcMar>
              <w:left w:w="28" w:type="dxa"/>
              <w:right w:w="28" w:type="dxa"/>
            </w:tcMar>
            <w:vAlign w:val="center"/>
          </w:tcPr>
          <w:p w14:paraId="54E8C0FC"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0040548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w:t>
            </w:r>
          </w:p>
        </w:tc>
        <w:tc>
          <w:tcPr>
            <w:tcW w:w="1136" w:type="dxa"/>
            <w:noWrap/>
            <w:tcMar>
              <w:left w:w="28" w:type="dxa"/>
              <w:right w:w="28" w:type="dxa"/>
            </w:tcMar>
            <w:vAlign w:val="center"/>
          </w:tcPr>
          <w:p w14:paraId="3EF83FE6"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9.6E+10</w:t>
            </w:r>
          </w:p>
        </w:tc>
        <w:tc>
          <w:tcPr>
            <w:tcW w:w="1019" w:type="dxa"/>
            <w:noWrap/>
            <w:tcMar>
              <w:left w:w="28" w:type="dxa"/>
              <w:right w:w="28" w:type="dxa"/>
            </w:tcMar>
            <w:vAlign w:val="center"/>
          </w:tcPr>
          <w:p w14:paraId="54B8278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1.1E+11</w:t>
            </w:r>
          </w:p>
        </w:tc>
        <w:tc>
          <w:tcPr>
            <w:tcW w:w="1095" w:type="dxa"/>
            <w:noWrap/>
            <w:tcMar>
              <w:left w:w="28" w:type="dxa"/>
              <w:right w:w="28" w:type="dxa"/>
            </w:tcMar>
            <w:vAlign w:val="center"/>
          </w:tcPr>
          <w:p w14:paraId="37D07CF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5.5E+10</w:t>
            </w:r>
          </w:p>
        </w:tc>
      </w:tr>
      <w:tr w:rsidR="001D2587" w:rsidRPr="000855B2" w14:paraId="018D3BF5" w14:textId="77777777" w:rsidTr="00887829">
        <w:trPr>
          <w:cantSplit/>
          <w:trHeight w:val="270"/>
        </w:trPr>
        <w:tc>
          <w:tcPr>
            <w:tcW w:w="2320" w:type="dxa"/>
            <w:vMerge/>
            <w:noWrap/>
            <w:tcMar>
              <w:left w:w="28" w:type="dxa"/>
              <w:right w:w="28" w:type="dxa"/>
            </w:tcMar>
            <w:vAlign w:val="center"/>
          </w:tcPr>
          <w:p w14:paraId="4F7DB1B4"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24172B9F"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 DISI</w:t>
            </w:r>
          </w:p>
        </w:tc>
        <w:tc>
          <w:tcPr>
            <w:tcW w:w="1136" w:type="dxa"/>
            <w:noWrap/>
            <w:tcMar>
              <w:left w:w="28" w:type="dxa"/>
              <w:right w:w="28" w:type="dxa"/>
            </w:tcMar>
            <w:vAlign w:val="center"/>
          </w:tcPr>
          <w:p w14:paraId="27F1357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8.1E+12</w:t>
            </w:r>
          </w:p>
        </w:tc>
        <w:tc>
          <w:tcPr>
            <w:tcW w:w="1019" w:type="dxa"/>
            <w:noWrap/>
            <w:tcMar>
              <w:left w:w="28" w:type="dxa"/>
              <w:right w:w="28" w:type="dxa"/>
            </w:tcMar>
            <w:vAlign w:val="center"/>
          </w:tcPr>
          <w:p w14:paraId="6B9C499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6.1E+12</w:t>
            </w:r>
          </w:p>
        </w:tc>
        <w:tc>
          <w:tcPr>
            <w:tcW w:w="1095" w:type="dxa"/>
            <w:noWrap/>
            <w:tcMar>
              <w:left w:w="28" w:type="dxa"/>
              <w:right w:w="28" w:type="dxa"/>
            </w:tcMar>
            <w:vAlign w:val="center"/>
          </w:tcPr>
          <w:p w14:paraId="65BF939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2.8E+12</w:t>
            </w:r>
          </w:p>
        </w:tc>
      </w:tr>
      <w:tr w:rsidR="001D2587" w:rsidRPr="000855B2" w14:paraId="375B3F39" w14:textId="77777777" w:rsidTr="00887829">
        <w:trPr>
          <w:cantSplit/>
          <w:trHeight w:val="255"/>
        </w:trPr>
        <w:tc>
          <w:tcPr>
            <w:tcW w:w="2320" w:type="dxa"/>
            <w:vMerge w:val="restart"/>
            <w:noWrap/>
            <w:tcMar>
              <w:left w:w="28" w:type="dxa"/>
              <w:right w:w="28" w:type="dxa"/>
            </w:tcMar>
            <w:vAlign w:val="center"/>
          </w:tcPr>
          <w:p w14:paraId="2241D96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Number of solid particles 50</w:t>
            </w:r>
            <w:r w:rsidR="00670618" w:rsidRPr="00C92B1B">
              <w:rPr>
                <w:sz w:val="16"/>
                <w:szCs w:val="20"/>
                <w:lang w:val="en-GB"/>
              </w:rPr>
              <w:t>–</w:t>
            </w:r>
            <w:r w:rsidRPr="00C92B1B">
              <w:rPr>
                <w:sz w:val="16"/>
                <w:szCs w:val="20"/>
                <w:lang w:val="en-GB"/>
              </w:rPr>
              <w:t>100</w:t>
            </w:r>
            <w:r w:rsidR="000F3E28" w:rsidRPr="00C92B1B">
              <w:rPr>
                <w:sz w:val="16"/>
                <w:szCs w:val="20"/>
                <w:lang w:val="en-GB"/>
              </w:rPr>
              <w:t> nm</w:t>
            </w:r>
          </w:p>
        </w:tc>
        <w:tc>
          <w:tcPr>
            <w:tcW w:w="2993" w:type="dxa"/>
            <w:noWrap/>
            <w:tcMar>
              <w:left w:w="28" w:type="dxa"/>
              <w:right w:w="28" w:type="dxa"/>
            </w:tcMar>
            <w:vAlign w:val="center"/>
          </w:tcPr>
          <w:p w14:paraId="533E357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136" w:type="dxa"/>
            <w:noWrap/>
            <w:tcMar>
              <w:left w:w="28" w:type="dxa"/>
              <w:right w:w="28" w:type="dxa"/>
            </w:tcMar>
            <w:vAlign w:val="center"/>
          </w:tcPr>
          <w:p w14:paraId="1496BF1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9.3E+13</w:t>
            </w:r>
          </w:p>
        </w:tc>
        <w:tc>
          <w:tcPr>
            <w:tcW w:w="1019" w:type="dxa"/>
            <w:noWrap/>
            <w:tcMar>
              <w:left w:w="28" w:type="dxa"/>
              <w:right w:w="28" w:type="dxa"/>
            </w:tcMar>
            <w:vAlign w:val="center"/>
          </w:tcPr>
          <w:p w14:paraId="762C7EE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7.8E+13</w:t>
            </w:r>
          </w:p>
        </w:tc>
        <w:tc>
          <w:tcPr>
            <w:tcW w:w="1095" w:type="dxa"/>
            <w:noWrap/>
            <w:tcMar>
              <w:left w:w="28" w:type="dxa"/>
              <w:right w:w="28" w:type="dxa"/>
            </w:tcMar>
            <w:vAlign w:val="center"/>
          </w:tcPr>
          <w:p w14:paraId="240D900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7.3E+13</w:t>
            </w:r>
          </w:p>
        </w:tc>
      </w:tr>
      <w:tr w:rsidR="001D2587" w:rsidRPr="000855B2" w14:paraId="20F25DD3" w14:textId="77777777" w:rsidTr="00887829">
        <w:trPr>
          <w:cantSplit/>
          <w:trHeight w:val="255"/>
        </w:trPr>
        <w:tc>
          <w:tcPr>
            <w:tcW w:w="2320" w:type="dxa"/>
            <w:vMerge/>
            <w:noWrap/>
            <w:tcMar>
              <w:left w:w="28" w:type="dxa"/>
              <w:right w:w="28" w:type="dxa"/>
            </w:tcMar>
            <w:vAlign w:val="center"/>
          </w:tcPr>
          <w:p w14:paraId="42955003"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752B68E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136" w:type="dxa"/>
            <w:noWrap/>
            <w:tcMar>
              <w:left w:w="28" w:type="dxa"/>
              <w:right w:w="28" w:type="dxa"/>
            </w:tcMar>
            <w:vAlign w:val="center"/>
          </w:tcPr>
          <w:p w14:paraId="1D64D37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8.8E+13</w:t>
            </w:r>
          </w:p>
        </w:tc>
        <w:tc>
          <w:tcPr>
            <w:tcW w:w="1019" w:type="dxa"/>
            <w:noWrap/>
            <w:tcMar>
              <w:left w:w="28" w:type="dxa"/>
              <w:right w:w="28" w:type="dxa"/>
            </w:tcMar>
            <w:vAlign w:val="center"/>
          </w:tcPr>
          <w:p w14:paraId="40106866"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7.7E+13</w:t>
            </w:r>
          </w:p>
        </w:tc>
        <w:tc>
          <w:tcPr>
            <w:tcW w:w="1095" w:type="dxa"/>
            <w:noWrap/>
            <w:tcMar>
              <w:left w:w="28" w:type="dxa"/>
              <w:right w:w="28" w:type="dxa"/>
            </w:tcMar>
            <w:vAlign w:val="center"/>
          </w:tcPr>
          <w:p w14:paraId="5081DC6F"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7.2E+13</w:t>
            </w:r>
          </w:p>
        </w:tc>
      </w:tr>
      <w:tr w:rsidR="001D2587" w:rsidRPr="000855B2" w14:paraId="14C3BF09" w14:textId="77777777" w:rsidTr="00887829">
        <w:trPr>
          <w:cantSplit/>
          <w:trHeight w:val="255"/>
        </w:trPr>
        <w:tc>
          <w:tcPr>
            <w:tcW w:w="2320" w:type="dxa"/>
            <w:vMerge/>
            <w:noWrap/>
            <w:tcMar>
              <w:left w:w="28" w:type="dxa"/>
              <w:right w:w="28" w:type="dxa"/>
            </w:tcMar>
            <w:vAlign w:val="center"/>
          </w:tcPr>
          <w:p w14:paraId="0D0636C8"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427042F0"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136" w:type="dxa"/>
            <w:noWrap/>
            <w:tcMar>
              <w:left w:w="28" w:type="dxa"/>
              <w:right w:w="28" w:type="dxa"/>
            </w:tcMar>
            <w:vAlign w:val="center"/>
          </w:tcPr>
          <w:p w14:paraId="67C4D870"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8.7E+13</w:t>
            </w:r>
          </w:p>
        </w:tc>
        <w:tc>
          <w:tcPr>
            <w:tcW w:w="1019" w:type="dxa"/>
            <w:noWrap/>
            <w:tcMar>
              <w:left w:w="28" w:type="dxa"/>
              <w:right w:w="28" w:type="dxa"/>
            </w:tcMar>
            <w:vAlign w:val="center"/>
          </w:tcPr>
          <w:p w14:paraId="05B0261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6.8E+13</w:t>
            </w:r>
          </w:p>
        </w:tc>
        <w:tc>
          <w:tcPr>
            <w:tcW w:w="1095" w:type="dxa"/>
            <w:noWrap/>
            <w:tcMar>
              <w:left w:w="28" w:type="dxa"/>
              <w:right w:w="28" w:type="dxa"/>
            </w:tcMar>
            <w:vAlign w:val="center"/>
          </w:tcPr>
          <w:p w14:paraId="51B12AC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6.9E+13</w:t>
            </w:r>
          </w:p>
        </w:tc>
      </w:tr>
      <w:tr w:rsidR="001D2587" w:rsidRPr="000855B2" w14:paraId="51FE9831" w14:textId="77777777" w:rsidTr="00887829">
        <w:trPr>
          <w:cantSplit/>
          <w:trHeight w:val="255"/>
        </w:trPr>
        <w:tc>
          <w:tcPr>
            <w:tcW w:w="2320" w:type="dxa"/>
            <w:vMerge/>
            <w:noWrap/>
            <w:tcMar>
              <w:left w:w="28" w:type="dxa"/>
              <w:right w:w="28" w:type="dxa"/>
            </w:tcMar>
            <w:vAlign w:val="center"/>
          </w:tcPr>
          <w:p w14:paraId="34847777"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58E7D6BD"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136" w:type="dxa"/>
            <w:noWrap/>
            <w:tcMar>
              <w:left w:w="28" w:type="dxa"/>
              <w:right w:w="28" w:type="dxa"/>
            </w:tcMar>
            <w:vAlign w:val="center"/>
          </w:tcPr>
          <w:p w14:paraId="5125E79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2.3E+10</w:t>
            </w:r>
          </w:p>
        </w:tc>
        <w:tc>
          <w:tcPr>
            <w:tcW w:w="1019" w:type="dxa"/>
            <w:noWrap/>
            <w:tcMar>
              <w:left w:w="28" w:type="dxa"/>
              <w:right w:w="28" w:type="dxa"/>
            </w:tcMar>
            <w:vAlign w:val="center"/>
          </w:tcPr>
          <w:p w14:paraId="3631E73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1.6E+10</w:t>
            </w:r>
          </w:p>
        </w:tc>
        <w:tc>
          <w:tcPr>
            <w:tcW w:w="1095" w:type="dxa"/>
            <w:noWrap/>
            <w:tcMar>
              <w:left w:w="28" w:type="dxa"/>
              <w:right w:w="28" w:type="dxa"/>
            </w:tcMar>
            <w:vAlign w:val="center"/>
          </w:tcPr>
          <w:p w14:paraId="338009A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9.4E+10</w:t>
            </w:r>
          </w:p>
        </w:tc>
      </w:tr>
      <w:tr w:rsidR="001D2587" w:rsidRPr="000855B2" w14:paraId="4DE48E81" w14:textId="77777777" w:rsidTr="00887829">
        <w:trPr>
          <w:cantSplit/>
          <w:trHeight w:val="255"/>
        </w:trPr>
        <w:tc>
          <w:tcPr>
            <w:tcW w:w="2320" w:type="dxa"/>
            <w:vMerge/>
            <w:noWrap/>
            <w:tcMar>
              <w:left w:w="28" w:type="dxa"/>
              <w:right w:w="28" w:type="dxa"/>
            </w:tcMar>
            <w:vAlign w:val="center"/>
          </w:tcPr>
          <w:p w14:paraId="2F2171CF"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3117DC28"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1</w:t>
            </w:r>
          </w:p>
        </w:tc>
        <w:tc>
          <w:tcPr>
            <w:tcW w:w="1136" w:type="dxa"/>
            <w:noWrap/>
            <w:tcMar>
              <w:left w:w="28" w:type="dxa"/>
              <w:right w:w="28" w:type="dxa"/>
            </w:tcMar>
            <w:vAlign w:val="center"/>
          </w:tcPr>
          <w:p w14:paraId="7B65A8B8"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1.4E+12</w:t>
            </w:r>
          </w:p>
        </w:tc>
        <w:tc>
          <w:tcPr>
            <w:tcW w:w="1019" w:type="dxa"/>
            <w:noWrap/>
            <w:tcMar>
              <w:left w:w="28" w:type="dxa"/>
              <w:right w:w="28" w:type="dxa"/>
            </w:tcMar>
            <w:vAlign w:val="center"/>
          </w:tcPr>
          <w:p w14:paraId="060691E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1.0E+12</w:t>
            </w:r>
          </w:p>
        </w:tc>
        <w:tc>
          <w:tcPr>
            <w:tcW w:w="1095" w:type="dxa"/>
            <w:noWrap/>
            <w:tcMar>
              <w:left w:w="28" w:type="dxa"/>
              <w:right w:w="28" w:type="dxa"/>
            </w:tcMar>
            <w:vAlign w:val="center"/>
          </w:tcPr>
          <w:p w14:paraId="45183CE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3.4E+11</w:t>
            </w:r>
          </w:p>
        </w:tc>
      </w:tr>
      <w:tr w:rsidR="001D2587" w:rsidRPr="000855B2" w14:paraId="54FA908F" w14:textId="77777777" w:rsidTr="00887829">
        <w:trPr>
          <w:cantSplit/>
          <w:trHeight w:val="255"/>
        </w:trPr>
        <w:tc>
          <w:tcPr>
            <w:tcW w:w="2320" w:type="dxa"/>
            <w:vMerge/>
            <w:noWrap/>
            <w:tcMar>
              <w:left w:w="28" w:type="dxa"/>
              <w:right w:w="28" w:type="dxa"/>
            </w:tcMar>
            <w:vAlign w:val="center"/>
          </w:tcPr>
          <w:p w14:paraId="543BD3FD"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164064AF"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w:t>
            </w:r>
          </w:p>
        </w:tc>
        <w:tc>
          <w:tcPr>
            <w:tcW w:w="1136" w:type="dxa"/>
            <w:noWrap/>
            <w:tcMar>
              <w:left w:w="28" w:type="dxa"/>
              <w:right w:w="28" w:type="dxa"/>
            </w:tcMar>
            <w:vAlign w:val="center"/>
          </w:tcPr>
          <w:p w14:paraId="3F6343E6"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4.4E+10</w:t>
            </w:r>
          </w:p>
        </w:tc>
        <w:tc>
          <w:tcPr>
            <w:tcW w:w="1019" w:type="dxa"/>
            <w:noWrap/>
            <w:tcMar>
              <w:left w:w="28" w:type="dxa"/>
              <w:right w:w="28" w:type="dxa"/>
            </w:tcMar>
            <w:vAlign w:val="center"/>
          </w:tcPr>
          <w:p w14:paraId="5E309C7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5.4E+10</w:t>
            </w:r>
          </w:p>
        </w:tc>
        <w:tc>
          <w:tcPr>
            <w:tcW w:w="1095" w:type="dxa"/>
            <w:noWrap/>
            <w:tcMar>
              <w:left w:w="28" w:type="dxa"/>
              <w:right w:w="28" w:type="dxa"/>
            </w:tcMar>
            <w:vAlign w:val="center"/>
          </w:tcPr>
          <w:p w14:paraId="09EFF0EE"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2.8E+10</w:t>
            </w:r>
          </w:p>
        </w:tc>
      </w:tr>
      <w:tr w:rsidR="001D2587" w:rsidRPr="000855B2" w14:paraId="5D29E9E7" w14:textId="77777777" w:rsidTr="00887829">
        <w:trPr>
          <w:cantSplit/>
          <w:trHeight w:val="270"/>
        </w:trPr>
        <w:tc>
          <w:tcPr>
            <w:tcW w:w="2320" w:type="dxa"/>
            <w:vMerge/>
            <w:noWrap/>
            <w:tcMar>
              <w:left w:w="28" w:type="dxa"/>
              <w:right w:w="28" w:type="dxa"/>
            </w:tcMar>
            <w:vAlign w:val="center"/>
          </w:tcPr>
          <w:p w14:paraId="2B889D56" w14:textId="77777777" w:rsidR="001D2587" w:rsidRPr="00C92B1B" w:rsidRDefault="001D2587" w:rsidP="005C7955">
            <w:pPr>
              <w:keepNext/>
              <w:keepLines/>
              <w:suppressAutoHyphens/>
              <w:spacing w:line="240" w:lineRule="atLeast"/>
              <w:rPr>
                <w:sz w:val="16"/>
                <w:szCs w:val="20"/>
                <w:lang w:val="en-GB"/>
              </w:rPr>
            </w:pPr>
          </w:p>
        </w:tc>
        <w:tc>
          <w:tcPr>
            <w:tcW w:w="2993" w:type="dxa"/>
            <w:noWrap/>
            <w:tcMar>
              <w:left w:w="28" w:type="dxa"/>
              <w:right w:w="28" w:type="dxa"/>
            </w:tcMar>
            <w:vAlign w:val="center"/>
          </w:tcPr>
          <w:p w14:paraId="3308A87C"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 DISI</w:t>
            </w:r>
          </w:p>
        </w:tc>
        <w:tc>
          <w:tcPr>
            <w:tcW w:w="1136" w:type="dxa"/>
            <w:noWrap/>
            <w:tcMar>
              <w:left w:w="28" w:type="dxa"/>
              <w:right w:w="28" w:type="dxa"/>
            </w:tcMar>
            <w:vAlign w:val="center"/>
          </w:tcPr>
          <w:p w14:paraId="6E34786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6.5E+12</w:t>
            </w:r>
          </w:p>
        </w:tc>
        <w:tc>
          <w:tcPr>
            <w:tcW w:w="1019" w:type="dxa"/>
            <w:noWrap/>
            <w:tcMar>
              <w:left w:w="28" w:type="dxa"/>
              <w:right w:w="28" w:type="dxa"/>
            </w:tcMar>
            <w:vAlign w:val="center"/>
          </w:tcPr>
          <w:p w14:paraId="6DFB318C"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3.6E+12</w:t>
            </w:r>
          </w:p>
        </w:tc>
        <w:tc>
          <w:tcPr>
            <w:tcW w:w="1095" w:type="dxa"/>
            <w:noWrap/>
            <w:tcMar>
              <w:left w:w="28" w:type="dxa"/>
              <w:right w:w="28" w:type="dxa"/>
            </w:tcMar>
            <w:vAlign w:val="center"/>
          </w:tcPr>
          <w:p w14:paraId="58A8C21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1.9E+12</w:t>
            </w:r>
          </w:p>
        </w:tc>
      </w:tr>
      <w:tr w:rsidR="001D2587" w:rsidRPr="000855B2" w14:paraId="53B43D06" w14:textId="77777777" w:rsidTr="00887829">
        <w:trPr>
          <w:cantSplit/>
          <w:trHeight w:val="255"/>
        </w:trPr>
        <w:tc>
          <w:tcPr>
            <w:tcW w:w="2320" w:type="dxa"/>
            <w:vMerge w:val="restart"/>
            <w:noWrap/>
            <w:tcMar>
              <w:left w:w="28" w:type="dxa"/>
              <w:right w:w="28" w:type="dxa"/>
            </w:tcMar>
            <w:vAlign w:val="center"/>
          </w:tcPr>
          <w:p w14:paraId="2BFF3A0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Number of solid particles 100</w:t>
            </w:r>
            <w:r w:rsidR="00670618" w:rsidRPr="00C92B1B">
              <w:rPr>
                <w:sz w:val="16"/>
                <w:szCs w:val="20"/>
                <w:lang w:val="en-GB"/>
              </w:rPr>
              <w:t>–</w:t>
            </w:r>
            <w:r w:rsidRPr="00C92B1B">
              <w:rPr>
                <w:sz w:val="16"/>
                <w:szCs w:val="20"/>
                <w:lang w:val="en-GB"/>
              </w:rPr>
              <w:t>1</w:t>
            </w:r>
            <w:r w:rsidR="00670618" w:rsidRPr="00C92B1B">
              <w:rPr>
                <w:sz w:val="16"/>
                <w:szCs w:val="20"/>
                <w:lang w:val="en-GB"/>
              </w:rPr>
              <w:t> </w:t>
            </w:r>
            <w:r w:rsidRPr="00C92B1B">
              <w:rPr>
                <w:sz w:val="16"/>
                <w:szCs w:val="20"/>
                <w:lang w:val="en-GB"/>
              </w:rPr>
              <w:t>000</w:t>
            </w:r>
            <w:r w:rsidR="000F3E28" w:rsidRPr="00C92B1B">
              <w:rPr>
                <w:sz w:val="16"/>
                <w:szCs w:val="20"/>
                <w:lang w:val="en-GB"/>
              </w:rPr>
              <w:t> nm</w:t>
            </w:r>
          </w:p>
        </w:tc>
        <w:tc>
          <w:tcPr>
            <w:tcW w:w="2993" w:type="dxa"/>
            <w:noWrap/>
            <w:tcMar>
              <w:left w:w="28" w:type="dxa"/>
              <w:right w:w="28" w:type="dxa"/>
            </w:tcMar>
            <w:vAlign w:val="center"/>
          </w:tcPr>
          <w:p w14:paraId="7962FD9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1</w:t>
            </w:r>
          </w:p>
        </w:tc>
        <w:tc>
          <w:tcPr>
            <w:tcW w:w="1136" w:type="dxa"/>
            <w:noWrap/>
            <w:tcMar>
              <w:left w:w="28" w:type="dxa"/>
              <w:right w:w="28" w:type="dxa"/>
            </w:tcMar>
            <w:vAlign w:val="center"/>
          </w:tcPr>
          <w:p w14:paraId="65A7167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5.4E+13</w:t>
            </w:r>
          </w:p>
        </w:tc>
        <w:tc>
          <w:tcPr>
            <w:tcW w:w="1019" w:type="dxa"/>
            <w:noWrap/>
            <w:tcMar>
              <w:left w:w="28" w:type="dxa"/>
              <w:right w:w="28" w:type="dxa"/>
            </w:tcMar>
            <w:vAlign w:val="center"/>
          </w:tcPr>
          <w:p w14:paraId="5614DAA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3.8E+13</w:t>
            </w:r>
          </w:p>
        </w:tc>
        <w:tc>
          <w:tcPr>
            <w:tcW w:w="1095" w:type="dxa"/>
            <w:noWrap/>
            <w:tcMar>
              <w:left w:w="28" w:type="dxa"/>
              <w:right w:w="28" w:type="dxa"/>
            </w:tcMar>
            <w:vAlign w:val="center"/>
          </w:tcPr>
          <w:p w14:paraId="7915C85B"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4.0E+13</w:t>
            </w:r>
          </w:p>
        </w:tc>
      </w:tr>
      <w:tr w:rsidR="001D2587" w:rsidRPr="000855B2" w14:paraId="42693717" w14:textId="77777777" w:rsidTr="00887829">
        <w:trPr>
          <w:cantSplit/>
          <w:trHeight w:val="255"/>
        </w:trPr>
        <w:tc>
          <w:tcPr>
            <w:tcW w:w="2320" w:type="dxa"/>
            <w:vMerge/>
            <w:noWrap/>
            <w:tcMar>
              <w:left w:w="28" w:type="dxa"/>
              <w:right w:w="28" w:type="dxa"/>
            </w:tcMar>
            <w:vAlign w:val="center"/>
          </w:tcPr>
          <w:p w14:paraId="4495F3A9"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47B16420"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2</w:t>
            </w:r>
          </w:p>
        </w:tc>
        <w:tc>
          <w:tcPr>
            <w:tcW w:w="1136" w:type="dxa"/>
            <w:noWrap/>
            <w:tcMar>
              <w:left w:w="28" w:type="dxa"/>
              <w:right w:w="28" w:type="dxa"/>
            </w:tcMar>
            <w:vAlign w:val="center"/>
          </w:tcPr>
          <w:p w14:paraId="7B5AEF45"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5.1E+13</w:t>
            </w:r>
          </w:p>
        </w:tc>
        <w:tc>
          <w:tcPr>
            <w:tcW w:w="1019" w:type="dxa"/>
            <w:noWrap/>
            <w:tcMar>
              <w:left w:w="28" w:type="dxa"/>
              <w:right w:w="28" w:type="dxa"/>
            </w:tcMar>
            <w:vAlign w:val="center"/>
          </w:tcPr>
          <w:p w14:paraId="6A9A2D7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3.6E+13</w:t>
            </w:r>
          </w:p>
        </w:tc>
        <w:tc>
          <w:tcPr>
            <w:tcW w:w="1095" w:type="dxa"/>
            <w:noWrap/>
            <w:tcMar>
              <w:left w:w="28" w:type="dxa"/>
              <w:right w:w="28" w:type="dxa"/>
            </w:tcMar>
            <w:vAlign w:val="center"/>
          </w:tcPr>
          <w:p w14:paraId="37D00554"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4.0E+13</w:t>
            </w:r>
          </w:p>
        </w:tc>
      </w:tr>
      <w:tr w:rsidR="001D2587" w:rsidRPr="000855B2" w14:paraId="476084F9" w14:textId="77777777" w:rsidTr="00887829">
        <w:trPr>
          <w:cantSplit/>
          <w:trHeight w:val="255"/>
        </w:trPr>
        <w:tc>
          <w:tcPr>
            <w:tcW w:w="2320" w:type="dxa"/>
            <w:vMerge/>
            <w:noWrap/>
            <w:tcMar>
              <w:left w:w="28" w:type="dxa"/>
              <w:right w:w="28" w:type="dxa"/>
            </w:tcMar>
            <w:vAlign w:val="center"/>
          </w:tcPr>
          <w:p w14:paraId="59734372"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35EF614E"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w:t>
            </w:r>
          </w:p>
        </w:tc>
        <w:tc>
          <w:tcPr>
            <w:tcW w:w="1136" w:type="dxa"/>
            <w:noWrap/>
            <w:tcMar>
              <w:left w:w="28" w:type="dxa"/>
              <w:right w:w="28" w:type="dxa"/>
            </w:tcMar>
            <w:vAlign w:val="center"/>
          </w:tcPr>
          <w:p w14:paraId="3B74AE9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4.5E+13</w:t>
            </w:r>
          </w:p>
        </w:tc>
        <w:tc>
          <w:tcPr>
            <w:tcW w:w="1019" w:type="dxa"/>
            <w:noWrap/>
            <w:tcMar>
              <w:left w:w="28" w:type="dxa"/>
              <w:right w:w="28" w:type="dxa"/>
            </w:tcMar>
            <w:vAlign w:val="center"/>
          </w:tcPr>
          <w:p w14:paraId="065B057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3.2E+13</w:t>
            </w:r>
          </w:p>
        </w:tc>
        <w:tc>
          <w:tcPr>
            <w:tcW w:w="1095" w:type="dxa"/>
            <w:noWrap/>
            <w:tcMar>
              <w:left w:w="28" w:type="dxa"/>
              <w:right w:w="28" w:type="dxa"/>
            </w:tcMar>
            <w:vAlign w:val="center"/>
          </w:tcPr>
          <w:p w14:paraId="6CEC7C1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3.5E+13</w:t>
            </w:r>
          </w:p>
        </w:tc>
      </w:tr>
      <w:tr w:rsidR="001D2587" w:rsidRPr="000855B2" w14:paraId="107751B8" w14:textId="77777777" w:rsidTr="00887829">
        <w:trPr>
          <w:cantSplit/>
          <w:trHeight w:val="255"/>
        </w:trPr>
        <w:tc>
          <w:tcPr>
            <w:tcW w:w="2320" w:type="dxa"/>
            <w:vMerge/>
            <w:noWrap/>
            <w:tcMar>
              <w:left w:w="28" w:type="dxa"/>
              <w:right w:w="28" w:type="dxa"/>
            </w:tcMar>
            <w:vAlign w:val="center"/>
          </w:tcPr>
          <w:p w14:paraId="5CDA1467"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354DAC5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PC diesel Euro 3 DPF</w:t>
            </w:r>
          </w:p>
        </w:tc>
        <w:tc>
          <w:tcPr>
            <w:tcW w:w="1136" w:type="dxa"/>
            <w:noWrap/>
            <w:tcMar>
              <w:left w:w="28" w:type="dxa"/>
              <w:right w:w="28" w:type="dxa"/>
            </w:tcMar>
            <w:vAlign w:val="center"/>
          </w:tcPr>
          <w:p w14:paraId="7FD9D8F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1.6E+10</w:t>
            </w:r>
          </w:p>
        </w:tc>
        <w:tc>
          <w:tcPr>
            <w:tcW w:w="1019" w:type="dxa"/>
            <w:noWrap/>
            <w:tcMar>
              <w:left w:w="28" w:type="dxa"/>
              <w:right w:w="28" w:type="dxa"/>
            </w:tcMar>
            <w:vAlign w:val="center"/>
          </w:tcPr>
          <w:p w14:paraId="6365D85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1.2E+10</w:t>
            </w:r>
          </w:p>
        </w:tc>
        <w:tc>
          <w:tcPr>
            <w:tcW w:w="1095" w:type="dxa"/>
            <w:noWrap/>
            <w:tcMar>
              <w:left w:w="28" w:type="dxa"/>
              <w:right w:w="28" w:type="dxa"/>
            </w:tcMar>
            <w:vAlign w:val="center"/>
          </w:tcPr>
          <w:p w14:paraId="5528920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2.8E+10</w:t>
            </w:r>
          </w:p>
        </w:tc>
      </w:tr>
      <w:tr w:rsidR="001D2587" w:rsidRPr="000855B2" w14:paraId="6FF52A87" w14:textId="77777777" w:rsidTr="00887829">
        <w:trPr>
          <w:cantSplit/>
          <w:trHeight w:val="255"/>
        </w:trPr>
        <w:tc>
          <w:tcPr>
            <w:tcW w:w="2320" w:type="dxa"/>
            <w:vMerge/>
            <w:noWrap/>
            <w:tcMar>
              <w:left w:w="28" w:type="dxa"/>
              <w:right w:w="28" w:type="dxa"/>
            </w:tcMar>
            <w:vAlign w:val="center"/>
          </w:tcPr>
          <w:p w14:paraId="4C86A947"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6518F3CA"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1</w:t>
            </w:r>
          </w:p>
        </w:tc>
        <w:tc>
          <w:tcPr>
            <w:tcW w:w="1136" w:type="dxa"/>
            <w:noWrap/>
            <w:tcMar>
              <w:left w:w="28" w:type="dxa"/>
              <w:right w:w="28" w:type="dxa"/>
            </w:tcMar>
            <w:vAlign w:val="center"/>
          </w:tcPr>
          <w:p w14:paraId="094D74E9"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5.2E+11</w:t>
            </w:r>
          </w:p>
        </w:tc>
        <w:tc>
          <w:tcPr>
            <w:tcW w:w="1019" w:type="dxa"/>
            <w:noWrap/>
            <w:tcMar>
              <w:left w:w="28" w:type="dxa"/>
              <w:right w:w="28" w:type="dxa"/>
            </w:tcMar>
            <w:vAlign w:val="center"/>
          </w:tcPr>
          <w:p w14:paraId="7B8AD107"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3.7E+11</w:t>
            </w:r>
          </w:p>
        </w:tc>
        <w:tc>
          <w:tcPr>
            <w:tcW w:w="1095" w:type="dxa"/>
            <w:noWrap/>
            <w:tcMar>
              <w:left w:w="28" w:type="dxa"/>
              <w:right w:w="28" w:type="dxa"/>
            </w:tcMar>
            <w:vAlign w:val="center"/>
          </w:tcPr>
          <w:p w14:paraId="1781F733"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1.2E+11</w:t>
            </w:r>
          </w:p>
        </w:tc>
      </w:tr>
      <w:tr w:rsidR="001D2587" w:rsidRPr="000855B2" w14:paraId="5D2B63D7" w14:textId="77777777" w:rsidTr="00887829">
        <w:trPr>
          <w:cantSplit/>
          <w:trHeight w:val="255"/>
        </w:trPr>
        <w:tc>
          <w:tcPr>
            <w:tcW w:w="2320" w:type="dxa"/>
            <w:vMerge/>
            <w:noWrap/>
            <w:tcMar>
              <w:left w:w="28" w:type="dxa"/>
              <w:right w:w="28" w:type="dxa"/>
            </w:tcMar>
            <w:vAlign w:val="center"/>
          </w:tcPr>
          <w:p w14:paraId="2B6D766E"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21651754"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w:t>
            </w:r>
          </w:p>
        </w:tc>
        <w:tc>
          <w:tcPr>
            <w:tcW w:w="1136" w:type="dxa"/>
            <w:noWrap/>
            <w:tcMar>
              <w:left w:w="28" w:type="dxa"/>
              <w:right w:w="28" w:type="dxa"/>
            </w:tcMar>
            <w:vAlign w:val="center"/>
          </w:tcPr>
          <w:p w14:paraId="3E3CC24A"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2.6E+10</w:t>
            </w:r>
          </w:p>
        </w:tc>
        <w:tc>
          <w:tcPr>
            <w:tcW w:w="1019" w:type="dxa"/>
            <w:noWrap/>
            <w:tcMar>
              <w:left w:w="28" w:type="dxa"/>
              <w:right w:w="28" w:type="dxa"/>
            </w:tcMar>
            <w:vAlign w:val="center"/>
          </w:tcPr>
          <w:p w14:paraId="3BF66361"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3.4E+10</w:t>
            </w:r>
          </w:p>
        </w:tc>
        <w:tc>
          <w:tcPr>
            <w:tcW w:w="1095" w:type="dxa"/>
            <w:noWrap/>
            <w:tcMar>
              <w:left w:w="28" w:type="dxa"/>
              <w:right w:w="28" w:type="dxa"/>
            </w:tcMar>
            <w:vAlign w:val="center"/>
          </w:tcPr>
          <w:p w14:paraId="764F598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5.1E+10</w:t>
            </w:r>
          </w:p>
        </w:tc>
      </w:tr>
      <w:tr w:rsidR="001D2587" w:rsidRPr="000855B2" w14:paraId="0437457F" w14:textId="77777777" w:rsidTr="00887829">
        <w:trPr>
          <w:cantSplit/>
          <w:trHeight w:val="270"/>
        </w:trPr>
        <w:tc>
          <w:tcPr>
            <w:tcW w:w="2320" w:type="dxa"/>
            <w:vMerge/>
            <w:noWrap/>
            <w:tcMar>
              <w:left w:w="28" w:type="dxa"/>
              <w:right w:w="28" w:type="dxa"/>
            </w:tcMar>
            <w:vAlign w:val="center"/>
          </w:tcPr>
          <w:p w14:paraId="64A2256A" w14:textId="77777777" w:rsidR="001D2587" w:rsidRPr="00C92B1B" w:rsidRDefault="001D2587" w:rsidP="005C7955">
            <w:pPr>
              <w:keepNext/>
              <w:keepLines/>
              <w:suppressAutoHyphens/>
              <w:spacing w:line="240" w:lineRule="atLeast"/>
              <w:jc w:val="center"/>
              <w:rPr>
                <w:sz w:val="16"/>
                <w:szCs w:val="20"/>
                <w:lang w:val="en-GB"/>
              </w:rPr>
            </w:pPr>
          </w:p>
        </w:tc>
        <w:tc>
          <w:tcPr>
            <w:tcW w:w="2993" w:type="dxa"/>
            <w:noWrap/>
            <w:tcMar>
              <w:left w:w="28" w:type="dxa"/>
              <w:right w:w="28" w:type="dxa"/>
            </w:tcMar>
            <w:vAlign w:val="center"/>
          </w:tcPr>
          <w:p w14:paraId="3B824C71" w14:textId="77777777" w:rsidR="001D2587" w:rsidRPr="00C92B1B" w:rsidRDefault="001D2587" w:rsidP="005C7955">
            <w:pPr>
              <w:keepNext/>
              <w:keepLines/>
              <w:suppressAutoHyphens/>
              <w:spacing w:line="240" w:lineRule="atLeast"/>
              <w:rPr>
                <w:sz w:val="16"/>
                <w:szCs w:val="20"/>
                <w:lang w:val="en-GB"/>
              </w:rPr>
            </w:pPr>
            <w:r w:rsidRPr="00C92B1B">
              <w:rPr>
                <w:sz w:val="16"/>
                <w:szCs w:val="20"/>
                <w:lang w:val="en-GB"/>
              </w:rPr>
              <w:t xml:space="preserve">PC </w:t>
            </w:r>
            <w:r w:rsidR="005E4DC4">
              <w:rPr>
                <w:sz w:val="16"/>
                <w:szCs w:val="20"/>
                <w:lang w:val="en-GB"/>
              </w:rPr>
              <w:t>petrol</w:t>
            </w:r>
            <w:r w:rsidRPr="00C92B1B">
              <w:rPr>
                <w:sz w:val="16"/>
                <w:szCs w:val="20"/>
                <w:lang w:val="en-GB"/>
              </w:rPr>
              <w:t xml:space="preserve"> Euro 3 </w:t>
            </w:r>
            <w:smartTag w:uri="urn:schemas-microsoft-com:office:smarttags" w:element="stockticker">
              <w:r w:rsidRPr="00C92B1B">
                <w:rPr>
                  <w:sz w:val="16"/>
                  <w:szCs w:val="20"/>
                  <w:lang w:val="en-GB"/>
                </w:rPr>
                <w:t>GDI</w:t>
              </w:r>
            </w:smartTag>
          </w:p>
        </w:tc>
        <w:tc>
          <w:tcPr>
            <w:tcW w:w="1136" w:type="dxa"/>
            <w:noWrap/>
            <w:tcMar>
              <w:left w:w="28" w:type="dxa"/>
              <w:right w:w="28" w:type="dxa"/>
            </w:tcMar>
            <w:vAlign w:val="center"/>
          </w:tcPr>
          <w:p w14:paraId="10BB6B56"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4.1E+12</w:t>
            </w:r>
          </w:p>
        </w:tc>
        <w:tc>
          <w:tcPr>
            <w:tcW w:w="1019" w:type="dxa"/>
            <w:noWrap/>
            <w:tcMar>
              <w:left w:w="28" w:type="dxa"/>
              <w:right w:w="28" w:type="dxa"/>
            </w:tcMar>
            <w:vAlign w:val="center"/>
          </w:tcPr>
          <w:p w14:paraId="01118562"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2.1E+12</w:t>
            </w:r>
          </w:p>
        </w:tc>
        <w:tc>
          <w:tcPr>
            <w:tcW w:w="1095" w:type="dxa"/>
            <w:noWrap/>
            <w:tcMar>
              <w:left w:w="28" w:type="dxa"/>
              <w:right w:w="28" w:type="dxa"/>
            </w:tcMar>
            <w:vAlign w:val="center"/>
          </w:tcPr>
          <w:p w14:paraId="1836AA7D" w14:textId="77777777" w:rsidR="001D2587" w:rsidRPr="00C92B1B" w:rsidRDefault="001D2587" w:rsidP="005C7955">
            <w:pPr>
              <w:keepNext/>
              <w:keepLines/>
              <w:suppressAutoHyphens/>
              <w:spacing w:line="240" w:lineRule="atLeast"/>
              <w:jc w:val="center"/>
              <w:rPr>
                <w:sz w:val="16"/>
                <w:szCs w:val="20"/>
                <w:lang w:val="en-GB"/>
              </w:rPr>
            </w:pPr>
            <w:r w:rsidRPr="00C92B1B">
              <w:rPr>
                <w:sz w:val="16"/>
                <w:szCs w:val="20"/>
                <w:lang w:val="en-GB"/>
              </w:rPr>
              <w:t>1.5E+12</w:t>
            </w:r>
          </w:p>
        </w:tc>
      </w:tr>
    </w:tbl>
    <w:p w14:paraId="5771CE13" w14:textId="71F08C1A" w:rsidR="001D2587" w:rsidRPr="000855B2" w:rsidRDefault="00FB454C" w:rsidP="008D2FF3">
      <w:pPr>
        <w:pStyle w:val="BodyText"/>
      </w:pPr>
      <w:r>
        <w:fldChar w:fldCharType="begin"/>
      </w:r>
      <w:r>
        <w:instrText xml:space="preserve"> REF _Ref140568925 \h  \* MERGEFORMAT </w:instrText>
      </w:r>
      <w:r>
        <w:fldChar w:fldCharType="separate"/>
      </w:r>
      <w:r w:rsidR="0071604C" w:rsidRPr="000855B2">
        <w:rPr>
          <w:lang w:eastAsia="el-GR"/>
        </w:rPr>
        <w:t>Table </w:t>
      </w:r>
      <w:r w:rsidR="0071604C">
        <w:rPr>
          <w:lang w:eastAsia="el-GR"/>
        </w:rPr>
        <w:t>3.50</w:t>
      </w:r>
      <w:r>
        <w:fldChar w:fldCharType="end"/>
      </w:r>
      <w:r w:rsidR="001D2587" w:rsidRPr="000855B2">
        <w:t xml:space="preserve"> to </w:t>
      </w:r>
      <w:r>
        <w:fldChar w:fldCharType="begin"/>
      </w:r>
      <w:r>
        <w:instrText xml:space="preserve"> REF _Ref140568928 \h  \* MERGEFORMAT </w:instrText>
      </w:r>
      <w:r>
        <w:fldChar w:fldCharType="separate"/>
      </w:r>
      <w:r w:rsidR="0071604C" w:rsidRPr="000855B2">
        <w:rPr>
          <w:lang w:eastAsia="el-GR"/>
        </w:rPr>
        <w:t>Table </w:t>
      </w:r>
      <w:r w:rsidR="0071604C">
        <w:rPr>
          <w:lang w:eastAsia="el-GR"/>
        </w:rPr>
        <w:t>3.54</w:t>
      </w:r>
      <w:r>
        <w:fldChar w:fldCharType="end"/>
      </w:r>
      <w:r w:rsidR="001D2587" w:rsidRPr="000855B2">
        <w:t xml:space="preserve"> include particle properties information for </w:t>
      </w:r>
      <w:r w:rsidR="00BA6BBF" w:rsidRPr="000855B2">
        <w:t>buses</w:t>
      </w:r>
      <w:r w:rsidR="00DA3822" w:rsidRPr="000855B2">
        <w:t>, coaches</w:t>
      </w:r>
      <w:r w:rsidR="001D2587" w:rsidRPr="000855B2">
        <w:t xml:space="preserve"> and heavy</w:t>
      </w:r>
      <w:r w:rsidR="006F1553" w:rsidRPr="000855B2">
        <w:t>-</w:t>
      </w:r>
      <w:r w:rsidR="001D2587" w:rsidRPr="000855B2">
        <w:t xml:space="preserve">duty vehicles, following the classification of </w:t>
      </w:r>
      <w:r w:rsidR="00A040D1" w:rsidRPr="000855B2">
        <w:t>Table </w:t>
      </w:r>
      <w:r w:rsidR="001D2587" w:rsidRPr="000855B2">
        <w:t xml:space="preserve">2-1. Further to the technology classification given in </w:t>
      </w:r>
      <w:r>
        <w:fldChar w:fldCharType="begin"/>
      </w:r>
      <w:r>
        <w:instrText xml:space="preserve"> REF _Ref140399439 \h  \* MERGEFORMAT </w:instrText>
      </w:r>
      <w:r>
        <w:fldChar w:fldCharType="separate"/>
      </w:r>
      <w:r w:rsidR="0071604C" w:rsidRPr="0071604C">
        <w:rPr>
          <w:bCs/>
        </w:rPr>
        <w:t>Table 2.2</w:t>
      </w:r>
      <w:r>
        <w:fldChar w:fldCharType="end"/>
      </w:r>
      <w:r w:rsidR="001D2587" w:rsidRPr="000855B2">
        <w:t xml:space="preserve">, some additional technologies are included in these </w:t>
      </w:r>
      <w:r w:rsidR="00DA3822" w:rsidRPr="000855B2">
        <w:t>T</w:t>
      </w:r>
      <w:r w:rsidR="001D2587" w:rsidRPr="000855B2">
        <w:t xml:space="preserve">ables, just because of their large influence on PM emissions. These tables include Euro II and Euro </w:t>
      </w:r>
      <w:smartTag w:uri="urn:schemas-microsoft-com:office:smarttags" w:element="stockticker">
        <w:r w:rsidR="001D2587" w:rsidRPr="000855B2">
          <w:t>III</w:t>
        </w:r>
      </w:smartTag>
      <w:r w:rsidR="001D2587" w:rsidRPr="000855B2">
        <w:t xml:space="preserve"> vehicles retrofitted with continuously regenerated particle filters (CRDPF) and selective catalytic reduction aftertreatment (</w:t>
      </w:r>
      <w:smartTag w:uri="urn:schemas-microsoft-com:office:smarttags" w:element="stockticker">
        <w:r w:rsidR="001D2587" w:rsidRPr="000855B2">
          <w:t>SCR</w:t>
        </w:r>
      </w:smartTag>
      <w:r w:rsidR="001D2587" w:rsidRPr="000855B2">
        <w:t>). They also include new emission technologies (Euro IV and Euro V) equipped with original equipment aftertreatment devices.</w:t>
      </w:r>
    </w:p>
    <w:p w14:paraId="43FB822F" w14:textId="1C1D734F" w:rsidR="001E5FF2" w:rsidRPr="000855B2" w:rsidRDefault="00741FF2" w:rsidP="00ED27AC">
      <w:pPr>
        <w:pStyle w:val="BodyText"/>
      </w:pPr>
      <w:r>
        <w:rPr>
          <w:noProof/>
          <w:lang w:val="en-US" w:eastAsia="en-US"/>
        </w:rPr>
        <mc:AlternateContent>
          <mc:Choice Requires="wps">
            <w:drawing>
              <wp:anchor distT="0" distB="0" distL="114300" distR="114300" simplePos="0" relativeHeight="251644928" behindDoc="0" locked="1" layoutInCell="1" allowOverlap="1" wp14:anchorId="401B0E50" wp14:editId="337B4BF3">
                <wp:simplePos x="0" y="0"/>
                <wp:positionH relativeFrom="character">
                  <wp:posOffset>0</wp:posOffset>
                </wp:positionH>
                <wp:positionV relativeFrom="line">
                  <wp:posOffset>0</wp:posOffset>
                </wp:positionV>
                <wp:extent cx="5383530" cy="1701165"/>
                <wp:effectExtent l="7620" t="10795" r="9525" b="12065"/>
                <wp:wrapNone/>
                <wp:docPr id="1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701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B98D1B6" w14:textId="77777777" w:rsidR="00185BB9" w:rsidRPr="007011A7" w:rsidRDefault="00185BB9" w:rsidP="005330C7">
                            <w:pPr>
                              <w:pStyle w:val="BodyText"/>
                              <w:rPr>
                                <w:b/>
                                <w:bCs/>
                              </w:rPr>
                            </w:pPr>
                            <w:r w:rsidRPr="007011A7">
                              <w:rPr>
                                <w:b/>
                                <w:bCs/>
                              </w:rPr>
                              <w:t>Note</w:t>
                            </w:r>
                          </w:p>
                          <w:p w14:paraId="00B1DAE9" w14:textId="77777777" w:rsidR="00185BB9" w:rsidRPr="00772665" w:rsidRDefault="00185BB9" w:rsidP="005330C7">
                            <w:pPr>
                              <w:pStyle w:val="BodyText"/>
                              <w:rPr>
                                <w:bCs/>
                              </w:rPr>
                            </w:pPr>
                            <w:r w:rsidRPr="00772665">
                              <w:rPr>
                                <w:bCs/>
                              </w:rPr>
                              <w:t xml:space="preserve">Weight classes of heavy-duty vehicles correspond to Gross Vehicle Weight, i.e. the maximum allowable total weight of </w:t>
                            </w:r>
                            <w:r w:rsidRPr="00772665">
                              <w:rPr>
                                <w:rStyle w:val="mcontent"/>
                                <w:bCs/>
                              </w:rPr>
                              <w:t xml:space="preserve">the vehicle </w:t>
                            </w:r>
                            <w:r w:rsidRPr="00772665">
                              <w:rPr>
                                <w:bCs/>
                              </w:rPr>
                              <w:t>when loaded</w:t>
                            </w:r>
                            <w:r w:rsidRPr="00772665">
                              <w:rPr>
                                <w:rStyle w:val="mcontent"/>
                                <w:bCs/>
                              </w:rPr>
                              <w:t>, including fuel, passengers, cargo, and trailer tongue weight.</w:t>
                            </w:r>
                          </w:p>
                          <w:p w14:paraId="4227BB11" w14:textId="77777777" w:rsidR="00185BB9" w:rsidRPr="00772665" w:rsidRDefault="00185BB9" w:rsidP="005330C7">
                            <w:pPr>
                              <w:pStyle w:val="BodyText"/>
                              <w:rPr>
                                <w:bCs/>
                              </w:rPr>
                            </w:pPr>
                            <w:r w:rsidRPr="00772665">
                              <w:rPr>
                                <w:bCs/>
                              </w:rPr>
                              <w:t xml:space="preserve">Heavy-duty vehicles are distinguished into rigid and articulated vehicles. An articulated vehicle is a tractor coupled to a semi-trailer. A rigid truck may also carry a trailer, but this is not considered an articulated vehicle.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1B0E50" id="Text Box 148" o:spid="_x0000_s1082" type="#_x0000_t202" style="position:absolute;margin-left:0;margin-top:0;width:423.9pt;height:133.95pt;z-index:2516449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" filled="f" fillcolor="silver">
                <v:textbox style="mso-fit-shape-to-text:t">
                  <w:txbxContent>
                    <w:p w14:paraId="0B98D1B6" w14:textId="77777777" w:rsidR="00185BB9" w:rsidRPr="007011A7" w:rsidRDefault="00185BB9" w:rsidP="005330C7">
                      <w:pPr>
                        <w:pStyle w:val="BodyText"/>
                        <w:rPr>
                          <w:b/>
                          <w:bCs/>
                        </w:rPr>
                      </w:pPr>
                      <w:r w:rsidRPr="007011A7">
                        <w:rPr>
                          <w:b/>
                          <w:bCs/>
                        </w:rPr>
                        <w:t>Note</w:t>
                      </w:r>
                    </w:p>
                    <w:p w14:paraId="00B1DAE9" w14:textId="77777777" w:rsidR="00185BB9" w:rsidRPr="00772665" w:rsidRDefault="00185BB9" w:rsidP="005330C7">
                      <w:pPr>
                        <w:pStyle w:val="BodyText"/>
                        <w:rPr>
                          <w:bCs/>
                        </w:rPr>
                      </w:pPr>
                      <w:r w:rsidRPr="00772665">
                        <w:rPr>
                          <w:bCs/>
                        </w:rPr>
                        <w:t xml:space="preserve">Weight classes of heavy-duty vehicles correspond to Gross Vehicle Weight, i.e. the maximum allowable total weight of </w:t>
                      </w:r>
                      <w:r w:rsidRPr="00772665">
                        <w:rPr>
                          <w:rStyle w:val="mcontent"/>
                          <w:bCs/>
                        </w:rPr>
                        <w:t xml:space="preserve">the vehicle </w:t>
                      </w:r>
                      <w:r w:rsidRPr="00772665">
                        <w:rPr>
                          <w:bCs/>
                        </w:rPr>
                        <w:t>when loaded</w:t>
                      </w:r>
                      <w:r w:rsidRPr="00772665">
                        <w:rPr>
                          <w:rStyle w:val="mcontent"/>
                          <w:bCs/>
                        </w:rPr>
                        <w:t>, including fuel, passengers, cargo, and trailer tongue weight.</w:t>
                      </w:r>
                    </w:p>
                    <w:p w14:paraId="4227BB11" w14:textId="77777777" w:rsidR="00185BB9" w:rsidRPr="00772665" w:rsidRDefault="00185BB9" w:rsidP="005330C7">
                      <w:pPr>
                        <w:pStyle w:val="BodyText"/>
                        <w:rPr>
                          <w:bCs/>
                        </w:rPr>
                      </w:pPr>
                      <w:r w:rsidRPr="00772665">
                        <w:rPr>
                          <w:bCs/>
                        </w:rPr>
                        <w:t xml:space="preserve">Heavy-duty vehicles are distinguished into rigid and articulated vehicles. An articulated vehicle is a tractor coupled to a semi-trailer. A rigid truck may also carry a trailer, but this is not considered an articulated vehicle. </w:t>
                      </w:r>
                    </w:p>
                  </w:txbxContent>
                </v:textbox>
                <w10:wrap anchory="line"/>
                <w10:anchorlock/>
              </v:shape>
            </w:pict>
          </mc:Fallback>
        </mc:AlternateContent>
      </w:r>
      <w:r>
        <w:rPr>
          <w:noProof/>
          <w:lang w:val="en-US" w:eastAsia="en-US"/>
        </w:rPr>
        <mc:AlternateContent>
          <mc:Choice Requires="wps">
            <w:drawing>
              <wp:inline distT="0" distB="0" distL="0" distR="0" wp14:anchorId="6900F571" wp14:editId="12246DEE">
                <wp:extent cx="5381625" cy="1685925"/>
                <wp:effectExtent l="0" t="0" r="0" b="0"/>
                <wp:docPr id="10"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162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F5DFC" id="AutoShape 30" o:spid="_x0000_s1026" style="width:423.7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" filled="f" stroked="f">
                <o:lock v:ext="edit" aspectratio="t"/>
                <w10:anchorlock/>
              </v:rect>
            </w:pict>
          </mc:Fallback>
        </mc:AlternateContent>
      </w:r>
    </w:p>
    <w:p w14:paraId="22BE2DFA" w14:textId="77777777" w:rsidR="005330C7" w:rsidRPr="000855B2" w:rsidRDefault="005330C7" w:rsidP="00ED27AC">
      <w:pPr>
        <w:pStyle w:val="BodyText"/>
      </w:pPr>
    </w:p>
    <w:p w14:paraId="74F68EAF" w14:textId="2DE86136" w:rsidR="001D2587" w:rsidRPr="000855B2" w:rsidRDefault="00A040D1" w:rsidP="00C92B1B">
      <w:pPr>
        <w:pStyle w:val="Caption"/>
      </w:pPr>
      <w:bookmarkStart w:id="242" w:name="_Ref140568925"/>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50</w:t>
      </w:r>
      <w:r w:rsidR="00FB454C">
        <w:rPr>
          <w:noProof/>
        </w:rPr>
        <w:fldChar w:fldCharType="end"/>
      </w:r>
      <w:bookmarkEnd w:id="242"/>
      <w:r w:rsidR="001D2587" w:rsidRPr="000855B2">
        <w:t xml:space="preserve">: PM characteristics of </w:t>
      </w:r>
      <w:r w:rsidR="00DA3822" w:rsidRPr="000855B2">
        <w:t>b</w:t>
      </w:r>
      <w:r w:rsidR="001D2587" w:rsidRPr="000855B2">
        <w:t>uses</w:t>
      </w:r>
    </w:p>
    <w:tbl>
      <w:tblPr>
        <w:tblW w:w="847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20" w:firstRow="1" w:lastRow="0" w:firstColumn="0" w:lastColumn="0" w:noHBand="0" w:noVBand="0"/>
      </w:tblPr>
      <w:tblGrid>
        <w:gridCol w:w="1384"/>
        <w:gridCol w:w="2268"/>
        <w:gridCol w:w="1276"/>
        <w:gridCol w:w="1134"/>
        <w:gridCol w:w="1134"/>
        <w:gridCol w:w="1276"/>
      </w:tblGrid>
      <w:tr w:rsidR="001D2587" w:rsidRPr="000855B2" w14:paraId="3AF7ACA0" w14:textId="77777777" w:rsidTr="00887829">
        <w:trPr>
          <w:cantSplit/>
          <w:trHeight w:val="300"/>
        </w:trPr>
        <w:tc>
          <w:tcPr>
            <w:tcW w:w="1384" w:type="dxa"/>
            <w:vMerge w:val="restart"/>
            <w:tcBorders>
              <w:top w:val="double" w:sz="4" w:space="0" w:color="auto"/>
              <w:left w:val="double" w:sz="4" w:space="0" w:color="auto"/>
              <w:bottom w:val="single" w:sz="12" w:space="0" w:color="auto"/>
              <w:right w:val="single" w:sz="2" w:space="0" w:color="auto"/>
            </w:tcBorders>
            <w:vAlign w:val="center"/>
          </w:tcPr>
          <w:p w14:paraId="31CCB8A0"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Pollutant</w:t>
            </w:r>
            <w:r w:rsidR="00DA3822" w:rsidRPr="00C92B1B">
              <w:rPr>
                <w:b/>
                <w:sz w:val="16"/>
                <w:szCs w:val="18"/>
                <w:lang w:val="en-GB" w:eastAsia="el-GR"/>
              </w:rPr>
              <w:t xml:space="preserve"> metric</w:t>
            </w:r>
          </w:p>
        </w:tc>
        <w:tc>
          <w:tcPr>
            <w:tcW w:w="2268" w:type="dxa"/>
            <w:vMerge w:val="restart"/>
            <w:tcBorders>
              <w:top w:val="double" w:sz="4" w:space="0" w:color="auto"/>
              <w:left w:val="single" w:sz="2" w:space="0" w:color="auto"/>
              <w:bottom w:val="single" w:sz="12" w:space="0" w:color="auto"/>
              <w:right w:val="single" w:sz="2" w:space="0" w:color="auto"/>
            </w:tcBorders>
            <w:vAlign w:val="center"/>
          </w:tcPr>
          <w:p w14:paraId="15D39F14"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s</w:t>
            </w:r>
            <w:r w:rsidRPr="00C92B1B">
              <w:rPr>
                <w:b/>
                <w:sz w:val="16"/>
                <w:szCs w:val="18"/>
                <w:lang w:val="en-GB" w:eastAsia="el-GR"/>
              </w:rPr>
              <w:t>tandard</w:t>
            </w:r>
          </w:p>
        </w:tc>
        <w:tc>
          <w:tcPr>
            <w:tcW w:w="1276" w:type="dxa"/>
            <w:vMerge w:val="restart"/>
            <w:tcBorders>
              <w:top w:val="double" w:sz="4" w:space="0" w:color="auto"/>
              <w:left w:val="single" w:sz="2" w:space="0" w:color="auto"/>
              <w:bottom w:val="single" w:sz="12" w:space="0" w:color="auto"/>
              <w:right w:val="single" w:sz="2" w:space="0" w:color="auto"/>
            </w:tcBorders>
            <w:tcMar>
              <w:left w:w="28" w:type="dxa"/>
              <w:right w:w="28" w:type="dxa"/>
            </w:tcMar>
            <w:vAlign w:val="center"/>
          </w:tcPr>
          <w:p w14:paraId="728A8AA5"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Speed </w:t>
            </w:r>
            <w:r w:rsidR="00DA3822" w:rsidRPr="00C92B1B">
              <w:rPr>
                <w:b/>
                <w:sz w:val="16"/>
                <w:szCs w:val="18"/>
                <w:lang w:val="en-GB" w:eastAsia="el-GR"/>
              </w:rPr>
              <w:t>r</w:t>
            </w:r>
            <w:r w:rsidRPr="00C92B1B">
              <w:rPr>
                <w:b/>
                <w:sz w:val="16"/>
                <w:szCs w:val="18"/>
                <w:lang w:val="en-GB" w:eastAsia="el-GR"/>
              </w:rPr>
              <w:t>ange [km/h]</w:t>
            </w:r>
          </w:p>
        </w:tc>
        <w:tc>
          <w:tcPr>
            <w:tcW w:w="3544" w:type="dxa"/>
            <w:gridSpan w:val="3"/>
            <w:tcBorders>
              <w:top w:val="double" w:sz="4" w:space="0" w:color="auto"/>
              <w:left w:val="single" w:sz="2" w:space="0" w:color="auto"/>
              <w:bottom w:val="single" w:sz="12" w:space="0" w:color="auto"/>
              <w:right w:val="double" w:sz="4" w:space="0" w:color="auto"/>
            </w:tcBorders>
            <w:vAlign w:val="center"/>
          </w:tcPr>
          <w:p w14:paraId="47F5C79D"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f</w:t>
            </w:r>
            <w:r w:rsidRPr="00C92B1B">
              <w:rPr>
                <w:b/>
                <w:sz w:val="16"/>
                <w:szCs w:val="18"/>
                <w:lang w:val="en-GB" w:eastAsia="el-GR"/>
              </w:rPr>
              <w:t>actor</w:t>
            </w:r>
          </w:p>
        </w:tc>
      </w:tr>
      <w:tr w:rsidR="001D2587" w:rsidRPr="000855B2" w14:paraId="5CE82803" w14:textId="77777777" w:rsidTr="00246BA6">
        <w:trPr>
          <w:cantSplit/>
          <w:trHeight w:val="300"/>
        </w:trPr>
        <w:tc>
          <w:tcPr>
            <w:tcW w:w="1384" w:type="dxa"/>
            <w:vMerge/>
            <w:tcBorders>
              <w:bottom w:val="single" w:sz="12" w:space="0" w:color="auto"/>
            </w:tcBorders>
            <w:vAlign w:val="center"/>
          </w:tcPr>
          <w:p w14:paraId="4AA640C1"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vMerge/>
            <w:tcBorders>
              <w:bottom w:val="single" w:sz="12" w:space="0" w:color="auto"/>
            </w:tcBorders>
            <w:vAlign w:val="center"/>
          </w:tcPr>
          <w:p w14:paraId="670F02A7"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276" w:type="dxa"/>
            <w:vMerge/>
            <w:tcBorders>
              <w:bottom w:val="single" w:sz="12" w:space="0" w:color="auto"/>
            </w:tcBorders>
            <w:vAlign w:val="center"/>
          </w:tcPr>
          <w:p w14:paraId="45E5B901"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134" w:type="dxa"/>
            <w:tcBorders>
              <w:bottom w:val="single" w:sz="12" w:space="0" w:color="auto"/>
            </w:tcBorders>
            <w:vAlign w:val="center"/>
          </w:tcPr>
          <w:p w14:paraId="18F72A44"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Urban</w:t>
            </w:r>
          </w:p>
        </w:tc>
        <w:tc>
          <w:tcPr>
            <w:tcW w:w="1134" w:type="dxa"/>
            <w:tcBorders>
              <w:bottom w:val="single" w:sz="12" w:space="0" w:color="auto"/>
            </w:tcBorders>
            <w:vAlign w:val="center"/>
          </w:tcPr>
          <w:p w14:paraId="5D1D3071"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Rural</w:t>
            </w:r>
          </w:p>
        </w:tc>
        <w:tc>
          <w:tcPr>
            <w:tcW w:w="1276" w:type="dxa"/>
            <w:tcBorders>
              <w:bottom w:val="single" w:sz="12" w:space="0" w:color="auto"/>
            </w:tcBorders>
            <w:vAlign w:val="center"/>
          </w:tcPr>
          <w:p w14:paraId="43D852AA"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Highway</w:t>
            </w:r>
          </w:p>
        </w:tc>
      </w:tr>
      <w:tr w:rsidR="001D2587" w:rsidRPr="000855B2" w14:paraId="291FB645" w14:textId="77777777" w:rsidTr="00246BA6">
        <w:trPr>
          <w:cantSplit/>
          <w:trHeight w:val="300"/>
        </w:trPr>
        <w:tc>
          <w:tcPr>
            <w:tcW w:w="1384" w:type="dxa"/>
            <w:vMerge w:val="restart"/>
            <w:tcBorders>
              <w:top w:val="single" w:sz="12" w:space="0" w:color="auto"/>
            </w:tcBorders>
            <w:vAlign w:val="center"/>
          </w:tcPr>
          <w:p w14:paraId="5153D64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Active </w:t>
            </w:r>
            <w:r w:rsidR="008B3C4B" w:rsidRPr="00C92B1B">
              <w:rPr>
                <w:sz w:val="16"/>
                <w:szCs w:val="18"/>
                <w:lang w:val="en-GB" w:eastAsia="el-GR"/>
              </w:rPr>
              <w:t>s</w:t>
            </w:r>
            <w:r w:rsidRPr="00C92B1B">
              <w:rPr>
                <w:sz w:val="16"/>
                <w:szCs w:val="18"/>
                <w:lang w:val="en-GB" w:eastAsia="el-GR"/>
              </w:rPr>
              <w:t xml:space="preserve">urface </w:t>
            </w:r>
            <w:r w:rsidR="008B3C4B" w:rsidRPr="00C92B1B">
              <w:rPr>
                <w:sz w:val="16"/>
                <w:szCs w:val="18"/>
                <w:lang w:val="en-GB" w:eastAsia="el-GR"/>
              </w:rPr>
              <w:t>a</w:t>
            </w:r>
            <w:r w:rsidRPr="00C92B1B">
              <w:rPr>
                <w:sz w:val="16"/>
                <w:szCs w:val="18"/>
                <w:lang w:val="en-GB" w:eastAsia="el-GR"/>
              </w:rPr>
              <w:t>rea [cm</w:t>
            </w:r>
            <w:r w:rsidRPr="00C92B1B">
              <w:rPr>
                <w:sz w:val="16"/>
                <w:szCs w:val="18"/>
                <w:lang w:val="en-GB"/>
              </w:rPr>
              <w:t>²</w:t>
            </w:r>
            <w:r w:rsidRPr="00C92B1B">
              <w:rPr>
                <w:sz w:val="16"/>
                <w:szCs w:val="18"/>
                <w:lang w:val="en-GB" w:eastAsia="el-GR"/>
              </w:rPr>
              <w:t>/km]</w:t>
            </w:r>
          </w:p>
        </w:tc>
        <w:tc>
          <w:tcPr>
            <w:tcW w:w="2268" w:type="dxa"/>
            <w:tcBorders>
              <w:top w:val="single" w:sz="12" w:space="0" w:color="auto"/>
            </w:tcBorders>
            <w:noWrap/>
            <w:vAlign w:val="center"/>
          </w:tcPr>
          <w:p w14:paraId="18503DC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tcBorders>
              <w:top w:val="single" w:sz="12" w:space="0" w:color="auto"/>
            </w:tcBorders>
            <w:noWrap/>
            <w:vAlign w:val="center"/>
          </w:tcPr>
          <w:p w14:paraId="595FE3C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12" w:space="0" w:color="auto"/>
            </w:tcBorders>
            <w:noWrap/>
            <w:vAlign w:val="center"/>
          </w:tcPr>
          <w:p w14:paraId="4EB1F7E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5.65E+05</w:t>
            </w:r>
          </w:p>
        </w:tc>
        <w:tc>
          <w:tcPr>
            <w:tcW w:w="1134" w:type="dxa"/>
            <w:tcBorders>
              <w:top w:val="single" w:sz="12" w:space="0" w:color="auto"/>
            </w:tcBorders>
            <w:noWrap/>
            <w:vAlign w:val="center"/>
          </w:tcPr>
          <w:p w14:paraId="1C800BA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1.99E+05</w:t>
            </w:r>
          </w:p>
        </w:tc>
        <w:tc>
          <w:tcPr>
            <w:tcW w:w="1276" w:type="dxa"/>
            <w:tcBorders>
              <w:top w:val="single" w:sz="12" w:space="0" w:color="auto"/>
            </w:tcBorders>
            <w:noWrap/>
            <w:vAlign w:val="center"/>
          </w:tcPr>
          <w:p w14:paraId="774B91A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2.57E+05</w:t>
            </w:r>
          </w:p>
        </w:tc>
      </w:tr>
      <w:tr w:rsidR="001D2587" w:rsidRPr="000855B2" w14:paraId="05961D65" w14:textId="77777777" w:rsidTr="00887829">
        <w:trPr>
          <w:cantSplit/>
          <w:trHeight w:val="300"/>
        </w:trPr>
        <w:tc>
          <w:tcPr>
            <w:tcW w:w="1384" w:type="dxa"/>
            <w:vMerge/>
            <w:vAlign w:val="center"/>
          </w:tcPr>
          <w:p w14:paraId="40A03F9F"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5EB5865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74EF675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F5C1CC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8.07E+04</w:t>
            </w:r>
          </w:p>
        </w:tc>
        <w:tc>
          <w:tcPr>
            <w:tcW w:w="1134" w:type="dxa"/>
            <w:noWrap/>
            <w:vAlign w:val="center"/>
          </w:tcPr>
          <w:p w14:paraId="2BC872D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1.77E+04</w:t>
            </w:r>
          </w:p>
        </w:tc>
        <w:tc>
          <w:tcPr>
            <w:tcW w:w="1276" w:type="dxa"/>
            <w:noWrap/>
            <w:vAlign w:val="center"/>
          </w:tcPr>
          <w:p w14:paraId="43EA10D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2.18E+04</w:t>
            </w:r>
          </w:p>
        </w:tc>
      </w:tr>
      <w:tr w:rsidR="001D2587" w:rsidRPr="000855B2" w14:paraId="6D9D11E8" w14:textId="77777777" w:rsidTr="00887829">
        <w:trPr>
          <w:cantSplit/>
          <w:trHeight w:val="300"/>
        </w:trPr>
        <w:tc>
          <w:tcPr>
            <w:tcW w:w="1384" w:type="dxa"/>
            <w:vMerge/>
            <w:vAlign w:val="center"/>
          </w:tcPr>
          <w:p w14:paraId="6AF2721F"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7211059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120FAB0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7E21D2A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9.13E+05</w:t>
            </w:r>
          </w:p>
        </w:tc>
        <w:tc>
          <w:tcPr>
            <w:tcW w:w="1134" w:type="dxa"/>
            <w:noWrap/>
            <w:vAlign w:val="center"/>
          </w:tcPr>
          <w:p w14:paraId="729C6FE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3.37E+05</w:t>
            </w:r>
          </w:p>
        </w:tc>
        <w:tc>
          <w:tcPr>
            <w:tcW w:w="1276" w:type="dxa"/>
            <w:noWrap/>
            <w:vAlign w:val="center"/>
          </w:tcPr>
          <w:p w14:paraId="767E7D6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3.93E+05</w:t>
            </w:r>
          </w:p>
        </w:tc>
      </w:tr>
      <w:tr w:rsidR="001D2587" w:rsidRPr="000855B2" w14:paraId="0153A672" w14:textId="77777777" w:rsidTr="00887829">
        <w:trPr>
          <w:cantSplit/>
          <w:trHeight w:val="300"/>
        </w:trPr>
        <w:tc>
          <w:tcPr>
            <w:tcW w:w="1384" w:type="dxa"/>
            <w:vMerge/>
            <w:vAlign w:val="center"/>
          </w:tcPr>
          <w:p w14:paraId="3DC4F47B"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47E3EE9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0E461EB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315C506"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65344FE5" w14:textId="77777777" w:rsidR="001D2587" w:rsidRPr="00C92B1B" w:rsidRDefault="001D2587" w:rsidP="005C7955">
            <w:pPr>
              <w:keepNext/>
              <w:keepLines/>
              <w:suppressAutoHyphens/>
              <w:spacing w:line="240" w:lineRule="atLeast"/>
              <w:jc w:val="center"/>
              <w:rPr>
                <w:sz w:val="16"/>
                <w:szCs w:val="18"/>
                <w:lang w:val="en-GB" w:eastAsia="el-GR"/>
              </w:rPr>
            </w:pPr>
          </w:p>
        </w:tc>
        <w:tc>
          <w:tcPr>
            <w:tcW w:w="1276" w:type="dxa"/>
            <w:noWrap/>
            <w:vAlign w:val="center"/>
          </w:tcPr>
          <w:p w14:paraId="22E9E06E"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326B728A" w14:textId="77777777" w:rsidTr="00887829">
        <w:trPr>
          <w:cantSplit/>
          <w:trHeight w:val="300"/>
        </w:trPr>
        <w:tc>
          <w:tcPr>
            <w:tcW w:w="1384" w:type="dxa"/>
            <w:vMerge/>
            <w:vAlign w:val="center"/>
          </w:tcPr>
          <w:p w14:paraId="012505A9"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0456D84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noWrap/>
            <w:vAlign w:val="center"/>
          </w:tcPr>
          <w:p w14:paraId="12B2C28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EDDE492"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51969DDD" w14:textId="77777777" w:rsidR="001D2587" w:rsidRPr="00C92B1B" w:rsidRDefault="001D2587" w:rsidP="005C7955">
            <w:pPr>
              <w:keepNext/>
              <w:keepLines/>
              <w:suppressAutoHyphens/>
              <w:spacing w:line="240" w:lineRule="atLeast"/>
              <w:jc w:val="center"/>
              <w:rPr>
                <w:sz w:val="16"/>
                <w:szCs w:val="18"/>
                <w:lang w:val="en-GB" w:eastAsia="el-GR"/>
              </w:rPr>
            </w:pPr>
          </w:p>
        </w:tc>
        <w:tc>
          <w:tcPr>
            <w:tcW w:w="1276" w:type="dxa"/>
            <w:noWrap/>
            <w:vAlign w:val="center"/>
          </w:tcPr>
          <w:p w14:paraId="1A33059F"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6AFA354A" w14:textId="77777777" w:rsidTr="00887829">
        <w:trPr>
          <w:cantSplit/>
          <w:trHeight w:val="300"/>
        </w:trPr>
        <w:tc>
          <w:tcPr>
            <w:tcW w:w="1384" w:type="dxa"/>
            <w:vMerge w:val="restart"/>
            <w:vAlign w:val="center"/>
          </w:tcPr>
          <w:p w14:paraId="5F15E07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Total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[#/km]</w:t>
            </w:r>
          </w:p>
        </w:tc>
        <w:tc>
          <w:tcPr>
            <w:tcW w:w="2268" w:type="dxa"/>
            <w:noWrap/>
            <w:vAlign w:val="center"/>
          </w:tcPr>
          <w:p w14:paraId="65500D6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noWrap/>
            <w:vAlign w:val="center"/>
          </w:tcPr>
          <w:p w14:paraId="4B1E93F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F1F2E0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6.88E+14</w:t>
            </w:r>
          </w:p>
        </w:tc>
        <w:tc>
          <w:tcPr>
            <w:tcW w:w="1134" w:type="dxa"/>
            <w:noWrap/>
            <w:vAlign w:val="center"/>
          </w:tcPr>
          <w:p w14:paraId="1A352DA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4.55E+14</w:t>
            </w:r>
          </w:p>
        </w:tc>
        <w:tc>
          <w:tcPr>
            <w:tcW w:w="1276" w:type="dxa"/>
            <w:noWrap/>
            <w:vAlign w:val="center"/>
          </w:tcPr>
          <w:p w14:paraId="0524AC7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1.12E+15</w:t>
            </w:r>
          </w:p>
        </w:tc>
      </w:tr>
      <w:tr w:rsidR="001D2587" w:rsidRPr="000855B2" w14:paraId="7CA08292" w14:textId="77777777" w:rsidTr="00887829">
        <w:trPr>
          <w:cantSplit/>
          <w:trHeight w:val="300"/>
        </w:trPr>
        <w:tc>
          <w:tcPr>
            <w:tcW w:w="1384" w:type="dxa"/>
            <w:vMerge/>
            <w:vAlign w:val="center"/>
          </w:tcPr>
          <w:p w14:paraId="1BDB37B8"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43F54D9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34AF234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DE8365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2.72E+14</w:t>
            </w:r>
          </w:p>
        </w:tc>
        <w:tc>
          <w:tcPr>
            <w:tcW w:w="1134" w:type="dxa"/>
            <w:noWrap/>
            <w:vAlign w:val="center"/>
          </w:tcPr>
          <w:p w14:paraId="1078F37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4.77E+13</w:t>
            </w:r>
          </w:p>
        </w:tc>
        <w:tc>
          <w:tcPr>
            <w:tcW w:w="1276" w:type="dxa"/>
            <w:noWrap/>
            <w:vAlign w:val="center"/>
          </w:tcPr>
          <w:p w14:paraId="0B20992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8.78E+13</w:t>
            </w:r>
          </w:p>
        </w:tc>
      </w:tr>
      <w:tr w:rsidR="001D2587" w:rsidRPr="000855B2" w14:paraId="3E19A316" w14:textId="77777777" w:rsidTr="00887829">
        <w:trPr>
          <w:cantSplit/>
          <w:trHeight w:val="300"/>
        </w:trPr>
        <w:tc>
          <w:tcPr>
            <w:tcW w:w="1384" w:type="dxa"/>
            <w:vMerge/>
            <w:vAlign w:val="center"/>
          </w:tcPr>
          <w:p w14:paraId="34BE2296"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7D419E9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596E1FB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70C3519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7.66E+14</w:t>
            </w:r>
          </w:p>
        </w:tc>
        <w:tc>
          <w:tcPr>
            <w:tcW w:w="1134" w:type="dxa"/>
            <w:noWrap/>
            <w:vAlign w:val="center"/>
          </w:tcPr>
          <w:p w14:paraId="101D40A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5.68E+14</w:t>
            </w:r>
          </w:p>
        </w:tc>
        <w:tc>
          <w:tcPr>
            <w:tcW w:w="1276" w:type="dxa"/>
            <w:noWrap/>
            <w:vAlign w:val="center"/>
          </w:tcPr>
          <w:p w14:paraId="4D4729C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1.28E+15</w:t>
            </w:r>
          </w:p>
        </w:tc>
      </w:tr>
      <w:tr w:rsidR="001D2587" w:rsidRPr="000855B2" w14:paraId="225E927F" w14:textId="77777777" w:rsidTr="00887829">
        <w:trPr>
          <w:cantSplit/>
          <w:trHeight w:val="300"/>
        </w:trPr>
        <w:tc>
          <w:tcPr>
            <w:tcW w:w="1384" w:type="dxa"/>
            <w:vMerge/>
            <w:vAlign w:val="center"/>
          </w:tcPr>
          <w:p w14:paraId="789251E3"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205C7BE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170B4D1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798B62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5.93E+12</w:t>
            </w:r>
          </w:p>
        </w:tc>
        <w:tc>
          <w:tcPr>
            <w:tcW w:w="1134" w:type="dxa"/>
            <w:noWrap/>
            <w:vAlign w:val="center"/>
          </w:tcPr>
          <w:p w14:paraId="2890F7B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3.57E+12</w:t>
            </w:r>
          </w:p>
        </w:tc>
        <w:tc>
          <w:tcPr>
            <w:tcW w:w="1276" w:type="dxa"/>
            <w:noWrap/>
            <w:vAlign w:val="center"/>
          </w:tcPr>
          <w:p w14:paraId="5C7C29D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2.93E+12</w:t>
            </w:r>
          </w:p>
        </w:tc>
      </w:tr>
      <w:tr w:rsidR="001D2587" w:rsidRPr="000855B2" w14:paraId="18F8699F" w14:textId="77777777" w:rsidTr="00887829">
        <w:trPr>
          <w:cantSplit/>
          <w:trHeight w:val="300"/>
        </w:trPr>
        <w:tc>
          <w:tcPr>
            <w:tcW w:w="1384" w:type="dxa"/>
            <w:vMerge/>
            <w:vAlign w:val="center"/>
          </w:tcPr>
          <w:p w14:paraId="2126E71C"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6C7CCFE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noWrap/>
            <w:vAlign w:val="center"/>
          </w:tcPr>
          <w:p w14:paraId="0B40834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4F8CA4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1.73E+13</w:t>
            </w:r>
          </w:p>
        </w:tc>
        <w:tc>
          <w:tcPr>
            <w:tcW w:w="1134" w:type="dxa"/>
            <w:noWrap/>
            <w:vAlign w:val="center"/>
          </w:tcPr>
          <w:p w14:paraId="1775DCD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1.09E+13</w:t>
            </w:r>
          </w:p>
        </w:tc>
        <w:tc>
          <w:tcPr>
            <w:tcW w:w="1276" w:type="dxa"/>
            <w:noWrap/>
            <w:vAlign w:val="center"/>
          </w:tcPr>
          <w:p w14:paraId="1FA5068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1.22E+13</w:t>
            </w:r>
          </w:p>
        </w:tc>
      </w:tr>
      <w:tr w:rsidR="001D2587" w:rsidRPr="000855B2" w14:paraId="3C99A131" w14:textId="77777777" w:rsidTr="00887829">
        <w:trPr>
          <w:cantSplit/>
          <w:trHeight w:val="300"/>
        </w:trPr>
        <w:tc>
          <w:tcPr>
            <w:tcW w:w="1384" w:type="dxa"/>
            <w:vMerge w:val="restart"/>
            <w:vAlign w:val="center"/>
          </w:tcPr>
          <w:p w14:paraId="0CF8C6E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 xml:space="preserve">umber  </w:t>
            </w:r>
            <w:r w:rsidR="00D205E2" w:rsidRPr="00C92B1B">
              <w:rPr>
                <w:sz w:val="16"/>
                <w:szCs w:val="18"/>
                <w:lang w:val="en-GB" w:eastAsia="el-GR"/>
              </w:rPr>
              <w:t>&lt; </w:t>
            </w:r>
            <w:r w:rsidRPr="00C92B1B">
              <w:rPr>
                <w:sz w:val="16"/>
                <w:szCs w:val="18"/>
                <w:lang w:val="en-GB" w:eastAsia="el-GR"/>
              </w:rPr>
              <w:t>50</w:t>
            </w:r>
            <w:r w:rsidR="000F3E28" w:rsidRPr="00C92B1B">
              <w:rPr>
                <w:sz w:val="16"/>
                <w:szCs w:val="18"/>
                <w:lang w:val="en-GB" w:eastAsia="el-GR"/>
              </w:rPr>
              <w:t> nm</w:t>
            </w:r>
            <w:r w:rsidRPr="00C92B1B">
              <w:rPr>
                <w:sz w:val="16"/>
                <w:szCs w:val="18"/>
                <w:lang w:val="en-GB" w:eastAsia="el-GR"/>
              </w:rPr>
              <w:t xml:space="preserve"> [#/km]</w:t>
            </w:r>
          </w:p>
        </w:tc>
        <w:tc>
          <w:tcPr>
            <w:tcW w:w="2268" w:type="dxa"/>
            <w:noWrap/>
            <w:vAlign w:val="center"/>
          </w:tcPr>
          <w:p w14:paraId="3EF3C3C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noWrap/>
            <w:vAlign w:val="center"/>
          </w:tcPr>
          <w:p w14:paraId="28AB12D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5FEC8F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1.25E+14</w:t>
            </w:r>
          </w:p>
        </w:tc>
        <w:tc>
          <w:tcPr>
            <w:tcW w:w="1134" w:type="dxa"/>
            <w:noWrap/>
            <w:vAlign w:val="center"/>
          </w:tcPr>
          <w:p w14:paraId="5A70F6D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5.08E+13</w:t>
            </w:r>
          </w:p>
        </w:tc>
        <w:tc>
          <w:tcPr>
            <w:tcW w:w="1276" w:type="dxa"/>
            <w:noWrap/>
            <w:vAlign w:val="center"/>
          </w:tcPr>
          <w:p w14:paraId="3ABB402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7.43E+13</w:t>
            </w:r>
          </w:p>
        </w:tc>
      </w:tr>
      <w:tr w:rsidR="001D2587" w:rsidRPr="000855B2" w14:paraId="63F4C327" w14:textId="77777777" w:rsidTr="00887829">
        <w:trPr>
          <w:cantSplit/>
          <w:trHeight w:val="300"/>
        </w:trPr>
        <w:tc>
          <w:tcPr>
            <w:tcW w:w="1384" w:type="dxa"/>
            <w:vMerge/>
            <w:vAlign w:val="center"/>
          </w:tcPr>
          <w:p w14:paraId="6CC99A08"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0D271ED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30D5FFC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CC27CE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3.87E+12</w:t>
            </w:r>
          </w:p>
        </w:tc>
        <w:tc>
          <w:tcPr>
            <w:tcW w:w="1134" w:type="dxa"/>
            <w:noWrap/>
            <w:vAlign w:val="center"/>
          </w:tcPr>
          <w:p w14:paraId="6C3EEE0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1.89E+12</w:t>
            </w:r>
          </w:p>
        </w:tc>
        <w:tc>
          <w:tcPr>
            <w:tcW w:w="1276" w:type="dxa"/>
            <w:noWrap/>
            <w:vAlign w:val="center"/>
          </w:tcPr>
          <w:p w14:paraId="453D83C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4.18E+12</w:t>
            </w:r>
          </w:p>
        </w:tc>
      </w:tr>
      <w:tr w:rsidR="001D2587" w:rsidRPr="000855B2" w14:paraId="73307488" w14:textId="77777777" w:rsidTr="00887829">
        <w:trPr>
          <w:cantSplit/>
          <w:trHeight w:val="300"/>
        </w:trPr>
        <w:tc>
          <w:tcPr>
            <w:tcW w:w="1384" w:type="dxa"/>
            <w:vMerge/>
            <w:vAlign w:val="center"/>
          </w:tcPr>
          <w:p w14:paraId="3FEF9DEA"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6689DF5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524900F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5B5E13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1.19E+14</w:t>
            </w:r>
          </w:p>
        </w:tc>
        <w:tc>
          <w:tcPr>
            <w:tcW w:w="1134" w:type="dxa"/>
            <w:noWrap/>
            <w:vAlign w:val="center"/>
          </w:tcPr>
          <w:p w14:paraId="3D8DAF4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5.26E+13</w:t>
            </w:r>
          </w:p>
        </w:tc>
        <w:tc>
          <w:tcPr>
            <w:tcW w:w="1276" w:type="dxa"/>
            <w:noWrap/>
            <w:vAlign w:val="center"/>
          </w:tcPr>
          <w:p w14:paraId="7F8A2EC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7.67E+13</w:t>
            </w:r>
          </w:p>
        </w:tc>
      </w:tr>
      <w:tr w:rsidR="001D2587" w:rsidRPr="000855B2" w14:paraId="128107F2" w14:textId="77777777" w:rsidTr="00887829">
        <w:trPr>
          <w:cantSplit/>
          <w:trHeight w:val="300"/>
        </w:trPr>
        <w:tc>
          <w:tcPr>
            <w:tcW w:w="1384" w:type="dxa"/>
            <w:vMerge/>
            <w:vAlign w:val="center"/>
          </w:tcPr>
          <w:p w14:paraId="24F37E1E" w14:textId="77777777" w:rsidR="001D2587" w:rsidRPr="00C92B1B" w:rsidRDefault="001D2587" w:rsidP="005C7955">
            <w:pPr>
              <w:keepNext/>
              <w:keepLines/>
              <w:suppressAutoHyphens/>
              <w:spacing w:line="240" w:lineRule="atLeast"/>
              <w:rPr>
                <w:sz w:val="16"/>
                <w:szCs w:val="18"/>
                <w:lang w:val="en-GB" w:eastAsia="el-GR"/>
              </w:rPr>
            </w:pPr>
          </w:p>
        </w:tc>
        <w:tc>
          <w:tcPr>
            <w:tcW w:w="2268" w:type="dxa"/>
            <w:tcBorders>
              <w:bottom w:val="single" w:sz="2" w:space="0" w:color="auto"/>
            </w:tcBorders>
            <w:noWrap/>
            <w:vAlign w:val="center"/>
          </w:tcPr>
          <w:p w14:paraId="2C3A105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tcBorders>
              <w:bottom w:val="single" w:sz="2" w:space="0" w:color="auto"/>
            </w:tcBorders>
            <w:noWrap/>
            <w:vAlign w:val="center"/>
          </w:tcPr>
          <w:p w14:paraId="4A92232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bottom w:val="single" w:sz="2" w:space="0" w:color="auto"/>
            </w:tcBorders>
            <w:noWrap/>
            <w:vAlign w:val="center"/>
          </w:tcPr>
          <w:p w14:paraId="635BCD4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1.25E+10</w:t>
            </w:r>
          </w:p>
        </w:tc>
        <w:tc>
          <w:tcPr>
            <w:tcW w:w="1134" w:type="dxa"/>
            <w:tcBorders>
              <w:bottom w:val="single" w:sz="2" w:space="0" w:color="auto"/>
            </w:tcBorders>
            <w:noWrap/>
            <w:vAlign w:val="center"/>
          </w:tcPr>
          <w:p w14:paraId="53DE565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6.43E+09</w:t>
            </w:r>
          </w:p>
        </w:tc>
        <w:tc>
          <w:tcPr>
            <w:tcW w:w="1276" w:type="dxa"/>
            <w:tcBorders>
              <w:bottom w:val="single" w:sz="2" w:space="0" w:color="auto"/>
            </w:tcBorders>
            <w:noWrap/>
            <w:vAlign w:val="center"/>
          </w:tcPr>
          <w:p w14:paraId="13A3EB2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8.20E+09</w:t>
            </w:r>
          </w:p>
        </w:tc>
      </w:tr>
      <w:tr w:rsidR="001D2587" w:rsidRPr="000855B2" w14:paraId="0B5D74E1" w14:textId="77777777" w:rsidTr="00887829">
        <w:trPr>
          <w:cantSplit/>
          <w:trHeight w:val="300"/>
        </w:trPr>
        <w:tc>
          <w:tcPr>
            <w:tcW w:w="1384" w:type="dxa"/>
            <w:vMerge/>
            <w:vAlign w:val="center"/>
          </w:tcPr>
          <w:p w14:paraId="7B1A7B0B" w14:textId="77777777" w:rsidR="001D2587" w:rsidRPr="00C92B1B" w:rsidRDefault="001D2587" w:rsidP="005C7955">
            <w:pPr>
              <w:keepNext/>
              <w:keepLines/>
              <w:suppressAutoHyphens/>
              <w:spacing w:line="240" w:lineRule="atLeast"/>
              <w:rPr>
                <w:sz w:val="16"/>
                <w:szCs w:val="18"/>
                <w:lang w:val="en-GB" w:eastAsia="el-GR"/>
              </w:rPr>
            </w:pPr>
          </w:p>
        </w:tc>
        <w:tc>
          <w:tcPr>
            <w:tcW w:w="2268" w:type="dxa"/>
            <w:tcBorders>
              <w:top w:val="single" w:sz="2" w:space="0" w:color="auto"/>
              <w:bottom w:val="single" w:sz="2" w:space="0" w:color="auto"/>
            </w:tcBorders>
            <w:noWrap/>
            <w:vAlign w:val="center"/>
          </w:tcPr>
          <w:p w14:paraId="41EF54A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tcBorders>
              <w:top w:val="single" w:sz="2" w:space="0" w:color="auto"/>
              <w:bottom w:val="single" w:sz="2" w:space="0" w:color="auto"/>
            </w:tcBorders>
            <w:noWrap/>
            <w:vAlign w:val="center"/>
          </w:tcPr>
          <w:p w14:paraId="1590381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2" w:space="0" w:color="auto"/>
              <w:bottom w:val="single" w:sz="2" w:space="0" w:color="auto"/>
            </w:tcBorders>
            <w:noWrap/>
            <w:vAlign w:val="center"/>
          </w:tcPr>
          <w:p w14:paraId="58C533A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7.98E+12</w:t>
            </w:r>
          </w:p>
        </w:tc>
        <w:tc>
          <w:tcPr>
            <w:tcW w:w="1134" w:type="dxa"/>
            <w:tcBorders>
              <w:top w:val="single" w:sz="2" w:space="0" w:color="auto"/>
              <w:bottom w:val="single" w:sz="2" w:space="0" w:color="auto"/>
            </w:tcBorders>
            <w:noWrap/>
            <w:vAlign w:val="center"/>
          </w:tcPr>
          <w:p w14:paraId="205C8C2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2.87E+12</w:t>
            </w:r>
          </w:p>
        </w:tc>
        <w:tc>
          <w:tcPr>
            <w:tcW w:w="1276" w:type="dxa"/>
            <w:tcBorders>
              <w:top w:val="single" w:sz="2" w:space="0" w:color="auto"/>
              <w:bottom w:val="single" w:sz="2" w:space="0" w:color="auto"/>
            </w:tcBorders>
            <w:noWrap/>
            <w:vAlign w:val="center"/>
          </w:tcPr>
          <w:p w14:paraId="197A7EC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2.04E+12</w:t>
            </w:r>
          </w:p>
        </w:tc>
      </w:tr>
      <w:tr w:rsidR="001D2587" w:rsidRPr="000855B2" w14:paraId="543751FF" w14:textId="77777777" w:rsidTr="00887829">
        <w:trPr>
          <w:cantSplit/>
          <w:trHeight w:val="300"/>
        </w:trPr>
        <w:tc>
          <w:tcPr>
            <w:tcW w:w="1384" w:type="dxa"/>
            <w:vMerge w:val="restart"/>
            <w:vAlign w:val="center"/>
          </w:tcPr>
          <w:p w14:paraId="1B598926" w14:textId="77777777" w:rsidR="001D2587" w:rsidRPr="00C92B1B" w:rsidRDefault="00296E89" w:rsidP="005C7955">
            <w:pPr>
              <w:keepNext/>
              <w:keepLines/>
              <w:suppressAutoHyphens/>
              <w:spacing w:line="240" w:lineRule="atLeast"/>
              <w:rPr>
                <w:sz w:val="16"/>
                <w:szCs w:val="18"/>
                <w:lang w:val="en-GB" w:eastAsia="el-GR"/>
              </w:rPr>
            </w:pPr>
            <w:r w:rsidRPr="00C92B1B">
              <w:rPr>
                <w:sz w:val="16"/>
                <w:szCs w:val="18"/>
                <w:lang w:val="en-GB" w:eastAsia="el-GR"/>
              </w:rPr>
              <w:t>S</w:t>
            </w:r>
            <w:r w:rsidR="001D2587" w:rsidRPr="00C92B1B">
              <w:rPr>
                <w:sz w:val="16"/>
                <w:szCs w:val="18"/>
                <w:lang w:val="en-GB" w:eastAsia="el-GR"/>
              </w:rPr>
              <w:t xml:space="preserve">olid </w:t>
            </w:r>
            <w:r w:rsidR="00DA3822" w:rsidRPr="00C92B1B">
              <w:rPr>
                <w:sz w:val="16"/>
                <w:szCs w:val="18"/>
                <w:lang w:val="en-GB" w:eastAsia="el-GR"/>
              </w:rPr>
              <w:t>p</w:t>
            </w:r>
            <w:r w:rsidR="001D2587" w:rsidRPr="00C92B1B">
              <w:rPr>
                <w:sz w:val="16"/>
                <w:szCs w:val="18"/>
                <w:lang w:val="en-GB" w:eastAsia="el-GR"/>
              </w:rPr>
              <w:t xml:space="preserve">article </w:t>
            </w:r>
            <w:r w:rsidR="00DA3822" w:rsidRPr="00C92B1B">
              <w:rPr>
                <w:sz w:val="16"/>
                <w:szCs w:val="18"/>
                <w:lang w:val="en-GB" w:eastAsia="el-GR"/>
              </w:rPr>
              <w:t>n</w:t>
            </w:r>
            <w:r w:rsidR="001D2587" w:rsidRPr="00C92B1B">
              <w:rPr>
                <w:sz w:val="16"/>
                <w:szCs w:val="18"/>
                <w:lang w:val="en-GB" w:eastAsia="el-GR"/>
              </w:rPr>
              <w:t>umber 50</w:t>
            </w:r>
            <w:r w:rsidR="00670618" w:rsidRPr="00C92B1B">
              <w:rPr>
                <w:sz w:val="16"/>
                <w:szCs w:val="18"/>
                <w:lang w:val="en-GB"/>
              </w:rPr>
              <w:t>–</w:t>
            </w:r>
            <w:r w:rsidR="001D2587" w:rsidRPr="00C92B1B">
              <w:rPr>
                <w:sz w:val="16"/>
                <w:szCs w:val="18"/>
                <w:lang w:val="en-GB" w:eastAsia="el-GR"/>
              </w:rPr>
              <w:t>100</w:t>
            </w:r>
            <w:r w:rsidR="000F3E28" w:rsidRPr="00C92B1B">
              <w:rPr>
                <w:sz w:val="16"/>
                <w:szCs w:val="18"/>
                <w:lang w:val="en-GB" w:eastAsia="el-GR"/>
              </w:rPr>
              <w:t> nm</w:t>
            </w:r>
            <w:r w:rsidR="001D2587" w:rsidRPr="00C92B1B">
              <w:rPr>
                <w:sz w:val="16"/>
                <w:szCs w:val="18"/>
                <w:lang w:val="en-GB" w:eastAsia="el-GR"/>
              </w:rPr>
              <w:t xml:space="preserve"> [#/km]</w:t>
            </w:r>
          </w:p>
        </w:tc>
        <w:tc>
          <w:tcPr>
            <w:tcW w:w="2268" w:type="dxa"/>
            <w:tcBorders>
              <w:top w:val="single" w:sz="2" w:space="0" w:color="auto"/>
            </w:tcBorders>
            <w:noWrap/>
            <w:vAlign w:val="center"/>
          </w:tcPr>
          <w:p w14:paraId="54EF2D2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tcBorders>
              <w:top w:val="single" w:sz="2" w:space="0" w:color="auto"/>
            </w:tcBorders>
            <w:noWrap/>
            <w:vAlign w:val="center"/>
          </w:tcPr>
          <w:p w14:paraId="76A318E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2" w:space="0" w:color="auto"/>
            </w:tcBorders>
            <w:noWrap/>
            <w:vAlign w:val="center"/>
          </w:tcPr>
          <w:p w14:paraId="69FF9F4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1.44E+14</w:t>
            </w:r>
          </w:p>
        </w:tc>
        <w:tc>
          <w:tcPr>
            <w:tcW w:w="1134" w:type="dxa"/>
            <w:tcBorders>
              <w:top w:val="single" w:sz="2" w:space="0" w:color="auto"/>
            </w:tcBorders>
            <w:noWrap/>
            <w:vAlign w:val="center"/>
          </w:tcPr>
          <w:p w14:paraId="0E8D36C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5.44E+13</w:t>
            </w:r>
          </w:p>
        </w:tc>
        <w:tc>
          <w:tcPr>
            <w:tcW w:w="1276" w:type="dxa"/>
            <w:tcBorders>
              <w:top w:val="single" w:sz="2" w:space="0" w:color="auto"/>
            </w:tcBorders>
            <w:noWrap/>
            <w:vAlign w:val="center"/>
          </w:tcPr>
          <w:p w14:paraId="5A7BA35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6.82E+13</w:t>
            </w:r>
          </w:p>
        </w:tc>
      </w:tr>
      <w:tr w:rsidR="001D2587" w:rsidRPr="000855B2" w14:paraId="0D033752" w14:textId="77777777" w:rsidTr="00887829">
        <w:trPr>
          <w:cantSplit/>
          <w:trHeight w:val="300"/>
        </w:trPr>
        <w:tc>
          <w:tcPr>
            <w:tcW w:w="1384" w:type="dxa"/>
            <w:vMerge/>
            <w:vAlign w:val="center"/>
          </w:tcPr>
          <w:p w14:paraId="69517F59"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768F5FC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75597AE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4CDD43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3.31E+12</w:t>
            </w:r>
          </w:p>
        </w:tc>
        <w:tc>
          <w:tcPr>
            <w:tcW w:w="1134" w:type="dxa"/>
            <w:noWrap/>
            <w:vAlign w:val="center"/>
          </w:tcPr>
          <w:p w14:paraId="67529D5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1.43E+12</w:t>
            </w:r>
          </w:p>
        </w:tc>
        <w:tc>
          <w:tcPr>
            <w:tcW w:w="1276" w:type="dxa"/>
            <w:noWrap/>
            <w:vAlign w:val="center"/>
          </w:tcPr>
          <w:p w14:paraId="676AF34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2.54E+12</w:t>
            </w:r>
          </w:p>
        </w:tc>
      </w:tr>
      <w:tr w:rsidR="001D2587" w:rsidRPr="000855B2" w14:paraId="5A7157B9" w14:textId="77777777" w:rsidTr="00887829">
        <w:trPr>
          <w:cantSplit/>
          <w:trHeight w:val="300"/>
        </w:trPr>
        <w:tc>
          <w:tcPr>
            <w:tcW w:w="1384" w:type="dxa"/>
            <w:vMerge/>
            <w:vAlign w:val="center"/>
          </w:tcPr>
          <w:p w14:paraId="4F6E006E"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4A136C4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662DC45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4D25B0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1.57E+14</w:t>
            </w:r>
          </w:p>
        </w:tc>
        <w:tc>
          <w:tcPr>
            <w:tcW w:w="1134" w:type="dxa"/>
            <w:noWrap/>
            <w:vAlign w:val="center"/>
          </w:tcPr>
          <w:p w14:paraId="14FB0D7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6.14E+13</w:t>
            </w:r>
          </w:p>
        </w:tc>
        <w:tc>
          <w:tcPr>
            <w:tcW w:w="1276" w:type="dxa"/>
            <w:noWrap/>
            <w:vAlign w:val="center"/>
          </w:tcPr>
          <w:p w14:paraId="7E3F38C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7.25E+13</w:t>
            </w:r>
          </w:p>
        </w:tc>
      </w:tr>
      <w:tr w:rsidR="001D2587" w:rsidRPr="000855B2" w14:paraId="41D53A71" w14:textId="77777777" w:rsidTr="00887829">
        <w:trPr>
          <w:cantSplit/>
          <w:trHeight w:val="300"/>
        </w:trPr>
        <w:tc>
          <w:tcPr>
            <w:tcW w:w="1384" w:type="dxa"/>
            <w:vMerge/>
            <w:vAlign w:val="center"/>
          </w:tcPr>
          <w:p w14:paraId="493F27C0"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16E4DEE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6547D17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F3C30C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1.04E+10</w:t>
            </w:r>
          </w:p>
        </w:tc>
        <w:tc>
          <w:tcPr>
            <w:tcW w:w="1134" w:type="dxa"/>
            <w:noWrap/>
            <w:vAlign w:val="center"/>
          </w:tcPr>
          <w:p w14:paraId="13290F8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4.14E+09</w:t>
            </w:r>
          </w:p>
        </w:tc>
        <w:tc>
          <w:tcPr>
            <w:tcW w:w="1276" w:type="dxa"/>
            <w:noWrap/>
            <w:vAlign w:val="center"/>
          </w:tcPr>
          <w:p w14:paraId="294471F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3.88E+09</w:t>
            </w:r>
          </w:p>
        </w:tc>
      </w:tr>
      <w:tr w:rsidR="001D2587" w:rsidRPr="000855B2" w14:paraId="2F108969" w14:textId="77777777" w:rsidTr="00887829">
        <w:trPr>
          <w:cantSplit/>
          <w:trHeight w:val="300"/>
        </w:trPr>
        <w:tc>
          <w:tcPr>
            <w:tcW w:w="1384" w:type="dxa"/>
            <w:vMerge/>
            <w:vAlign w:val="center"/>
          </w:tcPr>
          <w:p w14:paraId="2C2FEADA" w14:textId="77777777" w:rsidR="001D2587" w:rsidRPr="00C92B1B" w:rsidRDefault="001D2587" w:rsidP="005C7955">
            <w:pPr>
              <w:keepNext/>
              <w:keepLines/>
              <w:suppressAutoHyphens/>
              <w:spacing w:line="240" w:lineRule="atLeast"/>
              <w:rPr>
                <w:sz w:val="16"/>
                <w:szCs w:val="18"/>
                <w:lang w:val="en-GB" w:eastAsia="el-GR"/>
              </w:rPr>
            </w:pPr>
          </w:p>
        </w:tc>
        <w:tc>
          <w:tcPr>
            <w:tcW w:w="2268" w:type="dxa"/>
            <w:noWrap/>
            <w:vAlign w:val="center"/>
          </w:tcPr>
          <w:p w14:paraId="455172F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276" w:type="dxa"/>
            <w:noWrap/>
            <w:vAlign w:val="center"/>
          </w:tcPr>
          <w:p w14:paraId="60B3D89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E895D3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9.13E+12</w:t>
            </w:r>
          </w:p>
        </w:tc>
        <w:tc>
          <w:tcPr>
            <w:tcW w:w="1134" w:type="dxa"/>
            <w:noWrap/>
            <w:vAlign w:val="center"/>
          </w:tcPr>
          <w:p w14:paraId="26CAF07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3.06E+12</w:t>
            </w:r>
          </w:p>
        </w:tc>
        <w:tc>
          <w:tcPr>
            <w:tcW w:w="1276" w:type="dxa"/>
            <w:noWrap/>
            <w:vAlign w:val="center"/>
          </w:tcPr>
          <w:p w14:paraId="5276B52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2.10E+12</w:t>
            </w:r>
          </w:p>
        </w:tc>
      </w:tr>
      <w:tr w:rsidR="001D2587" w:rsidRPr="000855B2" w14:paraId="48191273" w14:textId="77777777" w:rsidTr="00887829">
        <w:trPr>
          <w:cantSplit/>
          <w:trHeight w:val="300"/>
        </w:trPr>
        <w:tc>
          <w:tcPr>
            <w:tcW w:w="1384" w:type="dxa"/>
            <w:vMerge w:val="restart"/>
            <w:vAlign w:val="center"/>
          </w:tcPr>
          <w:p w14:paraId="28745EB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100</w:t>
            </w:r>
            <w:r w:rsidR="00670618" w:rsidRPr="00C92B1B">
              <w:rPr>
                <w:sz w:val="16"/>
                <w:szCs w:val="18"/>
                <w:lang w:val="en-GB"/>
              </w:rPr>
              <w:t>–</w:t>
            </w:r>
            <w:r w:rsidRPr="00C92B1B">
              <w:rPr>
                <w:sz w:val="16"/>
                <w:szCs w:val="18"/>
                <w:lang w:val="en-GB" w:eastAsia="el-GR"/>
              </w:rPr>
              <w:t>1</w:t>
            </w:r>
            <w:r w:rsidR="00670618" w:rsidRPr="00C92B1B">
              <w:rPr>
                <w:sz w:val="16"/>
                <w:szCs w:val="18"/>
                <w:lang w:val="en-GB" w:eastAsia="el-GR"/>
              </w:rPr>
              <w:t> </w:t>
            </w:r>
            <w:r w:rsidRPr="00C92B1B">
              <w:rPr>
                <w:sz w:val="16"/>
                <w:szCs w:val="18"/>
                <w:lang w:val="en-GB" w:eastAsia="el-GR"/>
              </w:rPr>
              <w:t>000</w:t>
            </w:r>
            <w:r w:rsidR="000F3E28" w:rsidRPr="00C92B1B">
              <w:rPr>
                <w:sz w:val="16"/>
                <w:szCs w:val="18"/>
                <w:lang w:val="en-GB" w:eastAsia="el-GR"/>
              </w:rPr>
              <w:t> nm</w:t>
            </w:r>
            <w:r w:rsidRPr="00C92B1B">
              <w:rPr>
                <w:sz w:val="16"/>
                <w:szCs w:val="18"/>
                <w:lang w:val="en-GB" w:eastAsia="el-GR"/>
              </w:rPr>
              <w:t xml:space="preserve"> [#/km]</w:t>
            </w:r>
          </w:p>
        </w:tc>
        <w:tc>
          <w:tcPr>
            <w:tcW w:w="2268" w:type="dxa"/>
            <w:noWrap/>
            <w:vAlign w:val="center"/>
          </w:tcPr>
          <w:p w14:paraId="136300C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276" w:type="dxa"/>
            <w:noWrap/>
            <w:vAlign w:val="center"/>
          </w:tcPr>
          <w:p w14:paraId="5820B74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7A238CA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2.09E+14</w:t>
            </w:r>
          </w:p>
        </w:tc>
        <w:tc>
          <w:tcPr>
            <w:tcW w:w="1134" w:type="dxa"/>
            <w:noWrap/>
            <w:vAlign w:val="center"/>
          </w:tcPr>
          <w:p w14:paraId="40D80AE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7.25E+13</w:t>
            </w:r>
          </w:p>
        </w:tc>
        <w:tc>
          <w:tcPr>
            <w:tcW w:w="1276" w:type="dxa"/>
            <w:noWrap/>
            <w:vAlign w:val="center"/>
          </w:tcPr>
          <w:p w14:paraId="3B2651B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7.16E+13</w:t>
            </w:r>
          </w:p>
        </w:tc>
      </w:tr>
      <w:tr w:rsidR="001D2587" w:rsidRPr="000855B2" w14:paraId="7C374B0B" w14:textId="77777777" w:rsidTr="00887829">
        <w:trPr>
          <w:cantSplit/>
          <w:trHeight w:val="300"/>
        </w:trPr>
        <w:tc>
          <w:tcPr>
            <w:tcW w:w="1384" w:type="dxa"/>
            <w:vMerge/>
            <w:vAlign w:val="center"/>
          </w:tcPr>
          <w:p w14:paraId="04E59821"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noWrap/>
            <w:vAlign w:val="center"/>
          </w:tcPr>
          <w:p w14:paraId="7709CF0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276" w:type="dxa"/>
            <w:noWrap/>
            <w:vAlign w:val="center"/>
          </w:tcPr>
          <w:p w14:paraId="4E5728D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0C7757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2.29E+12</w:t>
            </w:r>
          </w:p>
        </w:tc>
        <w:tc>
          <w:tcPr>
            <w:tcW w:w="1134" w:type="dxa"/>
            <w:noWrap/>
            <w:vAlign w:val="center"/>
          </w:tcPr>
          <w:p w14:paraId="7EF2EFA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8.53E+11</w:t>
            </w:r>
          </w:p>
        </w:tc>
        <w:tc>
          <w:tcPr>
            <w:tcW w:w="1276" w:type="dxa"/>
            <w:noWrap/>
            <w:vAlign w:val="center"/>
          </w:tcPr>
          <w:p w14:paraId="48E1098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1.12E+12</w:t>
            </w:r>
          </w:p>
        </w:tc>
      </w:tr>
      <w:tr w:rsidR="001D2587" w:rsidRPr="000855B2" w14:paraId="3AB8638A" w14:textId="77777777" w:rsidTr="00887829">
        <w:trPr>
          <w:cantSplit/>
          <w:trHeight w:val="300"/>
        </w:trPr>
        <w:tc>
          <w:tcPr>
            <w:tcW w:w="1384" w:type="dxa"/>
            <w:vMerge/>
            <w:vAlign w:val="center"/>
          </w:tcPr>
          <w:p w14:paraId="7046DE61"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noWrap/>
            <w:vAlign w:val="center"/>
          </w:tcPr>
          <w:p w14:paraId="69CE12F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276" w:type="dxa"/>
            <w:noWrap/>
            <w:vAlign w:val="center"/>
          </w:tcPr>
          <w:p w14:paraId="21BA84F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B8AEB0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3.30E+14</w:t>
            </w:r>
          </w:p>
        </w:tc>
        <w:tc>
          <w:tcPr>
            <w:tcW w:w="1134" w:type="dxa"/>
            <w:noWrap/>
            <w:vAlign w:val="center"/>
          </w:tcPr>
          <w:p w14:paraId="6B66CDA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1.21E+14</w:t>
            </w:r>
          </w:p>
        </w:tc>
        <w:tc>
          <w:tcPr>
            <w:tcW w:w="1276" w:type="dxa"/>
            <w:noWrap/>
            <w:vAlign w:val="center"/>
          </w:tcPr>
          <w:p w14:paraId="61EC20E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1.10E+14</w:t>
            </w:r>
          </w:p>
        </w:tc>
      </w:tr>
      <w:tr w:rsidR="001D2587" w:rsidRPr="000855B2" w14:paraId="716D05D2" w14:textId="77777777" w:rsidTr="00887829">
        <w:trPr>
          <w:cantSplit/>
          <w:trHeight w:val="300"/>
        </w:trPr>
        <w:tc>
          <w:tcPr>
            <w:tcW w:w="1384" w:type="dxa"/>
            <w:vMerge/>
            <w:vAlign w:val="center"/>
          </w:tcPr>
          <w:p w14:paraId="4ECF827E" w14:textId="77777777" w:rsidR="001D2587" w:rsidRPr="00C92B1B" w:rsidRDefault="001D2587" w:rsidP="005C7955">
            <w:pPr>
              <w:keepNext/>
              <w:keepLines/>
              <w:suppressAutoHyphens/>
              <w:spacing w:line="240" w:lineRule="atLeast"/>
              <w:jc w:val="center"/>
              <w:rPr>
                <w:sz w:val="16"/>
                <w:szCs w:val="18"/>
                <w:lang w:val="en-GB" w:eastAsia="el-GR"/>
              </w:rPr>
            </w:pPr>
          </w:p>
        </w:tc>
        <w:tc>
          <w:tcPr>
            <w:tcW w:w="2268" w:type="dxa"/>
            <w:noWrap/>
            <w:vAlign w:val="center"/>
          </w:tcPr>
          <w:p w14:paraId="09CE020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276" w:type="dxa"/>
            <w:noWrap/>
            <w:vAlign w:val="center"/>
          </w:tcPr>
          <w:p w14:paraId="3F31843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9AAF7F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3.27E+10</w:t>
            </w:r>
          </w:p>
        </w:tc>
        <w:tc>
          <w:tcPr>
            <w:tcW w:w="1134" w:type="dxa"/>
            <w:noWrap/>
            <w:vAlign w:val="center"/>
          </w:tcPr>
          <w:p w14:paraId="5EF8B15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9.48E+09</w:t>
            </w:r>
          </w:p>
        </w:tc>
        <w:tc>
          <w:tcPr>
            <w:tcW w:w="1276" w:type="dxa"/>
            <w:noWrap/>
            <w:vAlign w:val="center"/>
          </w:tcPr>
          <w:p w14:paraId="05B7A621"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eastAsia="el-GR"/>
              </w:rPr>
              <w:t>5.8</w:t>
            </w:r>
            <w:r w:rsidRPr="00C92B1B">
              <w:rPr>
                <w:sz w:val="16"/>
                <w:szCs w:val="18"/>
                <w:lang w:val="en-GB"/>
              </w:rPr>
              <w:t>9E+09</w:t>
            </w:r>
          </w:p>
        </w:tc>
      </w:tr>
      <w:tr w:rsidR="001D2587" w:rsidRPr="000855B2" w14:paraId="3689779B" w14:textId="77777777" w:rsidTr="00887829">
        <w:trPr>
          <w:cantSplit/>
          <w:trHeight w:val="300"/>
        </w:trPr>
        <w:tc>
          <w:tcPr>
            <w:tcW w:w="1384" w:type="dxa"/>
            <w:vMerge/>
            <w:vAlign w:val="center"/>
          </w:tcPr>
          <w:p w14:paraId="7E852E37" w14:textId="77777777" w:rsidR="001D2587" w:rsidRPr="00C92B1B" w:rsidRDefault="001D2587" w:rsidP="005C7955">
            <w:pPr>
              <w:keepNext/>
              <w:keepLines/>
              <w:suppressAutoHyphens/>
              <w:spacing w:line="240" w:lineRule="atLeast"/>
              <w:jc w:val="center"/>
              <w:rPr>
                <w:sz w:val="16"/>
                <w:szCs w:val="18"/>
                <w:lang w:val="en-GB"/>
              </w:rPr>
            </w:pPr>
          </w:p>
        </w:tc>
        <w:tc>
          <w:tcPr>
            <w:tcW w:w="2268" w:type="dxa"/>
            <w:noWrap/>
            <w:vAlign w:val="center"/>
          </w:tcPr>
          <w:p w14:paraId="564AE798" w14:textId="77777777" w:rsidR="001D2587" w:rsidRPr="00C92B1B" w:rsidRDefault="001D2587" w:rsidP="005C7955">
            <w:pPr>
              <w:keepNext/>
              <w:keepLines/>
              <w:suppressAutoHyphens/>
              <w:spacing w:line="240" w:lineRule="atLeast"/>
              <w:rPr>
                <w:sz w:val="16"/>
                <w:szCs w:val="18"/>
                <w:lang w:val="en-GB"/>
              </w:rPr>
            </w:pPr>
            <w:r w:rsidRPr="00C92B1B">
              <w:rPr>
                <w:sz w:val="16"/>
                <w:szCs w:val="18"/>
                <w:lang w:val="en-GB"/>
              </w:rPr>
              <w:t xml:space="preserve">Euro V + </w:t>
            </w:r>
            <w:smartTag w:uri="urn:schemas-microsoft-com:office:smarttags" w:element="stockticker">
              <w:r w:rsidRPr="00C92B1B">
                <w:rPr>
                  <w:sz w:val="16"/>
                  <w:szCs w:val="18"/>
                  <w:lang w:val="en-GB"/>
                </w:rPr>
                <w:t>SCR</w:t>
              </w:r>
            </w:smartTag>
          </w:p>
        </w:tc>
        <w:tc>
          <w:tcPr>
            <w:tcW w:w="1276" w:type="dxa"/>
            <w:noWrap/>
            <w:vAlign w:val="center"/>
          </w:tcPr>
          <w:p w14:paraId="12A3968D"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10</w:t>
            </w:r>
            <w:r w:rsidR="00BC5284" w:rsidRPr="00C92B1B">
              <w:rPr>
                <w:sz w:val="16"/>
                <w:szCs w:val="18"/>
                <w:lang w:val="en-GB"/>
              </w:rPr>
              <w:t>–</w:t>
            </w:r>
            <w:r w:rsidRPr="00C92B1B">
              <w:rPr>
                <w:sz w:val="16"/>
                <w:szCs w:val="18"/>
                <w:lang w:val="en-GB"/>
              </w:rPr>
              <w:t>110</w:t>
            </w:r>
          </w:p>
        </w:tc>
        <w:tc>
          <w:tcPr>
            <w:tcW w:w="1134" w:type="dxa"/>
            <w:noWrap/>
            <w:vAlign w:val="center"/>
          </w:tcPr>
          <w:p w14:paraId="28D35B04"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1.57E+13</w:t>
            </w:r>
          </w:p>
        </w:tc>
        <w:tc>
          <w:tcPr>
            <w:tcW w:w="1134" w:type="dxa"/>
            <w:noWrap/>
            <w:vAlign w:val="center"/>
          </w:tcPr>
          <w:p w14:paraId="4F578058"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5.16E+12</w:t>
            </w:r>
          </w:p>
        </w:tc>
        <w:tc>
          <w:tcPr>
            <w:tcW w:w="1276" w:type="dxa"/>
            <w:noWrap/>
            <w:vAlign w:val="center"/>
          </w:tcPr>
          <w:p w14:paraId="6AE38C47"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3.36E+12</w:t>
            </w:r>
          </w:p>
        </w:tc>
      </w:tr>
    </w:tbl>
    <w:p w14:paraId="52BE39DE" w14:textId="77777777" w:rsidR="001D2587" w:rsidRPr="000855B2" w:rsidRDefault="001D2587">
      <w:pPr>
        <w:rPr>
          <w:b/>
          <w:sz w:val="16"/>
          <w:szCs w:val="16"/>
          <w:lang w:val="en-GB" w:eastAsia="el-GR"/>
        </w:rPr>
      </w:pPr>
    </w:p>
    <w:p w14:paraId="66BEDB34" w14:textId="763680AA" w:rsidR="001D2587" w:rsidRPr="00C92B1B" w:rsidRDefault="00A040D1" w:rsidP="00C92B1B">
      <w:pPr>
        <w:pStyle w:val="Caption"/>
      </w:pPr>
      <w:r w:rsidRPr="00C92B1B">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51</w:t>
      </w:r>
      <w:r w:rsidR="00FB454C">
        <w:rPr>
          <w:noProof/>
        </w:rPr>
        <w:fldChar w:fldCharType="end"/>
      </w:r>
      <w:r w:rsidR="001D2587" w:rsidRPr="00C92B1B">
        <w:t xml:space="preserve">: PM characteristics of </w:t>
      </w:r>
      <w:r w:rsidR="00DA3822" w:rsidRPr="00C92B1B">
        <w:t>c</w:t>
      </w:r>
      <w:r w:rsidR="001D2587" w:rsidRPr="00C92B1B">
        <w:t>oaches</w:t>
      </w:r>
    </w:p>
    <w:tbl>
      <w:tblPr>
        <w:tblW w:w="847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242"/>
        <w:gridCol w:w="2410"/>
        <w:gridCol w:w="1418"/>
        <w:gridCol w:w="1134"/>
        <w:gridCol w:w="1134"/>
        <w:gridCol w:w="1134"/>
      </w:tblGrid>
      <w:tr w:rsidR="001D2587" w:rsidRPr="000855B2" w14:paraId="3C735709" w14:textId="77777777" w:rsidTr="00887829">
        <w:trPr>
          <w:cantSplit/>
          <w:trHeight w:val="300"/>
        </w:trPr>
        <w:tc>
          <w:tcPr>
            <w:tcW w:w="1242" w:type="dxa"/>
            <w:vMerge w:val="restart"/>
            <w:tcBorders>
              <w:top w:val="double" w:sz="4" w:space="0" w:color="auto"/>
              <w:left w:val="double" w:sz="4" w:space="0" w:color="auto"/>
              <w:bottom w:val="single" w:sz="12" w:space="0" w:color="auto"/>
              <w:right w:val="single" w:sz="2" w:space="0" w:color="auto"/>
            </w:tcBorders>
            <w:vAlign w:val="center"/>
          </w:tcPr>
          <w:p w14:paraId="42EC46C3"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Pollutant</w:t>
            </w:r>
            <w:r w:rsidR="00DA3822" w:rsidRPr="00C92B1B">
              <w:rPr>
                <w:b/>
                <w:sz w:val="16"/>
                <w:szCs w:val="18"/>
                <w:lang w:val="en-GB" w:eastAsia="el-GR"/>
              </w:rPr>
              <w:t xml:space="preserve"> metric</w:t>
            </w:r>
          </w:p>
        </w:tc>
        <w:tc>
          <w:tcPr>
            <w:tcW w:w="2410" w:type="dxa"/>
            <w:vMerge w:val="restart"/>
            <w:tcBorders>
              <w:top w:val="double" w:sz="4" w:space="0" w:color="auto"/>
              <w:left w:val="single" w:sz="2" w:space="0" w:color="auto"/>
              <w:bottom w:val="single" w:sz="12" w:space="0" w:color="auto"/>
              <w:right w:val="single" w:sz="2" w:space="0" w:color="auto"/>
            </w:tcBorders>
            <w:vAlign w:val="center"/>
          </w:tcPr>
          <w:p w14:paraId="7D637DC1"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s</w:t>
            </w:r>
            <w:r w:rsidRPr="00C92B1B">
              <w:rPr>
                <w:b/>
                <w:sz w:val="16"/>
                <w:szCs w:val="18"/>
                <w:lang w:val="en-GB" w:eastAsia="el-GR"/>
              </w:rPr>
              <w:t>tandard</w:t>
            </w:r>
          </w:p>
        </w:tc>
        <w:tc>
          <w:tcPr>
            <w:tcW w:w="1418" w:type="dxa"/>
            <w:vMerge w:val="restart"/>
            <w:tcBorders>
              <w:top w:val="double" w:sz="4" w:space="0" w:color="auto"/>
              <w:left w:val="single" w:sz="2" w:space="0" w:color="auto"/>
              <w:bottom w:val="single" w:sz="12" w:space="0" w:color="auto"/>
              <w:right w:val="single" w:sz="2" w:space="0" w:color="auto"/>
            </w:tcBorders>
            <w:tcMar>
              <w:left w:w="28" w:type="dxa"/>
              <w:right w:w="28" w:type="dxa"/>
            </w:tcMar>
            <w:vAlign w:val="center"/>
          </w:tcPr>
          <w:p w14:paraId="6CDC49ED"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Speed </w:t>
            </w:r>
            <w:r w:rsidR="00DA3822" w:rsidRPr="00C92B1B">
              <w:rPr>
                <w:b/>
                <w:sz w:val="16"/>
                <w:szCs w:val="18"/>
                <w:lang w:val="en-GB" w:eastAsia="el-GR"/>
              </w:rPr>
              <w:t>r</w:t>
            </w:r>
            <w:r w:rsidRPr="00C92B1B">
              <w:rPr>
                <w:b/>
                <w:sz w:val="16"/>
                <w:szCs w:val="18"/>
                <w:lang w:val="en-GB" w:eastAsia="el-GR"/>
              </w:rPr>
              <w:t>ange [km/h]</w:t>
            </w:r>
          </w:p>
        </w:tc>
        <w:tc>
          <w:tcPr>
            <w:tcW w:w="3402" w:type="dxa"/>
            <w:gridSpan w:val="3"/>
            <w:tcBorders>
              <w:top w:val="double" w:sz="4" w:space="0" w:color="auto"/>
              <w:left w:val="single" w:sz="2" w:space="0" w:color="auto"/>
              <w:bottom w:val="single" w:sz="12" w:space="0" w:color="auto"/>
              <w:right w:val="double" w:sz="4" w:space="0" w:color="auto"/>
            </w:tcBorders>
            <w:vAlign w:val="center"/>
          </w:tcPr>
          <w:p w14:paraId="5A0CE9D4"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f</w:t>
            </w:r>
            <w:r w:rsidRPr="00C92B1B">
              <w:rPr>
                <w:b/>
                <w:sz w:val="16"/>
                <w:szCs w:val="18"/>
                <w:lang w:val="en-GB" w:eastAsia="el-GR"/>
              </w:rPr>
              <w:t>actor</w:t>
            </w:r>
          </w:p>
        </w:tc>
      </w:tr>
      <w:tr w:rsidR="001D2587" w:rsidRPr="000855B2" w14:paraId="7187FF6C" w14:textId="77777777" w:rsidTr="00246BA6">
        <w:trPr>
          <w:cantSplit/>
          <w:trHeight w:val="300"/>
        </w:trPr>
        <w:tc>
          <w:tcPr>
            <w:tcW w:w="1242" w:type="dxa"/>
            <w:vMerge/>
            <w:tcBorders>
              <w:bottom w:val="single" w:sz="12" w:space="0" w:color="auto"/>
            </w:tcBorders>
            <w:vAlign w:val="center"/>
          </w:tcPr>
          <w:p w14:paraId="2FDED920"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2410" w:type="dxa"/>
            <w:vMerge/>
            <w:tcBorders>
              <w:bottom w:val="single" w:sz="12" w:space="0" w:color="auto"/>
            </w:tcBorders>
            <w:vAlign w:val="center"/>
          </w:tcPr>
          <w:p w14:paraId="133C66D6"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418" w:type="dxa"/>
            <w:vMerge/>
            <w:tcBorders>
              <w:bottom w:val="single" w:sz="12" w:space="0" w:color="auto"/>
            </w:tcBorders>
            <w:vAlign w:val="center"/>
          </w:tcPr>
          <w:p w14:paraId="0F41DACA"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134" w:type="dxa"/>
            <w:tcBorders>
              <w:bottom w:val="single" w:sz="12" w:space="0" w:color="auto"/>
            </w:tcBorders>
            <w:vAlign w:val="center"/>
          </w:tcPr>
          <w:p w14:paraId="6C732FF4"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Urban</w:t>
            </w:r>
          </w:p>
        </w:tc>
        <w:tc>
          <w:tcPr>
            <w:tcW w:w="1134" w:type="dxa"/>
            <w:tcBorders>
              <w:bottom w:val="single" w:sz="12" w:space="0" w:color="auto"/>
            </w:tcBorders>
            <w:vAlign w:val="center"/>
          </w:tcPr>
          <w:p w14:paraId="1A0382CD"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Rural</w:t>
            </w:r>
          </w:p>
        </w:tc>
        <w:tc>
          <w:tcPr>
            <w:tcW w:w="1134" w:type="dxa"/>
            <w:tcBorders>
              <w:bottom w:val="single" w:sz="12" w:space="0" w:color="auto"/>
            </w:tcBorders>
            <w:vAlign w:val="center"/>
          </w:tcPr>
          <w:p w14:paraId="13BDC054"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Highway</w:t>
            </w:r>
          </w:p>
        </w:tc>
      </w:tr>
      <w:tr w:rsidR="001D2587" w:rsidRPr="000855B2" w14:paraId="42F265FE" w14:textId="77777777" w:rsidTr="00246BA6">
        <w:trPr>
          <w:cantSplit/>
          <w:trHeight w:val="300"/>
        </w:trPr>
        <w:tc>
          <w:tcPr>
            <w:tcW w:w="1242" w:type="dxa"/>
            <w:vMerge w:val="restart"/>
            <w:tcBorders>
              <w:top w:val="single" w:sz="12" w:space="0" w:color="auto"/>
            </w:tcBorders>
            <w:vAlign w:val="center"/>
          </w:tcPr>
          <w:p w14:paraId="095ED92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Active </w:t>
            </w:r>
            <w:r w:rsidR="00DA3822" w:rsidRPr="00C92B1B">
              <w:rPr>
                <w:sz w:val="16"/>
                <w:szCs w:val="18"/>
                <w:lang w:val="en-GB" w:eastAsia="el-GR"/>
              </w:rPr>
              <w:t>s</w:t>
            </w:r>
            <w:r w:rsidRPr="00C92B1B">
              <w:rPr>
                <w:sz w:val="16"/>
                <w:szCs w:val="18"/>
                <w:lang w:val="en-GB" w:eastAsia="el-GR"/>
              </w:rPr>
              <w:t xml:space="preserve">urface </w:t>
            </w:r>
            <w:r w:rsidR="00DA3822" w:rsidRPr="00C92B1B">
              <w:rPr>
                <w:sz w:val="16"/>
                <w:szCs w:val="18"/>
                <w:lang w:val="en-GB" w:eastAsia="el-GR"/>
              </w:rPr>
              <w:t>a</w:t>
            </w:r>
            <w:r w:rsidRPr="00C92B1B">
              <w:rPr>
                <w:sz w:val="16"/>
                <w:szCs w:val="18"/>
                <w:lang w:val="en-GB" w:eastAsia="el-GR"/>
              </w:rPr>
              <w:t>rea [cm²/km]</w:t>
            </w:r>
          </w:p>
        </w:tc>
        <w:tc>
          <w:tcPr>
            <w:tcW w:w="2410" w:type="dxa"/>
            <w:tcBorders>
              <w:top w:val="single" w:sz="12" w:space="0" w:color="auto"/>
            </w:tcBorders>
            <w:noWrap/>
            <w:vAlign w:val="center"/>
          </w:tcPr>
          <w:p w14:paraId="16BE98C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 xml:space="preserve">and </w:t>
            </w:r>
            <w:smartTag w:uri="urn:schemas-microsoft-com:office:smarttags" w:element="stockticker">
              <w:r w:rsidRPr="00C92B1B">
                <w:rPr>
                  <w:sz w:val="16"/>
                  <w:szCs w:val="18"/>
                  <w:lang w:val="en-GB" w:eastAsia="el-GR"/>
                </w:rPr>
                <w:t>III</w:t>
              </w:r>
            </w:smartTag>
          </w:p>
        </w:tc>
        <w:tc>
          <w:tcPr>
            <w:tcW w:w="1418" w:type="dxa"/>
            <w:tcBorders>
              <w:top w:val="single" w:sz="12" w:space="0" w:color="auto"/>
            </w:tcBorders>
            <w:noWrap/>
            <w:vAlign w:val="center"/>
          </w:tcPr>
          <w:p w14:paraId="28F890D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tcBorders>
              <w:top w:val="single" w:sz="12" w:space="0" w:color="auto"/>
            </w:tcBorders>
            <w:noWrap/>
            <w:vAlign w:val="center"/>
          </w:tcPr>
          <w:p w14:paraId="62D973E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6.75E+05</w:t>
            </w:r>
          </w:p>
        </w:tc>
        <w:tc>
          <w:tcPr>
            <w:tcW w:w="1134" w:type="dxa"/>
            <w:tcBorders>
              <w:top w:val="single" w:sz="12" w:space="0" w:color="auto"/>
            </w:tcBorders>
            <w:noWrap/>
            <w:vAlign w:val="center"/>
          </w:tcPr>
          <w:p w14:paraId="4B41338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2.23E+05</w:t>
            </w:r>
          </w:p>
        </w:tc>
        <w:tc>
          <w:tcPr>
            <w:tcW w:w="1134" w:type="dxa"/>
            <w:tcBorders>
              <w:top w:val="single" w:sz="12" w:space="0" w:color="auto"/>
            </w:tcBorders>
            <w:noWrap/>
            <w:vAlign w:val="center"/>
          </w:tcPr>
          <w:p w14:paraId="1F6363A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2.13E+05</w:t>
            </w:r>
          </w:p>
        </w:tc>
      </w:tr>
      <w:tr w:rsidR="001D2587" w:rsidRPr="000855B2" w14:paraId="25989E92" w14:textId="77777777" w:rsidTr="00887829">
        <w:trPr>
          <w:cantSplit/>
          <w:trHeight w:val="300"/>
        </w:trPr>
        <w:tc>
          <w:tcPr>
            <w:tcW w:w="1242" w:type="dxa"/>
            <w:vMerge/>
            <w:vAlign w:val="center"/>
          </w:tcPr>
          <w:p w14:paraId="683F8BD3"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68E4139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10D05D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4B101C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9.65E+04</w:t>
            </w:r>
          </w:p>
        </w:tc>
        <w:tc>
          <w:tcPr>
            <w:tcW w:w="1134" w:type="dxa"/>
            <w:noWrap/>
            <w:vAlign w:val="center"/>
          </w:tcPr>
          <w:p w14:paraId="359EFD1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1.98E+04</w:t>
            </w:r>
          </w:p>
        </w:tc>
        <w:tc>
          <w:tcPr>
            <w:tcW w:w="1134" w:type="dxa"/>
            <w:noWrap/>
            <w:vAlign w:val="center"/>
          </w:tcPr>
          <w:p w14:paraId="2F6089F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1.81E+04</w:t>
            </w:r>
          </w:p>
        </w:tc>
      </w:tr>
      <w:tr w:rsidR="001D2587" w:rsidRPr="000855B2" w14:paraId="1BDC7D96" w14:textId="77777777" w:rsidTr="00887829">
        <w:trPr>
          <w:cantSplit/>
          <w:trHeight w:val="300"/>
        </w:trPr>
        <w:tc>
          <w:tcPr>
            <w:tcW w:w="1242" w:type="dxa"/>
            <w:vMerge/>
            <w:vAlign w:val="center"/>
          </w:tcPr>
          <w:p w14:paraId="6B080D78"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2EF9AAE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3B1E58E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646635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1.09E+06</w:t>
            </w:r>
          </w:p>
        </w:tc>
        <w:tc>
          <w:tcPr>
            <w:tcW w:w="1134" w:type="dxa"/>
            <w:noWrap/>
            <w:vAlign w:val="center"/>
          </w:tcPr>
          <w:p w14:paraId="255E32B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3.77E+05</w:t>
            </w:r>
          </w:p>
        </w:tc>
        <w:tc>
          <w:tcPr>
            <w:tcW w:w="1134" w:type="dxa"/>
            <w:noWrap/>
            <w:vAlign w:val="center"/>
          </w:tcPr>
          <w:p w14:paraId="29CC40B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3.26E+05</w:t>
            </w:r>
          </w:p>
        </w:tc>
      </w:tr>
      <w:tr w:rsidR="001D2587" w:rsidRPr="000855B2" w14:paraId="49176DBE" w14:textId="77777777" w:rsidTr="00887829">
        <w:trPr>
          <w:cantSplit/>
          <w:trHeight w:val="300"/>
        </w:trPr>
        <w:tc>
          <w:tcPr>
            <w:tcW w:w="1242" w:type="dxa"/>
            <w:vMerge/>
            <w:vAlign w:val="center"/>
          </w:tcPr>
          <w:p w14:paraId="74CA9EAF"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1C368C7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73B6C86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6331333"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0746811"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7CC91429"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48AB24D8" w14:textId="77777777" w:rsidTr="00887829">
        <w:trPr>
          <w:cantSplit/>
          <w:trHeight w:val="300"/>
        </w:trPr>
        <w:tc>
          <w:tcPr>
            <w:tcW w:w="1242" w:type="dxa"/>
            <w:vMerge/>
            <w:vAlign w:val="center"/>
          </w:tcPr>
          <w:p w14:paraId="22D9EDD0"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1D850B9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141AA78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5D9AA430"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1099A8B9"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71EA682B"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408FF69A" w14:textId="77777777" w:rsidTr="00887829">
        <w:trPr>
          <w:cantSplit/>
          <w:trHeight w:val="300"/>
        </w:trPr>
        <w:tc>
          <w:tcPr>
            <w:tcW w:w="1242" w:type="dxa"/>
            <w:vMerge w:val="restart"/>
            <w:vAlign w:val="center"/>
          </w:tcPr>
          <w:p w14:paraId="68B1499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Total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[#/km]</w:t>
            </w:r>
          </w:p>
        </w:tc>
        <w:tc>
          <w:tcPr>
            <w:tcW w:w="2410" w:type="dxa"/>
            <w:noWrap/>
            <w:vAlign w:val="center"/>
          </w:tcPr>
          <w:p w14:paraId="7461C90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6669E5D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7A329E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8.23E+14</w:t>
            </w:r>
          </w:p>
        </w:tc>
        <w:tc>
          <w:tcPr>
            <w:tcW w:w="1134" w:type="dxa"/>
            <w:noWrap/>
            <w:vAlign w:val="center"/>
          </w:tcPr>
          <w:p w14:paraId="198BFAC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5.09E+14</w:t>
            </w:r>
          </w:p>
        </w:tc>
        <w:tc>
          <w:tcPr>
            <w:tcW w:w="1134" w:type="dxa"/>
            <w:noWrap/>
            <w:vAlign w:val="center"/>
          </w:tcPr>
          <w:p w14:paraId="2A209F6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9.28E+14</w:t>
            </w:r>
          </w:p>
        </w:tc>
      </w:tr>
      <w:tr w:rsidR="001D2587" w:rsidRPr="000855B2" w14:paraId="0FD7560C" w14:textId="77777777" w:rsidTr="00887829">
        <w:trPr>
          <w:cantSplit/>
          <w:trHeight w:val="300"/>
        </w:trPr>
        <w:tc>
          <w:tcPr>
            <w:tcW w:w="1242" w:type="dxa"/>
            <w:vMerge/>
            <w:vAlign w:val="center"/>
          </w:tcPr>
          <w:p w14:paraId="6DF45705"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51BB5C4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1BD07E4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889BCF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3.25E+14</w:t>
            </w:r>
          </w:p>
        </w:tc>
        <w:tc>
          <w:tcPr>
            <w:tcW w:w="1134" w:type="dxa"/>
            <w:noWrap/>
            <w:vAlign w:val="center"/>
          </w:tcPr>
          <w:p w14:paraId="47223E2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5.34E+13</w:t>
            </w:r>
          </w:p>
        </w:tc>
        <w:tc>
          <w:tcPr>
            <w:tcW w:w="1134" w:type="dxa"/>
            <w:noWrap/>
            <w:vAlign w:val="center"/>
          </w:tcPr>
          <w:p w14:paraId="07B6EE0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7.28E+13</w:t>
            </w:r>
          </w:p>
        </w:tc>
      </w:tr>
      <w:tr w:rsidR="001D2587" w:rsidRPr="000855B2" w14:paraId="280EC1B0" w14:textId="77777777" w:rsidTr="00887829">
        <w:trPr>
          <w:cantSplit/>
          <w:trHeight w:val="300"/>
        </w:trPr>
        <w:tc>
          <w:tcPr>
            <w:tcW w:w="1242" w:type="dxa"/>
            <w:vMerge/>
            <w:vAlign w:val="center"/>
          </w:tcPr>
          <w:p w14:paraId="530CBE5C"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2AEFAB8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47937D2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034523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9.16E+14</w:t>
            </w:r>
          </w:p>
        </w:tc>
        <w:tc>
          <w:tcPr>
            <w:tcW w:w="1134" w:type="dxa"/>
            <w:noWrap/>
            <w:vAlign w:val="center"/>
          </w:tcPr>
          <w:p w14:paraId="724247F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6.35E+14</w:t>
            </w:r>
          </w:p>
        </w:tc>
        <w:tc>
          <w:tcPr>
            <w:tcW w:w="1134" w:type="dxa"/>
            <w:noWrap/>
            <w:vAlign w:val="center"/>
          </w:tcPr>
          <w:p w14:paraId="73D0B07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1.06E+15</w:t>
            </w:r>
          </w:p>
        </w:tc>
      </w:tr>
      <w:tr w:rsidR="001D2587" w:rsidRPr="000855B2" w14:paraId="02989A84" w14:textId="77777777" w:rsidTr="00887829">
        <w:trPr>
          <w:cantSplit/>
          <w:trHeight w:val="300"/>
        </w:trPr>
        <w:tc>
          <w:tcPr>
            <w:tcW w:w="1242" w:type="dxa"/>
            <w:vMerge/>
            <w:vAlign w:val="center"/>
          </w:tcPr>
          <w:p w14:paraId="59294B89"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2043B55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60918E8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B15671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7.29E+12</w:t>
            </w:r>
          </w:p>
        </w:tc>
        <w:tc>
          <w:tcPr>
            <w:tcW w:w="1134" w:type="dxa"/>
            <w:noWrap/>
            <w:vAlign w:val="center"/>
          </w:tcPr>
          <w:p w14:paraId="0F2006D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4.03E+12</w:t>
            </w:r>
          </w:p>
        </w:tc>
        <w:tc>
          <w:tcPr>
            <w:tcW w:w="1134" w:type="dxa"/>
            <w:noWrap/>
            <w:vAlign w:val="center"/>
          </w:tcPr>
          <w:p w14:paraId="5AB23B4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2.42E+12</w:t>
            </w:r>
          </w:p>
        </w:tc>
      </w:tr>
      <w:tr w:rsidR="001D2587" w:rsidRPr="000855B2" w14:paraId="1C4A6721" w14:textId="77777777" w:rsidTr="00887829">
        <w:trPr>
          <w:cantSplit/>
          <w:trHeight w:val="300"/>
        </w:trPr>
        <w:tc>
          <w:tcPr>
            <w:tcW w:w="1242" w:type="dxa"/>
            <w:vMerge/>
            <w:vAlign w:val="center"/>
          </w:tcPr>
          <w:p w14:paraId="336C6244"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600299E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5ED7238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7E7B18D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2.15E+13</w:t>
            </w:r>
          </w:p>
        </w:tc>
        <w:tc>
          <w:tcPr>
            <w:tcW w:w="1134" w:type="dxa"/>
            <w:noWrap/>
            <w:vAlign w:val="center"/>
          </w:tcPr>
          <w:p w14:paraId="537489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1.24E+13</w:t>
            </w:r>
          </w:p>
        </w:tc>
        <w:tc>
          <w:tcPr>
            <w:tcW w:w="1134" w:type="dxa"/>
            <w:noWrap/>
            <w:vAlign w:val="center"/>
          </w:tcPr>
          <w:p w14:paraId="38DD491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1.01E+13</w:t>
            </w:r>
          </w:p>
        </w:tc>
      </w:tr>
      <w:tr w:rsidR="001D2587" w:rsidRPr="000855B2" w14:paraId="51551660" w14:textId="77777777" w:rsidTr="00887829">
        <w:trPr>
          <w:cantSplit/>
          <w:trHeight w:val="300"/>
        </w:trPr>
        <w:tc>
          <w:tcPr>
            <w:tcW w:w="1242" w:type="dxa"/>
            <w:vMerge w:val="restart"/>
            <w:vAlign w:val="center"/>
          </w:tcPr>
          <w:p w14:paraId="6D631A0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 xml:space="preserve">umber </w:t>
            </w:r>
            <w:r w:rsidR="00D205E2" w:rsidRPr="00C92B1B">
              <w:rPr>
                <w:sz w:val="16"/>
                <w:szCs w:val="18"/>
                <w:lang w:val="en-GB" w:eastAsia="el-GR"/>
              </w:rPr>
              <w:t>&lt; </w:t>
            </w:r>
            <w:r w:rsidRPr="00C92B1B">
              <w:rPr>
                <w:sz w:val="16"/>
                <w:szCs w:val="18"/>
                <w:lang w:val="en-GB" w:eastAsia="el-GR"/>
              </w:rPr>
              <w:t>50</w:t>
            </w:r>
            <w:r w:rsidR="000F3E28" w:rsidRPr="00C92B1B">
              <w:rPr>
                <w:sz w:val="16"/>
                <w:szCs w:val="18"/>
                <w:lang w:val="en-GB" w:eastAsia="el-GR"/>
              </w:rPr>
              <w:t> nm</w:t>
            </w:r>
            <w:r w:rsidRPr="00C92B1B">
              <w:rPr>
                <w:sz w:val="16"/>
                <w:szCs w:val="18"/>
                <w:lang w:val="en-GB" w:eastAsia="el-GR"/>
              </w:rPr>
              <w:t xml:space="preserve"> [#/km]</w:t>
            </w:r>
          </w:p>
        </w:tc>
        <w:tc>
          <w:tcPr>
            <w:tcW w:w="2410" w:type="dxa"/>
            <w:noWrap/>
            <w:vAlign w:val="center"/>
          </w:tcPr>
          <w:p w14:paraId="0DEB665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1AC2477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A3C5F9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1.49E+14</w:t>
            </w:r>
          </w:p>
        </w:tc>
        <w:tc>
          <w:tcPr>
            <w:tcW w:w="1134" w:type="dxa"/>
            <w:noWrap/>
            <w:vAlign w:val="center"/>
          </w:tcPr>
          <w:p w14:paraId="692D23D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5.68E+13</w:t>
            </w:r>
          </w:p>
        </w:tc>
        <w:tc>
          <w:tcPr>
            <w:tcW w:w="1134" w:type="dxa"/>
            <w:noWrap/>
            <w:vAlign w:val="center"/>
          </w:tcPr>
          <w:p w14:paraId="03C5AB9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6.16E+13</w:t>
            </w:r>
          </w:p>
        </w:tc>
      </w:tr>
      <w:tr w:rsidR="001D2587" w:rsidRPr="000855B2" w14:paraId="507920F1" w14:textId="77777777" w:rsidTr="00887829">
        <w:trPr>
          <w:cantSplit/>
          <w:trHeight w:val="300"/>
        </w:trPr>
        <w:tc>
          <w:tcPr>
            <w:tcW w:w="1242" w:type="dxa"/>
            <w:vMerge/>
            <w:vAlign w:val="center"/>
          </w:tcPr>
          <w:p w14:paraId="48483C23"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1637EDB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7AA69D7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4F44D0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4.63E+12</w:t>
            </w:r>
          </w:p>
        </w:tc>
        <w:tc>
          <w:tcPr>
            <w:tcW w:w="1134" w:type="dxa"/>
            <w:noWrap/>
            <w:vAlign w:val="center"/>
          </w:tcPr>
          <w:p w14:paraId="0B3BDB3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2.11E+12</w:t>
            </w:r>
          </w:p>
        </w:tc>
        <w:tc>
          <w:tcPr>
            <w:tcW w:w="1134" w:type="dxa"/>
            <w:noWrap/>
            <w:vAlign w:val="center"/>
          </w:tcPr>
          <w:p w14:paraId="12548B8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3.47E+12</w:t>
            </w:r>
          </w:p>
        </w:tc>
      </w:tr>
      <w:tr w:rsidR="001D2587" w:rsidRPr="000855B2" w14:paraId="539DDCE7" w14:textId="77777777" w:rsidTr="00887829">
        <w:trPr>
          <w:cantSplit/>
          <w:trHeight w:val="300"/>
        </w:trPr>
        <w:tc>
          <w:tcPr>
            <w:tcW w:w="1242" w:type="dxa"/>
            <w:vMerge/>
            <w:vAlign w:val="center"/>
          </w:tcPr>
          <w:p w14:paraId="51F19D29"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3D26FF0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1C1317F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238B702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1.43E+14</w:t>
            </w:r>
          </w:p>
        </w:tc>
        <w:tc>
          <w:tcPr>
            <w:tcW w:w="1134" w:type="dxa"/>
            <w:noWrap/>
            <w:vAlign w:val="center"/>
          </w:tcPr>
          <w:p w14:paraId="375AEAC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5.89E+13</w:t>
            </w:r>
          </w:p>
        </w:tc>
        <w:tc>
          <w:tcPr>
            <w:tcW w:w="1134" w:type="dxa"/>
            <w:noWrap/>
            <w:vAlign w:val="center"/>
          </w:tcPr>
          <w:p w14:paraId="35ECAC6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6.36E+13</w:t>
            </w:r>
          </w:p>
        </w:tc>
      </w:tr>
      <w:tr w:rsidR="001D2587" w:rsidRPr="000855B2" w14:paraId="2AF6EF26" w14:textId="77777777" w:rsidTr="00887829">
        <w:trPr>
          <w:cantSplit/>
          <w:trHeight w:val="300"/>
        </w:trPr>
        <w:tc>
          <w:tcPr>
            <w:tcW w:w="1242" w:type="dxa"/>
            <w:vMerge/>
            <w:vAlign w:val="center"/>
          </w:tcPr>
          <w:p w14:paraId="6A3077B0"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606C78B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3C61211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7540145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1.53E+10</w:t>
            </w:r>
          </w:p>
        </w:tc>
        <w:tc>
          <w:tcPr>
            <w:tcW w:w="1134" w:type="dxa"/>
            <w:noWrap/>
            <w:vAlign w:val="center"/>
          </w:tcPr>
          <w:p w14:paraId="3658963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7.27E+09</w:t>
            </w:r>
          </w:p>
        </w:tc>
        <w:tc>
          <w:tcPr>
            <w:tcW w:w="1134" w:type="dxa"/>
            <w:noWrap/>
            <w:vAlign w:val="center"/>
          </w:tcPr>
          <w:p w14:paraId="7F884CC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6.76E+09</w:t>
            </w:r>
          </w:p>
        </w:tc>
      </w:tr>
      <w:tr w:rsidR="001D2587" w:rsidRPr="000855B2" w14:paraId="72E33BCA" w14:textId="77777777" w:rsidTr="00887829">
        <w:trPr>
          <w:cantSplit/>
          <w:trHeight w:val="300"/>
        </w:trPr>
        <w:tc>
          <w:tcPr>
            <w:tcW w:w="1242" w:type="dxa"/>
            <w:vMerge/>
            <w:vAlign w:val="center"/>
          </w:tcPr>
          <w:p w14:paraId="5E4151C1"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0AEA47D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58D3883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61E19F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9.92E+12</w:t>
            </w:r>
          </w:p>
        </w:tc>
        <w:tc>
          <w:tcPr>
            <w:tcW w:w="1134" w:type="dxa"/>
            <w:noWrap/>
            <w:vAlign w:val="center"/>
          </w:tcPr>
          <w:p w14:paraId="0BD642F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3.27E+12</w:t>
            </w:r>
          </w:p>
        </w:tc>
        <w:tc>
          <w:tcPr>
            <w:tcW w:w="1134" w:type="dxa"/>
            <w:noWrap/>
            <w:vAlign w:val="center"/>
          </w:tcPr>
          <w:p w14:paraId="35D2CBD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1.69E+12</w:t>
            </w:r>
          </w:p>
        </w:tc>
      </w:tr>
      <w:tr w:rsidR="001D2587" w:rsidRPr="000855B2" w14:paraId="1D573B9B" w14:textId="77777777" w:rsidTr="00887829">
        <w:trPr>
          <w:cantSplit/>
          <w:trHeight w:val="300"/>
        </w:trPr>
        <w:tc>
          <w:tcPr>
            <w:tcW w:w="1242" w:type="dxa"/>
            <w:vMerge w:val="restart"/>
            <w:vAlign w:val="center"/>
          </w:tcPr>
          <w:p w14:paraId="1279AD2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50</w:t>
            </w:r>
            <w:r w:rsidR="00670618" w:rsidRPr="00C92B1B">
              <w:rPr>
                <w:sz w:val="16"/>
                <w:szCs w:val="18"/>
                <w:lang w:val="en-GB"/>
              </w:rPr>
              <w:t>–</w:t>
            </w:r>
            <w:r w:rsidRPr="00C92B1B">
              <w:rPr>
                <w:sz w:val="16"/>
                <w:szCs w:val="18"/>
                <w:lang w:val="en-GB" w:eastAsia="el-GR"/>
              </w:rPr>
              <w:t>100</w:t>
            </w:r>
            <w:r w:rsidR="000F3E28" w:rsidRPr="00C92B1B">
              <w:rPr>
                <w:sz w:val="16"/>
                <w:szCs w:val="18"/>
                <w:lang w:val="en-GB" w:eastAsia="el-GR"/>
              </w:rPr>
              <w:t> nm</w:t>
            </w:r>
            <w:r w:rsidRPr="00C92B1B">
              <w:rPr>
                <w:sz w:val="16"/>
                <w:szCs w:val="18"/>
                <w:lang w:val="en-GB" w:eastAsia="el-GR"/>
              </w:rPr>
              <w:t xml:space="preserve"> [#/km]</w:t>
            </w:r>
          </w:p>
        </w:tc>
        <w:tc>
          <w:tcPr>
            <w:tcW w:w="2410" w:type="dxa"/>
            <w:noWrap/>
            <w:vAlign w:val="center"/>
          </w:tcPr>
          <w:p w14:paraId="60F51CF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3665217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60C1EE7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1.72E+14</w:t>
            </w:r>
          </w:p>
        </w:tc>
        <w:tc>
          <w:tcPr>
            <w:tcW w:w="1134" w:type="dxa"/>
            <w:noWrap/>
            <w:vAlign w:val="center"/>
          </w:tcPr>
          <w:p w14:paraId="0AE5CDA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6.08E+13</w:t>
            </w:r>
          </w:p>
        </w:tc>
        <w:tc>
          <w:tcPr>
            <w:tcW w:w="1134" w:type="dxa"/>
            <w:noWrap/>
            <w:vAlign w:val="center"/>
          </w:tcPr>
          <w:p w14:paraId="2D0E6C2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5.65E+13</w:t>
            </w:r>
          </w:p>
        </w:tc>
      </w:tr>
      <w:tr w:rsidR="001D2587" w:rsidRPr="000855B2" w14:paraId="16CDFFAB" w14:textId="77777777" w:rsidTr="00887829">
        <w:trPr>
          <w:cantSplit/>
          <w:trHeight w:val="300"/>
        </w:trPr>
        <w:tc>
          <w:tcPr>
            <w:tcW w:w="1242" w:type="dxa"/>
            <w:vMerge/>
            <w:vAlign w:val="center"/>
          </w:tcPr>
          <w:p w14:paraId="36966853"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432D08C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31B67ED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12D52C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3.96E+12</w:t>
            </w:r>
          </w:p>
        </w:tc>
        <w:tc>
          <w:tcPr>
            <w:tcW w:w="1134" w:type="dxa"/>
            <w:noWrap/>
            <w:vAlign w:val="center"/>
          </w:tcPr>
          <w:p w14:paraId="02CC7CA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1.60E+12</w:t>
            </w:r>
          </w:p>
        </w:tc>
        <w:tc>
          <w:tcPr>
            <w:tcW w:w="1134" w:type="dxa"/>
            <w:noWrap/>
            <w:vAlign w:val="center"/>
          </w:tcPr>
          <w:p w14:paraId="79D5B6A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2.10E+12</w:t>
            </w:r>
          </w:p>
        </w:tc>
      </w:tr>
      <w:tr w:rsidR="001D2587" w:rsidRPr="000855B2" w14:paraId="7253DB93" w14:textId="77777777" w:rsidTr="00887829">
        <w:trPr>
          <w:cantSplit/>
          <w:trHeight w:val="300"/>
        </w:trPr>
        <w:tc>
          <w:tcPr>
            <w:tcW w:w="1242" w:type="dxa"/>
            <w:vMerge/>
            <w:vAlign w:val="center"/>
          </w:tcPr>
          <w:p w14:paraId="77D5EE0D"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651A6BF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41ADF87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A21DD7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1.88E+14</w:t>
            </w:r>
          </w:p>
        </w:tc>
        <w:tc>
          <w:tcPr>
            <w:tcW w:w="1134" w:type="dxa"/>
            <w:noWrap/>
            <w:vAlign w:val="center"/>
          </w:tcPr>
          <w:p w14:paraId="103A488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6.86E+13</w:t>
            </w:r>
          </w:p>
        </w:tc>
        <w:tc>
          <w:tcPr>
            <w:tcW w:w="1134" w:type="dxa"/>
            <w:noWrap/>
            <w:vAlign w:val="center"/>
          </w:tcPr>
          <w:p w14:paraId="26FDD15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6.01E+13</w:t>
            </w:r>
          </w:p>
        </w:tc>
      </w:tr>
      <w:tr w:rsidR="001D2587" w:rsidRPr="000855B2" w14:paraId="3EE981F2" w14:textId="77777777" w:rsidTr="00887829">
        <w:trPr>
          <w:cantSplit/>
          <w:trHeight w:val="300"/>
        </w:trPr>
        <w:tc>
          <w:tcPr>
            <w:tcW w:w="1242" w:type="dxa"/>
            <w:vMerge/>
            <w:vAlign w:val="center"/>
          </w:tcPr>
          <w:p w14:paraId="161B9DBA"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3C7E9DD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607A46E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DFFDBA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1.28E+10</w:t>
            </w:r>
          </w:p>
        </w:tc>
        <w:tc>
          <w:tcPr>
            <w:tcW w:w="1134" w:type="dxa"/>
            <w:noWrap/>
            <w:vAlign w:val="center"/>
          </w:tcPr>
          <w:p w14:paraId="6B9B2CB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4.68E+09</w:t>
            </w:r>
          </w:p>
        </w:tc>
        <w:tc>
          <w:tcPr>
            <w:tcW w:w="1134" w:type="dxa"/>
            <w:noWrap/>
            <w:vAlign w:val="center"/>
          </w:tcPr>
          <w:p w14:paraId="3B0EB95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3.19E+09</w:t>
            </w:r>
          </w:p>
        </w:tc>
      </w:tr>
      <w:tr w:rsidR="001D2587" w:rsidRPr="000855B2" w14:paraId="42D1707D" w14:textId="77777777" w:rsidTr="00887829">
        <w:trPr>
          <w:cantSplit/>
          <w:trHeight w:val="300"/>
        </w:trPr>
        <w:tc>
          <w:tcPr>
            <w:tcW w:w="1242" w:type="dxa"/>
            <w:vMerge/>
            <w:vAlign w:val="center"/>
          </w:tcPr>
          <w:p w14:paraId="1F2AE8FF" w14:textId="77777777" w:rsidR="001D2587" w:rsidRPr="00C92B1B" w:rsidRDefault="001D2587" w:rsidP="005C7955">
            <w:pPr>
              <w:keepNext/>
              <w:keepLines/>
              <w:suppressAutoHyphens/>
              <w:spacing w:line="240" w:lineRule="atLeast"/>
              <w:rPr>
                <w:sz w:val="16"/>
                <w:szCs w:val="18"/>
                <w:lang w:val="en-GB" w:eastAsia="el-GR"/>
              </w:rPr>
            </w:pPr>
          </w:p>
        </w:tc>
        <w:tc>
          <w:tcPr>
            <w:tcW w:w="2410" w:type="dxa"/>
            <w:noWrap/>
            <w:vAlign w:val="center"/>
          </w:tcPr>
          <w:p w14:paraId="4C394E6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1418" w:type="dxa"/>
            <w:noWrap/>
            <w:vAlign w:val="center"/>
          </w:tcPr>
          <w:p w14:paraId="4D82E35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157A95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1.14E+13</w:t>
            </w:r>
          </w:p>
        </w:tc>
        <w:tc>
          <w:tcPr>
            <w:tcW w:w="1134" w:type="dxa"/>
            <w:noWrap/>
            <w:vAlign w:val="center"/>
          </w:tcPr>
          <w:p w14:paraId="0B074AD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3.49E+12</w:t>
            </w:r>
          </w:p>
        </w:tc>
        <w:tc>
          <w:tcPr>
            <w:tcW w:w="1134" w:type="dxa"/>
            <w:noWrap/>
            <w:vAlign w:val="center"/>
          </w:tcPr>
          <w:p w14:paraId="31CDE4D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1.73E+12</w:t>
            </w:r>
          </w:p>
        </w:tc>
      </w:tr>
      <w:tr w:rsidR="001D2587" w:rsidRPr="000855B2" w14:paraId="38826C33" w14:textId="77777777" w:rsidTr="00887829">
        <w:trPr>
          <w:cantSplit/>
          <w:trHeight w:val="300"/>
        </w:trPr>
        <w:tc>
          <w:tcPr>
            <w:tcW w:w="1242" w:type="dxa"/>
            <w:vMerge w:val="restart"/>
            <w:vAlign w:val="center"/>
          </w:tcPr>
          <w:p w14:paraId="77D5377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100</w:t>
            </w:r>
            <w:r w:rsidR="00670618" w:rsidRPr="00C92B1B">
              <w:rPr>
                <w:sz w:val="16"/>
                <w:szCs w:val="18"/>
                <w:lang w:val="en-GB"/>
              </w:rPr>
              <w:t>–</w:t>
            </w:r>
            <w:r w:rsidRPr="00C92B1B">
              <w:rPr>
                <w:sz w:val="16"/>
                <w:szCs w:val="18"/>
                <w:lang w:val="en-GB" w:eastAsia="el-GR"/>
              </w:rPr>
              <w:t>1</w:t>
            </w:r>
            <w:r w:rsidR="00670618" w:rsidRPr="00C92B1B">
              <w:rPr>
                <w:sz w:val="16"/>
                <w:szCs w:val="18"/>
                <w:lang w:val="en-GB" w:eastAsia="el-GR"/>
              </w:rPr>
              <w:t> </w:t>
            </w:r>
            <w:r w:rsidRPr="00C92B1B">
              <w:rPr>
                <w:sz w:val="16"/>
                <w:szCs w:val="18"/>
                <w:lang w:val="en-GB" w:eastAsia="el-GR"/>
              </w:rPr>
              <w:t>000</w:t>
            </w:r>
            <w:r w:rsidR="000F3E28" w:rsidRPr="00C92B1B">
              <w:rPr>
                <w:sz w:val="16"/>
                <w:szCs w:val="18"/>
                <w:lang w:val="en-GB" w:eastAsia="el-GR"/>
              </w:rPr>
              <w:t> nm</w:t>
            </w:r>
            <w:r w:rsidRPr="00C92B1B">
              <w:rPr>
                <w:sz w:val="16"/>
                <w:szCs w:val="18"/>
                <w:lang w:val="en-GB" w:eastAsia="el-GR"/>
              </w:rPr>
              <w:t xml:space="preserve"> [#/km]</w:t>
            </w:r>
          </w:p>
        </w:tc>
        <w:tc>
          <w:tcPr>
            <w:tcW w:w="2410" w:type="dxa"/>
            <w:noWrap/>
            <w:vAlign w:val="center"/>
          </w:tcPr>
          <w:p w14:paraId="49BD91B8"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1418" w:type="dxa"/>
            <w:noWrap/>
            <w:vAlign w:val="center"/>
          </w:tcPr>
          <w:p w14:paraId="088C106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005DB04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2.49E+14</w:t>
            </w:r>
          </w:p>
        </w:tc>
        <w:tc>
          <w:tcPr>
            <w:tcW w:w="1134" w:type="dxa"/>
            <w:noWrap/>
            <w:vAlign w:val="center"/>
          </w:tcPr>
          <w:p w14:paraId="25409FD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8.11E+13</w:t>
            </w:r>
          </w:p>
        </w:tc>
        <w:tc>
          <w:tcPr>
            <w:tcW w:w="1134" w:type="dxa"/>
            <w:noWrap/>
            <w:vAlign w:val="center"/>
          </w:tcPr>
          <w:p w14:paraId="3B409AE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5.94E+13</w:t>
            </w:r>
          </w:p>
        </w:tc>
      </w:tr>
      <w:tr w:rsidR="001D2587" w:rsidRPr="000855B2" w14:paraId="4CC5BBE8" w14:textId="77777777" w:rsidTr="00887829">
        <w:trPr>
          <w:cantSplit/>
          <w:trHeight w:val="300"/>
        </w:trPr>
        <w:tc>
          <w:tcPr>
            <w:tcW w:w="1242" w:type="dxa"/>
            <w:vMerge/>
            <w:vAlign w:val="center"/>
          </w:tcPr>
          <w:p w14:paraId="7E7DBEC9" w14:textId="77777777" w:rsidR="001D2587" w:rsidRPr="00C92B1B" w:rsidRDefault="001D2587" w:rsidP="005C7955">
            <w:pPr>
              <w:keepNext/>
              <w:keepLines/>
              <w:suppressAutoHyphens/>
              <w:spacing w:line="240" w:lineRule="atLeast"/>
              <w:jc w:val="center"/>
              <w:rPr>
                <w:sz w:val="16"/>
                <w:szCs w:val="18"/>
                <w:lang w:val="en-GB" w:eastAsia="el-GR"/>
              </w:rPr>
            </w:pPr>
          </w:p>
        </w:tc>
        <w:tc>
          <w:tcPr>
            <w:tcW w:w="2410" w:type="dxa"/>
            <w:noWrap/>
            <w:vAlign w:val="center"/>
          </w:tcPr>
          <w:p w14:paraId="390D123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1418" w:type="dxa"/>
            <w:noWrap/>
            <w:vAlign w:val="center"/>
          </w:tcPr>
          <w:p w14:paraId="457FAE4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4E4EAB4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2.74E+12</w:t>
            </w:r>
          </w:p>
        </w:tc>
        <w:tc>
          <w:tcPr>
            <w:tcW w:w="1134" w:type="dxa"/>
            <w:noWrap/>
            <w:vAlign w:val="center"/>
          </w:tcPr>
          <w:p w14:paraId="3B0D541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9.54E+11</w:t>
            </w:r>
          </w:p>
        </w:tc>
        <w:tc>
          <w:tcPr>
            <w:tcW w:w="1134" w:type="dxa"/>
            <w:noWrap/>
            <w:vAlign w:val="center"/>
          </w:tcPr>
          <w:p w14:paraId="096041B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9.30E+11</w:t>
            </w:r>
          </w:p>
        </w:tc>
      </w:tr>
      <w:tr w:rsidR="001D2587" w:rsidRPr="000855B2" w14:paraId="481CD394" w14:textId="77777777" w:rsidTr="00887829">
        <w:trPr>
          <w:cantSplit/>
          <w:trHeight w:val="300"/>
        </w:trPr>
        <w:tc>
          <w:tcPr>
            <w:tcW w:w="1242" w:type="dxa"/>
            <w:vMerge/>
            <w:vAlign w:val="center"/>
          </w:tcPr>
          <w:p w14:paraId="58C6967C" w14:textId="77777777" w:rsidR="001D2587" w:rsidRPr="00C92B1B" w:rsidRDefault="001D2587" w:rsidP="005C7955">
            <w:pPr>
              <w:keepNext/>
              <w:keepLines/>
              <w:suppressAutoHyphens/>
              <w:spacing w:line="240" w:lineRule="atLeast"/>
              <w:jc w:val="center"/>
              <w:rPr>
                <w:sz w:val="16"/>
                <w:szCs w:val="18"/>
                <w:lang w:val="en-GB" w:eastAsia="el-GR"/>
              </w:rPr>
            </w:pPr>
          </w:p>
        </w:tc>
        <w:tc>
          <w:tcPr>
            <w:tcW w:w="2410" w:type="dxa"/>
            <w:noWrap/>
            <w:vAlign w:val="center"/>
          </w:tcPr>
          <w:p w14:paraId="5587FFC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1418" w:type="dxa"/>
            <w:noWrap/>
            <w:vAlign w:val="center"/>
          </w:tcPr>
          <w:p w14:paraId="5D6BF18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111E5E8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3.95E+14</w:t>
            </w:r>
          </w:p>
        </w:tc>
        <w:tc>
          <w:tcPr>
            <w:tcW w:w="1134" w:type="dxa"/>
            <w:noWrap/>
            <w:vAlign w:val="center"/>
          </w:tcPr>
          <w:p w14:paraId="551E272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1.36E+14</w:t>
            </w:r>
          </w:p>
        </w:tc>
        <w:tc>
          <w:tcPr>
            <w:tcW w:w="1134" w:type="dxa"/>
            <w:noWrap/>
            <w:vAlign w:val="center"/>
          </w:tcPr>
          <w:p w14:paraId="00D00A0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9.13E+13</w:t>
            </w:r>
          </w:p>
        </w:tc>
      </w:tr>
      <w:tr w:rsidR="001D2587" w:rsidRPr="000855B2" w14:paraId="3B9F13C4" w14:textId="77777777" w:rsidTr="00887829">
        <w:trPr>
          <w:cantSplit/>
          <w:trHeight w:val="300"/>
        </w:trPr>
        <w:tc>
          <w:tcPr>
            <w:tcW w:w="1242" w:type="dxa"/>
            <w:vMerge/>
            <w:vAlign w:val="center"/>
          </w:tcPr>
          <w:p w14:paraId="14EDC157" w14:textId="77777777" w:rsidR="001D2587" w:rsidRPr="00C92B1B" w:rsidRDefault="001D2587" w:rsidP="005C7955">
            <w:pPr>
              <w:keepNext/>
              <w:keepLines/>
              <w:suppressAutoHyphens/>
              <w:spacing w:line="240" w:lineRule="atLeast"/>
              <w:jc w:val="center"/>
              <w:rPr>
                <w:sz w:val="16"/>
                <w:szCs w:val="18"/>
                <w:lang w:val="en-GB" w:eastAsia="el-GR"/>
              </w:rPr>
            </w:pPr>
          </w:p>
        </w:tc>
        <w:tc>
          <w:tcPr>
            <w:tcW w:w="2410" w:type="dxa"/>
            <w:noWrap/>
            <w:vAlign w:val="center"/>
          </w:tcPr>
          <w:p w14:paraId="001EED1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1418" w:type="dxa"/>
            <w:noWrap/>
            <w:vAlign w:val="center"/>
          </w:tcPr>
          <w:p w14:paraId="3D7B487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134" w:type="dxa"/>
            <w:noWrap/>
            <w:vAlign w:val="center"/>
          </w:tcPr>
          <w:p w14:paraId="3D97589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4.02E+10</w:t>
            </w:r>
          </w:p>
        </w:tc>
        <w:tc>
          <w:tcPr>
            <w:tcW w:w="1134" w:type="dxa"/>
            <w:noWrap/>
            <w:vAlign w:val="center"/>
          </w:tcPr>
          <w:p w14:paraId="722E87E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1.07E+10</w:t>
            </w:r>
          </w:p>
        </w:tc>
        <w:tc>
          <w:tcPr>
            <w:tcW w:w="1134" w:type="dxa"/>
            <w:noWrap/>
            <w:vAlign w:val="center"/>
          </w:tcPr>
          <w:p w14:paraId="7E2063BC"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eastAsia="el-GR"/>
              </w:rPr>
              <w:t>4.8</w:t>
            </w:r>
            <w:r w:rsidRPr="00C92B1B">
              <w:rPr>
                <w:sz w:val="16"/>
                <w:szCs w:val="18"/>
                <w:lang w:val="en-GB"/>
              </w:rPr>
              <w:t>5E+09</w:t>
            </w:r>
          </w:p>
        </w:tc>
      </w:tr>
      <w:tr w:rsidR="001D2587" w:rsidRPr="000855B2" w14:paraId="022B7D36" w14:textId="77777777" w:rsidTr="00887829">
        <w:trPr>
          <w:cantSplit/>
          <w:trHeight w:val="300"/>
        </w:trPr>
        <w:tc>
          <w:tcPr>
            <w:tcW w:w="1242" w:type="dxa"/>
            <w:vMerge/>
            <w:vAlign w:val="center"/>
          </w:tcPr>
          <w:p w14:paraId="60C61267" w14:textId="77777777" w:rsidR="001D2587" w:rsidRPr="00C92B1B" w:rsidRDefault="001D2587" w:rsidP="005C7955">
            <w:pPr>
              <w:keepNext/>
              <w:keepLines/>
              <w:suppressAutoHyphens/>
              <w:spacing w:line="240" w:lineRule="atLeast"/>
              <w:jc w:val="center"/>
              <w:rPr>
                <w:sz w:val="16"/>
                <w:szCs w:val="18"/>
                <w:lang w:val="en-GB"/>
              </w:rPr>
            </w:pPr>
          </w:p>
        </w:tc>
        <w:tc>
          <w:tcPr>
            <w:tcW w:w="2410" w:type="dxa"/>
            <w:noWrap/>
            <w:vAlign w:val="center"/>
          </w:tcPr>
          <w:p w14:paraId="29BCEF35" w14:textId="77777777" w:rsidR="001D2587" w:rsidRPr="00C92B1B" w:rsidRDefault="001D2587" w:rsidP="005C7955">
            <w:pPr>
              <w:keepNext/>
              <w:keepLines/>
              <w:suppressAutoHyphens/>
              <w:spacing w:line="240" w:lineRule="atLeast"/>
              <w:rPr>
                <w:sz w:val="16"/>
                <w:szCs w:val="18"/>
                <w:lang w:val="en-GB"/>
              </w:rPr>
            </w:pPr>
            <w:r w:rsidRPr="00C92B1B">
              <w:rPr>
                <w:sz w:val="16"/>
                <w:szCs w:val="18"/>
                <w:lang w:val="en-GB"/>
              </w:rPr>
              <w:t xml:space="preserve">Euro V + </w:t>
            </w:r>
            <w:smartTag w:uri="urn:schemas-microsoft-com:office:smarttags" w:element="stockticker">
              <w:r w:rsidRPr="00C92B1B">
                <w:rPr>
                  <w:sz w:val="16"/>
                  <w:szCs w:val="18"/>
                  <w:lang w:val="en-GB"/>
                </w:rPr>
                <w:t>SCR</w:t>
              </w:r>
            </w:smartTag>
          </w:p>
        </w:tc>
        <w:tc>
          <w:tcPr>
            <w:tcW w:w="1418" w:type="dxa"/>
            <w:noWrap/>
            <w:vAlign w:val="center"/>
          </w:tcPr>
          <w:p w14:paraId="50318C69"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10</w:t>
            </w:r>
            <w:r w:rsidR="00BC5284" w:rsidRPr="00C92B1B">
              <w:rPr>
                <w:sz w:val="16"/>
                <w:szCs w:val="18"/>
                <w:lang w:val="en-GB"/>
              </w:rPr>
              <w:t>–</w:t>
            </w:r>
            <w:r w:rsidRPr="00C92B1B">
              <w:rPr>
                <w:sz w:val="16"/>
                <w:szCs w:val="18"/>
                <w:lang w:val="en-GB"/>
              </w:rPr>
              <w:t>110</w:t>
            </w:r>
          </w:p>
        </w:tc>
        <w:tc>
          <w:tcPr>
            <w:tcW w:w="1134" w:type="dxa"/>
            <w:noWrap/>
            <w:vAlign w:val="center"/>
          </w:tcPr>
          <w:p w14:paraId="17E46EEA"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1.95E+13</w:t>
            </w:r>
          </w:p>
        </w:tc>
        <w:tc>
          <w:tcPr>
            <w:tcW w:w="1134" w:type="dxa"/>
            <w:noWrap/>
            <w:vAlign w:val="center"/>
          </w:tcPr>
          <w:p w14:paraId="317FC786"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5.89E+12</w:t>
            </w:r>
          </w:p>
        </w:tc>
        <w:tc>
          <w:tcPr>
            <w:tcW w:w="1134" w:type="dxa"/>
            <w:noWrap/>
            <w:vAlign w:val="center"/>
          </w:tcPr>
          <w:p w14:paraId="0E162238"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2.77E+12</w:t>
            </w:r>
          </w:p>
        </w:tc>
      </w:tr>
    </w:tbl>
    <w:p w14:paraId="596F434D" w14:textId="77777777" w:rsidR="001D2587" w:rsidRPr="000855B2" w:rsidRDefault="001D2587">
      <w:pPr>
        <w:rPr>
          <w:lang w:val="en-GB" w:eastAsia="el-GR"/>
        </w:rPr>
      </w:pPr>
    </w:p>
    <w:p w14:paraId="1C75D424" w14:textId="1D0BF423" w:rsidR="001D2587" w:rsidRPr="00C92B1B" w:rsidRDefault="001D2587" w:rsidP="00C92B1B">
      <w:pPr>
        <w:pStyle w:val="Caption"/>
      </w:pPr>
      <w:r w:rsidRPr="00C92B1B">
        <w:br w:type="page"/>
      </w:r>
      <w:r w:rsidR="00A040D1" w:rsidRPr="00C92B1B">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52</w:t>
      </w:r>
      <w:r w:rsidR="00FB454C">
        <w:rPr>
          <w:noProof/>
        </w:rPr>
        <w:fldChar w:fldCharType="end"/>
      </w:r>
      <w:r w:rsidRPr="00C92B1B">
        <w:t>: PM characteristics of HDVs 3.5</w:t>
      </w:r>
      <w:r w:rsidR="00670618" w:rsidRPr="00C92B1B">
        <w:t>–</w:t>
      </w:r>
      <w:r w:rsidRPr="00C92B1B">
        <w:t>7.5</w:t>
      </w:r>
      <w:r w:rsidR="00670618" w:rsidRPr="00C92B1B">
        <w:t> </w:t>
      </w:r>
      <w:r w:rsidRPr="00C92B1B">
        <w:t>t</w:t>
      </w:r>
      <w:r w:rsidR="00DA3822" w:rsidRPr="00C92B1B">
        <w:t>onnes</w:t>
      </w:r>
    </w:p>
    <w:tbl>
      <w:tblPr>
        <w:tblW w:w="8505"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242"/>
        <w:gridCol w:w="2483"/>
        <w:gridCol w:w="1278"/>
        <w:gridCol w:w="1234"/>
        <w:gridCol w:w="1134"/>
        <w:gridCol w:w="1134"/>
      </w:tblGrid>
      <w:tr w:rsidR="001D2587" w:rsidRPr="000855B2" w14:paraId="5B5E1801" w14:textId="77777777" w:rsidTr="00887829">
        <w:trPr>
          <w:cantSplit/>
          <w:trHeight w:val="300"/>
        </w:trPr>
        <w:tc>
          <w:tcPr>
            <w:tcW w:w="1242" w:type="dxa"/>
            <w:vMerge w:val="restart"/>
            <w:vAlign w:val="center"/>
          </w:tcPr>
          <w:p w14:paraId="6F583A86"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Pollutant</w:t>
            </w:r>
            <w:r w:rsidR="00DA3822" w:rsidRPr="00C92B1B">
              <w:rPr>
                <w:b/>
                <w:sz w:val="16"/>
                <w:szCs w:val="18"/>
                <w:lang w:val="en-GB" w:eastAsia="el-GR"/>
              </w:rPr>
              <w:t xml:space="preserve"> metric</w:t>
            </w:r>
          </w:p>
        </w:tc>
        <w:tc>
          <w:tcPr>
            <w:tcW w:w="2483" w:type="dxa"/>
            <w:vMerge w:val="restart"/>
            <w:vAlign w:val="center"/>
          </w:tcPr>
          <w:p w14:paraId="26CA1188"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s</w:t>
            </w:r>
            <w:r w:rsidRPr="00C92B1B">
              <w:rPr>
                <w:b/>
                <w:sz w:val="16"/>
                <w:szCs w:val="18"/>
                <w:lang w:val="en-GB" w:eastAsia="el-GR"/>
              </w:rPr>
              <w:t>tandard</w:t>
            </w:r>
          </w:p>
        </w:tc>
        <w:tc>
          <w:tcPr>
            <w:tcW w:w="1278" w:type="dxa"/>
            <w:vMerge w:val="restart"/>
            <w:tcMar>
              <w:left w:w="28" w:type="dxa"/>
              <w:right w:w="28" w:type="dxa"/>
            </w:tcMar>
            <w:vAlign w:val="center"/>
          </w:tcPr>
          <w:p w14:paraId="310F42C8"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Speed </w:t>
            </w:r>
            <w:r w:rsidR="00DA3822" w:rsidRPr="00C92B1B">
              <w:rPr>
                <w:b/>
                <w:sz w:val="16"/>
                <w:szCs w:val="18"/>
                <w:lang w:val="en-GB" w:eastAsia="el-GR"/>
              </w:rPr>
              <w:t>r</w:t>
            </w:r>
            <w:r w:rsidRPr="00C92B1B">
              <w:rPr>
                <w:b/>
                <w:sz w:val="16"/>
                <w:szCs w:val="18"/>
                <w:lang w:val="en-GB" w:eastAsia="el-GR"/>
              </w:rPr>
              <w:t>ange [km/h]</w:t>
            </w:r>
          </w:p>
        </w:tc>
        <w:tc>
          <w:tcPr>
            <w:tcW w:w="3502" w:type="dxa"/>
            <w:gridSpan w:val="3"/>
            <w:vAlign w:val="center"/>
          </w:tcPr>
          <w:p w14:paraId="3181CB39"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 xml:space="preserve">Emission </w:t>
            </w:r>
            <w:r w:rsidR="00DA3822" w:rsidRPr="00C92B1B">
              <w:rPr>
                <w:b/>
                <w:sz w:val="16"/>
                <w:szCs w:val="18"/>
                <w:lang w:val="en-GB" w:eastAsia="el-GR"/>
              </w:rPr>
              <w:t>f</w:t>
            </w:r>
            <w:r w:rsidRPr="00C92B1B">
              <w:rPr>
                <w:b/>
                <w:sz w:val="16"/>
                <w:szCs w:val="18"/>
                <w:lang w:val="en-GB" w:eastAsia="el-GR"/>
              </w:rPr>
              <w:t>actor</w:t>
            </w:r>
          </w:p>
        </w:tc>
      </w:tr>
      <w:tr w:rsidR="001D2587" w:rsidRPr="000855B2" w14:paraId="76D1A5E0" w14:textId="77777777" w:rsidTr="00246BA6">
        <w:trPr>
          <w:cantSplit/>
          <w:trHeight w:val="300"/>
        </w:trPr>
        <w:tc>
          <w:tcPr>
            <w:tcW w:w="1242" w:type="dxa"/>
            <w:vMerge/>
            <w:tcBorders>
              <w:bottom w:val="single" w:sz="12" w:space="0" w:color="auto"/>
            </w:tcBorders>
            <w:vAlign w:val="center"/>
          </w:tcPr>
          <w:p w14:paraId="43CBD773"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2483" w:type="dxa"/>
            <w:vMerge/>
            <w:tcBorders>
              <w:bottom w:val="single" w:sz="12" w:space="0" w:color="auto"/>
            </w:tcBorders>
            <w:vAlign w:val="center"/>
          </w:tcPr>
          <w:p w14:paraId="7E151EA1"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0" w:type="auto"/>
            <w:vMerge/>
            <w:tcBorders>
              <w:bottom w:val="single" w:sz="12" w:space="0" w:color="auto"/>
            </w:tcBorders>
            <w:vAlign w:val="center"/>
          </w:tcPr>
          <w:p w14:paraId="0B450E1D" w14:textId="77777777" w:rsidR="001D2587" w:rsidRPr="00C92B1B" w:rsidRDefault="001D2587" w:rsidP="005C7955">
            <w:pPr>
              <w:keepNext/>
              <w:keepLines/>
              <w:suppressAutoHyphens/>
              <w:spacing w:line="240" w:lineRule="atLeast"/>
              <w:jc w:val="center"/>
              <w:rPr>
                <w:b/>
                <w:sz w:val="16"/>
                <w:szCs w:val="18"/>
                <w:lang w:val="en-GB" w:eastAsia="el-GR"/>
              </w:rPr>
            </w:pPr>
          </w:p>
        </w:tc>
        <w:tc>
          <w:tcPr>
            <w:tcW w:w="1234" w:type="dxa"/>
            <w:tcBorders>
              <w:bottom w:val="single" w:sz="12" w:space="0" w:color="auto"/>
            </w:tcBorders>
            <w:vAlign w:val="center"/>
          </w:tcPr>
          <w:p w14:paraId="733B1951"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Urban</w:t>
            </w:r>
          </w:p>
        </w:tc>
        <w:tc>
          <w:tcPr>
            <w:tcW w:w="1134" w:type="dxa"/>
            <w:tcBorders>
              <w:bottom w:val="single" w:sz="12" w:space="0" w:color="auto"/>
            </w:tcBorders>
            <w:vAlign w:val="center"/>
          </w:tcPr>
          <w:p w14:paraId="3D472DC4"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Rural</w:t>
            </w:r>
          </w:p>
        </w:tc>
        <w:tc>
          <w:tcPr>
            <w:tcW w:w="1134" w:type="dxa"/>
            <w:tcBorders>
              <w:bottom w:val="single" w:sz="12" w:space="0" w:color="auto"/>
            </w:tcBorders>
            <w:vAlign w:val="center"/>
          </w:tcPr>
          <w:p w14:paraId="6EB37D0F" w14:textId="77777777" w:rsidR="001D2587" w:rsidRPr="00C92B1B" w:rsidRDefault="001D2587" w:rsidP="005C7955">
            <w:pPr>
              <w:keepNext/>
              <w:keepLines/>
              <w:suppressAutoHyphens/>
              <w:spacing w:line="240" w:lineRule="atLeast"/>
              <w:jc w:val="center"/>
              <w:rPr>
                <w:b/>
                <w:sz w:val="16"/>
                <w:szCs w:val="18"/>
                <w:lang w:val="en-GB" w:eastAsia="el-GR"/>
              </w:rPr>
            </w:pPr>
            <w:r w:rsidRPr="00C92B1B">
              <w:rPr>
                <w:b/>
                <w:sz w:val="16"/>
                <w:szCs w:val="18"/>
                <w:lang w:val="en-GB" w:eastAsia="el-GR"/>
              </w:rPr>
              <w:t>Highway</w:t>
            </w:r>
          </w:p>
        </w:tc>
      </w:tr>
      <w:tr w:rsidR="001D2587" w:rsidRPr="000855B2" w14:paraId="43FA513E" w14:textId="77777777" w:rsidTr="00246BA6">
        <w:trPr>
          <w:cantSplit/>
          <w:trHeight w:val="300"/>
        </w:trPr>
        <w:tc>
          <w:tcPr>
            <w:tcW w:w="1242" w:type="dxa"/>
            <w:vMerge w:val="restart"/>
            <w:tcBorders>
              <w:top w:val="single" w:sz="12" w:space="0" w:color="auto"/>
            </w:tcBorders>
            <w:vAlign w:val="center"/>
          </w:tcPr>
          <w:p w14:paraId="63D5854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Active </w:t>
            </w:r>
            <w:r w:rsidR="00DA3822" w:rsidRPr="00C92B1B">
              <w:rPr>
                <w:sz w:val="16"/>
                <w:szCs w:val="18"/>
                <w:lang w:val="en-GB" w:eastAsia="el-GR"/>
              </w:rPr>
              <w:t>s</w:t>
            </w:r>
            <w:r w:rsidRPr="00C92B1B">
              <w:rPr>
                <w:sz w:val="16"/>
                <w:szCs w:val="18"/>
                <w:lang w:val="en-GB" w:eastAsia="el-GR"/>
              </w:rPr>
              <w:t xml:space="preserve">urface </w:t>
            </w:r>
            <w:r w:rsidR="00DA3822" w:rsidRPr="00C92B1B">
              <w:rPr>
                <w:sz w:val="16"/>
                <w:szCs w:val="18"/>
                <w:lang w:val="en-GB" w:eastAsia="el-GR"/>
              </w:rPr>
              <w:t>a</w:t>
            </w:r>
            <w:r w:rsidRPr="00C92B1B">
              <w:rPr>
                <w:sz w:val="16"/>
                <w:szCs w:val="18"/>
                <w:lang w:val="en-GB" w:eastAsia="el-GR"/>
              </w:rPr>
              <w:t>rea [cm²/km]</w:t>
            </w:r>
          </w:p>
        </w:tc>
        <w:tc>
          <w:tcPr>
            <w:tcW w:w="2483" w:type="dxa"/>
            <w:tcBorders>
              <w:top w:val="single" w:sz="12" w:space="0" w:color="auto"/>
            </w:tcBorders>
            <w:noWrap/>
            <w:vAlign w:val="center"/>
          </w:tcPr>
          <w:p w14:paraId="1166B4D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tcBorders>
              <w:top w:val="single" w:sz="12" w:space="0" w:color="auto"/>
            </w:tcBorders>
            <w:noWrap/>
            <w:vAlign w:val="center"/>
          </w:tcPr>
          <w:p w14:paraId="2C351B0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tcBorders>
              <w:top w:val="single" w:sz="12" w:space="0" w:color="auto"/>
            </w:tcBorders>
            <w:noWrap/>
            <w:vAlign w:val="center"/>
          </w:tcPr>
          <w:p w14:paraId="0C5A19A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2.62E+05</w:t>
            </w:r>
          </w:p>
        </w:tc>
        <w:tc>
          <w:tcPr>
            <w:tcW w:w="1134" w:type="dxa"/>
            <w:tcBorders>
              <w:top w:val="single" w:sz="12" w:space="0" w:color="auto"/>
            </w:tcBorders>
            <w:noWrap/>
            <w:vAlign w:val="center"/>
          </w:tcPr>
          <w:p w14:paraId="77980F0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1.19E+05</w:t>
            </w:r>
          </w:p>
        </w:tc>
        <w:tc>
          <w:tcPr>
            <w:tcW w:w="1134" w:type="dxa"/>
            <w:tcBorders>
              <w:top w:val="single" w:sz="12" w:space="0" w:color="auto"/>
            </w:tcBorders>
            <w:noWrap/>
            <w:vAlign w:val="center"/>
          </w:tcPr>
          <w:p w14:paraId="1F84C80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1.61E+05</w:t>
            </w:r>
          </w:p>
        </w:tc>
      </w:tr>
      <w:tr w:rsidR="001D2587" w:rsidRPr="000855B2" w14:paraId="671A9F6E" w14:textId="77777777" w:rsidTr="00887829">
        <w:trPr>
          <w:cantSplit/>
          <w:trHeight w:val="300"/>
        </w:trPr>
        <w:tc>
          <w:tcPr>
            <w:tcW w:w="1242" w:type="dxa"/>
            <w:vMerge/>
            <w:vAlign w:val="center"/>
          </w:tcPr>
          <w:p w14:paraId="750B80CD"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55592B0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58D4EE2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BC05D7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3.74E+04</w:t>
            </w:r>
          </w:p>
        </w:tc>
        <w:tc>
          <w:tcPr>
            <w:tcW w:w="1134" w:type="dxa"/>
            <w:noWrap/>
            <w:vAlign w:val="center"/>
          </w:tcPr>
          <w:p w14:paraId="1DCEE3F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1.06E+04</w:t>
            </w:r>
          </w:p>
        </w:tc>
        <w:tc>
          <w:tcPr>
            <w:tcW w:w="1134" w:type="dxa"/>
            <w:noWrap/>
            <w:vAlign w:val="center"/>
          </w:tcPr>
          <w:p w14:paraId="250C620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1.36E+04</w:t>
            </w:r>
          </w:p>
        </w:tc>
      </w:tr>
      <w:tr w:rsidR="001D2587" w:rsidRPr="000855B2" w14:paraId="583AB7DA" w14:textId="77777777" w:rsidTr="00887829">
        <w:trPr>
          <w:cantSplit/>
          <w:trHeight w:val="300"/>
        </w:trPr>
        <w:tc>
          <w:tcPr>
            <w:tcW w:w="1242" w:type="dxa"/>
            <w:vMerge/>
            <w:vAlign w:val="center"/>
          </w:tcPr>
          <w:p w14:paraId="036331D4"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0F7B56F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09C3865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2D04835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4.23E+05</w:t>
            </w:r>
          </w:p>
        </w:tc>
        <w:tc>
          <w:tcPr>
            <w:tcW w:w="1134" w:type="dxa"/>
            <w:noWrap/>
            <w:vAlign w:val="center"/>
          </w:tcPr>
          <w:p w14:paraId="212F064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2.02E+05</w:t>
            </w:r>
          </w:p>
        </w:tc>
        <w:tc>
          <w:tcPr>
            <w:tcW w:w="1134" w:type="dxa"/>
            <w:noWrap/>
            <w:vAlign w:val="center"/>
          </w:tcPr>
          <w:p w14:paraId="2411C18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2.45E+05</w:t>
            </w:r>
          </w:p>
        </w:tc>
      </w:tr>
      <w:tr w:rsidR="001D2587" w:rsidRPr="000855B2" w14:paraId="7096C573" w14:textId="77777777" w:rsidTr="00887829">
        <w:trPr>
          <w:cantSplit/>
          <w:trHeight w:val="300"/>
        </w:trPr>
        <w:tc>
          <w:tcPr>
            <w:tcW w:w="1242" w:type="dxa"/>
            <w:vMerge/>
            <w:vAlign w:val="center"/>
          </w:tcPr>
          <w:p w14:paraId="5FAC158A"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67C325D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448EEF9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3A892DF8"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BB567F3"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39619B7C"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4CFC4A2B" w14:textId="77777777" w:rsidTr="00887829">
        <w:trPr>
          <w:cantSplit/>
          <w:trHeight w:val="300"/>
        </w:trPr>
        <w:tc>
          <w:tcPr>
            <w:tcW w:w="1242" w:type="dxa"/>
            <w:vMerge/>
            <w:vAlign w:val="center"/>
          </w:tcPr>
          <w:p w14:paraId="6321D213"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2385022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40AFCD6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33670C2F"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134B29EA" w14:textId="77777777" w:rsidR="001D2587" w:rsidRPr="00C92B1B" w:rsidRDefault="001D2587" w:rsidP="005C7955">
            <w:pPr>
              <w:keepNext/>
              <w:keepLines/>
              <w:suppressAutoHyphens/>
              <w:spacing w:line="240" w:lineRule="atLeast"/>
              <w:jc w:val="center"/>
              <w:rPr>
                <w:sz w:val="16"/>
                <w:szCs w:val="18"/>
                <w:lang w:val="en-GB" w:eastAsia="el-GR"/>
              </w:rPr>
            </w:pPr>
          </w:p>
        </w:tc>
        <w:tc>
          <w:tcPr>
            <w:tcW w:w="1134" w:type="dxa"/>
            <w:noWrap/>
            <w:vAlign w:val="center"/>
          </w:tcPr>
          <w:p w14:paraId="4593AA62" w14:textId="77777777" w:rsidR="001D2587" w:rsidRPr="00C92B1B" w:rsidRDefault="001D2587" w:rsidP="005C7955">
            <w:pPr>
              <w:keepNext/>
              <w:keepLines/>
              <w:suppressAutoHyphens/>
              <w:spacing w:line="240" w:lineRule="atLeast"/>
              <w:jc w:val="center"/>
              <w:rPr>
                <w:sz w:val="16"/>
                <w:szCs w:val="18"/>
                <w:lang w:val="en-GB" w:eastAsia="el-GR"/>
              </w:rPr>
            </w:pPr>
          </w:p>
        </w:tc>
      </w:tr>
      <w:tr w:rsidR="001D2587" w:rsidRPr="000855B2" w14:paraId="5B5FC0FB" w14:textId="77777777" w:rsidTr="00887829">
        <w:trPr>
          <w:cantSplit/>
          <w:trHeight w:val="300"/>
        </w:trPr>
        <w:tc>
          <w:tcPr>
            <w:tcW w:w="1242" w:type="dxa"/>
            <w:vMerge w:val="restart"/>
            <w:vAlign w:val="center"/>
          </w:tcPr>
          <w:p w14:paraId="05B621ED"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Total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[#/km]</w:t>
            </w:r>
          </w:p>
        </w:tc>
        <w:tc>
          <w:tcPr>
            <w:tcW w:w="2483" w:type="dxa"/>
            <w:noWrap/>
            <w:vAlign w:val="center"/>
          </w:tcPr>
          <w:p w14:paraId="37402D7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341CA95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4A9A0FA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3.19E+14</w:t>
            </w:r>
          </w:p>
        </w:tc>
        <w:tc>
          <w:tcPr>
            <w:tcW w:w="1134" w:type="dxa"/>
            <w:noWrap/>
            <w:vAlign w:val="center"/>
          </w:tcPr>
          <w:p w14:paraId="1358573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2.72E+14</w:t>
            </w:r>
          </w:p>
        </w:tc>
        <w:tc>
          <w:tcPr>
            <w:tcW w:w="1134" w:type="dxa"/>
            <w:noWrap/>
            <w:vAlign w:val="center"/>
          </w:tcPr>
          <w:p w14:paraId="3F1673A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6.99E+14</w:t>
            </w:r>
          </w:p>
        </w:tc>
      </w:tr>
      <w:tr w:rsidR="001D2587" w:rsidRPr="000855B2" w14:paraId="214BB2ED" w14:textId="77777777" w:rsidTr="00887829">
        <w:trPr>
          <w:cantSplit/>
          <w:trHeight w:val="300"/>
        </w:trPr>
        <w:tc>
          <w:tcPr>
            <w:tcW w:w="1242" w:type="dxa"/>
            <w:vMerge/>
            <w:vAlign w:val="center"/>
          </w:tcPr>
          <w:p w14:paraId="037B4BEE"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2C1CAEC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6369961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4AF674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1.26E+14</w:t>
            </w:r>
          </w:p>
        </w:tc>
        <w:tc>
          <w:tcPr>
            <w:tcW w:w="1134" w:type="dxa"/>
            <w:noWrap/>
            <w:vAlign w:val="center"/>
          </w:tcPr>
          <w:p w14:paraId="381A5C8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2.85E+13</w:t>
            </w:r>
          </w:p>
        </w:tc>
        <w:tc>
          <w:tcPr>
            <w:tcW w:w="1134" w:type="dxa"/>
            <w:noWrap/>
            <w:vAlign w:val="center"/>
          </w:tcPr>
          <w:p w14:paraId="665D387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5.48E+13</w:t>
            </w:r>
          </w:p>
        </w:tc>
      </w:tr>
      <w:tr w:rsidR="001D2587" w:rsidRPr="000855B2" w14:paraId="412B7DEB" w14:textId="77777777" w:rsidTr="00887829">
        <w:trPr>
          <w:cantSplit/>
          <w:trHeight w:val="300"/>
        </w:trPr>
        <w:tc>
          <w:tcPr>
            <w:tcW w:w="1242" w:type="dxa"/>
            <w:vMerge/>
            <w:vAlign w:val="center"/>
          </w:tcPr>
          <w:p w14:paraId="701C0071"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7D49E0C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16419B6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DF34ED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3.55E+14</w:t>
            </w:r>
          </w:p>
        </w:tc>
        <w:tc>
          <w:tcPr>
            <w:tcW w:w="1134" w:type="dxa"/>
            <w:noWrap/>
            <w:vAlign w:val="center"/>
          </w:tcPr>
          <w:p w14:paraId="2A23EC6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3.40E+14</w:t>
            </w:r>
          </w:p>
        </w:tc>
        <w:tc>
          <w:tcPr>
            <w:tcW w:w="1134" w:type="dxa"/>
            <w:noWrap/>
            <w:vAlign w:val="center"/>
          </w:tcPr>
          <w:p w14:paraId="3F3075F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8.01E+14</w:t>
            </w:r>
          </w:p>
        </w:tc>
      </w:tr>
      <w:tr w:rsidR="001D2587" w:rsidRPr="000855B2" w14:paraId="646F555A" w14:textId="77777777" w:rsidTr="00887829">
        <w:trPr>
          <w:cantSplit/>
          <w:trHeight w:val="300"/>
        </w:trPr>
        <w:tc>
          <w:tcPr>
            <w:tcW w:w="1242" w:type="dxa"/>
            <w:vMerge/>
            <w:vAlign w:val="center"/>
          </w:tcPr>
          <w:p w14:paraId="3C8A88BF"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29ACE23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686E9E0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6B295F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2.73E+12</w:t>
            </w:r>
          </w:p>
        </w:tc>
        <w:tc>
          <w:tcPr>
            <w:tcW w:w="1134" w:type="dxa"/>
            <w:noWrap/>
            <w:vAlign w:val="center"/>
          </w:tcPr>
          <w:p w14:paraId="3C31045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2.12E+12</w:t>
            </w:r>
          </w:p>
        </w:tc>
        <w:tc>
          <w:tcPr>
            <w:tcW w:w="1134" w:type="dxa"/>
            <w:noWrap/>
            <w:vAlign w:val="center"/>
          </w:tcPr>
          <w:p w14:paraId="3F8174E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1.80E+12</w:t>
            </w:r>
          </w:p>
        </w:tc>
      </w:tr>
      <w:tr w:rsidR="001D2587" w:rsidRPr="000855B2" w14:paraId="72BFFCD8" w14:textId="77777777" w:rsidTr="00887829">
        <w:trPr>
          <w:cantSplit/>
          <w:trHeight w:val="300"/>
        </w:trPr>
        <w:tc>
          <w:tcPr>
            <w:tcW w:w="1242" w:type="dxa"/>
            <w:vMerge/>
            <w:vAlign w:val="center"/>
          </w:tcPr>
          <w:p w14:paraId="1E2A52D0"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58B7A55E"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184FDCA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4AD0631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7.96E+12</w:t>
            </w:r>
          </w:p>
        </w:tc>
        <w:tc>
          <w:tcPr>
            <w:tcW w:w="1134" w:type="dxa"/>
            <w:noWrap/>
            <w:vAlign w:val="center"/>
          </w:tcPr>
          <w:p w14:paraId="3775FED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6.41E+12</w:t>
            </w:r>
          </w:p>
        </w:tc>
        <w:tc>
          <w:tcPr>
            <w:tcW w:w="1134" w:type="dxa"/>
            <w:noWrap/>
            <w:vAlign w:val="center"/>
          </w:tcPr>
          <w:p w14:paraId="44BF1CC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7.44E+12</w:t>
            </w:r>
          </w:p>
        </w:tc>
      </w:tr>
      <w:tr w:rsidR="001D2587" w:rsidRPr="000855B2" w14:paraId="281B0E9A" w14:textId="77777777" w:rsidTr="00887829">
        <w:trPr>
          <w:cantSplit/>
          <w:trHeight w:val="300"/>
        </w:trPr>
        <w:tc>
          <w:tcPr>
            <w:tcW w:w="1242" w:type="dxa"/>
            <w:vMerge w:val="restart"/>
            <w:vAlign w:val="center"/>
          </w:tcPr>
          <w:p w14:paraId="4A53E2A7"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 xml:space="preserve">umber </w:t>
            </w:r>
            <w:r w:rsidR="00D205E2" w:rsidRPr="00C92B1B">
              <w:rPr>
                <w:sz w:val="16"/>
                <w:szCs w:val="18"/>
                <w:lang w:val="en-GB" w:eastAsia="el-GR"/>
              </w:rPr>
              <w:t>&lt; </w:t>
            </w:r>
            <w:r w:rsidRPr="00C92B1B">
              <w:rPr>
                <w:sz w:val="16"/>
                <w:szCs w:val="18"/>
                <w:lang w:val="en-GB" w:eastAsia="el-GR"/>
              </w:rPr>
              <w:t>50</w:t>
            </w:r>
            <w:r w:rsidR="000F3E28" w:rsidRPr="00C92B1B">
              <w:rPr>
                <w:sz w:val="16"/>
                <w:szCs w:val="18"/>
                <w:lang w:val="en-GB" w:eastAsia="el-GR"/>
              </w:rPr>
              <w:t> nm</w:t>
            </w:r>
            <w:r w:rsidRPr="00C92B1B">
              <w:rPr>
                <w:sz w:val="16"/>
                <w:szCs w:val="18"/>
                <w:lang w:val="en-GB" w:eastAsia="el-GR"/>
              </w:rPr>
              <w:t xml:space="preserve"> [#/km]</w:t>
            </w:r>
          </w:p>
        </w:tc>
        <w:tc>
          <w:tcPr>
            <w:tcW w:w="2483" w:type="dxa"/>
            <w:noWrap/>
            <w:vAlign w:val="center"/>
          </w:tcPr>
          <w:p w14:paraId="0F2B07FF"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00DE87A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405AB4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5.79E+13</w:t>
            </w:r>
          </w:p>
        </w:tc>
        <w:tc>
          <w:tcPr>
            <w:tcW w:w="1134" w:type="dxa"/>
            <w:noWrap/>
            <w:vAlign w:val="center"/>
          </w:tcPr>
          <w:p w14:paraId="188814A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3.04E+13</w:t>
            </w:r>
          </w:p>
        </w:tc>
        <w:tc>
          <w:tcPr>
            <w:tcW w:w="1134" w:type="dxa"/>
            <w:noWrap/>
            <w:vAlign w:val="center"/>
          </w:tcPr>
          <w:p w14:paraId="378C9AC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4.64E+13</w:t>
            </w:r>
          </w:p>
        </w:tc>
      </w:tr>
      <w:tr w:rsidR="001D2587" w:rsidRPr="000855B2" w14:paraId="78D769A4" w14:textId="77777777" w:rsidTr="00887829">
        <w:trPr>
          <w:cantSplit/>
          <w:trHeight w:val="300"/>
        </w:trPr>
        <w:tc>
          <w:tcPr>
            <w:tcW w:w="1242" w:type="dxa"/>
            <w:vMerge/>
            <w:vAlign w:val="center"/>
          </w:tcPr>
          <w:p w14:paraId="310BEDE8"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31B2AD7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2EB5229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5FDDB5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1.80E+12</w:t>
            </w:r>
          </w:p>
        </w:tc>
        <w:tc>
          <w:tcPr>
            <w:tcW w:w="1134" w:type="dxa"/>
            <w:noWrap/>
            <w:vAlign w:val="center"/>
          </w:tcPr>
          <w:p w14:paraId="26D39D0D"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1.13E+12</w:t>
            </w:r>
          </w:p>
        </w:tc>
        <w:tc>
          <w:tcPr>
            <w:tcW w:w="1134" w:type="dxa"/>
            <w:noWrap/>
            <w:vAlign w:val="center"/>
          </w:tcPr>
          <w:p w14:paraId="1F3CC17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2.61E+12</w:t>
            </w:r>
          </w:p>
        </w:tc>
      </w:tr>
      <w:tr w:rsidR="001D2587" w:rsidRPr="000855B2" w14:paraId="64551C98" w14:textId="77777777" w:rsidTr="00887829">
        <w:trPr>
          <w:cantSplit/>
          <w:trHeight w:val="300"/>
        </w:trPr>
        <w:tc>
          <w:tcPr>
            <w:tcW w:w="1242" w:type="dxa"/>
            <w:vMerge/>
            <w:vAlign w:val="center"/>
          </w:tcPr>
          <w:p w14:paraId="7AFCB03C"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4B01F125"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248D025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509EAA2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5.52E+13</w:t>
            </w:r>
          </w:p>
        </w:tc>
        <w:tc>
          <w:tcPr>
            <w:tcW w:w="1134" w:type="dxa"/>
            <w:noWrap/>
            <w:vAlign w:val="center"/>
          </w:tcPr>
          <w:p w14:paraId="71F2740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3.15E+13</w:t>
            </w:r>
          </w:p>
        </w:tc>
        <w:tc>
          <w:tcPr>
            <w:tcW w:w="1134" w:type="dxa"/>
            <w:noWrap/>
            <w:vAlign w:val="center"/>
          </w:tcPr>
          <w:p w14:paraId="7D59426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4.79E+13</w:t>
            </w:r>
          </w:p>
        </w:tc>
      </w:tr>
      <w:tr w:rsidR="001D2587" w:rsidRPr="000855B2" w14:paraId="472C43CE" w14:textId="77777777" w:rsidTr="00887829">
        <w:trPr>
          <w:cantSplit/>
          <w:trHeight w:val="300"/>
        </w:trPr>
        <w:tc>
          <w:tcPr>
            <w:tcW w:w="1242" w:type="dxa"/>
            <w:vMerge/>
            <w:vAlign w:val="center"/>
          </w:tcPr>
          <w:p w14:paraId="3036CF75"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41C185FC"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383DDD2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3859FB6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5.75E+09</w:t>
            </w:r>
          </w:p>
        </w:tc>
        <w:tc>
          <w:tcPr>
            <w:tcW w:w="1134" w:type="dxa"/>
            <w:noWrap/>
            <w:vAlign w:val="center"/>
          </w:tcPr>
          <w:p w14:paraId="6F0DACC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3.81E+09</w:t>
            </w:r>
          </w:p>
        </w:tc>
        <w:tc>
          <w:tcPr>
            <w:tcW w:w="1134" w:type="dxa"/>
            <w:noWrap/>
            <w:vAlign w:val="center"/>
          </w:tcPr>
          <w:p w14:paraId="7AA92CE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5.04E+09</w:t>
            </w:r>
          </w:p>
        </w:tc>
      </w:tr>
      <w:tr w:rsidR="001D2587" w:rsidRPr="000855B2" w14:paraId="4E6B79DE" w14:textId="77777777" w:rsidTr="00887829">
        <w:trPr>
          <w:cantSplit/>
          <w:trHeight w:val="300"/>
        </w:trPr>
        <w:tc>
          <w:tcPr>
            <w:tcW w:w="1242" w:type="dxa"/>
            <w:vMerge/>
            <w:vAlign w:val="center"/>
          </w:tcPr>
          <w:p w14:paraId="0831FDFF"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00E9D00B"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24DEF683"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18A3C221"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3.66E+12</w:t>
            </w:r>
          </w:p>
        </w:tc>
        <w:tc>
          <w:tcPr>
            <w:tcW w:w="1134" w:type="dxa"/>
            <w:noWrap/>
            <w:vAlign w:val="center"/>
          </w:tcPr>
          <w:p w14:paraId="5D5B365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1.69E+12</w:t>
            </w:r>
          </w:p>
        </w:tc>
        <w:tc>
          <w:tcPr>
            <w:tcW w:w="1134" w:type="dxa"/>
            <w:noWrap/>
            <w:vAlign w:val="center"/>
          </w:tcPr>
          <w:p w14:paraId="0F41126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1.24E+12</w:t>
            </w:r>
          </w:p>
        </w:tc>
      </w:tr>
      <w:tr w:rsidR="001D2587" w:rsidRPr="000855B2" w14:paraId="5279DA57" w14:textId="77777777" w:rsidTr="00887829">
        <w:trPr>
          <w:cantSplit/>
          <w:trHeight w:val="300"/>
        </w:trPr>
        <w:tc>
          <w:tcPr>
            <w:tcW w:w="1242" w:type="dxa"/>
            <w:vMerge w:val="restart"/>
            <w:vAlign w:val="center"/>
          </w:tcPr>
          <w:p w14:paraId="0C2F16F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50</w:t>
            </w:r>
            <w:r w:rsidR="00670618" w:rsidRPr="00C92B1B">
              <w:rPr>
                <w:sz w:val="16"/>
                <w:szCs w:val="18"/>
                <w:lang w:val="en-GB"/>
              </w:rPr>
              <w:t>–</w:t>
            </w:r>
            <w:r w:rsidRPr="00C92B1B">
              <w:rPr>
                <w:sz w:val="16"/>
                <w:szCs w:val="18"/>
                <w:lang w:val="en-GB" w:eastAsia="el-GR"/>
              </w:rPr>
              <w:t>100</w:t>
            </w:r>
            <w:r w:rsidR="000F3E28" w:rsidRPr="00C92B1B">
              <w:rPr>
                <w:sz w:val="16"/>
                <w:szCs w:val="18"/>
                <w:lang w:val="en-GB" w:eastAsia="el-GR"/>
              </w:rPr>
              <w:t> nm</w:t>
            </w:r>
            <w:r w:rsidRPr="00C92B1B">
              <w:rPr>
                <w:sz w:val="16"/>
                <w:szCs w:val="18"/>
                <w:lang w:val="en-GB" w:eastAsia="el-GR"/>
              </w:rPr>
              <w:t xml:space="preserve"> [#/km]</w:t>
            </w:r>
          </w:p>
        </w:tc>
        <w:tc>
          <w:tcPr>
            <w:tcW w:w="2483" w:type="dxa"/>
            <w:noWrap/>
            <w:vAlign w:val="center"/>
          </w:tcPr>
          <w:p w14:paraId="058FAE23"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741829F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5E0FAE5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6.68E+13</w:t>
            </w:r>
          </w:p>
        </w:tc>
        <w:tc>
          <w:tcPr>
            <w:tcW w:w="1134" w:type="dxa"/>
            <w:noWrap/>
            <w:vAlign w:val="center"/>
          </w:tcPr>
          <w:p w14:paraId="1AA135E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3.25E+13</w:t>
            </w:r>
          </w:p>
        </w:tc>
        <w:tc>
          <w:tcPr>
            <w:tcW w:w="1134" w:type="dxa"/>
            <w:noWrap/>
            <w:vAlign w:val="center"/>
          </w:tcPr>
          <w:p w14:paraId="359C912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4.26E+13</w:t>
            </w:r>
          </w:p>
        </w:tc>
      </w:tr>
      <w:tr w:rsidR="001D2587" w:rsidRPr="000855B2" w14:paraId="04006E14" w14:textId="77777777" w:rsidTr="00887829">
        <w:trPr>
          <w:cantSplit/>
          <w:trHeight w:val="300"/>
        </w:trPr>
        <w:tc>
          <w:tcPr>
            <w:tcW w:w="1242" w:type="dxa"/>
            <w:vMerge/>
            <w:vAlign w:val="center"/>
          </w:tcPr>
          <w:p w14:paraId="27BA0C88"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277F777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6017546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A0D6EB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1.53E+12</w:t>
            </w:r>
          </w:p>
        </w:tc>
        <w:tc>
          <w:tcPr>
            <w:tcW w:w="1134" w:type="dxa"/>
            <w:noWrap/>
            <w:vAlign w:val="center"/>
          </w:tcPr>
          <w:p w14:paraId="705C91D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8.56E+11</w:t>
            </w:r>
          </w:p>
        </w:tc>
        <w:tc>
          <w:tcPr>
            <w:tcW w:w="1134" w:type="dxa"/>
            <w:noWrap/>
            <w:vAlign w:val="center"/>
          </w:tcPr>
          <w:p w14:paraId="2A546DA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1.59E+12</w:t>
            </w:r>
          </w:p>
        </w:tc>
      </w:tr>
      <w:tr w:rsidR="001D2587" w:rsidRPr="000855B2" w14:paraId="1F410815" w14:textId="77777777" w:rsidTr="00887829">
        <w:trPr>
          <w:cantSplit/>
          <w:trHeight w:val="300"/>
        </w:trPr>
        <w:tc>
          <w:tcPr>
            <w:tcW w:w="1242" w:type="dxa"/>
            <w:vMerge/>
            <w:vAlign w:val="center"/>
          </w:tcPr>
          <w:p w14:paraId="1F8B9BC8"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49E40912"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4C3CC0F8"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51C3C43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7.27E+13</w:t>
            </w:r>
          </w:p>
        </w:tc>
        <w:tc>
          <w:tcPr>
            <w:tcW w:w="1134" w:type="dxa"/>
            <w:noWrap/>
            <w:vAlign w:val="center"/>
          </w:tcPr>
          <w:p w14:paraId="5E4BF8FA"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3.67E+13</w:t>
            </w:r>
          </w:p>
        </w:tc>
        <w:tc>
          <w:tcPr>
            <w:tcW w:w="1134" w:type="dxa"/>
            <w:noWrap/>
            <w:vAlign w:val="center"/>
          </w:tcPr>
          <w:p w14:paraId="239B7E1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4.53E+13</w:t>
            </w:r>
          </w:p>
        </w:tc>
      </w:tr>
      <w:tr w:rsidR="001D2587" w:rsidRPr="000855B2" w14:paraId="049FE90B" w14:textId="77777777" w:rsidTr="00887829">
        <w:trPr>
          <w:cantSplit/>
          <w:trHeight w:val="300"/>
        </w:trPr>
        <w:tc>
          <w:tcPr>
            <w:tcW w:w="1242" w:type="dxa"/>
            <w:vMerge/>
            <w:vAlign w:val="center"/>
          </w:tcPr>
          <w:p w14:paraId="1CDFCB4C"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5086E8E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62A15B3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334B4B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4.78E+09</w:t>
            </w:r>
          </w:p>
        </w:tc>
        <w:tc>
          <w:tcPr>
            <w:tcW w:w="1134" w:type="dxa"/>
            <w:noWrap/>
            <w:vAlign w:val="center"/>
          </w:tcPr>
          <w:p w14:paraId="78053CE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2.46E+09</w:t>
            </w:r>
          </w:p>
        </w:tc>
        <w:tc>
          <w:tcPr>
            <w:tcW w:w="1134" w:type="dxa"/>
            <w:noWrap/>
            <w:vAlign w:val="center"/>
          </w:tcPr>
          <w:p w14:paraId="7BFF1A4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2.38E+09</w:t>
            </w:r>
          </w:p>
        </w:tc>
      </w:tr>
      <w:tr w:rsidR="001D2587" w:rsidRPr="000855B2" w14:paraId="06B6027E" w14:textId="77777777" w:rsidTr="00887829">
        <w:trPr>
          <w:cantSplit/>
          <w:trHeight w:val="300"/>
        </w:trPr>
        <w:tc>
          <w:tcPr>
            <w:tcW w:w="1242" w:type="dxa"/>
            <w:vMerge/>
            <w:vAlign w:val="center"/>
          </w:tcPr>
          <w:p w14:paraId="05BBF6FC" w14:textId="77777777" w:rsidR="001D2587" w:rsidRPr="00C92B1B" w:rsidRDefault="001D2587" w:rsidP="005C7955">
            <w:pPr>
              <w:keepNext/>
              <w:keepLines/>
              <w:suppressAutoHyphens/>
              <w:spacing w:line="240" w:lineRule="atLeast"/>
              <w:rPr>
                <w:sz w:val="16"/>
                <w:szCs w:val="18"/>
                <w:lang w:val="en-GB" w:eastAsia="el-GR"/>
              </w:rPr>
            </w:pPr>
          </w:p>
        </w:tc>
        <w:tc>
          <w:tcPr>
            <w:tcW w:w="2483" w:type="dxa"/>
            <w:noWrap/>
            <w:vAlign w:val="center"/>
          </w:tcPr>
          <w:p w14:paraId="16FEC690"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V + </w:t>
            </w:r>
            <w:smartTag w:uri="urn:schemas-microsoft-com:office:smarttags" w:element="stockticker">
              <w:r w:rsidRPr="00C92B1B">
                <w:rPr>
                  <w:sz w:val="16"/>
                  <w:szCs w:val="18"/>
                  <w:lang w:val="en-GB" w:eastAsia="el-GR"/>
                </w:rPr>
                <w:t>SCR</w:t>
              </w:r>
            </w:smartTag>
          </w:p>
        </w:tc>
        <w:tc>
          <w:tcPr>
            <w:tcW w:w="0" w:type="auto"/>
            <w:noWrap/>
            <w:vAlign w:val="center"/>
          </w:tcPr>
          <w:p w14:paraId="471451D0"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719367AF"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4.19E+12</w:t>
            </w:r>
          </w:p>
        </w:tc>
        <w:tc>
          <w:tcPr>
            <w:tcW w:w="1134" w:type="dxa"/>
            <w:noWrap/>
            <w:vAlign w:val="center"/>
          </w:tcPr>
          <w:p w14:paraId="3EFD9D9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1.81E+12</w:t>
            </w:r>
          </w:p>
        </w:tc>
        <w:tc>
          <w:tcPr>
            <w:tcW w:w="1134" w:type="dxa"/>
            <w:noWrap/>
            <w:vAlign w:val="center"/>
          </w:tcPr>
          <w:p w14:paraId="22934475"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1.28E+12</w:t>
            </w:r>
          </w:p>
        </w:tc>
      </w:tr>
      <w:tr w:rsidR="001D2587" w:rsidRPr="000855B2" w14:paraId="288B2A01" w14:textId="77777777" w:rsidTr="00887829">
        <w:trPr>
          <w:cantSplit/>
          <w:trHeight w:val="300"/>
        </w:trPr>
        <w:tc>
          <w:tcPr>
            <w:tcW w:w="1242" w:type="dxa"/>
            <w:vMerge w:val="restart"/>
            <w:vAlign w:val="center"/>
          </w:tcPr>
          <w:p w14:paraId="0F8A41EA"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Solid </w:t>
            </w:r>
            <w:r w:rsidR="00DA3822" w:rsidRPr="00C92B1B">
              <w:rPr>
                <w:sz w:val="16"/>
                <w:szCs w:val="18"/>
                <w:lang w:val="en-GB" w:eastAsia="el-GR"/>
              </w:rPr>
              <w:t>p</w:t>
            </w:r>
            <w:r w:rsidRPr="00C92B1B">
              <w:rPr>
                <w:sz w:val="16"/>
                <w:szCs w:val="18"/>
                <w:lang w:val="en-GB" w:eastAsia="el-GR"/>
              </w:rPr>
              <w:t xml:space="preserve">article </w:t>
            </w:r>
            <w:r w:rsidR="00DA3822" w:rsidRPr="00C92B1B">
              <w:rPr>
                <w:sz w:val="16"/>
                <w:szCs w:val="18"/>
                <w:lang w:val="en-GB" w:eastAsia="el-GR"/>
              </w:rPr>
              <w:t>n</w:t>
            </w:r>
            <w:r w:rsidRPr="00C92B1B">
              <w:rPr>
                <w:sz w:val="16"/>
                <w:szCs w:val="18"/>
                <w:lang w:val="en-GB" w:eastAsia="el-GR"/>
              </w:rPr>
              <w:t>umber 100</w:t>
            </w:r>
            <w:r w:rsidR="00670618" w:rsidRPr="00C92B1B">
              <w:rPr>
                <w:sz w:val="16"/>
                <w:szCs w:val="18"/>
                <w:lang w:val="en-GB"/>
              </w:rPr>
              <w:t>–</w:t>
            </w:r>
            <w:r w:rsidRPr="00C92B1B">
              <w:rPr>
                <w:sz w:val="16"/>
                <w:szCs w:val="18"/>
                <w:lang w:val="en-GB" w:eastAsia="el-GR"/>
              </w:rPr>
              <w:t>1</w:t>
            </w:r>
            <w:r w:rsidR="00670618" w:rsidRPr="00C92B1B">
              <w:rPr>
                <w:sz w:val="16"/>
                <w:szCs w:val="18"/>
                <w:lang w:val="en-GB" w:eastAsia="el-GR"/>
              </w:rPr>
              <w:t> </w:t>
            </w:r>
            <w:r w:rsidRPr="00C92B1B">
              <w:rPr>
                <w:sz w:val="16"/>
                <w:szCs w:val="18"/>
                <w:lang w:val="en-GB" w:eastAsia="el-GR"/>
              </w:rPr>
              <w:t>000</w:t>
            </w:r>
            <w:r w:rsidR="000F3E28" w:rsidRPr="00C92B1B">
              <w:rPr>
                <w:sz w:val="16"/>
                <w:szCs w:val="18"/>
                <w:lang w:val="en-GB" w:eastAsia="el-GR"/>
              </w:rPr>
              <w:t> nm</w:t>
            </w:r>
            <w:r w:rsidRPr="00C92B1B">
              <w:rPr>
                <w:sz w:val="16"/>
                <w:szCs w:val="18"/>
                <w:lang w:val="en-GB" w:eastAsia="el-GR"/>
              </w:rPr>
              <w:t xml:space="preserve"> [#/km]</w:t>
            </w:r>
          </w:p>
        </w:tc>
        <w:tc>
          <w:tcPr>
            <w:tcW w:w="2483" w:type="dxa"/>
            <w:noWrap/>
            <w:vAlign w:val="center"/>
          </w:tcPr>
          <w:p w14:paraId="460F72F1"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p>
        </w:tc>
        <w:tc>
          <w:tcPr>
            <w:tcW w:w="0" w:type="auto"/>
            <w:noWrap/>
            <w:vAlign w:val="center"/>
          </w:tcPr>
          <w:p w14:paraId="59B9659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387B03C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9.66E+13</w:t>
            </w:r>
          </w:p>
        </w:tc>
        <w:tc>
          <w:tcPr>
            <w:tcW w:w="1134" w:type="dxa"/>
            <w:noWrap/>
            <w:vAlign w:val="center"/>
          </w:tcPr>
          <w:p w14:paraId="624C024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4.34E+13</w:t>
            </w:r>
          </w:p>
        </w:tc>
        <w:tc>
          <w:tcPr>
            <w:tcW w:w="1134" w:type="dxa"/>
            <w:noWrap/>
            <w:vAlign w:val="center"/>
          </w:tcPr>
          <w:p w14:paraId="18FFCDE9"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4.47E+13</w:t>
            </w:r>
          </w:p>
        </w:tc>
      </w:tr>
      <w:tr w:rsidR="001D2587" w:rsidRPr="000855B2" w14:paraId="0A0AB3F2" w14:textId="77777777" w:rsidTr="00887829">
        <w:trPr>
          <w:cantSplit/>
          <w:trHeight w:val="300"/>
        </w:trPr>
        <w:tc>
          <w:tcPr>
            <w:tcW w:w="1242" w:type="dxa"/>
            <w:vMerge/>
            <w:vAlign w:val="center"/>
          </w:tcPr>
          <w:p w14:paraId="7DD73157" w14:textId="77777777" w:rsidR="001D2587" w:rsidRPr="00C92B1B" w:rsidRDefault="001D2587" w:rsidP="005C7955">
            <w:pPr>
              <w:keepNext/>
              <w:keepLines/>
              <w:suppressAutoHyphens/>
              <w:spacing w:line="240" w:lineRule="atLeast"/>
              <w:jc w:val="center"/>
              <w:rPr>
                <w:sz w:val="16"/>
                <w:szCs w:val="18"/>
                <w:lang w:val="en-GB" w:eastAsia="el-GR"/>
              </w:rPr>
            </w:pPr>
          </w:p>
        </w:tc>
        <w:tc>
          <w:tcPr>
            <w:tcW w:w="2483" w:type="dxa"/>
            <w:noWrap/>
            <w:vAlign w:val="center"/>
          </w:tcPr>
          <w:p w14:paraId="438CD3A9"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 xml:space="preserve"> + CRDPF</w:t>
            </w:r>
          </w:p>
        </w:tc>
        <w:tc>
          <w:tcPr>
            <w:tcW w:w="0" w:type="auto"/>
            <w:noWrap/>
            <w:vAlign w:val="center"/>
          </w:tcPr>
          <w:p w14:paraId="0CA0DA6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11E688DE"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1.06E+12</w:t>
            </w:r>
          </w:p>
        </w:tc>
        <w:tc>
          <w:tcPr>
            <w:tcW w:w="1134" w:type="dxa"/>
            <w:noWrap/>
            <w:vAlign w:val="center"/>
          </w:tcPr>
          <w:p w14:paraId="541D670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5.10E+11</w:t>
            </w:r>
          </w:p>
        </w:tc>
        <w:tc>
          <w:tcPr>
            <w:tcW w:w="1134" w:type="dxa"/>
            <w:noWrap/>
            <w:vAlign w:val="center"/>
          </w:tcPr>
          <w:p w14:paraId="0705F167"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7.01E+11</w:t>
            </w:r>
          </w:p>
        </w:tc>
      </w:tr>
      <w:tr w:rsidR="001D2587" w:rsidRPr="000855B2" w14:paraId="6DE6C01C" w14:textId="77777777" w:rsidTr="00887829">
        <w:trPr>
          <w:cantSplit/>
          <w:trHeight w:val="300"/>
        </w:trPr>
        <w:tc>
          <w:tcPr>
            <w:tcW w:w="1242" w:type="dxa"/>
            <w:vMerge/>
            <w:vAlign w:val="center"/>
          </w:tcPr>
          <w:p w14:paraId="57A5EEE1" w14:textId="77777777" w:rsidR="001D2587" w:rsidRPr="00C92B1B" w:rsidRDefault="001D2587" w:rsidP="005C7955">
            <w:pPr>
              <w:keepNext/>
              <w:keepLines/>
              <w:suppressAutoHyphens/>
              <w:spacing w:line="240" w:lineRule="atLeast"/>
              <w:jc w:val="center"/>
              <w:rPr>
                <w:sz w:val="16"/>
                <w:szCs w:val="18"/>
                <w:lang w:val="en-GB" w:eastAsia="el-GR"/>
              </w:rPr>
            </w:pPr>
          </w:p>
        </w:tc>
        <w:tc>
          <w:tcPr>
            <w:tcW w:w="2483" w:type="dxa"/>
            <w:noWrap/>
            <w:vAlign w:val="center"/>
          </w:tcPr>
          <w:p w14:paraId="13CA0EC6"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 xml:space="preserve">Euro II </w:t>
            </w:r>
            <w:r w:rsidR="00670618" w:rsidRPr="00C92B1B">
              <w:rPr>
                <w:sz w:val="16"/>
                <w:szCs w:val="18"/>
                <w:lang w:val="en-GB" w:eastAsia="el-GR"/>
              </w:rPr>
              <w:t>and</w:t>
            </w:r>
            <w:r w:rsidRPr="00C92B1B">
              <w:rPr>
                <w:sz w:val="16"/>
                <w:szCs w:val="18"/>
                <w:lang w:val="en-GB" w:eastAsia="el-GR"/>
              </w:rPr>
              <w:t xml:space="preserve"> </w:t>
            </w:r>
            <w:smartTag w:uri="urn:schemas-microsoft-com:office:smarttags" w:element="stockticker">
              <w:r w:rsidRPr="00C92B1B">
                <w:rPr>
                  <w:sz w:val="16"/>
                  <w:szCs w:val="18"/>
                  <w:lang w:val="en-GB" w:eastAsia="el-GR"/>
                </w:rPr>
                <w:t>III</w:t>
              </w:r>
            </w:smartTag>
            <w:r w:rsidRPr="00C92B1B">
              <w:rPr>
                <w:sz w:val="16"/>
                <w:szCs w:val="18"/>
                <w:lang w:val="en-GB" w:eastAsia="el-GR"/>
              </w:rPr>
              <w:t>+</w:t>
            </w:r>
            <w:smartTag w:uri="urn:schemas-microsoft-com:office:smarttags" w:element="stockticker">
              <w:r w:rsidRPr="00C92B1B">
                <w:rPr>
                  <w:sz w:val="16"/>
                  <w:szCs w:val="18"/>
                  <w:lang w:val="en-GB" w:eastAsia="el-GR"/>
                </w:rPr>
                <w:t>SCR</w:t>
              </w:r>
            </w:smartTag>
          </w:p>
        </w:tc>
        <w:tc>
          <w:tcPr>
            <w:tcW w:w="0" w:type="auto"/>
            <w:noWrap/>
            <w:vAlign w:val="center"/>
          </w:tcPr>
          <w:p w14:paraId="49A57E06"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6CE0799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1.53E+14</w:t>
            </w:r>
          </w:p>
        </w:tc>
        <w:tc>
          <w:tcPr>
            <w:tcW w:w="1134" w:type="dxa"/>
            <w:noWrap/>
            <w:vAlign w:val="center"/>
          </w:tcPr>
          <w:p w14:paraId="7AA514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7.26E+13</w:t>
            </w:r>
          </w:p>
        </w:tc>
        <w:tc>
          <w:tcPr>
            <w:tcW w:w="1134" w:type="dxa"/>
            <w:noWrap/>
            <w:vAlign w:val="center"/>
          </w:tcPr>
          <w:p w14:paraId="2A21CDF4"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6.88E+13</w:t>
            </w:r>
          </w:p>
        </w:tc>
      </w:tr>
      <w:tr w:rsidR="001D2587" w:rsidRPr="000855B2" w14:paraId="3A797D9B" w14:textId="77777777" w:rsidTr="00887829">
        <w:trPr>
          <w:cantSplit/>
          <w:trHeight w:val="300"/>
        </w:trPr>
        <w:tc>
          <w:tcPr>
            <w:tcW w:w="1242" w:type="dxa"/>
            <w:vMerge/>
            <w:vAlign w:val="center"/>
          </w:tcPr>
          <w:p w14:paraId="4864F466" w14:textId="77777777" w:rsidR="001D2587" w:rsidRPr="00C92B1B" w:rsidRDefault="001D2587" w:rsidP="005C7955">
            <w:pPr>
              <w:keepNext/>
              <w:keepLines/>
              <w:suppressAutoHyphens/>
              <w:spacing w:line="240" w:lineRule="atLeast"/>
              <w:jc w:val="center"/>
              <w:rPr>
                <w:sz w:val="16"/>
                <w:szCs w:val="18"/>
                <w:lang w:val="en-GB" w:eastAsia="el-GR"/>
              </w:rPr>
            </w:pPr>
          </w:p>
        </w:tc>
        <w:tc>
          <w:tcPr>
            <w:tcW w:w="2483" w:type="dxa"/>
            <w:noWrap/>
            <w:vAlign w:val="center"/>
          </w:tcPr>
          <w:p w14:paraId="6400BB34" w14:textId="77777777" w:rsidR="001D2587" w:rsidRPr="00C92B1B" w:rsidRDefault="001D2587" w:rsidP="005C7955">
            <w:pPr>
              <w:keepNext/>
              <w:keepLines/>
              <w:suppressAutoHyphens/>
              <w:spacing w:line="240" w:lineRule="atLeast"/>
              <w:rPr>
                <w:sz w:val="16"/>
                <w:szCs w:val="18"/>
                <w:lang w:val="en-GB" w:eastAsia="el-GR"/>
              </w:rPr>
            </w:pPr>
            <w:r w:rsidRPr="00C92B1B">
              <w:rPr>
                <w:sz w:val="16"/>
                <w:szCs w:val="18"/>
                <w:lang w:val="en-GB" w:eastAsia="el-GR"/>
              </w:rPr>
              <w:t>Euro IV +CRDPF</w:t>
            </w:r>
          </w:p>
        </w:tc>
        <w:tc>
          <w:tcPr>
            <w:tcW w:w="0" w:type="auto"/>
            <w:noWrap/>
            <w:vAlign w:val="center"/>
          </w:tcPr>
          <w:p w14:paraId="0B1AA50B"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10</w:t>
            </w:r>
            <w:r w:rsidR="00BC5284" w:rsidRPr="00C92B1B">
              <w:rPr>
                <w:sz w:val="16"/>
                <w:szCs w:val="18"/>
                <w:lang w:val="en-GB" w:eastAsia="el-GR"/>
              </w:rPr>
              <w:t>–</w:t>
            </w:r>
            <w:r w:rsidRPr="00C92B1B">
              <w:rPr>
                <w:sz w:val="16"/>
                <w:szCs w:val="18"/>
                <w:lang w:val="en-GB" w:eastAsia="el-GR"/>
              </w:rPr>
              <w:t>110</w:t>
            </w:r>
          </w:p>
        </w:tc>
        <w:tc>
          <w:tcPr>
            <w:tcW w:w="1234" w:type="dxa"/>
            <w:noWrap/>
            <w:vAlign w:val="center"/>
          </w:tcPr>
          <w:p w14:paraId="183A40BC"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1.51E+10</w:t>
            </w:r>
          </w:p>
        </w:tc>
        <w:tc>
          <w:tcPr>
            <w:tcW w:w="1134" w:type="dxa"/>
            <w:noWrap/>
            <w:vAlign w:val="center"/>
          </w:tcPr>
          <w:p w14:paraId="0DD22672" w14:textId="77777777" w:rsidR="001D2587" w:rsidRPr="00C92B1B" w:rsidRDefault="001D2587" w:rsidP="005C7955">
            <w:pPr>
              <w:keepNext/>
              <w:keepLines/>
              <w:suppressAutoHyphens/>
              <w:spacing w:line="240" w:lineRule="atLeast"/>
              <w:jc w:val="center"/>
              <w:rPr>
                <w:sz w:val="16"/>
                <w:szCs w:val="18"/>
                <w:lang w:val="en-GB" w:eastAsia="el-GR"/>
              </w:rPr>
            </w:pPr>
            <w:r w:rsidRPr="00C92B1B">
              <w:rPr>
                <w:sz w:val="16"/>
                <w:szCs w:val="18"/>
                <w:lang w:val="en-GB" w:eastAsia="el-GR"/>
              </w:rPr>
              <w:t>5.62E+09</w:t>
            </w:r>
          </w:p>
        </w:tc>
        <w:tc>
          <w:tcPr>
            <w:tcW w:w="1134" w:type="dxa"/>
            <w:noWrap/>
            <w:vAlign w:val="center"/>
          </w:tcPr>
          <w:p w14:paraId="52199517"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eastAsia="el-GR"/>
              </w:rPr>
              <w:t>3.6</w:t>
            </w:r>
            <w:r w:rsidRPr="00C92B1B">
              <w:rPr>
                <w:sz w:val="16"/>
                <w:szCs w:val="18"/>
                <w:lang w:val="en-GB"/>
              </w:rPr>
              <w:t>2E+09</w:t>
            </w:r>
          </w:p>
        </w:tc>
      </w:tr>
      <w:tr w:rsidR="001D2587" w:rsidRPr="000855B2" w14:paraId="7373F6F6" w14:textId="77777777" w:rsidTr="00887829">
        <w:trPr>
          <w:cantSplit/>
          <w:trHeight w:val="300"/>
        </w:trPr>
        <w:tc>
          <w:tcPr>
            <w:tcW w:w="1242" w:type="dxa"/>
            <w:vMerge/>
            <w:vAlign w:val="center"/>
          </w:tcPr>
          <w:p w14:paraId="61D46C83" w14:textId="77777777" w:rsidR="001D2587" w:rsidRPr="00C92B1B" w:rsidRDefault="001D2587" w:rsidP="005C7955">
            <w:pPr>
              <w:keepNext/>
              <w:keepLines/>
              <w:suppressAutoHyphens/>
              <w:spacing w:line="240" w:lineRule="atLeast"/>
              <w:jc w:val="center"/>
              <w:rPr>
                <w:sz w:val="16"/>
                <w:szCs w:val="18"/>
                <w:lang w:val="en-GB"/>
              </w:rPr>
            </w:pPr>
          </w:p>
        </w:tc>
        <w:tc>
          <w:tcPr>
            <w:tcW w:w="2483" w:type="dxa"/>
            <w:noWrap/>
            <w:vAlign w:val="center"/>
          </w:tcPr>
          <w:p w14:paraId="2D53C930" w14:textId="77777777" w:rsidR="001D2587" w:rsidRPr="00C92B1B" w:rsidRDefault="001D2587" w:rsidP="005C7955">
            <w:pPr>
              <w:keepNext/>
              <w:keepLines/>
              <w:suppressAutoHyphens/>
              <w:spacing w:line="240" w:lineRule="atLeast"/>
              <w:rPr>
                <w:sz w:val="16"/>
                <w:szCs w:val="18"/>
                <w:lang w:val="en-GB"/>
              </w:rPr>
            </w:pPr>
            <w:r w:rsidRPr="00C92B1B">
              <w:rPr>
                <w:sz w:val="16"/>
                <w:szCs w:val="18"/>
                <w:lang w:val="en-GB"/>
              </w:rPr>
              <w:t xml:space="preserve">Euro V + </w:t>
            </w:r>
            <w:smartTag w:uri="urn:schemas-microsoft-com:office:smarttags" w:element="stockticker">
              <w:r w:rsidRPr="00C92B1B">
                <w:rPr>
                  <w:sz w:val="16"/>
                  <w:szCs w:val="18"/>
                  <w:lang w:val="en-GB"/>
                </w:rPr>
                <w:t>SCR</w:t>
              </w:r>
            </w:smartTag>
          </w:p>
        </w:tc>
        <w:tc>
          <w:tcPr>
            <w:tcW w:w="0" w:type="auto"/>
            <w:noWrap/>
            <w:vAlign w:val="center"/>
          </w:tcPr>
          <w:p w14:paraId="025A09FD"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10</w:t>
            </w:r>
            <w:r w:rsidR="00BC5284" w:rsidRPr="00C92B1B">
              <w:rPr>
                <w:sz w:val="16"/>
                <w:szCs w:val="18"/>
                <w:lang w:val="en-GB"/>
              </w:rPr>
              <w:t>–</w:t>
            </w:r>
            <w:r w:rsidRPr="00C92B1B">
              <w:rPr>
                <w:sz w:val="16"/>
                <w:szCs w:val="18"/>
                <w:lang w:val="en-GB"/>
              </w:rPr>
              <w:t>110</w:t>
            </w:r>
          </w:p>
        </w:tc>
        <w:tc>
          <w:tcPr>
            <w:tcW w:w="1234" w:type="dxa"/>
            <w:noWrap/>
            <w:vAlign w:val="center"/>
          </w:tcPr>
          <w:p w14:paraId="533DD054"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7.21E+12</w:t>
            </w:r>
          </w:p>
        </w:tc>
        <w:tc>
          <w:tcPr>
            <w:tcW w:w="1134" w:type="dxa"/>
            <w:noWrap/>
            <w:vAlign w:val="center"/>
          </w:tcPr>
          <w:p w14:paraId="056E00CF"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3.05E+12</w:t>
            </w:r>
          </w:p>
        </w:tc>
        <w:tc>
          <w:tcPr>
            <w:tcW w:w="1134" w:type="dxa"/>
            <w:noWrap/>
            <w:vAlign w:val="center"/>
          </w:tcPr>
          <w:p w14:paraId="6821CAF5" w14:textId="77777777" w:rsidR="001D2587" w:rsidRPr="00C92B1B" w:rsidRDefault="001D2587" w:rsidP="005C7955">
            <w:pPr>
              <w:keepNext/>
              <w:keepLines/>
              <w:suppressAutoHyphens/>
              <w:spacing w:line="240" w:lineRule="atLeast"/>
              <w:jc w:val="center"/>
              <w:rPr>
                <w:sz w:val="16"/>
                <w:szCs w:val="18"/>
                <w:lang w:val="en-GB"/>
              </w:rPr>
            </w:pPr>
            <w:r w:rsidRPr="00C92B1B">
              <w:rPr>
                <w:sz w:val="16"/>
                <w:szCs w:val="18"/>
                <w:lang w:val="en-GB"/>
              </w:rPr>
              <w:t>2.04E+12</w:t>
            </w:r>
          </w:p>
        </w:tc>
      </w:tr>
    </w:tbl>
    <w:p w14:paraId="42D63307" w14:textId="77777777" w:rsidR="001D2587" w:rsidRPr="000855B2" w:rsidRDefault="001D2587">
      <w:pPr>
        <w:rPr>
          <w:lang w:val="en-GB"/>
        </w:rPr>
      </w:pPr>
    </w:p>
    <w:p w14:paraId="2E707088" w14:textId="5928FD92" w:rsidR="001D2587" w:rsidRPr="000855B2" w:rsidRDefault="001D2587" w:rsidP="00C92B1B">
      <w:pPr>
        <w:pStyle w:val="Caption"/>
      </w:pPr>
      <w:r w:rsidRPr="000855B2">
        <w:br w:type="page"/>
      </w:r>
      <w:r w:rsidR="00A040D1"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53</w:t>
      </w:r>
      <w:r w:rsidR="00FB454C">
        <w:rPr>
          <w:noProof/>
        </w:rPr>
        <w:fldChar w:fldCharType="end"/>
      </w:r>
      <w:r w:rsidRPr="000855B2">
        <w:t>: PM characteristics of rigid HDVs 7.5-14</w:t>
      </w:r>
      <w:r w:rsidR="00670618" w:rsidRPr="000855B2">
        <w:t> </w:t>
      </w:r>
      <w:r w:rsidRPr="000855B2">
        <w:t>t</w:t>
      </w:r>
      <w:r w:rsidR="00B96952" w:rsidRPr="000855B2">
        <w:t>onnes</w:t>
      </w:r>
    </w:p>
    <w:tbl>
      <w:tblPr>
        <w:tblW w:w="847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101"/>
        <w:gridCol w:w="2334"/>
        <w:gridCol w:w="1410"/>
        <w:gridCol w:w="1271"/>
        <w:gridCol w:w="1222"/>
        <w:gridCol w:w="1134"/>
      </w:tblGrid>
      <w:tr w:rsidR="001D2587" w:rsidRPr="000855B2" w14:paraId="07282ACE" w14:textId="77777777" w:rsidTr="00887829">
        <w:trPr>
          <w:trHeight w:val="300"/>
        </w:trPr>
        <w:tc>
          <w:tcPr>
            <w:tcW w:w="1101" w:type="dxa"/>
            <w:vMerge w:val="restart"/>
            <w:tcMar>
              <w:left w:w="57" w:type="dxa"/>
              <w:right w:w="57" w:type="dxa"/>
            </w:tcMar>
            <w:vAlign w:val="center"/>
          </w:tcPr>
          <w:p w14:paraId="2A99D4D8"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Pollutant</w:t>
            </w:r>
            <w:r w:rsidR="00B96952" w:rsidRPr="00C92B1B">
              <w:rPr>
                <w:b/>
                <w:sz w:val="16"/>
                <w:szCs w:val="16"/>
                <w:lang w:val="en-GB" w:eastAsia="el-GR"/>
              </w:rPr>
              <w:t xml:space="preserve"> metric</w:t>
            </w:r>
          </w:p>
        </w:tc>
        <w:tc>
          <w:tcPr>
            <w:tcW w:w="2334" w:type="dxa"/>
            <w:vMerge w:val="restart"/>
            <w:tcMar>
              <w:left w:w="57" w:type="dxa"/>
              <w:right w:w="57" w:type="dxa"/>
            </w:tcMar>
            <w:vAlign w:val="center"/>
          </w:tcPr>
          <w:p w14:paraId="6A87283A"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B96952" w:rsidRPr="00C92B1B">
              <w:rPr>
                <w:b/>
                <w:sz w:val="16"/>
                <w:szCs w:val="16"/>
                <w:lang w:val="en-GB" w:eastAsia="el-GR"/>
              </w:rPr>
              <w:t>s</w:t>
            </w:r>
            <w:r w:rsidRPr="00C92B1B">
              <w:rPr>
                <w:b/>
                <w:sz w:val="16"/>
                <w:szCs w:val="16"/>
                <w:lang w:val="en-GB" w:eastAsia="el-GR"/>
              </w:rPr>
              <w:t>tandard</w:t>
            </w:r>
          </w:p>
        </w:tc>
        <w:tc>
          <w:tcPr>
            <w:tcW w:w="1410" w:type="dxa"/>
            <w:vMerge w:val="restart"/>
            <w:tcMar>
              <w:left w:w="57" w:type="dxa"/>
              <w:right w:w="57" w:type="dxa"/>
            </w:tcMar>
            <w:vAlign w:val="center"/>
          </w:tcPr>
          <w:p w14:paraId="5E1F1707"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Speed </w:t>
            </w:r>
            <w:r w:rsidR="00B96952" w:rsidRPr="00C92B1B">
              <w:rPr>
                <w:b/>
                <w:sz w:val="16"/>
                <w:szCs w:val="16"/>
                <w:lang w:val="en-GB" w:eastAsia="el-GR"/>
              </w:rPr>
              <w:t>r</w:t>
            </w:r>
            <w:r w:rsidRPr="00C92B1B">
              <w:rPr>
                <w:b/>
                <w:sz w:val="16"/>
                <w:szCs w:val="16"/>
                <w:lang w:val="en-GB" w:eastAsia="el-GR"/>
              </w:rPr>
              <w:t>ange [km/h]</w:t>
            </w:r>
          </w:p>
        </w:tc>
        <w:tc>
          <w:tcPr>
            <w:tcW w:w="3627" w:type="dxa"/>
            <w:gridSpan w:val="3"/>
            <w:tcMar>
              <w:left w:w="57" w:type="dxa"/>
              <w:right w:w="57" w:type="dxa"/>
            </w:tcMar>
            <w:vAlign w:val="center"/>
          </w:tcPr>
          <w:p w14:paraId="69C35F34"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B96952" w:rsidRPr="00C92B1B">
              <w:rPr>
                <w:b/>
                <w:sz w:val="16"/>
                <w:szCs w:val="16"/>
                <w:lang w:val="en-GB" w:eastAsia="el-GR"/>
              </w:rPr>
              <w:t>f</w:t>
            </w:r>
            <w:r w:rsidRPr="00C92B1B">
              <w:rPr>
                <w:b/>
                <w:sz w:val="16"/>
                <w:szCs w:val="16"/>
                <w:lang w:val="en-GB" w:eastAsia="el-GR"/>
              </w:rPr>
              <w:t>actor</w:t>
            </w:r>
          </w:p>
        </w:tc>
      </w:tr>
      <w:tr w:rsidR="001D2587" w:rsidRPr="000855B2" w14:paraId="2A80D698" w14:textId="77777777" w:rsidTr="00246BA6">
        <w:trPr>
          <w:trHeight w:val="300"/>
        </w:trPr>
        <w:tc>
          <w:tcPr>
            <w:tcW w:w="1101" w:type="dxa"/>
            <w:vMerge/>
            <w:tcBorders>
              <w:bottom w:val="single" w:sz="12" w:space="0" w:color="auto"/>
            </w:tcBorders>
            <w:tcMar>
              <w:left w:w="57" w:type="dxa"/>
              <w:right w:w="57" w:type="dxa"/>
            </w:tcMar>
            <w:vAlign w:val="center"/>
          </w:tcPr>
          <w:p w14:paraId="2AFEDD4E"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2334" w:type="dxa"/>
            <w:vMerge/>
            <w:tcBorders>
              <w:bottom w:val="single" w:sz="12" w:space="0" w:color="auto"/>
            </w:tcBorders>
            <w:tcMar>
              <w:left w:w="57" w:type="dxa"/>
              <w:right w:w="57" w:type="dxa"/>
            </w:tcMar>
            <w:vAlign w:val="center"/>
          </w:tcPr>
          <w:p w14:paraId="0E7CC338"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0" w:type="auto"/>
            <w:vMerge/>
            <w:tcBorders>
              <w:bottom w:val="single" w:sz="12" w:space="0" w:color="auto"/>
            </w:tcBorders>
            <w:tcMar>
              <w:left w:w="57" w:type="dxa"/>
              <w:right w:w="57" w:type="dxa"/>
            </w:tcMar>
            <w:vAlign w:val="center"/>
          </w:tcPr>
          <w:p w14:paraId="6359F290"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1271" w:type="dxa"/>
            <w:tcBorders>
              <w:bottom w:val="single" w:sz="12" w:space="0" w:color="auto"/>
            </w:tcBorders>
            <w:tcMar>
              <w:left w:w="57" w:type="dxa"/>
              <w:right w:w="57" w:type="dxa"/>
            </w:tcMar>
            <w:vAlign w:val="center"/>
          </w:tcPr>
          <w:p w14:paraId="0CBB7980"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Urban</w:t>
            </w:r>
          </w:p>
        </w:tc>
        <w:tc>
          <w:tcPr>
            <w:tcW w:w="1222" w:type="dxa"/>
            <w:tcBorders>
              <w:bottom w:val="single" w:sz="12" w:space="0" w:color="auto"/>
            </w:tcBorders>
            <w:tcMar>
              <w:left w:w="57" w:type="dxa"/>
              <w:right w:w="57" w:type="dxa"/>
            </w:tcMar>
            <w:vAlign w:val="center"/>
          </w:tcPr>
          <w:p w14:paraId="0F30C84B"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Rural</w:t>
            </w:r>
          </w:p>
        </w:tc>
        <w:tc>
          <w:tcPr>
            <w:tcW w:w="1134" w:type="dxa"/>
            <w:tcBorders>
              <w:bottom w:val="single" w:sz="12" w:space="0" w:color="auto"/>
            </w:tcBorders>
            <w:tcMar>
              <w:left w:w="57" w:type="dxa"/>
              <w:right w:w="57" w:type="dxa"/>
            </w:tcMar>
            <w:vAlign w:val="center"/>
          </w:tcPr>
          <w:p w14:paraId="5D809FD7"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Highway</w:t>
            </w:r>
          </w:p>
        </w:tc>
      </w:tr>
      <w:tr w:rsidR="001D2587" w:rsidRPr="000855B2" w14:paraId="34D7B076" w14:textId="77777777" w:rsidTr="00246BA6">
        <w:trPr>
          <w:trHeight w:val="300"/>
        </w:trPr>
        <w:tc>
          <w:tcPr>
            <w:tcW w:w="1101" w:type="dxa"/>
            <w:vMerge w:val="restart"/>
            <w:tcBorders>
              <w:top w:val="single" w:sz="12" w:space="0" w:color="auto"/>
            </w:tcBorders>
            <w:tcMar>
              <w:left w:w="57" w:type="dxa"/>
              <w:right w:w="57" w:type="dxa"/>
            </w:tcMar>
            <w:vAlign w:val="center"/>
          </w:tcPr>
          <w:p w14:paraId="2BB556BE"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Active </w:t>
            </w:r>
            <w:r w:rsidR="00B96952" w:rsidRPr="00C92B1B">
              <w:rPr>
                <w:sz w:val="16"/>
                <w:szCs w:val="16"/>
                <w:lang w:val="en-GB" w:eastAsia="el-GR"/>
              </w:rPr>
              <w:t>s</w:t>
            </w:r>
            <w:r w:rsidRPr="00C92B1B">
              <w:rPr>
                <w:sz w:val="16"/>
                <w:szCs w:val="16"/>
                <w:lang w:val="en-GB" w:eastAsia="el-GR"/>
              </w:rPr>
              <w:t xml:space="preserve">urface </w:t>
            </w:r>
            <w:r w:rsidR="00B96952" w:rsidRPr="00C92B1B">
              <w:rPr>
                <w:sz w:val="16"/>
                <w:szCs w:val="16"/>
                <w:lang w:val="en-GB" w:eastAsia="el-GR"/>
              </w:rPr>
              <w:t>a</w:t>
            </w:r>
            <w:r w:rsidRPr="00C92B1B">
              <w:rPr>
                <w:sz w:val="16"/>
                <w:szCs w:val="16"/>
                <w:lang w:val="en-GB" w:eastAsia="el-GR"/>
              </w:rPr>
              <w:t>rea [cm</w:t>
            </w:r>
            <w:r w:rsidRPr="00C92B1B">
              <w:rPr>
                <w:sz w:val="16"/>
                <w:szCs w:val="16"/>
                <w:vertAlign w:val="superscript"/>
                <w:lang w:val="en-GB" w:eastAsia="el-GR"/>
              </w:rPr>
              <w:t>2</w:t>
            </w:r>
            <w:r w:rsidRPr="00C92B1B">
              <w:rPr>
                <w:sz w:val="16"/>
                <w:szCs w:val="16"/>
                <w:lang w:val="en-GB" w:eastAsia="el-GR"/>
              </w:rPr>
              <w:t>/km]</w:t>
            </w:r>
          </w:p>
        </w:tc>
        <w:tc>
          <w:tcPr>
            <w:tcW w:w="2334" w:type="dxa"/>
            <w:tcBorders>
              <w:top w:val="single" w:sz="12" w:space="0" w:color="auto"/>
            </w:tcBorders>
            <w:noWrap/>
            <w:tcMar>
              <w:left w:w="57" w:type="dxa"/>
              <w:right w:w="57" w:type="dxa"/>
            </w:tcMar>
            <w:vAlign w:val="center"/>
          </w:tcPr>
          <w:p w14:paraId="66CD8279"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tcBorders>
              <w:top w:val="single" w:sz="12" w:space="0" w:color="auto"/>
            </w:tcBorders>
            <w:noWrap/>
            <w:tcMar>
              <w:left w:w="57" w:type="dxa"/>
              <w:right w:w="57" w:type="dxa"/>
            </w:tcMar>
            <w:vAlign w:val="center"/>
          </w:tcPr>
          <w:p w14:paraId="751358C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tcBorders>
              <w:top w:val="single" w:sz="12" w:space="0" w:color="auto"/>
            </w:tcBorders>
            <w:noWrap/>
            <w:tcMar>
              <w:left w:w="57" w:type="dxa"/>
              <w:right w:w="57" w:type="dxa"/>
            </w:tcMar>
            <w:vAlign w:val="center"/>
          </w:tcPr>
          <w:p w14:paraId="0242086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5.56E+05</w:t>
            </w:r>
          </w:p>
        </w:tc>
        <w:tc>
          <w:tcPr>
            <w:tcW w:w="1222" w:type="dxa"/>
            <w:tcBorders>
              <w:top w:val="single" w:sz="12" w:space="0" w:color="auto"/>
            </w:tcBorders>
            <w:noWrap/>
            <w:tcMar>
              <w:left w:w="57" w:type="dxa"/>
              <w:right w:w="57" w:type="dxa"/>
            </w:tcMar>
            <w:vAlign w:val="center"/>
          </w:tcPr>
          <w:p w14:paraId="3A48911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2.19E+05</w:t>
            </w:r>
          </w:p>
        </w:tc>
        <w:tc>
          <w:tcPr>
            <w:tcW w:w="1134" w:type="dxa"/>
            <w:tcBorders>
              <w:top w:val="single" w:sz="12" w:space="0" w:color="auto"/>
            </w:tcBorders>
            <w:noWrap/>
            <w:tcMar>
              <w:left w:w="57" w:type="dxa"/>
              <w:right w:w="57" w:type="dxa"/>
            </w:tcMar>
            <w:vAlign w:val="center"/>
          </w:tcPr>
          <w:p w14:paraId="0CF1D72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2.37E+05</w:t>
            </w:r>
          </w:p>
        </w:tc>
      </w:tr>
      <w:tr w:rsidR="001D2587" w:rsidRPr="000855B2" w14:paraId="649340DE" w14:textId="77777777" w:rsidTr="00887829">
        <w:trPr>
          <w:trHeight w:val="300"/>
        </w:trPr>
        <w:tc>
          <w:tcPr>
            <w:tcW w:w="1101" w:type="dxa"/>
            <w:vMerge/>
            <w:tcMar>
              <w:left w:w="57" w:type="dxa"/>
              <w:right w:w="57" w:type="dxa"/>
            </w:tcMar>
            <w:vAlign w:val="center"/>
          </w:tcPr>
          <w:p w14:paraId="519968AC"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0551651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1EA06F6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BDDF3B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7.95E+04</w:t>
            </w:r>
          </w:p>
        </w:tc>
        <w:tc>
          <w:tcPr>
            <w:tcW w:w="1222" w:type="dxa"/>
            <w:noWrap/>
            <w:tcMar>
              <w:left w:w="57" w:type="dxa"/>
              <w:right w:w="57" w:type="dxa"/>
            </w:tcMar>
            <w:vAlign w:val="center"/>
          </w:tcPr>
          <w:p w14:paraId="5CDCA48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1.95E+04</w:t>
            </w:r>
          </w:p>
        </w:tc>
        <w:tc>
          <w:tcPr>
            <w:tcW w:w="1134" w:type="dxa"/>
            <w:noWrap/>
            <w:tcMar>
              <w:left w:w="57" w:type="dxa"/>
              <w:right w:w="57" w:type="dxa"/>
            </w:tcMar>
            <w:vAlign w:val="center"/>
          </w:tcPr>
          <w:p w14:paraId="179FB29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2.00E+04</w:t>
            </w:r>
          </w:p>
        </w:tc>
      </w:tr>
      <w:tr w:rsidR="001D2587" w:rsidRPr="000855B2" w14:paraId="15974007" w14:textId="77777777" w:rsidTr="00887829">
        <w:trPr>
          <w:trHeight w:val="300"/>
        </w:trPr>
        <w:tc>
          <w:tcPr>
            <w:tcW w:w="1101" w:type="dxa"/>
            <w:vMerge/>
            <w:tcMar>
              <w:left w:w="57" w:type="dxa"/>
              <w:right w:w="57" w:type="dxa"/>
            </w:tcMar>
            <w:vAlign w:val="center"/>
          </w:tcPr>
          <w:p w14:paraId="002C61B7"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41AD4D8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3083CF5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4BB5432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8.99E+05</w:t>
            </w:r>
          </w:p>
        </w:tc>
        <w:tc>
          <w:tcPr>
            <w:tcW w:w="1222" w:type="dxa"/>
            <w:noWrap/>
            <w:tcMar>
              <w:left w:w="57" w:type="dxa"/>
              <w:right w:w="57" w:type="dxa"/>
            </w:tcMar>
            <w:vAlign w:val="center"/>
          </w:tcPr>
          <w:p w14:paraId="03DDD1C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3.70E+05</w:t>
            </w:r>
          </w:p>
        </w:tc>
        <w:tc>
          <w:tcPr>
            <w:tcW w:w="1134" w:type="dxa"/>
            <w:noWrap/>
            <w:tcMar>
              <w:left w:w="57" w:type="dxa"/>
              <w:right w:w="57" w:type="dxa"/>
            </w:tcMar>
            <w:vAlign w:val="center"/>
          </w:tcPr>
          <w:p w14:paraId="6FC5E2B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3.61E+05</w:t>
            </w:r>
          </w:p>
        </w:tc>
      </w:tr>
      <w:tr w:rsidR="001D2587" w:rsidRPr="000855B2" w14:paraId="41B0406D" w14:textId="77777777" w:rsidTr="00887829">
        <w:trPr>
          <w:trHeight w:val="300"/>
        </w:trPr>
        <w:tc>
          <w:tcPr>
            <w:tcW w:w="1101" w:type="dxa"/>
            <w:vMerge/>
            <w:tcMar>
              <w:left w:w="57" w:type="dxa"/>
              <w:right w:w="57" w:type="dxa"/>
            </w:tcMar>
            <w:vAlign w:val="center"/>
          </w:tcPr>
          <w:p w14:paraId="66801333"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5A6D706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337D25C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320579B" w14:textId="77777777" w:rsidR="001D2587" w:rsidRPr="00C92B1B" w:rsidRDefault="001D2587" w:rsidP="005C7955">
            <w:pPr>
              <w:keepNext/>
              <w:keepLines/>
              <w:suppressAutoHyphens/>
              <w:spacing w:line="240" w:lineRule="atLeast"/>
              <w:jc w:val="center"/>
              <w:rPr>
                <w:sz w:val="16"/>
                <w:szCs w:val="16"/>
                <w:lang w:val="en-GB" w:eastAsia="el-GR"/>
              </w:rPr>
            </w:pPr>
          </w:p>
        </w:tc>
        <w:tc>
          <w:tcPr>
            <w:tcW w:w="1222" w:type="dxa"/>
            <w:noWrap/>
            <w:tcMar>
              <w:left w:w="57" w:type="dxa"/>
              <w:right w:w="57" w:type="dxa"/>
            </w:tcMar>
            <w:vAlign w:val="center"/>
          </w:tcPr>
          <w:p w14:paraId="6ACDB43E"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tcMar>
              <w:left w:w="57" w:type="dxa"/>
              <w:right w:w="57" w:type="dxa"/>
            </w:tcMar>
            <w:vAlign w:val="center"/>
          </w:tcPr>
          <w:p w14:paraId="70888DAE"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6543D48F" w14:textId="77777777" w:rsidTr="00887829">
        <w:trPr>
          <w:trHeight w:val="300"/>
        </w:trPr>
        <w:tc>
          <w:tcPr>
            <w:tcW w:w="1101" w:type="dxa"/>
            <w:vMerge/>
            <w:tcMar>
              <w:left w:w="57" w:type="dxa"/>
              <w:right w:w="57" w:type="dxa"/>
            </w:tcMar>
            <w:vAlign w:val="center"/>
          </w:tcPr>
          <w:p w14:paraId="21A464F3"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3AC17F77"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2C43D31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41070C67" w14:textId="77777777" w:rsidR="001D2587" w:rsidRPr="00C92B1B" w:rsidRDefault="001D2587" w:rsidP="005C7955">
            <w:pPr>
              <w:keepNext/>
              <w:keepLines/>
              <w:suppressAutoHyphens/>
              <w:spacing w:line="240" w:lineRule="atLeast"/>
              <w:jc w:val="center"/>
              <w:rPr>
                <w:sz w:val="16"/>
                <w:szCs w:val="16"/>
                <w:lang w:val="en-GB" w:eastAsia="el-GR"/>
              </w:rPr>
            </w:pPr>
          </w:p>
        </w:tc>
        <w:tc>
          <w:tcPr>
            <w:tcW w:w="1222" w:type="dxa"/>
            <w:noWrap/>
            <w:tcMar>
              <w:left w:w="57" w:type="dxa"/>
              <w:right w:w="57" w:type="dxa"/>
            </w:tcMar>
            <w:vAlign w:val="center"/>
          </w:tcPr>
          <w:p w14:paraId="4673917A"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tcMar>
              <w:left w:w="57" w:type="dxa"/>
              <w:right w:w="57" w:type="dxa"/>
            </w:tcMar>
            <w:vAlign w:val="center"/>
          </w:tcPr>
          <w:p w14:paraId="5AA0C8CA"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648E038B" w14:textId="77777777" w:rsidTr="00887829">
        <w:trPr>
          <w:trHeight w:val="300"/>
        </w:trPr>
        <w:tc>
          <w:tcPr>
            <w:tcW w:w="1101" w:type="dxa"/>
            <w:vMerge w:val="restart"/>
            <w:tcMar>
              <w:left w:w="57" w:type="dxa"/>
              <w:right w:w="57" w:type="dxa"/>
            </w:tcMar>
            <w:vAlign w:val="center"/>
          </w:tcPr>
          <w:p w14:paraId="763E505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Total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umber [#/km]</w:t>
            </w:r>
          </w:p>
        </w:tc>
        <w:tc>
          <w:tcPr>
            <w:tcW w:w="2334" w:type="dxa"/>
            <w:noWrap/>
            <w:tcMar>
              <w:left w:w="57" w:type="dxa"/>
              <w:right w:w="57" w:type="dxa"/>
            </w:tcMar>
            <w:vAlign w:val="center"/>
          </w:tcPr>
          <w:p w14:paraId="4F9DAE2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6F2F6BE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94A82C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6.78E+14</w:t>
            </w:r>
          </w:p>
        </w:tc>
        <w:tc>
          <w:tcPr>
            <w:tcW w:w="1222" w:type="dxa"/>
            <w:noWrap/>
            <w:tcMar>
              <w:left w:w="57" w:type="dxa"/>
              <w:right w:w="57" w:type="dxa"/>
            </w:tcMar>
            <w:vAlign w:val="center"/>
          </w:tcPr>
          <w:p w14:paraId="0A88302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5.00E+14</w:t>
            </w:r>
          </w:p>
        </w:tc>
        <w:tc>
          <w:tcPr>
            <w:tcW w:w="1134" w:type="dxa"/>
            <w:noWrap/>
            <w:tcMar>
              <w:left w:w="57" w:type="dxa"/>
              <w:right w:w="57" w:type="dxa"/>
            </w:tcMar>
            <w:vAlign w:val="center"/>
          </w:tcPr>
          <w:p w14:paraId="25AC784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1.03E+15</w:t>
            </w:r>
          </w:p>
        </w:tc>
      </w:tr>
      <w:tr w:rsidR="001D2587" w:rsidRPr="000855B2" w14:paraId="5E725241" w14:textId="77777777" w:rsidTr="00887829">
        <w:trPr>
          <w:trHeight w:val="300"/>
        </w:trPr>
        <w:tc>
          <w:tcPr>
            <w:tcW w:w="1101" w:type="dxa"/>
            <w:vMerge/>
            <w:tcMar>
              <w:left w:w="57" w:type="dxa"/>
              <w:right w:w="57" w:type="dxa"/>
            </w:tcMar>
            <w:vAlign w:val="center"/>
          </w:tcPr>
          <w:p w14:paraId="372AD299"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00DE0F07"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61F3320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49D3BA2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2.68E+14</w:t>
            </w:r>
          </w:p>
        </w:tc>
        <w:tc>
          <w:tcPr>
            <w:tcW w:w="1222" w:type="dxa"/>
            <w:noWrap/>
            <w:tcMar>
              <w:left w:w="57" w:type="dxa"/>
              <w:right w:w="57" w:type="dxa"/>
            </w:tcMar>
            <w:vAlign w:val="center"/>
          </w:tcPr>
          <w:p w14:paraId="5A99F7A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5.24E+13</w:t>
            </w:r>
          </w:p>
        </w:tc>
        <w:tc>
          <w:tcPr>
            <w:tcW w:w="1134" w:type="dxa"/>
            <w:noWrap/>
            <w:tcMar>
              <w:left w:w="57" w:type="dxa"/>
              <w:right w:w="57" w:type="dxa"/>
            </w:tcMar>
            <w:vAlign w:val="center"/>
          </w:tcPr>
          <w:p w14:paraId="5FBFDC4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8.07E+13</w:t>
            </w:r>
          </w:p>
        </w:tc>
      </w:tr>
      <w:tr w:rsidR="001D2587" w:rsidRPr="000855B2" w14:paraId="2FD115B0" w14:textId="77777777" w:rsidTr="00887829">
        <w:trPr>
          <w:trHeight w:val="300"/>
        </w:trPr>
        <w:tc>
          <w:tcPr>
            <w:tcW w:w="1101" w:type="dxa"/>
            <w:vMerge/>
            <w:tcMar>
              <w:left w:w="57" w:type="dxa"/>
              <w:right w:w="57" w:type="dxa"/>
            </w:tcMar>
            <w:vAlign w:val="center"/>
          </w:tcPr>
          <w:p w14:paraId="62CA65DF"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09B3093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34741C8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5763ED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7.54E+14</w:t>
            </w:r>
          </w:p>
        </w:tc>
        <w:tc>
          <w:tcPr>
            <w:tcW w:w="1222" w:type="dxa"/>
            <w:noWrap/>
            <w:tcMar>
              <w:left w:w="57" w:type="dxa"/>
              <w:right w:w="57" w:type="dxa"/>
            </w:tcMar>
            <w:vAlign w:val="center"/>
          </w:tcPr>
          <w:p w14:paraId="04552D2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6.23E+14</w:t>
            </w:r>
          </w:p>
        </w:tc>
        <w:tc>
          <w:tcPr>
            <w:tcW w:w="1134" w:type="dxa"/>
            <w:noWrap/>
            <w:tcMar>
              <w:left w:w="57" w:type="dxa"/>
              <w:right w:w="57" w:type="dxa"/>
            </w:tcMar>
            <w:vAlign w:val="center"/>
          </w:tcPr>
          <w:p w14:paraId="52B2C8E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1.18E+15</w:t>
            </w:r>
          </w:p>
        </w:tc>
      </w:tr>
      <w:tr w:rsidR="001D2587" w:rsidRPr="000855B2" w14:paraId="45549C85" w14:textId="77777777" w:rsidTr="00887829">
        <w:trPr>
          <w:trHeight w:val="300"/>
        </w:trPr>
        <w:tc>
          <w:tcPr>
            <w:tcW w:w="1101" w:type="dxa"/>
            <w:vMerge/>
            <w:tcMar>
              <w:left w:w="57" w:type="dxa"/>
              <w:right w:w="57" w:type="dxa"/>
            </w:tcMar>
            <w:vAlign w:val="center"/>
          </w:tcPr>
          <w:p w14:paraId="0339D263"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5C48E473"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7370EA5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4DDBF9C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5.81E+12</w:t>
            </w:r>
          </w:p>
        </w:tc>
        <w:tc>
          <w:tcPr>
            <w:tcW w:w="1222" w:type="dxa"/>
            <w:noWrap/>
            <w:tcMar>
              <w:left w:w="57" w:type="dxa"/>
              <w:right w:w="57" w:type="dxa"/>
            </w:tcMar>
            <w:vAlign w:val="center"/>
          </w:tcPr>
          <w:p w14:paraId="0B0A3B3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3.90E+12</w:t>
            </w:r>
          </w:p>
        </w:tc>
        <w:tc>
          <w:tcPr>
            <w:tcW w:w="1134" w:type="dxa"/>
            <w:noWrap/>
            <w:tcMar>
              <w:left w:w="57" w:type="dxa"/>
              <w:right w:w="57" w:type="dxa"/>
            </w:tcMar>
            <w:vAlign w:val="center"/>
          </w:tcPr>
          <w:p w14:paraId="228E3A0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2.66E+12</w:t>
            </w:r>
          </w:p>
        </w:tc>
      </w:tr>
      <w:tr w:rsidR="001D2587" w:rsidRPr="000855B2" w14:paraId="2C7CA7CC" w14:textId="77777777" w:rsidTr="00887829">
        <w:trPr>
          <w:trHeight w:val="300"/>
        </w:trPr>
        <w:tc>
          <w:tcPr>
            <w:tcW w:w="1101" w:type="dxa"/>
            <w:vMerge/>
            <w:tcMar>
              <w:left w:w="57" w:type="dxa"/>
              <w:right w:w="57" w:type="dxa"/>
            </w:tcMar>
            <w:vAlign w:val="center"/>
          </w:tcPr>
          <w:p w14:paraId="5A0577D3"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1ED2CDDE"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18308CE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199B1A5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1.69E+13</w:t>
            </w:r>
          </w:p>
        </w:tc>
        <w:tc>
          <w:tcPr>
            <w:tcW w:w="1222" w:type="dxa"/>
            <w:noWrap/>
            <w:tcMar>
              <w:left w:w="57" w:type="dxa"/>
              <w:right w:w="57" w:type="dxa"/>
            </w:tcMar>
            <w:vAlign w:val="center"/>
          </w:tcPr>
          <w:p w14:paraId="6E4D746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1.18E+13</w:t>
            </w:r>
          </w:p>
        </w:tc>
        <w:tc>
          <w:tcPr>
            <w:tcW w:w="1134" w:type="dxa"/>
            <w:noWrap/>
            <w:tcMar>
              <w:left w:w="57" w:type="dxa"/>
              <w:right w:w="57" w:type="dxa"/>
            </w:tcMar>
            <w:vAlign w:val="center"/>
          </w:tcPr>
          <w:p w14:paraId="2C78AC7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1.10E+13</w:t>
            </w:r>
          </w:p>
        </w:tc>
      </w:tr>
      <w:tr w:rsidR="001D2587" w:rsidRPr="000855B2" w14:paraId="5837D29B" w14:textId="77777777" w:rsidTr="00887829">
        <w:trPr>
          <w:trHeight w:val="300"/>
        </w:trPr>
        <w:tc>
          <w:tcPr>
            <w:tcW w:w="1101" w:type="dxa"/>
            <w:vMerge w:val="restart"/>
            <w:tcMar>
              <w:left w:w="57" w:type="dxa"/>
              <w:right w:w="57" w:type="dxa"/>
            </w:tcMar>
            <w:vAlign w:val="center"/>
          </w:tcPr>
          <w:p w14:paraId="453E05C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 xml:space="preserve">umber </w:t>
            </w:r>
            <w:r w:rsidR="00D205E2" w:rsidRPr="00C92B1B">
              <w:rPr>
                <w:sz w:val="16"/>
                <w:szCs w:val="16"/>
                <w:lang w:val="en-GB" w:eastAsia="el-GR"/>
              </w:rPr>
              <w:t>&lt; </w:t>
            </w:r>
            <w:r w:rsidRPr="00C92B1B">
              <w:rPr>
                <w:sz w:val="16"/>
                <w:szCs w:val="16"/>
                <w:lang w:val="en-GB" w:eastAsia="el-GR"/>
              </w:rPr>
              <w:t>50</w:t>
            </w:r>
            <w:r w:rsidR="000F3E28" w:rsidRPr="00C92B1B">
              <w:rPr>
                <w:sz w:val="16"/>
                <w:szCs w:val="16"/>
                <w:lang w:val="en-GB" w:eastAsia="el-GR"/>
              </w:rPr>
              <w:t> nm</w:t>
            </w:r>
            <w:r w:rsidRPr="00C92B1B">
              <w:rPr>
                <w:sz w:val="16"/>
                <w:szCs w:val="16"/>
                <w:lang w:val="en-GB" w:eastAsia="el-GR"/>
              </w:rPr>
              <w:t xml:space="preserve"> [#/km]</w:t>
            </w:r>
          </w:p>
        </w:tc>
        <w:tc>
          <w:tcPr>
            <w:tcW w:w="2334" w:type="dxa"/>
            <w:noWrap/>
            <w:tcMar>
              <w:left w:w="57" w:type="dxa"/>
              <w:right w:w="57" w:type="dxa"/>
            </w:tcMar>
            <w:vAlign w:val="center"/>
          </w:tcPr>
          <w:p w14:paraId="7770F79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43D63FB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D56C7E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1.23E+14</w:t>
            </w:r>
          </w:p>
        </w:tc>
        <w:tc>
          <w:tcPr>
            <w:tcW w:w="1222" w:type="dxa"/>
            <w:noWrap/>
            <w:tcMar>
              <w:left w:w="57" w:type="dxa"/>
              <w:right w:w="57" w:type="dxa"/>
            </w:tcMar>
            <w:vAlign w:val="center"/>
          </w:tcPr>
          <w:p w14:paraId="5540289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5.58E+13</w:t>
            </w:r>
          </w:p>
        </w:tc>
        <w:tc>
          <w:tcPr>
            <w:tcW w:w="1134" w:type="dxa"/>
            <w:noWrap/>
            <w:tcMar>
              <w:left w:w="57" w:type="dxa"/>
              <w:right w:w="57" w:type="dxa"/>
            </w:tcMar>
            <w:vAlign w:val="center"/>
          </w:tcPr>
          <w:p w14:paraId="1961CE6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6.83E+13</w:t>
            </w:r>
          </w:p>
        </w:tc>
      </w:tr>
      <w:tr w:rsidR="001D2587" w:rsidRPr="000855B2" w14:paraId="381FD62B" w14:textId="77777777" w:rsidTr="00887829">
        <w:trPr>
          <w:trHeight w:val="300"/>
        </w:trPr>
        <w:tc>
          <w:tcPr>
            <w:tcW w:w="1101" w:type="dxa"/>
            <w:vMerge/>
            <w:tcMar>
              <w:left w:w="57" w:type="dxa"/>
              <w:right w:w="57" w:type="dxa"/>
            </w:tcMar>
            <w:vAlign w:val="center"/>
          </w:tcPr>
          <w:p w14:paraId="70975CF2"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79D5AB8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1522E89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77427EE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3.82E+12</w:t>
            </w:r>
          </w:p>
        </w:tc>
        <w:tc>
          <w:tcPr>
            <w:tcW w:w="1222" w:type="dxa"/>
            <w:noWrap/>
            <w:tcMar>
              <w:left w:w="57" w:type="dxa"/>
              <w:right w:w="57" w:type="dxa"/>
            </w:tcMar>
            <w:vAlign w:val="center"/>
          </w:tcPr>
          <w:p w14:paraId="4D0BB37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2.07E+12</w:t>
            </w:r>
          </w:p>
        </w:tc>
        <w:tc>
          <w:tcPr>
            <w:tcW w:w="1134" w:type="dxa"/>
            <w:noWrap/>
            <w:tcMar>
              <w:left w:w="57" w:type="dxa"/>
              <w:right w:w="57" w:type="dxa"/>
            </w:tcMar>
            <w:vAlign w:val="center"/>
          </w:tcPr>
          <w:p w14:paraId="54F0E22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3.84E+12</w:t>
            </w:r>
          </w:p>
        </w:tc>
      </w:tr>
      <w:tr w:rsidR="001D2587" w:rsidRPr="000855B2" w14:paraId="62AE46DE" w14:textId="77777777" w:rsidTr="00887829">
        <w:trPr>
          <w:trHeight w:val="300"/>
        </w:trPr>
        <w:tc>
          <w:tcPr>
            <w:tcW w:w="1101" w:type="dxa"/>
            <w:vMerge/>
            <w:tcMar>
              <w:left w:w="57" w:type="dxa"/>
              <w:right w:w="57" w:type="dxa"/>
            </w:tcMar>
            <w:vAlign w:val="center"/>
          </w:tcPr>
          <w:p w14:paraId="386802B8"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093D112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06C8DE5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30768A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1.17E+14</w:t>
            </w:r>
          </w:p>
        </w:tc>
        <w:tc>
          <w:tcPr>
            <w:tcW w:w="1222" w:type="dxa"/>
            <w:noWrap/>
            <w:tcMar>
              <w:left w:w="57" w:type="dxa"/>
              <w:right w:w="57" w:type="dxa"/>
            </w:tcMar>
            <w:vAlign w:val="center"/>
          </w:tcPr>
          <w:p w14:paraId="2E46CAD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5.78E+13</w:t>
            </w:r>
          </w:p>
        </w:tc>
        <w:tc>
          <w:tcPr>
            <w:tcW w:w="1134" w:type="dxa"/>
            <w:noWrap/>
            <w:tcMar>
              <w:left w:w="57" w:type="dxa"/>
              <w:right w:w="57" w:type="dxa"/>
            </w:tcMar>
            <w:vAlign w:val="center"/>
          </w:tcPr>
          <w:p w14:paraId="6CDFD9A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7.05E+13</w:t>
            </w:r>
          </w:p>
        </w:tc>
      </w:tr>
      <w:tr w:rsidR="001D2587" w:rsidRPr="000855B2" w14:paraId="6E153DEA" w14:textId="77777777" w:rsidTr="00887829">
        <w:trPr>
          <w:trHeight w:val="300"/>
        </w:trPr>
        <w:tc>
          <w:tcPr>
            <w:tcW w:w="1101" w:type="dxa"/>
            <w:vMerge/>
            <w:tcMar>
              <w:left w:w="57" w:type="dxa"/>
              <w:right w:w="57" w:type="dxa"/>
            </w:tcMar>
            <w:vAlign w:val="center"/>
          </w:tcPr>
          <w:p w14:paraId="52E19315"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32D45DB4"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181B8A6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739933E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1.22E+10</w:t>
            </w:r>
          </w:p>
        </w:tc>
        <w:tc>
          <w:tcPr>
            <w:tcW w:w="1222" w:type="dxa"/>
            <w:noWrap/>
            <w:tcMar>
              <w:left w:w="57" w:type="dxa"/>
              <w:right w:w="57" w:type="dxa"/>
            </w:tcMar>
            <w:vAlign w:val="center"/>
          </w:tcPr>
          <w:p w14:paraId="5768543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7.02E+09</w:t>
            </w:r>
          </w:p>
        </w:tc>
        <w:tc>
          <w:tcPr>
            <w:tcW w:w="1134" w:type="dxa"/>
            <w:noWrap/>
            <w:tcMar>
              <w:left w:w="57" w:type="dxa"/>
              <w:right w:w="57" w:type="dxa"/>
            </w:tcMar>
            <w:vAlign w:val="center"/>
          </w:tcPr>
          <w:p w14:paraId="5873D09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7.44E+09</w:t>
            </w:r>
          </w:p>
        </w:tc>
      </w:tr>
      <w:tr w:rsidR="001D2587" w:rsidRPr="000855B2" w14:paraId="7C192812" w14:textId="77777777" w:rsidTr="00887829">
        <w:trPr>
          <w:trHeight w:val="300"/>
        </w:trPr>
        <w:tc>
          <w:tcPr>
            <w:tcW w:w="1101" w:type="dxa"/>
            <w:vMerge/>
            <w:tcMar>
              <w:left w:w="57" w:type="dxa"/>
              <w:right w:w="57" w:type="dxa"/>
            </w:tcMar>
            <w:vAlign w:val="center"/>
          </w:tcPr>
          <w:p w14:paraId="3FF521C9"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3A1DE586"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27FB26C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90BD67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7.77E+12</w:t>
            </w:r>
          </w:p>
        </w:tc>
        <w:tc>
          <w:tcPr>
            <w:tcW w:w="1222" w:type="dxa"/>
            <w:noWrap/>
            <w:tcMar>
              <w:left w:w="57" w:type="dxa"/>
              <w:right w:w="57" w:type="dxa"/>
            </w:tcMar>
            <w:vAlign w:val="center"/>
          </w:tcPr>
          <w:p w14:paraId="062E9CB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3.12E+12</w:t>
            </w:r>
          </w:p>
        </w:tc>
        <w:tc>
          <w:tcPr>
            <w:tcW w:w="1134" w:type="dxa"/>
            <w:noWrap/>
            <w:tcMar>
              <w:left w:w="57" w:type="dxa"/>
              <w:right w:w="57" w:type="dxa"/>
            </w:tcMar>
            <w:vAlign w:val="center"/>
          </w:tcPr>
          <w:p w14:paraId="453E24D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1.84E+12</w:t>
            </w:r>
          </w:p>
        </w:tc>
      </w:tr>
      <w:tr w:rsidR="001D2587" w:rsidRPr="000855B2" w14:paraId="1F9A1AA0" w14:textId="77777777" w:rsidTr="00887829">
        <w:trPr>
          <w:trHeight w:val="300"/>
        </w:trPr>
        <w:tc>
          <w:tcPr>
            <w:tcW w:w="1101" w:type="dxa"/>
            <w:vMerge w:val="restart"/>
            <w:tcMar>
              <w:left w:w="57" w:type="dxa"/>
              <w:right w:w="57" w:type="dxa"/>
            </w:tcMar>
            <w:vAlign w:val="center"/>
          </w:tcPr>
          <w:p w14:paraId="6C23290E"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umber 50</w:t>
            </w:r>
            <w:r w:rsidR="00670618" w:rsidRPr="00C92B1B">
              <w:rPr>
                <w:sz w:val="16"/>
                <w:szCs w:val="16"/>
                <w:lang w:val="en-GB"/>
              </w:rPr>
              <w:t>–</w:t>
            </w:r>
            <w:r w:rsidRPr="00C92B1B">
              <w:rPr>
                <w:sz w:val="16"/>
                <w:szCs w:val="16"/>
                <w:lang w:val="en-GB" w:eastAsia="el-GR"/>
              </w:rPr>
              <w:t>100</w:t>
            </w:r>
            <w:r w:rsidR="000F3E28" w:rsidRPr="00C92B1B">
              <w:rPr>
                <w:sz w:val="16"/>
                <w:szCs w:val="16"/>
                <w:lang w:val="en-GB" w:eastAsia="el-GR"/>
              </w:rPr>
              <w:t> nm</w:t>
            </w:r>
            <w:r w:rsidRPr="00C92B1B">
              <w:rPr>
                <w:sz w:val="16"/>
                <w:szCs w:val="16"/>
                <w:lang w:val="en-GB" w:eastAsia="el-GR"/>
              </w:rPr>
              <w:t xml:space="preserve"> [#/km]</w:t>
            </w:r>
          </w:p>
        </w:tc>
        <w:tc>
          <w:tcPr>
            <w:tcW w:w="2334" w:type="dxa"/>
            <w:noWrap/>
            <w:tcMar>
              <w:left w:w="57" w:type="dxa"/>
              <w:right w:w="57" w:type="dxa"/>
            </w:tcMar>
            <w:vAlign w:val="center"/>
          </w:tcPr>
          <w:p w14:paraId="1BEAFB4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20B733C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2F4B2B3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1.42E+14</w:t>
            </w:r>
          </w:p>
        </w:tc>
        <w:tc>
          <w:tcPr>
            <w:tcW w:w="1222" w:type="dxa"/>
            <w:noWrap/>
            <w:tcMar>
              <w:left w:w="57" w:type="dxa"/>
              <w:right w:w="57" w:type="dxa"/>
            </w:tcMar>
            <w:vAlign w:val="center"/>
          </w:tcPr>
          <w:p w14:paraId="71C5E4D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5.97E+13</w:t>
            </w:r>
          </w:p>
        </w:tc>
        <w:tc>
          <w:tcPr>
            <w:tcW w:w="1134" w:type="dxa"/>
            <w:noWrap/>
            <w:tcMar>
              <w:left w:w="57" w:type="dxa"/>
              <w:right w:w="57" w:type="dxa"/>
            </w:tcMar>
            <w:vAlign w:val="center"/>
          </w:tcPr>
          <w:p w14:paraId="4FE8588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6.27E+13</w:t>
            </w:r>
          </w:p>
        </w:tc>
      </w:tr>
      <w:tr w:rsidR="001D2587" w:rsidRPr="000855B2" w14:paraId="628B6C5B" w14:textId="77777777" w:rsidTr="00887829">
        <w:trPr>
          <w:trHeight w:val="300"/>
        </w:trPr>
        <w:tc>
          <w:tcPr>
            <w:tcW w:w="1101" w:type="dxa"/>
            <w:vMerge/>
            <w:tcMar>
              <w:left w:w="57" w:type="dxa"/>
              <w:right w:w="57" w:type="dxa"/>
            </w:tcMar>
            <w:vAlign w:val="center"/>
          </w:tcPr>
          <w:p w14:paraId="75FC3A33"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68519AB4"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1DA8E60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738E417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3.26E+12</w:t>
            </w:r>
          </w:p>
        </w:tc>
        <w:tc>
          <w:tcPr>
            <w:tcW w:w="1222" w:type="dxa"/>
            <w:noWrap/>
            <w:tcMar>
              <w:left w:w="57" w:type="dxa"/>
              <w:right w:w="57" w:type="dxa"/>
            </w:tcMar>
            <w:vAlign w:val="center"/>
          </w:tcPr>
          <w:p w14:paraId="3372234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1.57E+12</w:t>
            </w:r>
          </w:p>
        </w:tc>
        <w:tc>
          <w:tcPr>
            <w:tcW w:w="1134" w:type="dxa"/>
            <w:noWrap/>
            <w:tcMar>
              <w:left w:w="57" w:type="dxa"/>
              <w:right w:w="57" w:type="dxa"/>
            </w:tcMar>
            <w:vAlign w:val="center"/>
          </w:tcPr>
          <w:p w14:paraId="3CC166A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2.33E+12</w:t>
            </w:r>
          </w:p>
        </w:tc>
      </w:tr>
      <w:tr w:rsidR="001D2587" w:rsidRPr="000855B2" w14:paraId="63A88CA3" w14:textId="77777777" w:rsidTr="00887829">
        <w:trPr>
          <w:trHeight w:val="300"/>
        </w:trPr>
        <w:tc>
          <w:tcPr>
            <w:tcW w:w="1101" w:type="dxa"/>
            <w:vMerge/>
            <w:tcMar>
              <w:left w:w="57" w:type="dxa"/>
              <w:right w:w="57" w:type="dxa"/>
            </w:tcMar>
            <w:vAlign w:val="center"/>
          </w:tcPr>
          <w:p w14:paraId="19C8C38A"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46024EDD"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619843E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297304E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1.55E+14</w:t>
            </w:r>
          </w:p>
        </w:tc>
        <w:tc>
          <w:tcPr>
            <w:tcW w:w="1222" w:type="dxa"/>
            <w:noWrap/>
            <w:tcMar>
              <w:left w:w="57" w:type="dxa"/>
              <w:right w:w="57" w:type="dxa"/>
            </w:tcMar>
            <w:vAlign w:val="center"/>
          </w:tcPr>
          <w:p w14:paraId="3C8F42D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6.73E+13</w:t>
            </w:r>
          </w:p>
        </w:tc>
        <w:tc>
          <w:tcPr>
            <w:tcW w:w="1134" w:type="dxa"/>
            <w:noWrap/>
            <w:tcMar>
              <w:left w:w="57" w:type="dxa"/>
              <w:right w:w="57" w:type="dxa"/>
            </w:tcMar>
            <w:vAlign w:val="center"/>
          </w:tcPr>
          <w:p w14:paraId="5F0526A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6.66E+13</w:t>
            </w:r>
          </w:p>
        </w:tc>
      </w:tr>
      <w:tr w:rsidR="001D2587" w:rsidRPr="000855B2" w14:paraId="1FF34AD4" w14:textId="77777777" w:rsidTr="00887829">
        <w:trPr>
          <w:trHeight w:val="300"/>
        </w:trPr>
        <w:tc>
          <w:tcPr>
            <w:tcW w:w="1101" w:type="dxa"/>
            <w:vMerge/>
            <w:tcMar>
              <w:left w:w="57" w:type="dxa"/>
              <w:right w:w="57" w:type="dxa"/>
            </w:tcMar>
            <w:vAlign w:val="center"/>
          </w:tcPr>
          <w:p w14:paraId="54283D5A"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26C6945E"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2B36987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6884D20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1.02E+10</w:t>
            </w:r>
          </w:p>
        </w:tc>
        <w:tc>
          <w:tcPr>
            <w:tcW w:w="1222" w:type="dxa"/>
            <w:noWrap/>
            <w:tcMar>
              <w:left w:w="57" w:type="dxa"/>
              <w:right w:w="57" w:type="dxa"/>
            </w:tcMar>
            <w:vAlign w:val="center"/>
          </w:tcPr>
          <w:p w14:paraId="4A7AD9A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4.52E+09</w:t>
            </w:r>
          </w:p>
        </w:tc>
        <w:tc>
          <w:tcPr>
            <w:tcW w:w="1134" w:type="dxa"/>
            <w:noWrap/>
            <w:tcMar>
              <w:left w:w="57" w:type="dxa"/>
              <w:right w:w="57" w:type="dxa"/>
            </w:tcMar>
            <w:vAlign w:val="center"/>
          </w:tcPr>
          <w:p w14:paraId="65FC6D2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3.52E+09</w:t>
            </w:r>
          </w:p>
        </w:tc>
      </w:tr>
      <w:tr w:rsidR="001D2587" w:rsidRPr="000855B2" w14:paraId="733676E9" w14:textId="77777777" w:rsidTr="00887829">
        <w:trPr>
          <w:trHeight w:val="300"/>
        </w:trPr>
        <w:tc>
          <w:tcPr>
            <w:tcW w:w="1101" w:type="dxa"/>
            <w:vMerge/>
            <w:tcMar>
              <w:left w:w="57" w:type="dxa"/>
              <w:right w:w="57" w:type="dxa"/>
            </w:tcMar>
            <w:vAlign w:val="center"/>
          </w:tcPr>
          <w:p w14:paraId="538A7790" w14:textId="77777777" w:rsidR="001D2587" w:rsidRPr="00C92B1B" w:rsidRDefault="001D2587" w:rsidP="005C7955">
            <w:pPr>
              <w:keepNext/>
              <w:keepLines/>
              <w:suppressAutoHyphens/>
              <w:spacing w:line="240" w:lineRule="atLeast"/>
              <w:rPr>
                <w:sz w:val="16"/>
                <w:szCs w:val="16"/>
                <w:lang w:val="en-GB" w:eastAsia="el-GR"/>
              </w:rPr>
            </w:pPr>
          </w:p>
        </w:tc>
        <w:tc>
          <w:tcPr>
            <w:tcW w:w="2334" w:type="dxa"/>
            <w:noWrap/>
            <w:tcMar>
              <w:left w:w="57" w:type="dxa"/>
              <w:right w:w="57" w:type="dxa"/>
            </w:tcMar>
            <w:vAlign w:val="center"/>
          </w:tcPr>
          <w:p w14:paraId="0219B34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2EFF1D6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0C16FEB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8.90E+12</w:t>
            </w:r>
          </w:p>
        </w:tc>
        <w:tc>
          <w:tcPr>
            <w:tcW w:w="1222" w:type="dxa"/>
            <w:noWrap/>
            <w:tcMar>
              <w:left w:w="57" w:type="dxa"/>
              <w:right w:w="57" w:type="dxa"/>
            </w:tcMar>
            <w:vAlign w:val="center"/>
          </w:tcPr>
          <w:p w14:paraId="693763B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3.33E+12</w:t>
            </w:r>
          </w:p>
        </w:tc>
        <w:tc>
          <w:tcPr>
            <w:tcW w:w="1134" w:type="dxa"/>
            <w:noWrap/>
            <w:tcMar>
              <w:left w:w="57" w:type="dxa"/>
              <w:right w:w="57" w:type="dxa"/>
            </w:tcMar>
            <w:vAlign w:val="center"/>
          </w:tcPr>
          <w:p w14:paraId="0CFA23A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1.89E+12</w:t>
            </w:r>
          </w:p>
        </w:tc>
      </w:tr>
      <w:tr w:rsidR="001D2587" w:rsidRPr="000855B2" w14:paraId="75EF266C" w14:textId="77777777" w:rsidTr="00887829">
        <w:trPr>
          <w:trHeight w:val="300"/>
        </w:trPr>
        <w:tc>
          <w:tcPr>
            <w:tcW w:w="1101" w:type="dxa"/>
            <w:vMerge w:val="restart"/>
            <w:tcMar>
              <w:left w:w="57" w:type="dxa"/>
              <w:right w:w="57" w:type="dxa"/>
            </w:tcMar>
            <w:vAlign w:val="center"/>
          </w:tcPr>
          <w:p w14:paraId="0B7CC029"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B96952" w:rsidRPr="00C92B1B">
              <w:rPr>
                <w:sz w:val="16"/>
                <w:szCs w:val="16"/>
                <w:lang w:val="en-GB" w:eastAsia="el-GR"/>
              </w:rPr>
              <w:t>p</w:t>
            </w:r>
            <w:r w:rsidRPr="00C92B1B">
              <w:rPr>
                <w:sz w:val="16"/>
                <w:szCs w:val="16"/>
                <w:lang w:val="en-GB" w:eastAsia="el-GR"/>
              </w:rPr>
              <w:t xml:space="preserve">article </w:t>
            </w:r>
            <w:r w:rsidR="00B96952" w:rsidRPr="00C92B1B">
              <w:rPr>
                <w:sz w:val="16"/>
                <w:szCs w:val="16"/>
                <w:lang w:val="en-GB" w:eastAsia="el-GR"/>
              </w:rPr>
              <w:t>n</w:t>
            </w:r>
            <w:r w:rsidRPr="00C92B1B">
              <w:rPr>
                <w:sz w:val="16"/>
                <w:szCs w:val="16"/>
                <w:lang w:val="en-GB" w:eastAsia="el-GR"/>
              </w:rPr>
              <w:t>umber 100</w:t>
            </w:r>
            <w:r w:rsidR="00670618" w:rsidRPr="00C92B1B">
              <w:rPr>
                <w:sz w:val="16"/>
                <w:szCs w:val="16"/>
                <w:lang w:val="en-GB"/>
              </w:rPr>
              <w:t>–</w:t>
            </w:r>
            <w:r w:rsidRPr="00C92B1B">
              <w:rPr>
                <w:sz w:val="16"/>
                <w:szCs w:val="16"/>
                <w:lang w:val="en-GB" w:eastAsia="el-GR"/>
              </w:rPr>
              <w:t>1</w:t>
            </w:r>
            <w:r w:rsidR="00670618" w:rsidRPr="00C92B1B">
              <w:rPr>
                <w:sz w:val="16"/>
                <w:szCs w:val="16"/>
                <w:lang w:val="en-GB" w:eastAsia="el-GR"/>
              </w:rPr>
              <w:t> </w:t>
            </w:r>
            <w:r w:rsidRPr="00C92B1B">
              <w:rPr>
                <w:sz w:val="16"/>
                <w:szCs w:val="16"/>
                <w:lang w:val="en-GB" w:eastAsia="el-GR"/>
              </w:rPr>
              <w:t>000</w:t>
            </w:r>
            <w:r w:rsidR="000F3E28" w:rsidRPr="00C92B1B">
              <w:rPr>
                <w:sz w:val="16"/>
                <w:szCs w:val="16"/>
                <w:lang w:val="en-GB" w:eastAsia="el-GR"/>
              </w:rPr>
              <w:t> nm</w:t>
            </w:r>
            <w:r w:rsidRPr="00C92B1B">
              <w:rPr>
                <w:sz w:val="16"/>
                <w:szCs w:val="16"/>
                <w:lang w:val="en-GB" w:eastAsia="el-GR"/>
              </w:rPr>
              <w:t xml:space="preserve"> [#/km]</w:t>
            </w:r>
          </w:p>
        </w:tc>
        <w:tc>
          <w:tcPr>
            <w:tcW w:w="2334" w:type="dxa"/>
            <w:noWrap/>
            <w:tcMar>
              <w:left w:w="57" w:type="dxa"/>
              <w:right w:w="57" w:type="dxa"/>
            </w:tcMar>
            <w:vAlign w:val="center"/>
          </w:tcPr>
          <w:p w14:paraId="4BE48D9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tcMar>
              <w:left w:w="57" w:type="dxa"/>
              <w:right w:w="57" w:type="dxa"/>
            </w:tcMar>
            <w:vAlign w:val="center"/>
          </w:tcPr>
          <w:p w14:paraId="1A1858C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3313C23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2.05E+14</w:t>
            </w:r>
          </w:p>
        </w:tc>
        <w:tc>
          <w:tcPr>
            <w:tcW w:w="1222" w:type="dxa"/>
            <w:noWrap/>
            <w:tcMar>
              <w:left w:w="57" w:type="dxa"/>
              <w:right w:w="57" w:type="dxa"/>
            </w:tcMar>
            <w:vAlign w:val="center"/>
          </w:tcPr>
          <w:p w14:paraId="180E504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7.95E+13</w:t>
            </w:r>
          </w:p>
        </w:tc>
        <w:tc>
          <w:tcPr>
            <w:tcW w:w="1134" w:type="dxa"/>
            <w:noWrap/>
            <w:tcMar>
              <w:left w:w="57" w:type="dxa"/>
              <w:right w:w="57" w:type="dxa"/>
            </w:tcMar>
            <w:vAlign w:val="center"/>
          </w:tcPr>
          <w:p w14:paraId="7829C81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6.58E+13</w:t>
            </w:r>
          </w:p>
        </w:tc>
      </w:tr>
      <w:tr w:rsidR="001D2587" w:rsidRPr="000855B2" w14:paraId="2C42EED1" w14:textId="77777777" w:rsidTr="00887829">
        <w:trPr>
          <w:trHeight w:val="300"/>
        </w:trPr>
        <w:tc>
          <w:tcPr>
            <w:tcW w:w="1101" w:type="dxa"/>
            <w:vMerge/>
            <w:tcMar>
              <w:left w:w="57" w:type="dxa"/>
              <w:right w:w="57" w:type="dxa"/>
            </w:tcMar>
            <w:vAlign w:val="center"/>
          </w:tcPr>
          <w:p w14:paraId="72A2036E" w14:textId="77777777" w:rsidR="001D2587" w:rsidRPr="00C92B1B" w:rsidRDefault="001D2587" w:rsidP="005C7955">
            <w:pPr>
              <w:keepNext/>
              <w:keepLines/>
              <w:suppressAutoHyphens/>
              <w:spacing w:line="240" w:lineRule="atLeast"/>
              <w:jc w:val="center"/>
              <w:rPr>
                <w:sz w:val="16"/>
                <w:szCs w:val="16"/>
                <w:lang w:val="en-GB" w:eastAsia="el-GR"/>
              </w:rPr>
            </w:pPr>
          </w:p>
        </w:tc>
        <w:tc>
          <w:tcPr>
            <w:tcW w:w="2334" w:type="dxa"/>
            <w:noWrap/>
            <w:tcMar>
              <w:left w:w="57" w:type="dxa"/>
              <w:right w:w="57" w:type="dxa"/>
            </w:tcMar>
            <w:vAlign w:val="center"/>
          </w:tcPr>
          <w:p w14:paraId="4C6A7916"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tcMar>
              <w:left w:w="57" w:type="dxa"/>
              <w:right w:w="57" w:type="dxa"/>
            </w:tcMar>
            <w:vAlign w:val="center"/>
          </w:tcPr>
          <w:p w14:paraId="2BB4310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3AC908C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2.26E+12</w:t>
            </w:r>
          </w:p>
        </w:tc>
        <w:tc>
          <w:tcPr>
            <w:tcW w:w="1222" w:type="dxa"/>
            <w:noWrap/>
            <w:tcMar>
              <w:left w:w="57" w:type="dxa"/>
              <w:right w:w="57" w:type="dxa"/>
            </w:tcMar>
            <w:vAlign w:val="center"/>
          </w:tcPr>
          <w:p w14:paraId="4D624EB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9.36E+11</w:t>
            </w:r>
          </w:p>
        </w:tc>
        <w:tc>
          <w:tcPr>
            <w:tcW w:w="1134" w:type="dxa"/>
            <w:noWrap/>
            <w:tcMar>
              <w:left w:w="57" w:type="dxa"/>
              <w:right w:w="57" w:type="dxa"/>
            </w:tcMar>
            <w:vAlign w:val="center"/>
          </w:tcPr>
          <w:p w14:paraId="4F73E5C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1.03E+12</w:t>
            </w:r>
          </w:p>
        </w:tc>
      </w:tr>
      <w:tr w:rsidR="001D2587" w:rsidRPr="000855B2" w14:paraId="531D390C" w14:textId="77777777" w:rsidTr="00887829">
        <w:trPr>
          <w:trHeight w:val="300"/>
        </w:trPr>
        <w:tc>
          <w:tcPr>
            <w:tcW w:w="1101" w:type="dxa"/>
            <w:vMerge/>
            <w:tcMar>
              <w:left w:w="57" w:type="dxa"/>
              <w:right w:w="57" w:type="dxa"/>
            </w:tcMar>
            <w:vAlign w:val="center"/>
          </w:tcPr>
          <w:p w14:paraId="1ED09481" w14:textId="77777777" w:rsidR="001D2587" w:rsidRPr="00C92B1B" w:rsidRDefault="001D2587" w:rsidP="005C7955">
            <w:pPr>
              <w:keepNext/>
              <w:keepLines/>
              <w:suppressAutoHyphens/>
              <w:spacing w:line="240" w:lineRule="atLeast"/>
              <w:jc w:val="center"/>
              <w:rPr>
                <w:sz w:val="16"/>
                <w:szCs w:val="16"/>
                <w:lang w:val="en-GB" w:eastAsia="el-GR"/>
              </w:rPr>
            </w:pPr>
          </w:p>
        </w:tc>
        <w:tc>
          <w:tcPr>
            <w:tcW w:w="2334" w:type="dxa"/>
            <w:noWrap/>
            <w:tcMar>
              <w:left w:w="57" w:type="dxa"/>
              <w:right w:w="57" w:type="dxa"/>
            </w:tcMar>
            <w:vAlign w:val="center"/>
          </w:tcPr>
          <w:p w14:paraId="42DDE4C4"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tcMar>
              <w:left w:w="57" w:type="dxa"/>
              <w:right w:w="57" w:type="dxa"/>
            </w:tcMar>
            <w:vAlign w:val="center"/>
          </w:tcPr>
          <w:p w14:paraId="559E0D1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2B6A108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3.25E+14</w:t>
            </w:r>
          </w:p>
        </w:tc>
        <w:tc>
          <w:tcPr>
            <w:tcW w:w="1222" w:type="dxa"/>
            <w:noWrap/>
            <w:tcMar>
              <w:left w:w="57" w:type="dxa"/>
              <w:right w:w="57" w:type="dxa"/>
            </w:tcMar>
            <w:vAlign w:val="center"/>
          </w:tcPr>
          <w:p w14:paraId="1F09536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1.33E+14</w:t>
            </w:r>
          </w:p>
        </w:tc>
        <w:tc>
          <w:tcPr>
            <w:tcW w:w="1134" w:type="dxa"/>
            <w:noWrap/>
            <w:tcMar>
              <w:left w:w="57" w:type="dxa"/>
              <w:right w:w="57" w:type="dxa"/>
            </w:tcMar>
            <w:vAlign w:val="center"/>
          </w:tcPr>
          <w:p w14:paraId="43D1650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1.01E+14</w:t>
            </w:r>
          </w:p>
        </w:tc>
      </w:tr>
      <w:tr w:rsidR="001D2587" w:rsidRPr="000855B2" w14:paraId="0D49B877" w14:textId="77777777" w:rsidTr="00887829">
        <w:trPr>
          <w:trHeight w:val="300"/>
        </w:trPr>
        <w:tc>
          <w:tcPr>
            <w:tcW w:w="1101" w:type="dxa"/>
            <w:vMerge/>
            <w:tcMar>
              <w:left w:w="57" w:type="dxa"/>
              <w:right w:w="57" w:type="dxa"/>
            </w:tcMar>
            <w:vAlign w:val="center"/>
          </w:tcPr>
          <w:p w14:paraId="23225F19" w14:textId="77777777" w:rsidR="001D2587" w:rsidRPr="00C92B1B" w:rsidRDefault="001D2587" w:rsidP="005C7955">
            <w:pPr>
              <w:keepNext/>
              <w:keepLines/>
              <w:suppressAutoHyphens/>
              <w:spacing w:line="240" w:lineRule="atLeast"/>
              <w:jc w:val="center"/>
              <w:rPr>
                <w:sz w:val="16"/>
                <w:szCs w:val="16"/>
                <w:lang w:val="en-GB" w:eastAsia="el-GR"/>
              </w:rPr>
            </w:pPr>
          </w:p>
        </w:tc>
        <w:tc>
          <w:tcPr>
            <w:tcW w:w="2334" w:type="dxa"/>
            <w:noWrap/>
            <w:tcMar>
              <w:left w:w="57" w:type="dxa"/>
              <w:right w:w="57" w:type="dxa"/>
            </w:tcMar>
            <w:vAlign w:val="center"/>
          </w:tcPr>
          <w:p w14:paraId="78A6FE79"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tcMar>
              <w:left w:w="57" w:type="dxa"/>
              <w:right w:w="57" w:type="dxa"/>
            </w:tcMar>
            <w:vAlign w:val="center"/>
          </w:tcPr>
          <w:p w14:paraId="397D513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tcMar>
              <w:left w:w="57" w:type="dxa"/>
              <w:right w:w="57" w:type="dxa"/>
            </w:tcMar>
            <w:vAlign w:val="center"/>
          </w:tcPr>
          <w:p w14:paraId="17A2263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3.20E+10</w:t>
            </w:r>
          </w:p>
        </w:tc>
        <w:tc>
          <w:tcPr>
            <w:tcW w:w="1222" w:type="dxa"/>
            <w:noWrap/>
            <w:tcMar>
              <w:left w:w="57" w:type="dxa"/>
              <w:right w:w="57" w:type="dxa"/>
            </w:tcMar>
            <w:vAlign w:val="center"/>
          </w:tcPr>
          <w:p w14:paraId="42A0E76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1.04E+10</w:t>
            </w:r>
          </w:p>
        </w:tc>
        <w:tc>
          <w:tcPr>
            <w:tcW w:w="1134" w:type="dxa"/>
            <w:noWrap/>
            <w:tcMar>
              <w:left w:w="57" w:type="dxa"/>
              <w:right w:w="57" w:type="dxa"/>
            </w:tcMar>
            <w:vAlign w:val="center"/>
          </w:tcPr>
          <w:p w14:paraId="31D9D83F"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eastAsia="el-GR"/>
              </w:rPr>
              <w:t>5.3</w:t>
            </w:r>
            <w:r w:rsidRPr="00C92B1B">
              <w:rPr>
                <w:sz w:val="16"/>
                <w:szCs w:val="16"/>
                <w:lang w:val="en-GB"/>
              </w:rPr>
              <w:t>5E+09</w:t>
            </w:r>
          </w:p>
        </w:tc>
      </w:tr>
      <w:tr w:rsidR="001D2587" w:rsidRPr="000855B2" w14:paraId="2FB10233" w14:textId="77777777" w:rsidTr="00887829">
        <w:trPr>
          <w:trHeight w:val="300"/>
        </w:trPr>
        <w:tc>
          <w:tcPr>
            <w:tcW w:w="1101" w:type="dxa"/>
            <w:vMerge/>
            <w:tcMar>
              <w:left w:w="57" w:type="dxa"/>
              <w:right w:w="57" w:type="dxa"/>
            </w:tcMar>
            <w:vAlign w:val="center"/>
          </w:tcPr>
          <w:p w14:paraId="60365CF5" w14:textId="77777777" w:rsidR="001D2587" w:rsidRPr="00C92B1B" w:rsidRDefault="001D2587" w:rsidP="005C7955">
            <w:pPr>
              <w:keepNext/>
              <w:keepLines/>
              <w:suppressAutoHyphens/>
              <w:spacing w:line="240" w:lineRule="atLeast"/>
              <w:jc w:val="center"/>
              <w:rPr>
                <w:sz w:val="16"/>
                <w:szCs w:val="16"/>
                <w:lang w:val="en-GB"/>
              </w:rPr>
            </w:pPr>
          </w:p>
        </w:tc>
        <w:tc>
          <w:tcPr>
            <w:tcW w:w="2334" w:type="dxa"/>
            <w:noWrap/>
            <w:tcMar>
              <w:left w:w="57" w:type="dxa"/>
              <w:right w:w="57" w:type="dxa"/>
            </w:tcMar>
            <w:vAlign w:val="center"/>
          </w:tcPr>
          <w:p w14:paraId="209917E5" w14:textId="77777777" w:rsidR="001D2587" w:rsidRPr="00C92B1B" w:rsidRDefault="001D2587" w:rsidP="005C7955">
            <w:pPr>
              <w:keepNext/>
              <w:keepLines/>
              <w:suppressAutoHyphens/>
              <w:spacing w:line="240" w:lineRule="atLeast"/>
              <w:rPr>
                <w:sz w:val="16"/>
                <w:szCs w:val="16"/>
                <w:lang w:val="en-GB"/>
              </w:rPr>
            </w:pPr>
            <w:r w:rsidRPr="00C92B1B">
              <w:rPr>
                <w:sz w:val="16"/>
                <w:szCs w:val="16"/>
                <w:lang w:val="en-GB"/>
              </w:rPr>
              <w:t xml:space="preserve">Euro V + </w:t>
            </w:r>
            <w:smartTag w:uri="urn:schemas-microsoft-com:office:smarttags" w:element="stockticker">
              <w:r w:rsidRPr="00C92B1B">
                <w:rPr>
                  <w:sz w:val="16"/>
                  <w:szCs w:val="16"/>
                  <w:lang w:val="en-GB"/>
                </w:rPr>
                <w:t>SCR</w:t>
              </w:r>
            </w:smartTag>
          </w:p>
        </w:tc>
        <w:tc>
          <w:tcPr>
            <w:tcW w:w="0" w:type="auto"/>
            <w:noWrap/>
            <w:tcMar>
              <w:left w:w="57" w:type="dxa"/>
              <w:right w:w="57" w:type="dxa"/>
            </w:tcMar>
            <w:vAlign w:val="center"/>
          </w:tcPr>
          <w:p w14:paraId="2C366D75"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10</w:t>
            </w:r>
            <w:r w:rsidR="00BC5284" w:rsidRPr="00C92B1B">
              <w:rPr>
                <w:sz w:val="16"/>
                <w:szCs w:val="16"/>
                <w:lang w:val="en-GB"/>
              </w:rPr>
              <w:t>–</w:t>
            </w:r>
            <w:r w:rsidRPr="00C92B1B">
              <w:rPr>
                <w:sz w:val="16"/>
                <w:szCs w:val="16"/>
                <w:lang w:val="en-GB"/>
              </w:rPr>
              <w:t>110</w:t>
            </w:r>
          </w:p>
        </w:tc>
        <w:tc>
          <w:tcPr>
            <w:tcW w:w="1271" w:type="dxa"/>
            <w:noWrap/>
            <w:tcMar>
              <w:left w:w="57" w:type="dxa"/>
              <w:right w:w="57" w:type="dxa"/>
            </w:tcMar>
            <w:vAlign w:val="center"/>
          </w:tcPr>
          <w:p w14:paraId="3F11DCFF"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1.53E+13</w:t>
            </w:r>
          </w:p>
        </w:tc>
        <w:tc>
          <w:tcPr>
            <w:tcW w:w="1222" w:type="dxa"/>
            <w:noWrap/>
            <w:tcMar>
              <w:left w:w="57" w:type="dxa"/>
              <w:right w:w="57" w:type="dxa"/>
            </w:tcMar>
            <w:vAlign w:val="center"/>
          </w:tcPr>
          <w:p w14:paraId="2B580505"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5.62E+12</w:t>
            </w:r>
          </w:p>
        </w:tc>
        <w:tc>
          <w:tcPr>
            <w:tcW w:w="1134" w:type="dxa"/>
            <w:noWrap/>
            <w:tcMar>
              <w:left w:w="57" w:type="dxa"/>
              <w:right w:w="57" w:type="dxa"/>
            </w:tcMar>
            <w:vAlign w:val="center"/>
          </w:tcPr>
          <w:p w14:paraId="6AC5573F"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3.02E+12</w:t>
            </w:r>
          </w:p>
        </w:tc>
      </w:tr>
    </w:tbl>
    <w:p w14:paraId="34AE312D" w14:textId="77777777" w:rsidR="001D2587" w:rsidRPr="000855B2" w:rsidRDefault="001D2587">
      <w:pPr>
        <w:rPr>
          <w:lang w:val="en-GB"/>
        </w:rPr>
      </w:pPr>
    </w:p>
    <w:p w14:paraId="19A14C3D" w14:textId="7BA03FF3" w:rsidR="001D2587" w:rsidRPr="000855B2" w:rsidRDefault="001D2587" w:rsidP="00C92B1B">
      <w:pPr>
        <w:pStyle w:val="Caption"/>
      </w:pPr>
      <w:r w:rsidRPr="000855B2">
        <w:br w:type="page"/>
      </w:r>
      <w:bookmarkStart w:id="243" w:name="_Ref140568928"/>
      <w:r w:rsidR="00A040D1"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54</w:t>
      </w:r>
      <w:r w:rsidR="00FB454C">
        <w:rPr>
          <w:noProof/>
        </w:rPr>
        <w:fldChar w:fldCharType="end"/>
      </w:r>
      <w:bookmarkEnd w:id="243"/>
      <w:r w:rsidRPr="000855B2">
        <w:t>: PM characteristics of rigid HDVs 14</w:t>
      </w:r>
      <w:r w:rsidR="00670618" w:rsidRPr="000855B2">
        <w:t>–</w:t>
      </w:r>
      <w:r w:rsidRPr="000855B2">
        <w:t>32 t</w:t>
      </w:r>
      <w:r w:rsidR="00B96952" w:rsidRPr="000855B2">
        <w:t>onnes,</w:t>
      </w:r>
      <w:r w:rsidRPr="000855B2">
        <w:t xml:space="preserve"> and truck trailer/articulated 14</w:t>
      </w:r>
      <w:r w:rsidR="00670618" w:rsidRPr="000855B2">
        <w:t>–</w:t>
      </w:r>
      <w:r w:rsidRPr="000855B2">
        <w:t>34</w:t>
      </w:r>
      <w:r w:rsidR="00670618" w:rsidRPr="000855B2">
        <w:t> </w:t>
      </w:r>
      <w:r w:rsidRPr="000855B2">
        <w:t>t</w:t>
      </w:r>
      <w:r w:rsidR="00B96952" w:rsidRPr="000855B2">
        <w:t>onnes</w:t>
      </w:r>
    </w:p>
    <w:tbl>
      <w:tblPr>
        <w:tblW w:w="836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20" w:firstRow="1" w:lastRow="0" w:firstColumn="0" w:lastColumn="0" w:noHBand="0" w:noVBand="0"/>
      </w:tblPr>
      <w:tblGrid>
        <w:gridCol w:w="1101"/>
        <w:gridCol w:w="2310"/>
        <w:gridCol w:w="1273"/>
        <w:gridCol w:w="1271"/>
        <w:gridCol w:w="1134"/>
        <w:gridCol w:w="1275"/>
      </w:tblGrid>
      <w:tr w:rsidR="001D2587" w:rsidRPr="000855B2" w14:paraId="67B0DA98" w14:textId="77777777" w:rsidTr="00887829">
        <w:trPr>
          <w:cantSplit/>
          <w:trHeight w:val="300"/>
        </w:trPr>
        <w:tc>
          <w:tcPr>
            <w:tcW w:w="1101" w:type="dxa"/>
            <w:vMerge w:val="restart"/>
            <w:vAlign w:val="center"/>
          </w:tcPr>
          <w:p w14:paraId="5BF67F2C"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Pollutant</w:t>
            </w:r>
            <w:r w:rsidR="00B96952" w:rsidRPr="00C92B1B">
              <w:rPr>
                <w:b/>
                <w:sz w:val="16"/>
                <w:szCs w:val="16"/>
                <w:lang w:val="en-GB" w:eastAsia="el-GR"/>
              </w:rPr>
              <w:t xml:space="preserve"> metric</w:t>
            </w:r>
          </w:p>
        </w:tc>
        <w:tc>
          <w:tcPr>
            <w:tcW w:w="2310" w:type="dxa"/>
            <w:vMerge w:val="restart"/>
            <w:vAlign w:val="center"/>
          </w:tcPr>
          <w:p w14:paraId="1A79B1F9"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8B3C4B" w:rsidRPr="00C92B1B">
              <w:rPr>
                <w:b/>
                <w:sz w:val="16"/>
                <w:szCs w:val="16"/>
                <w:lang w:val="en-GB" w:eastAsia="el-GR"/>
              </w:rPr>
              <w:t>s</w:t>
            </w:r>
            <w:r w:rsidRPr="00C92B1B">
              <w:rPr>
                <w:b/>
                <w:sz w:val="16"/>
                <w:szCs w:val="16"/>
                <w:lang w:val="en-GB" w:eastAsia="el-GR"/>
              </w:rPr>
              <w:t>tandard</w:t>
            </w:r>
          </w:p>
        </w:tc>
        <w:tc>
          <w:tcPr>
            <w:tcW w:w="1273" w:type="dxa"/>
            <w:vMerge w:val="restart"/>
            <w:tcMar>
              <w:left w:w="28" w:type="dxa"/>
              <w:right w:w="28" w:type="dxa"/>
            </w:tcMar>
            <w:vAlign w:val="center"/>
          </w:tcPr>
          <w:p w14:paraId="49AD6204"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Speed </w:t>
            </w:r>
            <w:r w:rsidR="008B3C4B" w:rsidRPr="00C92B1B">
              <w:rPr>
                <w:b/>
                <w:sz w:val="16"/>
                <w:szCs w:val="16"/>
                <w:lang w:val="en-GB" w:eastAsia="el-GR"/>
              </w:rPr>
              <w:t>r</w:t>
            </w:r>
            <w:r w:rsidRPr="00C92B1B">
              <w:rPr>
                <w:b/>
                <w:sz w:val="16"/>
                <w:szCs w:val="16"/>
                <w:lang w:val="en-GB" w:eastAsia="el-GR"/>
              </w:rPr>
              <w:t>ange [km/h]</w:t>
            </w:r>
          </w:p>
        </w:tc>
        <w:tc>
          <w:tcPr>
            <w:tcW w:w="3680" w:type="dxa"/>
            <w:gridSpan w:val="3"/>
            <w:vAlign w:val="center"/>
          </w:tcPr>
          <w:p w14:paraId="1B961503"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 xml:space="preserve">Emission </w:t>
            </w:r>
            <w:r w:rsidR="008B3C4B" w:rsidRPr="00C92B1B">
              <w:rPr>
                <w:b/>
                <w:sz w:val="16"/>
                <w:szCs w:val="16"/>
                <w:lang w:val="en-GB" w:eastAsia="el-GR"/>
              </w:rPr>
              <w:t>f</w:t>
            </w:r>
            <w:r w:rsidRPr="00C92B1B">
              <w:rPr>
                <w:b/>
                <w:sz w:val="16"/>
                <w:szCs w:val="16"/>
                <w:lang w:val="en-GB" w:eastAsia="el-GR"/>
              </w:rPr>
              <w:t>actor</w:t>
            </w:r>
          </w:p>
        </w:tc>
      </w:tr>
      <w:tr w:rsidR="001D2587" w:rsidRPr="000855B2" w14:paraId="6413DDD7" w14:textId="77777777" w:rsidTr="00246BA6">
        <w:trPr>
          <w:cantSplit/>
          <w:trHeight w:val="300"/>
        </w:trPr>
        <w:tc>
          <w:tcPr>
            <w:tcW w:w="1101" w:type="dxa"/>
            <w:vMerge/>
            <w:tcBorders>
              <w:bottom w:val="single" w:sz="12" w:space="0" w:color="auto"/>
            </w:tcBorders>
            <w:vAlign w:val="center"/>
          </w:tcPr>
          <w:p w14:paraId="06BEF681"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2310" w:type="dxa"/>
            <w:vMerge/>
            <w:tcBorders>
              <w:bottom w:val="single" w:sz="12" w:space="0" w:color="auto"/>
            </w:tcBorders>
            <w:vAlign w:val="center"/>
          </w:tcPr>
          <w:p w14:paraId="67035AF3"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0" w:type="auto"/>
            <w:vMerge/>
            <w:tcBorders>
              <w:bottom w:val="single" w:sz="12" w:space="0" w:color="auto"/>
            </w:tcBorders>
            <w:vAlign w:val="center"/>
          </w:tcPr>
          <w:p w14:paraId="06C4FCF0" w14:textId="77777777" w:rsidR="001D2587" w:rsidRPr="00C92B1B" w:rsidRDefault="001D2587" w:rsidP="005C7955">
            <w:pPr>
              <w:keepNext/>
              <w:keepLines/>
              <w:suppressAutoHyphens/>
              <w:spacing w:line="240" w:lineRule="atLeast"/>
              <w:jc w:val="center"/>
              <w:rPr>
                <w:b/>
                <w:sz w:val="16"/>
                <w:szCs w:val="16"/>
                <w:lang w:val="en-GB" w:eastAsia="el-GR"/>
              </w:rPr>
            </w:pPr>
          </w:p>
        </w:tc>
        <w:tc>
          <w:tcPr>
            <w:tcW w:w="1271" w:type="dxa"/>
            <w:tcBorders>
              <w:bottom w:val="single" w:sz="12" w:space="0" w:color="auto"/>
            </w:tcBorders>
            <w:vAlign w:val="center"/>
          </w:tcPr>
          <w:p w14:paraId="4E2842CD"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Urban</w:t>
            </w:r>
          </w:p>
        </w:tc>
        <w:tc>
          <w:tcPr>
            <w:tcW w:w="1134" w:type="dxa"/>
            <w:tcBorders>
              <w:bottom w:val="single" w:sz="12" w:space="0" w:color="auto"/>
            </w:tcBorders>
            <w:vAlign w:val="center"/>
          </w:tcPr>
          <w:p w14:paraId="7997947A"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Rural</w:t>
            </w:r>
          </w:p>
        </w:tc>
        <w:tc>
          <w:tcPr>
            <w:tcW w:w="1275" w:type="dxa"/>
            <w:tcBorders>
              <w:bottom w:val="single" w:sz="12" w:space="0" w:color="auto"/>
            </w:tcBorders>
            <w:vAlign w:val="center"/>
          </w:tcPr>
          <w:p w14:paraId="4727FCA3" w14:textId="77777777" w:rsidR="001D2587" w:rsidRPr="00C92B1B" w:rsidRDefault="001D2587" w:rsidP="005C7955">
            <w:pPr>
              <w:keepNext/>
              <w:keepLines/>
              <w:suppressAutoHyphens/>
              <w:spacing w:line="240" w:lineRule="atLeast"/>
              <w:jc w:val="center"/>
              <w:rPr>
                <w:b/>
                <w:sz w:val="16"/>
                <w:szCs w:val="16"/>
                <w:lang w:val="en-GB" w:eastAsia="el-GR"/>
              </w:rPr>
            </w:pPr>
            <w:r w:rsidRPr="00C92B1B">
              <w:rPr>
                <w:b/>
                <w:sz w:val="16"/>
                <w:szCs w:val="16"/>
                <w:lang w:val="en-GB" w:eastAsia="el-GR"/>
              </w:rPr>
              <w:t>Highway</w:t>
            </w:r>
          </w:p>
        </w:tc>
      </w:tr>
      <w:tr w:rsidR="001D2587" w:rsidRPr="000855B2" w14:paraId="2B83147C" w14:textId="77777777" w:rsidTr="00246BA6">
        <w:trPr>
          <w:cantSplit/>
          <w:trHeight w:val="300"/>
        </w:trPr>
        <w:tc>
          <w:tcPr>
            <w:tcW w:w="1101" w:type="dxa"/>
            <w:vMerge w:val="restart"/>
            <w:tcBorders>
              <w:top w:val="single" w:sz="12" w:space="0" w:color="auto"/>
            </w:tcBorders>
            <w:vAlign w:val="center"/>
          </w:tcPr>
          <w:p w14:paraId="69327F22"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Active </w:t>
            </w:r>
            <w:r w:rsidR="008B3C4B" w:rsidRPr="00C92B1B">
              <w:rPr>
                <w:sz w:val="16"/>
                <w:szCs w:val="16"/>
                <w:lang w:val="en-GB" w:eastAsia="el-GR"/>
              </w:rPr>
              <w:t>s</w:t>
            </w:r>
            <w:r w:rsidRPr="00C92B1B">
              <w:rPr>
                <w:sz w:val="16"/>
                <w:szCs w:val="16"/>
                <w:lang w:val="en-GB" w:eastAsia="el-GR"/>
              </w:rPr>
              <w:t xml:space="preserve">urface </w:t>
            </w:r>
            <w:r w:rsidR="008B3C4B" w:rsidRPr="00C92B1B">
              <w:rPr>
                <w:sz w:val="16"/>
                <w:szCs w:val="16"/>
                <w:lang w:val="en-GB" w:eastAsia="el-GR"/>
              </w:rPr>
              <w:t>a</w:t>
            </w:r>
            <w:r w:rsidRPr="00C92B1B">
              <w:rPr>
                <w:sz w:val="16"/>
                <w:szCs w:val="16"/>
                <w:lang w:val="en-GB" w:eastAsia="el-GR"/>
              </w:rPr>
              <w:t>rea [cm</w:t>
            </w:r>
            <w:r w:rsidRPr="00C92B1B">
              <w:rPr>
                <w:sz w:val="16"/>
                <w:szCs w:val="16"/>
                <w:vertAlign w:val="superscript"/>
                <w:lang w:val="en-GB" w:eastAsia="el-GR"/>
              </w:rPr>
              <w:t>2</w:t>
            </w:r>
            <w:r w:rsidRPr="00C92B1B">
              <w:rPr>
                <w:sz w:val="16"/>
                <w:szCs w:val="16"/>
                <w:lang w:val="en-GB" w:eastAsia="el-GR"/>
              </w:rPr>
              <w:t>/km]</w:t>
            </w:r>
          </w:p>
        </w:tc>
        <w:tc>
          <w:tcPr>
            <w:tcW w:w="2310" w:type="dxa"/>
            <w:tcBorders>
              <w:top w:val="single" w:sz="12" w:space="0" w:color="auto"/>
            </w:tcBorders>
            <w:noWrap/>
            <w:vAlign w:val="center"/>
          </w:tcPr>
          <w:p w14:paraId="5144291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tcBorders>
              <w:top w:val="single" w:sz="12" w:space="0" w:color="auto"/>
            </w:tcBorders>
            <w:noWrap/>
            <w:vAlign w:val="center"/>
          </w:tcPr>
          <w:p w14:paraId="3EEA681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tcBorders>
              <w:top w:val="single" w:sz="12" w:space="0" w:color="auto"/>
            </w:tcBorders>
            <w:noWrap/>
            <w:vAlign w:val="center"/>
          </w:tcPr>
          <w:p w14:paraId="41A7644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8.68E+05</w:t>
            </w:r>
          </w:p>
        </w:tc>
        <w:tc>
          <w:tcPr>
            <w:tcW w:w="1134" w:type="dxa"/>
            <w:tcBorders>
              <w:top w:val="single" w:sz="12" w:space="0" w:color="auto"/>
            </w:tcBorders>
            <w:noWrap/>
            <w:vAlign w:val="center"/>
          </w:tcPr>
          <w:p w14:paraId="4DBE437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3.38E+05</w:t>
            </w:r>
          </w:p>
        </w:tc>
        <w:tc>
          <w:tcPr>
            <w:tcW w:w="1275" w:type="dxa"/>
            <w:tcBorders>
              <w:top w:val="single" w:sz="12" w:space="0" w:color="auto"/>
            </w:tcBorders>
            <w:noWrap/>
            <w:vAlign w:val="center"/>
          </w:tcPr>
          <w:p w14:paraId="17301AD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3.14E+05</w:t>
            </w:r>
          </w:p>
        </w:tc>
      </w:tr>
      <w:tr w:rsidR="001D2587" w:rsidRPr="000855B2" w14:paraId="09C6FF21" w14:textId="77777777" w:rsidTr="00887829">
        <w:trPr>
          <w:cantSplit/>
          <w:trHeight w:val="300"/>
        </w:trPr>
        <w:tc>
          <w:tcPr>
            <w:tcW w:w="1101" w:type="dxa"/>
            <w:vMerge/>
            <w:vAlign w:val="center"/>
          </w:tcPr>
          <w:p w14:paraId="5EB5931D"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76D9B6F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194D367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422F3C2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1.24E+05</w:t>
            </w:r>
          </w:p>
        </w:tc>
        <w:tc>
          <w:tcPr>
            <w:tcW w:w="1134" w:type="dxa"/>
            <w:noWrap/>
            <w:vAlign w:val="center"/>
          </w:tcPr>
          <w:p w14:paraId="2922DA7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3.01E+04</w:t>
            </w:r>
          </w:p>
        </w:tc>
        <w:tc>
          <w:tcPr>
            <w:tcW w:w="1275" w:type="dxa"/>
            <w:noWrap/>
            <w:vAlign w:val="center"/>
          </w:tcPr>
          <w:p w14:paraId="3922DEB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2.65E+04</w:t>
            </w:r>
          </w:p>
        </w:tc>
      </w:tr>
      <w:tr w:rsidR="001D2587" w:rsidRPr="000855B2" w14:paraId="6D8D69D4" w14:textId="77777777" w:rsidTr="00887829">
        <w:trPr>
          <w:cantSplit/>
          <w:trHeight w:val="300"/>
        </w:trPr>
        <w:tc>
          <w:tcPr>
            <w:tcW w:w="1101" w:type="dxa"/>
            <w:vMerge/>
            <w:vAlign w:val="center"/>
          </w:tcPr>
          <w:p w14:paraId="32365700"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69B475D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4B188C1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07C3654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1.40E+06</w:t>
            </w:r>
          </w:p>
        </w:tc>
        <w:tc>
          <w:tcPr>
            <w:tcW w:w="1134" w:type="dxa"/>
            <w:noWrap/>
            <w:vAlign w:val="center"/>
          </w:tcPr>
          <w:p w14:paraId="6E108E6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5.71E+05</w:t>
            </w:r>
          </w:p>
        </w:tc>
        <w:tc>
          <w:tcPr>
            <w:tcW w:w="1275" w:type="dxa"/>
            <w:noWrap/>
            <w:vAlign w:val="center"/>
          </w:tcPr>
          <w:p w14:paraId="0C35230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4.79E+05</w:t>
            </w:r>
          </w:p>
        </w:tc>
      </w:tr>
      <w:tr w:rsidR="001D2587" w:rsidRPr="000855B2" w14:paraId="43CB1F2A" w14:textId="77777777" w:rsidTr="00887829">
        <w:trPr>
          <w:cantSplit/>
          <w:trHeight w:val="300"/>
        </w:trPr>
        <w:tc>
          <w:tcPr>
            <w:tcW w:w="1101" w:type="dxa"/>
            <w:vMerge/>
            <w:vAlign w:val="center"/>
          </w:tcPr>
          <w:p w14:paraId="6521E33F"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6017E43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0F9A12C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4CE3F9F"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vAlign w:val="center"/>
          </w:tcPr>
          <w:p w14:paraId="176B7182" w14:textId="77777777" w:rsidR="001D2587" w:rsidRPr="00C92B1B" w:rsidRDefault="001D2587" w:rsidP="005C7955">
            <w:pPr>
              <w:keepNext/>
              <w:keepLines/>
              <w:suppressAutoHyphens/>
              <w:spacing w:line="240" w:lineRule="atLeast"/>
              <w:jc w:val="center"/>
              <w:rPr>
                <w:sz w:val="16"/>
                <w:szCs w:val="16"/>
                <w:lang w:val="en-GB" w:eastAsia="el-GR"/>
              </w:rPr>
            </w:pPr>
          </w:p>
        </w:tc>
        <w:tc>
          <w:tcPr>
            <w:tcW w:w="1275" w:type="dxa"/>
            <w:noWrap/>
            <w:vAlign w:val="center"/>
          </w:tcPr>
          <w:p w14:paraId="0FEE4B4A"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4E4CE693" w14:textId="77777777" w:rsidTr="00887829">
        <w:trPr>
          <w:cantSplit/>
          <w:trHeight w:val="300"/>
        </w:trPr>
        <w:tc>
          <w:tcPr>
            <w:tcW w:w="1101" w:type="dxa"/>
            <w:vMerge/>
            <w:vAlign w:val="center"/>
          </w:tcPr>
          <w:p w14:paraId="62775A75"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17D6304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0F07756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C2FC730" w14:textId="77777777" w:rsidR="001D2587" w:rsidRPr="00C92B1B" w:rsidRDefault="001D2587" w:rsidP="005C7955">
            <w:pPr>
              <w:keepNext/>
              <w:keepLines/>
              <w:suppressAutoHyphens/>
              <w:spacing w:line="240" w:lineRule="atLeast"/>
              <w:jc w:val="center"/>
              <w:rPr>
                <w:sz w:val="16"/>
                <w:szCs w:val="16"/>
                <w:lang w:val="en-GB" w:eastAsia="el-GR"/>
              </w:rPr>
            </w:pPr>
          </w:p>
        </w:tc>
        <w:tc>
          <w:tcPr>
            <w:tcW w:w="1134" w:type="dxa"/>
            <w:noWrap/>
            <w:vAlign w:val="center"/>
          </w:tcPr>
          <w:p w14:paraId="3FF93CF3" w14:textId="77777777" w:rsidR="001D2587" w:rsidRPr="00C92B1B" w:rsidRDefault="001D2587" w:rsidP="005C7955">
            <w:pPr>
              <w:keepNext/>
              <w:keepLines/>
              <w:suppressAutoHyphens/>
              <w:spacing w:line="240" w:lineRule="atLeast"/>
              <w:jc w:val="center"/>
              <w:rPr>
                <w:sz w:val="16"/>
                <w:szCs w:val="16"/>
                <w:lang w:val="en-GB" w:eastAsia="el-GR"/>
              </w:rPr>
            </w:pPr>
          </w:p>
        </w:tc>
        <w:tc>
          <w:tcPr>
            <w:tcW w:w="1275" w:type="dxa"/>
            <w:noWrap/>
            <w:vAlign w:val="center"/>
          </w:tcPr>
          <w:p w14:paraId="57A41F2D" w14:textId="77777777" w:rsidR="001D2587" w:rsidRPr="00C92B1B" w:rsidRDefault="001D2587" w:rsidP="005C7955">
            <w:pPr>
              <w:keepNext/>
              <w:keepLines/>
              <w:suppressAutoHyphens/>
              <w:spacing w:line="240" w:lineRule="atLeast"/>
              <w:jc w:val="center"/>
              <w:rPr>
                <w:sz w:val="16"/>
                <w:szCs w:val="16"/>
                <w:lang w:val="en-GB" w:eastAsia="el-GR"/>
              </w:rPr>
            </w:pPr>
          </w:p>
        </w:tc>
      </w:tr>
      <w:tr w:rsidR="001D2587" w:rsidRPr="000855B2" w14:paraId="45E6C54C" w14:textId="77777777" w:rsidTr="00887829">
        <w:trPr>
          <w:cantSplit/>
          <w:trHeight w:val="300"/>
        </w:trPr>
        <w:tc>
          <w:tcPr>
            <w:tcW w:w="1101" w:type="dxa"/>
            <w:vMerge w:val="restart"/>
            <w:vAlign w:val="center"/>
          </w:tcPr>
          <w:p w14:paraId="77367E73"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Total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umber [#/km]</w:t>
            </w:r>
          </w:p>
        </w:tc>
        <w:tc>
          <w:tcPr>
            <w:tcW w:w="2310" w:type="dxa"/>
            <w:noWrap/>
            <w:vAlign w:val="center"/>
          </w:tcPr>
          <w:p w14:paraId="009DF4F2"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46CAA26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66C650D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1.06E+15</w:t>
            </w:r>
          </w:p>
        </w:tc>
        <w:tc>
          <w:tcPr>
            <w:tcW w:w="1134" w:type="dxa"/>
            <w:noWrap/>
            <w:vAlign w:val="center"/>
          </w:tcPr>
          <w:p w14:paraId="61184F9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7.71E+14</w:t>
            </w:r>
          </w:p>
        </w:tc>
        <w:tc>
          <w:tcPr>
            <w:tcW w:w="1275" w:type="dxa"/>
            <w:noWrap/>
            <w:vAlign w:val="center"/>
          </w:tcPr>
          <w:p w14:paraId="7CB1A3D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1.36E+15</w:t>
            </w:r>
          </w:p>
        </w:tc>
      </w:tr>
      <w:tr w:rsidR="001D2587" w:rsidRPr="000855B2" w14:paraId="7BFF85AC" w14:textId="77777777" w:rsidTr="00887829">
        <w:trPr>
          <w:cantSplit/>
          <w:trHeight w:val="300"/>
        </w:trPr>
        <w:tc>
          <w:tcPr>
            <w:tcW w:w="1101" w:type="dxa"/>
            <w:vMerge/>
            <w:vAlign w:val="center"/>
          </w:tcPr>
          <w:p w14:paraId="412BC0F6"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46967AB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15EF17D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1072B75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4.19E+14</w:t>
            </w:r>
          </w:p>
        </w:tc>
        <w:tc>
          <w:tcPr>
            <w:tcW w:w="1134" w:type="dxa"/>
            <w:noWrap/>
            <w:vAlign w:val="center"/>
          </w:tcPr>
          <w:p w14:paraId="1BF0B12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8.08E+13</w:t>
            </w:r>
          </w:p>
        </w:tc>
        <w:tc>
          <w:tcPr>
            <w:tcW w:w="1275" w:type="dxa"/>
            <w:noWrap/>
            <w:vAlign w:val="center"/>
          </w:tcPr>
          <w:p w14:paraId="7BC97E4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1.07E+14</w:t>
            </w:r>
          </w:p>
        </w:tc>
      </w:tr>
      <w:tr w:rsidR="001D2587" w:rsidRPr="000855B2" w14:paraId="3852F241" w14:textId="77777777" w:rsidTr="00887829">
        <w:trPr>
          <w:cantSplit/>
          <w:trHeight w:val="300"/>
        </w:trPr>
        <w:tc>
          <w:tcPr>
            <w:tcW w:w="1101" w:type="dxa"/>
            <w:vMerge/>
            <w:vAlign w:val="center"/>
          </w:tcPr>
          <w:p w14:paraId="14B803C2"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7274EF1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0B04EF0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75245F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1.18E+15</w:t>
            </w:r>
          </w:p>
        </w:tc>
        <w:tc>
          <w:tcPr>
            <w:tcW w:w="1134" w:type="dxa"/>
            <w:noWrap/>
            <w:vAlign w:val="center"/>
          </w:tcPr>
          <w:p w14:paraId="0A53FD7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9.62E+14</w:t>
            </w:r>
          </w:p>
        </w:tc>
        <w:tc>
          <w:tcPr>
            <w:tcW w:w="1275" w:type="dxa"/>
            <w:noWrap/>
            <w:vAlign w:val="center"/>
          </w:tcPr>
          <w:p w14:paraId="532E753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1.56E+15</w:t>
            </w:r>
          </w:p>
        </w:tc>
      </w:tr>
      <w:tr w:rsidR="001D2587" w:rsidRPr="000855B2" w14:paraId="02D5EC94" w14:textId="77777777" w:rsidTr="00887829">
        <w:trPr>
          <w:cantSplit/>
          <w:trHeight w:val="300"/>
        </w:trPr>
        <w:tc>
          <w:tcPr>
            <w:tcW w:w="1101" w:type="dxa"/>
            <w:vMerge/>
            <w:vAlign w:val="center"/>
          </w:tcPr>
          <w:p w14:paraId="61248173"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508710D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689CD4F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63A262D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9.07E+12</w:t>
            </w:r>
          </w:p>
        </w:tc>
        <w:tc>
          <w:tcPr>
            <w:tcW w:w="1134" w:type="dxa"/>
            <w:noWrap/>
            <w:vAlign w:val="center"/>
          </w:tcPr>
          <w:p w14:paraId="67B7AA6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6.02E+12</w:t>
            </w:r>
          </w:p>
        </w:tc>
        <w:tc>
          <w:tcPr>
            <w:tcW w:w="1275" w:type="dxa"/>
            <w:noWrap/>
            <w:vAlign w:val="center"/>
          </w:tcPr>
          <w:p w14:paraId="0C10FD6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3.54E+12</w:t>
            </w:r>
          </w:p>
        </w:tc>
      </w:tr>
      <w:tr w:rsidR="001D2587" w:rsidRPr="000855B2" w14:paraId="25F4BEC4" w14:textId="77777777" w:rsidTr="00887829">
        <w:trPr>
          <w:cantSplit/>
          <w:trHeight w:val="300"/>
        </w:trPr>
        <w:tc>
          <w:tcPr>
            <w:tcW w:w="1101" w:type="dxa"/>
            <w:vMerge/>
            <w:vAlign w:val="center"/>
          </w:tcPr>
          <w:p w14:paraId="63E197EB"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608E0E61"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44CA815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27CFF7B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2.64E+13</w:t>
            </w:r>
          </w:p>
        </w:tc>
        <w:tc>
          <w:tcPr>
            <w:tcW w:w="1134" w:type="dxa"/>
            <w:noWrap/>
            <w:vAlign w:val="center"/>
          </w:tcPr>
          <w:p w14:paraId="705EE18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1.83E+13</w:t>
            </w:r>
          </w:p>
        </w:tc>
        <w:tc>
          <w:tcPr>
            <w:tcW w:w="1275" w:type="dxa"/>
            <w:noWrap/>
            <w:vAlign w:val="center"/>
          </w:tcPr>
          <w:p w14:paraId="02FFAF4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1.46E+13</w:t>
            </w:r>
          </w:p>
        </w:tc>
      </w:tr>
      <w:tr w:rsidR="001D2587" w:rsidRPr="000855B2" w14:paraId="4EC65EC3" w14:textId="77777777" w:rsidTr="00887829">
        <w:trPr>
          <w:cantSplit/>
          <w:trHeight w:val="300"/>
        </w:trPr>
        <w:tc>
          <w:tcPr>
            <w:tcW w:w="1101" w:type="dxa"/>
            <w:vMerge w:val="restart"/>
            <w:vAlign w:val="center"/>
          </w:tcPr>
          <w:p w14:paraId="39473BF9"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 xml:space="preserve">umber </w:t>
            </w:r>
            <w:r w:rsidR="00D205E2" w:rsidRPr="00C92B1B">
              <w:rPr>
                <w:sz w:val="16"/>
                <w:szCs w:val="16"/>
                <w:lang w:val="en-GB" w:eastAsia="el-GR"/>
              </w:rPr>
              <w:t>&lt; </w:t>
            </w:r>
            <w:r w:rsidRPr="00C92B1B">
              <w:rPr>
                <w:sz w:val="16"/>
                <w:szCs w:val="16"/>
                <w:lang w:val="en-GB" w:eastAsia="el-GR"/>
              </w:rPr>
              <w:t>50</w:t>
            </w:r>
            <w:r w:rsidR="000F3E28" w:rsidRPr="00C92B1B">
              <w:rPr>
                <w:sz w:val="16"/>
                <w:szCs w:val="16"/>
                <w:lang w:val="en-GB" w:eastAsia="el-GR"/>
              </w:rPr>
              <w:t> nm</w:t>
            </w:r>
            <w:r w:rsidRPr="00C92B1B">
              <w:rPr>
                <w:sz w:val="16"/>
                <w:szCs w:val="16"/>
                <w:lang w:val="en-GB" w:eastAsia="el-GR"/>
              </w:rPr>
              <w:t xml:space="preserve"> [#/km]</w:t>
            </w:r>
          </w:p>
        </w:tc>
        <w:tc>
          <w:tcPr>
            <w:tcW w:w="2310" w:type="dxa"/>
            <w:noWrap/>
            <w:vAlign w:val="center"/>
          </w:tcPr>
          <w:p w14:paraId="7CD496F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02B0AE4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4F1B330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1.92E+14</w:t>
            </w:r>
          </w:p>
        </w:tc>
        <w:tc>
          <w:tcPr>
            <w:tcW w:w="1134" w:type="dxa"/>
            <w:noWrap/>
            <w:vAlign w:val="center"/>
          </w:tcPr>
          <w:p w14:paraId="6180C3A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8.61E+13</w:t>
            </w:r>
          </w:p>
        </w:tc>
        <w:tc>
          <w:tcPr>
            <w:tcW w:w="1275" w:type="dxa"/>
            <w:noWrap/>
            <w:vAlign w:val="center"/>
          </w:tcPr>
          <w:p w14:paraId="23DF763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9.05E+13</w:t>
            </w:r>
          </w:p>
        </w:tc>
      </w:tr>
      <w:tr w:rsidR="001D2587" w:rsidRPr="000855B2" w14:paraId="25AC60A8" w14:textId="77777777" w:rsidTr="00887829">
        <w:trPr>
          <w:cantSplit/>
          <w:trHeight w:val="300"/>
        </w:trPr>
        <w:tc>
          <w:tcPr>
            <w:tcW w:w="1101" w:type="dxa"/>
            <w:vMerge/>
            <w:vAlign w:val="center"/>
          </w:tcPr>
          <w:p w14:paraId="2B2E4FAF"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2AB3B52E"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4B3A7FED"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1E4A754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5.96E+12</w:t>
            </w:r>
          </w:p>
        </w:tc>
        <w:tc>
          <w:tcPr>
            <w:tcW w:w="1134" w:type="dxa"/>
            <w:noWrap/>
            <w:vAlign w:val="center"/>
          </w:tcPr>
          <w:p w14:paraId="2980DD0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3.20E+12</w:t>
            </w:r>
          </w:p>
        </w:tc>
        <w:tc>
          <w:tcPr>
            <w:tcW w:w="1275" w:type="dxa"/>
            <w:noWrap/>
            <w:vAlign w:val="center"/>
          </w:tcPr>
          <w:p w14:paraId="4FAC725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5.09E+12</w:t>
            </w:r>
          </w:p>
        </w:tc>
      </w:tr>
      <w:tr w:rsidR="001D2587" w:rsidRPr="000855B2" w14:paraId="3CCEA030" w14:textId="77777777" w:rsidTr="00887829">
        <w:trPr>
          <w:cantSplit/>
          <w:trHeight w:val="300"/>
        </w:trPr>
        <w:tc>
          <w:tcPr>
            <w:tcW w:w="1101" w:type="dxa"/>
            <w:vMerge/>
            <w:vAlign w:val="center"/>
          </w:tcPr>
          <w:p w14:paraId="6104E512"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13D4CDC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65E7879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7E49711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1.83E+14</w:t>
            </w:r>
          </w:p>
        </w:tc>
        <w:tc>
          <w:tcPr>
            <w:tcW w:w="1134" w:type="dxa"/>
            <w:noWrap/>
            <w:vAlign w:val="center"/>
          </w:tcPr>
          <w:p w14:paraId="628452E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8.92E+13</w:t>
            </w:r>
          </w:p>
        </w:tc>
        <w:tc>
          <w:tcPr>
            <w:tcW w:w="1275" w:type="dxa"/>
            <w:noWrap/>
            <w:vAlign w:val="center"/>
          </w:tcPr>
          <w:p w14:paraId="096D2FC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9.35E+13</w:t>
            </w:r>
          </w:p>
        </w:tc>
      </w:tr>
      <w:tr w:rsidR="001D2587" w:rsidRPr="000855B2" w14:paraId="0E975FF5" w14:textId="77777777" w:rsidTr="00887829">
        <w:trPr>
          <w:cantSplit/>
          <w:trHeight w:val="300"/>
        </w:trPr>
        <w:tc>
          <w:tcPr>
            <w:tcW w:w="1101" w:type="dxa"/>
            <w:vMerge/>
            <w:vAlign w:val="center"/>
          </w:tcPr>
          <w:p w14:paraId="5DE4226F"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1409E3BA"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5A72238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67C9940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1.91E+10</w:t>
            </w:r>
          </w:p>
        </w:tc>
        <w:tc>
          <w:tcPr>
            <w:tcW w:w="1134" w:type="dxa"/>
            <w:noWrap/>
            <w:vAlign w:val="center"/>
          </w:tcPr>
          <w:p w14:paraId="3B41EF1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1.09E+10</w:t>
            </w:r>
          </w:p>
        </w:tc>
        <w:tc>
          <w:tcPr>
            <w:tcW w:w="1275" w:type="dxa"/>
            <w:noWrap/>
            <w:vAlign w:val="center"/>
          </w:tcPr>
          <w:p w14:paraId="6B7F52C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9.89E+09</w:t>
            </w:r>
          </w:p>
        </w:tc>
      </w:tr>
      <w:tr w:rsidR="001D2587" w:rsidRPr="000855B2" w14:paraId="7DC62B1B" w14:textId="77777777" w:rsidTr="00887829">
        <w:trPr>
          <w:cantSplit/>
          <w:trHeight w:val="300"/>
        </w:trPr>
        <w:tc>
          <w:tcPr>
            <w:tcW w:w="1101" w:type="dxa"/>
            <w:vMerge/>
            <w:vAlign w:val="center"/>
          </w:tcPr>
          <w:p w14:paraId="6048EE61"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68EDD7CD"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077CC82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916B96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1.22E+13</w:t>
            </w:r>
          </w:p>
        </w:tc>
        <w:tc>
          <w:tcPr>
            <w:tcW w:w="1134" w:type="dxa"/>
            <w:noWrap/>
            <w:vAlign w:val="center"/>
          </w:tcPr>
          <w:p w14:paraId="57D4C58B"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4.83E+12</w:t>
            </w:r>
          </w:p>
        </w:tc>
        <w:tc>
          <w:tcPr>
            <w:tcW w:w="1275" w:type="dxa"/>
            <w:noWrap/>
            <w:vAlign w:val="center"/>
          </w:tcPr>
          <w:p w14:paraId="18AB46C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2.45E+12</w:t>
            </w:r>
          </w:p>
        </w:tc>
      </w:tr>
      <w:tr w:rsidR="001D2587" w:rsidRPr="000855B2" w14:paraId="4A01077F" w14:textId="77777777" w:rsidTr="00887829">
        <w:trPr>
          <w:cantSplit/>
          <w:trHeight w:val="300"/>
        </w:trPr>
        <w:tc>
          <w:tcPr>
            <w:tcW w:w="1101" w:type="dxa"/>
            <w:vMerge w:val="restart"/>
            <w:vAlign w:val="center"/>
          </w:tcPr>
          <w:p w14:paraId="3670B893"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umber 50</w:t>
            </w:r>
            <w:r w:rsidR="00670618" w:rsidRPr="00C92B1B">
              <w:rPr>
                <w:sz w:val="16"/>
                <w:szCs w:val="16"/>
                <w:lang w:val="en-GB"/>
              </w:rPr>
              <w:t>–</w:t>
            </w:r>
            <w:r w:rsidRPr="00C92B1B">
              <w:rPr>
                <w:sz w:val="16"/>
                <w:szCs w:val="16"/>
                <w:lang w:val="en-GB" w:eastAsia="el-GR"/>
              </w:rPr>
              <w:t>100</w:t>
            </w:r>
            <w:r w:rsidR="000F3E28" w:rsidRPr="00C92B1B">
              <w:rPr>
                <w:sz w:val="16"/>
                <w:szCs w:val="16"/>
                <w:lang w:val="en-GB" w:eastAsia="el-GR"/>
              </w:rPr>
              <w:t> nm</w:t>
            </w:r>
            <w:r w:rsidRPr="00C92B1B">
              <w:rPr>
                <w:sz w:val="16"/>
                <w:szCs w:val="16"/>
                <w:lang w:val="en-GB" w:eastAsia="el-GR"/>
              </w:rPr>
              <w:t xml:space="preserve"> [#/km]</w:t>
            </w:r>
          </w:p>
        </w:tc>
        <w:tc>
          <w:tcPr>
            <w:tcW w:w="2310" w:type="dxa"/>
            <w:noWrap/>
            <w:vAlign w:val="center"/>
          </w:tcPr>
          <w:p w14:paraId="1D65AC5B"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6091E77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8689F5C"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2.22E+14</w:t>
            </w:r>
          </w:p>
        </w:tc>
        <w:tc>
          <w:tcPr>
            <w:tcW w:w="1134" w:type="dxa"/>
            <w:noWrap/>
            <w:vAlign w:val="center"/>
          </w:tcPr>
          <w:p w14:paraId="40B666E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9.22E+13</w:t>
            </w:r>
          </w:p>
        </w:tc>
        <w:tc>
          <w:tcPr>
            <w:tcW w:w="1275" w:type="dxa"/>
            <w:noWrap/>
            <w:vAlign w:val="center"/>
          </w:tcPr>
          <w:p w14:paraId="3097C8D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8.31E+13</w:t>
            </w:r>
          </w:p>
        </w:tc>
      </w:tr>
      <w:tr w:rsidR="001D2587" w:rsidRPr="000855B2" w14:paraId="58C13BAB" w14:textId="77777777" w:rsidTr="00887829">
        <w:trPr>
          <w:cantSplit/>
          <w:trHeight w:val="300"/>
        </w:trPr>
        <w:tc>
          <w:tcPr>
            <w:tcW w:w="1101" w:type="dxa"/>
            <w:vMerge/>
            <w:vAlign w:val="center"/>
          </w:tcPr>
          <w:p w14:paraId="248964BC"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45EA52B8"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49742F3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0943362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5.09E+12</w:t>
            </w:r>
          </w:p>
        </w:tc>
        <w:tc>
          <w:tcPr>
            <w:tcW w:w="1134" w:type="dxa"/>
            <w:noWrap/>
            <w:vAlign w:val="center"/>
          </w:tcPr>
          <w:p w14:paraId="7282523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2.42E+12</w:t>
            </w:r>
          </w:p>
        </w:tc>
        <w:tc>
          <w:tcPr>
            <w:tcW w:w="1275" w:type="dxa"/>
            <w:noWrap/>
            <w:vAlign w:val="center"/>
          </w:tcPr>
          <w:p w14:paraId="0C98B0BF"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3.09E+12</w:t>
            </w:r>
          </w:p>
        </w:tc>
      </w:tr>
      <w:tr w:rsidR="001D2587" w:rsidRPr="000855B2" w14:paraId="730C03EA" w14:textId="77777777" w:rsidTr="00887829">
        <w:trPr>
          <w:cantSplit/>
          <w:trHeight w:val="300"/>
        </w:trPr>
        <w:tc>
          <w:tcPr>
            <w:tcW w:w="1101" w:type="dxa"/>
            <w:vMerge/>
            <w:vAlign w:val="center"/>
          </w:tcPr>
          <w:p w14:paraId="081AF660"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0D6A7FE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49B91E7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5DD20CB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2.41E+14</w:t>
            </w:r>
          </w:p>
        </w:tc>
        <w:tc>
          <w:tcPr>
            <w:tcW w:w="1134" w:type="dxa"/>
            <w:noWrap/>
            <w:vAlign w:val="center"/>
          </w:tcPr>
          <w:p w14:paraId="5E3E109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1.04E+14</w:t>
            </w:r>
          </w:p>
        </w:tc>
        <w:tc>
          <w:tcPr>
            <w:tcW w:w="1275" w:type="dxa"/>
            <w:noWrap/>
            <w:vAlign w:val="center"/>
          </w:tcPr>
          <w:p w14:paraId="0E0F110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8.84E+13</w:t>
            </w:r>
          </w:p>
        </w:tc>
      </w:tr>
      <w:tr w:rsidR="001D2587" w:rsidRPr="000855B2" w14:paraId="338C0106" w14:textId="77777777" w:rsidTr="00887829">
        <w:trPr>
          <w:cantSplit/>
          <w:trHeight w:val="300"/>
        </w:trPr>
        <w:tc>
          <w:tcPr>
            <w:tcW w:w="1101" w:type="dxa"/>
            <w:vMerge/>
            <w:vAlign w:val="center"/>
          </w:tcPr>
          <w:p w14:paraId="2EFF1CD3"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0C018506"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3158FDC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3E0BFFB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1.59E+10</w:t>
            </w:r>
          </w:p>
        </w:tc>
        <w:tc>
          <w:tcPr>
            <w:tcW w:w="1134" w:type="dxa"/>
            <w:noWrap/>
            <w:vAlign w:val="center"/>
          </w:tcPr>
          <w:p w14:paraId="6D5E4CE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6.99E+09</w:t>
            </w:r>
          </w:p>
        </w:tc>
        <w:tc>
          <w:tcPr>
            <w:tcW w:w="1275" w:type="dxa"/>
            <w:noWrap/>
            <w:vAlign w:val="center"/>
          </w:tcPr>
          <w:p w14:paraId="55B8F49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4.67E+09</w:t>
            </w:r>
          </w:p>
        </w:tc>
      </w:tr>
      <w:tr w:rsidR="001D2587" w:rsidRPr="000855B2" w14:paraId="10A82276" w14:textId="77777777" w:rsidTr="00887829">
        <w:trPr>
          <w:cantSplit/>
          <w:trHeight w:val="300"/>
        </w:trPr>
        <w:tc>
          <w:tcPr>
            <w:tcW w:w="1101" w:type="dxa"/>
            <w:vMerge/>
            <w:vAlign w:val="center"/>
          </w:tcPr>
          <w:p w14:paraId="1D10178D" w14:textId="77777777" w:rsidR="001D2587" w:rsidRPr="00C92B1B" w:rsidRDefault="001D2587" w:rsidP="005C7955">
            <w:pPr>
              <w:keepNext/>
              <w:keepLines/>
              <w:suppressAutoHyphens/>
              <w:spacing w:line="240" w:lineRule="atLeast"/>
              <w:rPr>
                <w:sz w:val="16"/>
                <w:szCs w:val="16"/>
                <w:lang w:val="en-GB" w:eastAsia="el-GR"/>
              </w:rPr>
            </w:pPr>
          </w:p>
        </w:tc>
        <w:tc>
          <w:tcPr>
            <w:tcW w:w="2310" w:type="dxa"/>
            <w:noWrap/>
            <w:vAlign w:val="center"/>
          </w:tcPr>
          <w:p w14:paraId="0D6443E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V + </w:t>
            </w:r>
            <w:smartTag w:uri="urn:schemas-microsoft-com:office:smarttags" w:element="stockticker">
              <w:r w:rsidRPr="00C92B1B">
                <w:rPr>
                  <w:sz w:val="16"/>
                  <w:szCs w:val="16"/>
                  <w:lang w:val="en-GB" w:eastAsia="el-GR"/>
                </w:rPr>
                <w:t>SCR</w:t>
              </w:r>
            </w:smartTag>
          </w:p>
        </w:tc>
        <w:tc>
          <w:tcPr>
            <w:tcW w:w="0" w:type="auto"/>
            <w:noWrap/>
            <w:vAlign w:val="center"/>
          </w:tcPr>
          <w:p w14:paraId="5A8ED4C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3485D5E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1.39E+13</w:t>
            </w:r>
          </w:p>
        </w:tc>
        <w:tc>
          <w:tcPr>
            <w:tcW w:w="1134" w:type="dxa"/>
            <w:noWrap/>
            <w:vAlign w:val="center"/>
          </w:tcPr>
          <w:p w14:paraId="0D6B98D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5.15E+12</w:t>
            </w:r>
          </w:p>
        </w:tc>
        <w:tc>
          <w:tcPr>
            <w:tcW w:w="1275" w:type="dxa"/>
            <w:noWrap/>
            <w:vAlign w:val="center"/>
          </w:tcPr>
          <w:p w14:paraId="73D36A76"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2.52E+12</w:t>
            </w:r>
          </w:p>
        </w:tc>
      </w:tr>
      <w:tr w:rsidR="001D2587" w:rsidRPr="000855B2" w14:paraId="5CF009E0" w14:textId="77777777" w:rsidTr="00887829">
        <w:trPr>
          <w:cantSplit/>
          <w:trHeight w:val="300"/>
        </w:trPr>
        <w:tc>
          <w:tcPr>
            <w:tcW w:w="1101" w:type="dxa"/>
            <w:vMerge w:val="restart"/>
            <w:vAlign w:val="center"/>
          </w:tcPr>
          <w:p w14:paraId="1D3ECA6F"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Solid </w:t>
            </w:r>
            <w:r w:rsidR="008B3C4B" w:rsidRPr="00C92B1B">
              <w:rPr>
                <w:sz w:val="16"/>
                <w:szCs w:val="16"/>
                <w:lang w:val="en-GB" w:eastAsia="el-GR"/>
              </w:rPr>
              <w:t>p</w:t>
            </w:r>
            <w:r w:rsidRPr="00C92B1B">
              <w:rPr>
                <w:sz w:val="16"/>
                <w:szCs w:val="16"/>
                <w:lang w:val="en-GB" w:eastAsia="el-GR"/>
              </w:rPr>
              <w:t xml:space="preserve">article </w:t>
            </w:r>
            <w:r w:rsidR="008B3C4B" w:rsidRPr="00C92B1B">
              <w:rPr>
                <w:sz w:val="16"/>
                <w:szCs w:val="16"/>
                <w:lang w:val="en-GB" w:eastAsia="el-GR"/>
              </w:rPr>
              <w:t>n</w:t>
            </w:r>
            <w:r w:rsidRPr="00C92B1B">
              <w:rPr>
                <w:sz w:val="16"/>
                <w:szCs w:val="16"/>
                <w:lang w:val="en-GB" w:eastAsia="el-GR"/>
              </w:rPr>
              <w:t>umber 100</w:t>
            </w:r>
            <w:r w:rsidR="00670618" w:rsidRPr="00C92B1B">
              <w:rPr>
                <w:sz w:val="16"/>
                <w:szCs w:val="16"/>
                <w:lang w:val="en-GB"/>
              </w:rPr>
              <w:t>–</w:t>
            </w:r>
            <w:r w:rsidRPr="00C92B1B">
              <w:rPr>
                <w:sz w:val="16"/>
                <w:szCs w:val="16"/>
                <w:lang w:val="en-GB" w:eastAsia="el-GR"/>
              </w:rPr>
              <w:t>1</w:t>
            </w:r>
            <w:r w:rsidR="00670618" w:rsidRPr="00C92B1B">
              <w:rPr>
                <w:sz w:val="16"/>
                <w:szCs w:val="16"/>
                <w:lang w:val="en-GB" w:eastAsia="el-GR"/>
              </w:rPr>
              <w:t> </w:t>
            </w:r>
            <w:r w:rsidRPr="00C92B1B">
              <w:rPr>
                <w:sz w:val="16"/>
                <w:szCs w:val="16"/>
                <w:lang w:val="en-GB" w:eastAsia="el-GR"/>
              </w:rPr>
              <w:t>000</w:t>
            </w:r>
            <w:r w:rsidR="000F3E28" w:rsidRPr="00C92B1B">
              <w:rPr>
                <w:sz w:val="16"/>
                <w:szCs w:val="16"/>
                <w:lang w:val="en-GB" w:eastAsia="el-GR"/>
              </w:rPr>
              <w:t> nm</w:t>
            </w:r>
            <w:r w:rsidRPr="00C92B1B">
              <w:rPr>
                <w:sz w:val="16"/>
                <w:szCs w:val="16"/>
                <w:lang w:val="en-GB" w:eastAsia="el-GR"/>
              </w:rPr>
              <w:t xml:space="preserve"> [#/km]</w:t>
            </w:r>
          </w:p>
        </w:tc>
        <w:tc>
          <w:tcPr>
            <w:tcW w:w="2310" w:type="dxa"/>
            <w:noWrap/>
            <w:vAlign w:val="center"/>
          </w:tcPr>
          <w:p w14:paraId="0CE8B555"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p>
        </w:tc>
        <w:tc>
          <w:tcPr>
            <w:tcW w:w="0" w:type="auto"/>
            <w:noWrap/>
            <w:vAlign w:val="center"/>
          </w:tcPr>
          <w:p w14:paraId="56812969"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341E8F71"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3.21E+14</w:t>
            </w:r>
          </w:p>
        </w:tc>
        <w:tc>
          <w:tcPr>
            <w:tcW w:w="1134" w:type="dxa"/>
            <w:noWrap/>
            <w:vAlign w:val="center"/>
          </w:tcPr>
          <w:p w14:paraId="1371A3EA"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1.23E+14</w:t>
            </w:r>
          </w:p>
        </w:tc>
        <w:tc>
          <w:tcPr>
            <w:tcW w:w="1275" w:type="dxa"/>
            <w:noWrap/>
            <w:vAlign w:val="center"/>
          </w:tcPr>
          <w:p w14:paraId="09AA14E3"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8.73E+13</w:t>
            </w:r>
          </w:p>
        </w:tc>
      </w:tr>
      <w:tr w:rsidR="001D2587" w:rsidRPr="000855B2" w14:paraId="067365E6" w14:textId="77777777" w:rsidTr="00887829">
        <w:trPr>
          <w:cantSplit/>
          <w:trHeight w:val="300"/>
        </w:trPr>
        <w:tc>
          <w:tcPr>
            <w:tcW w:w="1101" w:type="dxa"/>
            <w:vMerge/>
            <w:vAlign w:val="center"/>
          </w:tcPr>
          <w:p w14:paraId="7FB7C62A" w14:textId="77777777" w:rsidR="001D2587" w:rsidRPr="00C92B1B" w:rsidRDefault="001D2587" w:rsidP="005C7955">
            <w:pPr>
              <w:keepNext/>
              <w:keepLines/>
              <w:suppressAutoHyphens/>
              <w:spacing w:line="240" w:lineRule="atLeast"/>
              <w:jc w:val="center"/>
              <w:rPr>
                <w:sz w:val="16"/>
                <w:szCs w:val="16"/>
                <w:lang w:val="en-GB" w:eastAsia="el-GR"/>
              </w:rPr>
            </w:pPr>
          </w:p>
        </w:tc>
        <w:tc>
          <w:tcPr>
            <w:tcW w:w="2310" w:type="dxa"/>
            <w:noWrap/>
            <w:vAlign w:val="center"/>
          </w:tcPr>
          <w:p w14:paraId="483A39C2"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 xml:space="preserve"> + CRDPF</w:t>
            </w:r>
          </w:p>
        </w:tc>
        <w:tc>
          <w:tcPr>
            <w:tcW w:w="0" w:type="auto"/>
            <w:noWrap/>
            <w:vAlign w:val="center"/>
          </w:tcPr>
          <w:p w14:paraId="7CC6B51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6E1E4FF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3.52E+12</w:t>
            </w:r>
          </w:p>
        </w:tc>
        <w:tc>
          <w:tcPr>
            <w:tcW w:w="1134" w:type="dxa"/>
            <w:noWrap/>
            <w:vAlign w:val="center"/>
          </w:tcPr>
          <w:p w14:paraId="1BEE35C2"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1.44E+12</w:t>
            </w:r>
          </w:p>
        </w:tc>
        <w:tc>
          <w:tcPr>
            <w:tcW w:w="1275" w:type="dxa"/>
            <w:noWrap/>
            <w:vAlign w:val="center"/>
          </w:tcPr>
          <w:p w14:paraId="1C911F88"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1.37E+12</w:t>
            </w:r>
          </w:p>
        </w:tc>
      </w:tr>
      <w:tr w:rsidR="001D2587" w:rsidRPr="000855B2" w14:paraId="746AE9DC" w14:textId="77777777" w:rsidTr="00887829">
        <w:trPr>
          <w:cantSplit/>
          <w:trHeight w:val="300"/>
        </w:trPr>
        <w:tc>
          <w:tcPr>
            <w:tcW w:w="1101" w:type="dxa"/>
            <w:vMerge/>
            <w:vAlign w:val="center"/>
          </w:tcPr>
          <w:p w14:paraId="1418D298" w14:textId="77777777" w:rsidR="001D2587" w:rsidRPr="00C92B1B" w:rsidRDefault="001D2587" w:rsidP="005C7955">
            <w:pPr>
              <w:keepNext/>
              <w:keepLines/>
              <w:suppressAutoHyphens/>
              <w:spacing w:line="240" w:lineRule="atLeast"/>
              <w:jc w:val="center"/>
              <w:rPr>
                <w:sz w:val="16"/>
                <w:szCs w:val="16"/>
                <w:lang w:val="en-GB" w:eastAsia="el-GR"/>
              </w:rPr>
            </w:pPr>
          </w:p>
        </w:tc>
        <w:tc>
          <w:tcPr>
            <w:tcW w:w="2310" w:type="dxa"/>
            <w:noWrap/>
            <w:vAlign w:val="center"/>
          </w:tcPr>
          <w:p w14:paraId="1753C0E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 xml:space="preserve">Euro II </w:t>
            </w:r>
            <w:r w:rsidR="00670618" w:rsidRPr="00C92B1B">
              <w:rPr>
                <w:sz w:val="16"/>
                <w:szCs w:val="16"/>
                <w:lang w:val="en-GB" w:eastAsia="el-GR"/>
              </w:rPr>
              <w:t>and</w:t>
            </w:r>
            <w:r w:rsidRPr="00C92B1B">
              <w:rPr>
                <w:sz w:val="16"/>
                <w:szCs w:val="16"/>
                <w:lang w:val="en-GB" w:eastAsia="el-GR"/>
              </w:rPr>
              <w:t xml:space="preserve"> </w:t>
            </w:r>
            <w:smartTag w:uri="urn:schemas-microsoft-com:office:smarttags" w:element="stockticker">
              <w:r w:rsidRPr="00C92B1B">
                <w:rPr>
                  <w:sz w:val="16"/>
                  <w:szCs w:val="16"/>
                  <w:lang w:val="en-GB" w:eastAsia="el-GR"/>
                </w:rPr>
                <w:t>III</w:t>
              </w:r>
            </w:smartTag>
            <w:r w:rsidRPr="00C92B1B">
              <w:rPr>
                <w:sz w:val="16"/>
                <w:szCs w:val="16"/>
                <w:lang w:val="en-GB" w:eastAsia="el-GR"/>
              </w:rPr>
              <w:t>+</w:t>
            </w:r>
            <w:smartTag w:uri="urn:schemas-microsoft-com:office:smarttags" w:element="stockticker">
              <w:r w:rsidRPr="00C92B1B">
                <w:rPr>
                  <w:sz w:val="16"/>
                  <w:szCs w:val="16"/>
                  <w:lang w:val="en-GB" w:eastAsia="el-GR"/>
                </w:rPr>
                <w:t>SCR</w:t>
              </w:r>
            </w:smartTag>
          </w:p>
        </w:tc>
        <w:tc>
          <w:tcPr>
            <w:tcW w:w="0" w:type="auto"/>
            <w:noWrap/>
            <w:vAlign w:val="center"/>
          </w:tcPr>
          <w:p w14:paraId="031B18F0"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41984E3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5.08E+14</w:t>
            </w:r>
          </w:p>
        </w:tc>
        <w:tc>
          <w:tcPr>
            <w:tcW w:w="1134" w:type="dxa"/>
            <w:noWrap/>
            <w:vAlign w:val="center"/>
          </w:tcPr>
          <w:p w14:paraId="0AFD28BE"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2.06E+14</w:t>
            </w:r>
          </w:p>
        </w:tc>
        <w:tc>
          <w:tcPr>
            <w:tcW w:w="1275" w:type="dxa"/>
            <w:noWrap/>
            <w:vAlign w:val="center"/>
          </w:tcPr>
          <w:p w14:paraId="2D10B13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1.34E+14</w:t>
            </w:r>
          </w:p>
        </w:tc>
      </w:tr>
      <w:tr w:rsidR="001D2587" w:rsidRPr="000855B2" w14:paraId="36C70CBA" w14:textId="77777777" w:rsidTr="00887829">
        <w:trPr>
          <w:cantSplit/>
          <w:trHeight w:val="300"/>
        </w:trPr>
        <w:tc>
          <w:tcPr>
            <w:tcW w:w="1101" w:type="dxa"/>
            <w:vMerge/>
            <w:vAlign w:val="center"/>
          </w:tcPr>
          <w:p w14:paraId="449A922F" w14:textId="77777777" w:rsidR="001D2587" w:rsidRPr="00C92B1B" w:rsidRDefault="001D2587" w:rsidP="005C7955">
            <w:pPr>
              <w:keepNext/>
              <w:keepLines/>
              <w:suppressAutoHyphens/>
              <w:spacing w:line="240" w:lineRule="atLeast"/>
              <w:jc w:val="center"/>
              <w:rPr>
                <w:sz w:val="16"/>
                <w:szCs w:val="16"/>
                <w:lang w:val="en-GB" w:eastAsia="el-GR"/>
              </w:rPr>
            </w:pPr>
          </w:p>
        </w:tc>
        <w:tc>
          <w:tcPr>
            <w:tcW w:w="2310" w:type="dxa"/>
            <w:noWrap/>
            <w:vAlign w:val="center"/>
          </w:tcPr>
          <w:p w14:paraId="78E6F940" w14:textId="77777777" w:rsidR="001D2587" w:rsidRPr="00C92B1B" w:rsidRDefault="001D2587" w:rsidP="005C7955">
            <w:pPr>
              <w:keepNext/>
              <w:keepLines/>
              <w:suppressAutoHyphens/>
              <w:spacing w:line="240" w:lineRule="atLeast"/>
              <w:rPr>
                <w:sz w:val="16"/>
                <w:szCs w:val="16"/>
                <w:lang w:val="en-GB" w:eastAsia="el-GR"/>
              </w:rPr>
            </w:pPr>
            <w:r w:rsidRPr="00C92B1B">
              <w:rPr>
                <w:sz w:val="16"/>
                <w:szCs w:val="16"/>
                <w:lang w:val="en-GB" w:eastAsia="el-GR"/>
              </w:rPr>
              <w:t>Euro IV +CRDPF</w:t>
            </w:r>
          </w:p>
        </w:tc>
        <w:tc>
          <w:tcPr>
            <w:tcW w:w="0" w:type="auto"/>
            <w:noWrap/>
            <w:vAlign w:val="center"/>
          </w:tcPr>
          <w:p w14:paraId="4FF506D5"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10</w:t>
            </w:r>
            <w:r w:rsidR="00BC5284" w:rsidRPr="00C92B1B">
              <w:rPr>
                <w:sz w:val="16"/>
                <w:szCs w:val="16"/>
                <w:lang w:val="en-GB" w:eastAsia="el-GR"/>
              </w:rPr>
              <w:t>–</w:t>
            </w:r>
            <w:r w:rsidRPr="00C92B1B">
              <w:rPr>
                <w:sz w:val="16"/>
                <w:szCs w:val="16"/>
                <w:lang w:val="en-GB" w:eastAsia="el-GR"/>
              </w:rPr>
              <w:t>110</w:t>
            </w:r>
          </w:p>
        </w:tc>
        <w:tc>
          <w:tcPr>
            <w:tcW w:w="1271" w:type="dxa"/>
            <w:noWrap/>
            <w:vAlign w:val="center"/>
          </w:tcPr>
          <w:p w14:paraId="0613F984"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5.00E+10</w:t>
            </w:r>
          </w:p>
        </w:tc>
        <w:tc>
          <w:tcPr>
            <w:tcW w:w="1134" w:type="dxa"/>
            <w:noWrap/>
            <w:vAlign w:val="center"/>
          </w:tcPr>
          <w:p w14:paraId="4757F227" w14:textId="77777777" w:rsidR="001D2587" w:rsidRPr="00C92B1B" w:rsidRDefault="001D2587" w:rsidP="005C7955">
            <w:pPr>
              <w:keepNext/>
              <w:keepLines/>
              <w:suppressAutoHyphens/>
              <w:spacing w:line="240" w:lineRule="atLeast"/>
              <w:jc w:val="center"/>
              <w:rPr>
                <w:sz w:val="16"/>
                <w:szCs w:val="16"/>
                <w:lang w:val="en-GB" w:eastAsia="el-GR"/>
              </w:rPr>
            </w:pPr>
            <w:r w:rsidRPr="00C92B1B">
              <w:rPr>
                <w:sz w:val="16"/>
                <w:szCs w:val="16"/>
                <w:lang w:val="en-GB" w:eastAsia="el-GR"/>
              </w:rPr>
              <w:t>1.60E+10</w:t>
            </w:r>
          </w:p>
        </w:tc>
        <w:tc>
          <w:tcPr>
            <w:tcW w:w="1275" w:type="dxa"/>
            <w:noWrap/>
            <w:vAlign w:val="center"/>
          </w:tcPr>
          <w:p w14:paraId="13F19AA9"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eastAsia="el-GR"/>
              </w:rPr>
              <w:t>7.1</w:t>
            </w:r>
            <w:r w:rsidRPr="00C92B1B">
              <w:rPr>
                <w:sz w:val="16"/>
                <w:szCs w:val="16"/>
                <w:lang w:val="en-GB"/>
              </w:rPr>
              <w:t>0E+09</w:t>
            </w:r>
          </w:p>
        </w:tc>
      </w:tr>
      <w:tr w:rsidR="001D2587" w:rsidRPr="000855B2" w14:paraId="1C15B99A" w14:textId="77777777" w:rsidTr="00887829">
        <w:trPr>
          <w:cantSplit/>
          <w:trHeight w:val="300"/>
        </w:trPr>
        <w:tc>
          <w:tcPr>
            <w:tcW w:w="1101" w:type="dxa"/>
            <w:vMerge/>
            <w:vAlign w:val="center"/>
          </w:tcPr>
          <w:p w14:paraId="0D40126A" w14:textId="77777777" w:rsidR="001D2587" w:rsidRPr="00C92B1B" w:rsidRDefault="001D2587" w:rsidP="005C7955">
            <w:pPr>
              <w:keepNext/>
              <w:keepLines/>
              <w:suppressAutoHyphens/>
              <w:spacing w:line="240" w:lineRule="atLeast"/>
              <w:jc w:val="center"/>
              <w:rPr>
                <w:sz w:val="16"/>
                <w:szCs w:val="16"/>
                <w:lang w:val="en-GB"/>
              </w:rPr>
            </w:pPr>
          </w:p>
        </w:tc>
        <w:tc>
          <w:tcPr>
            <w:tcW w:w="2310" w:type="dxa"/>
            <w:noWrap/>
            <w:vAlign w:val="center"/>
          </w:tcPr>
          <w:p w14:paraId="6E0F33FD" w14:textId="77777777" w:rsidR="001D2587" w:rsidRPr="00C92B1B" w:rsidRDefault="001D2587" w:rsidP="005C7955">
            <w:pPr>
              <w:keepNext/>
              <w:keepLines/>
              <w:suppressAutoHyphens/>
              <w:spacing w:line="240" w:lineRule="atLeast"/>
              <w:rPr>
                <w:sz w:val="16"/>
                <w:szCs w:val="16"/>
                <w:lang w:val="en-GB"/>
              </w:rPr>
            </w:pPr>
            <w:r w:rsidRPr="00C92B1B">
              <w:rPr>
                <w:sz w:val="16"/>
                <w:szCs w:val="16"/>
                <w:lang w:val="en-GB"/>
              </w:rPr>
              <w:t xml:space="preserve">Euro V + </w:t>
            </w:r>
            <w:smartTag w:uri="urn:schemas-microsoft-com:office:smarttags" w:element="stockticker">
              <w:r w:rsidRPr="00C92B1B">
                <w:rPr>
                  <w:sz w:val="16"/>
                  <w:szCs w:val="16"/>
                  <w:lang w:val="en-GB"/>
                </w:rPr>
                <w:t>SCR</w:t>
              </w:r>
            </w:smartTag>
          </w:p>
        </w:tc>
        <w:tc>
          <w:tcPr>
            <w:tcW w:w="0" w:type="auto"/>
            <w:noWrap/>
            <w:vAlign w:val="center"/>
          </w:tcPr>
          <w:p w14:paraId="584A55B0"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10</w:t>
            </w:r>
            <w:r w:rsidR="00BC5284" w:rsidRPr="00C92B1B">
              <w:rPr>
                <w:sz w:val="16"/>
                <w:szCs w:val="16"/>
                <w:lang w:val="en-GB"/>
              </w:rPr>
              <w:t>–</w:t>
            </w:r>
            <w:r w:rsidRPr="00C92B1B">
              <w:rPr>
                <w:sz w:val="16"/>
                <w:szCs w:val="16"/>
                <w:lang w:val="en-GB"/>
              </w:rPr>
              <w:t>110</w:t>
            </w:r>
          </w:p>
        </w:tc>
        <w:tc>
          <w:tcPr>
            <w:tcW w:w="1271" w:type="dxa"/>
            <w:noWrap/>
            <w:vAlign w:val="center"/>
          </w:tcPr>
          <w:p w14:paraId="36C6269E"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2.39E+13</w:t>
            </w:r>
          </w:p>
        </w:tc>
        <w:tc>
          <w:tcPr>
            <w:tcW w:w="1134" w:type="dxa"/>
            <w:noWrap/>
            <w:vAlign w:val="center"/>
          </w:tcPr>
          <w:p w14:paraId="6AC44187"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8.69E+12</w:t>
            </w:r>
          </w:p>
        </w:tc>
        <w:tc>
          <w:tcPr>
            <w:tcW w:w="1275" w:type="dxa"/>
            <w:noWrap/>
            <w:vAlign w:val="center"/>
          </w:tcPr>
          <w:p w14:paraId="0612D8D9" w14:textId="77777777" w:rsidR="001D2587" w:rsidRPr="00C92B1B" w:rsidRDefault="001D2587" w:rsidP="005C7955">
            <w:pPr>
              <w:keepNext/>
              <w:keepLines/>
              <w:suppressAutoHyphens/>
              <w:spacing w:line="240" w:lineRule="atLeast"/>
              <w:jc w:val="center"/>
              <w:rPr>
                <w:sz w:val="16"/>
                <w:szCs w:val="16"/>
                <w:lang w:val="en-GB"/>
              </w:rPr>
            </w:pPr>
            <w:r w:rsidRPr="00C92B1B">
              <w:rPr>
                <w:sz w:val="16"/>
                <w:szCs w:val="16"/>
                <w:lang w:val="en-GB"/>
              </w:rPr>
              <w:t>4.02E+12</w:t>
            </w:r>
          </w:p>
        </w:tc>
      </w:tr>
    </w:tbl>
    <w:p w14:paraId="087E0857" w14:textId="77777777" w:rsidR="001D2587" w:rsidRPr="000855B2" w:rsidRDefault="001D2587">
      <w:pPr>
        <w:pStyle w:val="Heading5"/>
      </w:pPr>
      <w:r w:rsidRPr="000855B2">
        <w:t>Nitrous oxide (N</w:t>
      </w:r>
      <w:r w:rsidRPr="000855B2">
        <w:rPr>
          <w:vertAlign w:val="subscript"/>
        </w:rPr>
        <w:t>2</w:t>
      </w:r>
      <w:r w:rsidRPr="000855B2">
        <w:t>O) emissions</w:t>
      </w:r>
    </w:p>
    <w:p w14:paraId="66129857" w14:textId="33C6F50E" w:rsidR="001D2587" w:rsidRPr="000855B2" w:rsidRDefault="001D2587" w:rsidP="005330C7">
      <w:pPr>
        <w:pStyle w:val="BodyText"/>
      </w:pPr>
      <w:r w:rsidRPr="000855B2">
        <w:t xml:space="preserve">Nitrous oxide emission factors </w:t>
      </w:r>
      <w:r w:rsidR="00861120" w:rsidRPr="000855B2">
        <w:t>were</w:t>
      </w:r>
      <w:r w:rsidRPr="000855B2">
        <w:t xml:space="preserve"> developed </w:t>
      </w:r>
      <w:r w:rsidR="00861120" w:rsidRPr="000855B2">
        <w:t>in</w:t>
      </w:r>
      <w:r w:rsidRPr="000855B2">
        <w:t xml:space="preserve"> a LAT/AUTh study (Papathanasiou and Tzirgas, 2005), based on data collected in studies around the world. </w:t>
      </w:r>
      <w:r w:rsidR="00936CEA" w:rsidRPr="000855B2">
        <w:t xml:space="preserve">The same methodology was used in a more recent study (Pastramas et al., 2014) in order to develop the emission factors for Euro 5 and 6 vehicles. </w:t>
      </w:r>
      <w:r w:rsidRPr="000855B2">
        <w:t>N</w:t>
      </w:r>
      <w:r w:rsidRPr="000855B2">
        <w:rPr>
          <w:vertAlign w:val="subscript"/>
        </w:rPr>
        <w:t>2</w:t>
      </w:r>
      <w:r w:rsidRPr="000855B2">
        <w:t xml:space="preserve">O emissions are particularly important for catalyst vehicles, and especially </w:t>
      </w:r>
      <w:r w:rsidR="00861120" w:rsidRPr="000855B2">
        <w:t>when</w:t>
      </w:r>
      <w:r w:rsidRPr="000855B2">
        <w:t xml:space="preserve"> the catalyst is under partial</w:t>
      </w:r>
      <w:r w:rsidR="00861120" w:rsidRPr="000855B2">
        <w:t>ly</w:t>
      </w:r>
      <w:r w:rsidRPr="000855B2">
        <w:t xml:space="preserve"> oxidi</w:t>
      </w:r>
      <w:r w:rsidR="00861120" w:rsidRPr="000855B2">
        <w:t>s</w:t>
      </w:r>
      <w:r w:rsidRPr="000855B2">
        <w:t xml:space="preserve">ing </w:t>
      </w:r>
      <w:r w:rsidR="00861120" w:rsidRPr="000855B2">
        <w:t>conditions</w:t>
      </w:r>
      <w:r w:rsidRPr="000855B2">
        <w:t xml:space="preserve">. This may occur when the catalyst has not yet reached its light-off temperature or when the catalyst is aged. </w:t>
      </w:r>
      <w:r w:rsidR="00861120" w:rsidRPr="000855B2">
        <w:t>B</w:t>
      </w:r>
      <w:r w:rsidRPr="000855B2">
        <w:t>ecause</w:t>
      </w:r>
      <w:r w:rsidR="00861120" w:rsidRPr="000855B2">
        <w:t xml:space="preserve"> </w:t>
      </w:r>
      <w:r w:rsidRPr="000855B2">
        <w:t>N</w:t>
      </w:r>
      <w:r w:rsidRPr="000855B2">
        <w:rPr>
          <w:vertAlign w:val="subscript"/>
        </w:rPr>
        <w:t>2</w:t>
      </w:r>
      <w:r w:rsidRPr="000855B2">
        <w:t xml:space="preserve">O </w:t>
      </w:r>
      <w:r w:rsidR="00861120" w:rsidRPr="000855B2">
        <w:t xml:space="preserve">has </w:t>
      </w:r>
      <w:r w:rsidRPr="000855B2">
        <w:t xml:space="preserve">increased </w:t>
      </w:r>
      <w:r w:rsidR="00861120" w:rsidRPr="000855B2">
        <w:t xml:space="preserve">in </w:t>
      </w:r>
      <w:r w:rsidRPr="000855B2">
        <w:t xml:space="preserve">importance </w:t>
      </w:r>
      <w:r w:rsidR="00861120" w:rsidRPr="000855B2">
        <w:t>on account of</w:t>
      </w:r>
      <w:r w:rsidRPr="000855B2">
        <w:t xml:space="preserve"> its contribution to the greenhouse effect, a detailed calculation of N</w:t>
      </w:r>
      <w:r w:rsidRPr="000855B2">
        <w:rPr>
          <w:vertAlign w:val="subscript"/>
        </w:rPr>
        <w:t>2</w:t>
      </w:r>
      <w:r w:rsidRPr="000855B2">
        <w:t>O needs to take vehicle age (</w:t>
      </w:r>
      <w:r w:rsidR="001E5FF2" w:rsidRPr="000855B2">
        <w:t xml:space="preserve">cumulative </w:t>
      </w:r>
      <w:r w:rsidRPr="000855B2">
        <w:t xml:space="preserve">mileage) into account. </w:t>
      </w:r>
      <w:r w:rsidR="00861120" w:rsidRPr="000855B2">
        <w:t>Moreover</w:t>
      </w:r>
      <w:r w:rsidRPr="000855B2">
        <w:t xml:space="preserve">, aftertreatment ageing depends </w:t>
      </w:r>
      <w:r w:rsidR="00861120" w:rsidRPr="000855B2">
        <w:t>up</w:t>
      </w:r>
      <w:r w:rsidRPr="000855B2">
        <w:t>on the fuel sulphur level. Hence</w:t>
      </w:r>
      <w:r w:rsidR="00861120" w:rsidRPr="000855B2">
        <w:t>,</w:t>
      </w:r>
      <w:r w:rsidRPr="000855B2">
        <w:t xml:space="preserve"> different emission factors need to be derived </w:t>
      </w:r>
      <w:r w:rsidR="00861120" w:rsidRPr="000855B2">
        <w:t>to allow for variation in</w:t>
      </w:r>
      <w:r w:rsidRPr="000855B2">
        <w:t xml:space="preserve"> fuel sulphur content. In order to take both these effects into account, N</w:t>
      </w:r>
      <w:r w:rsidRPr="000855B2">
        <w:rPr>
          <w:vertAlign w:val="subscript"/>
        </w:rPr>
        <w:t>2</w:t>
      </w:r>
      <w:r w:rsidRPr="000855B2">
        <w:t xml:space="preserve">O emission factors are calculated according to </w:t>
      </w:r>
      <w:r w:rsidR="003C2DC5" w:rsidRPr="000855B2">
        <w:t>equation</w:t>
      </w:r>
      <w:r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Pr="000855B2">
        <w:t>,</w:t>
      </w:r>
      <w:r w:rsidR="00861120" w:rsidRPr="000855B2">
        <w:t xml:space="preserve"> and the coefficients in</w:t>
      </w:r>
      <w:r w:rsidRPr="000855B2">
        <w:t xml:space="preserve"> </w:t>
      </w:r>
      <w:r w:rsidR="00E17971" w:rsidRPr="000855B2">
        <w:fldChar w:fldCharType="begin"/>
      </w:r>
      <w:r w:rsidR="00323D0A" w:rsidRPr="000855B2">
        <w:instrText xml:space="preserve"> REF _Ref400296623 \h </w:instrText>
      </w:r>
      <w:r w:rsidR="00E17971" w:rsidRPr="000855B2">
        <w:fldChar w:fldCharType="separate"/>
      </w:r>
      <w:r w:rsidR="0071604C" w:rsidRPr="000855B2">
        <w:t>Table </w:t>
      </w:r>
      <w:r w:rsidR="0071604C">
        <w:rPr>
          <w:noProof/>
        </w:rPr>
        <w:t>3</w:t>
      </w:r>
      <w:r w:rsidR="0071604C">
        <w:t>.</w:t>
      </w:r>
      <w:r w:rsidR="0071604C">
        <w:rPr>
          <w:noProof/>
        </w:rPr>
        <w:t>55</w:t>
      </w:r>
      <w:r w:rsidR="00E17971" w:rsidRPr="000855B2">
        <w:fldChar w:fldCharType="end"/>
      </w:r>
      <w:r w:rsidRPr="000855B2">
        <w:t xml:space="preserve"> to </w:t>
      </w:r>
      <w:r w:rsidR="00E17971" w:rsidRPr="000855B2">
        <w:fldChar w:fldCharType="begin"/>
      </w:r>
      <w:r w:rsidR="00323D0A" w:rsidRPr="000855B2">
        <w:instrText xml:space="preserve"> REF _Ref400296633 \h </w:instrText>
      </w:r>
      <w:r w:rsidR="00E17971" w:rsidRPr="000855B2">
        <w:fldChar w:fldCharType="separate"/>
      </w:r>
      <w:r w:rsidR="0071604C" w:rsidRPr="000855B2">
        <w:t>Table </w:t>
      </w:r>
      <w:r w:rsidR="0071604C">
        <w:rPr>
          <w:noProof/>
        </w:rPr>
        <w:t>3</w:t>
      </w:r>
      <w:r w:rsidR="0071604C">
        <w:t>.</w:t>
      </w:r>
      <w:r w:rsidR="0071604C">
        <w:rPr>
          <w:noProof/>
        </w:rPr>
        <w:t>62</w:t>
      </w:r>
      <w:r w:rsidR="00E17971" w:rsidRPr="000855B2">
        <w:fldChar w:fldCharType="end"/>
      </w:r>
      <w:r w:rsidRPr="000855B2">
        <w:t xml:space="preserve"> for different passenger cars and </w:t>
      </w:r>
      <w:r w:rsidR="00CF67A4" w:rsidRPr="000855B2">
        <w:t>light commercial</w:t>
      </w:r>
      <w:r w:rsidRPr="000855B2">
        <w:t xml:space="preserve"> vehicles. These values differ according to the fuel sulphur level and the driving conditions (urban, rural, highway).</w:t>
      </w:r>
      <w:r w:rsidR="00A31B80" w:rsidRPr="000855B2">
        <w:t xml:space="preserve"> With regard to Euro 5,</w:t>
      </w:r>
      <w:r w:rsidR="00936CEA" w:rsidRPr="000855B2">
        <w:t xml:space="preserve"> </w:t>
      </w:r>
      <w:r w:rsidR="00A54B80">
        <w:t xml:space="preserve">Euro </w:t>
      </w:r>
      <w:r w:rsidR="00936CEA" w:rsidRPr="000855B2">
        <w:t>6</w:t>
      </w:r>
      <w:r w:rsidR="00A31B80" w:rsidRPr="000855B2">
        <w:t xml:space="preserve"> and </w:t>
      </w:r>
      <w:r w:rsidR="00A54B80">
        <w:t>Euro 6 RDE</w:t>
      </w:r>
      <w:r w:rsidR="00936CEA" w:rsidRPr="000855B2">
        <w:t xml:space="preserve"> emission standards, only one category of low sulphur level is given, since these </w:t>
      </w:r>
      <w:r w:rsidR="00936CEA" w:rsidRPr="000855B2">
        <w:lastRenderedPageBreak/>
        <w:t>technologies are not compatible with higher sulphur contents.</w:t>
      </w:r>
      <w:r w:rsidRPr="000855B2">
        <w:t xml:space="preserve"> In particular, cold-start and a hot-start </w:t>
      </w:r>
      <w:r w:rsidR="00861120" w:rsidRPr="000855B2">
        <w:t>emission factors are given for urban driving</w:t>
      </w:r>
      <w:r w:rsidRPr="000855B2">
        <w:t xml:space="preserve">. </w:t>
      </w:r>
    </w:p>
    <w:tbl>
      <w:tblPr>
        <w:tblW w:w="0" w:type="auto"/>
        <w:tblBorders>
          <w:insideH w:val="single" w:sz="4" w:space="0" w:color="auto"/>
        </w:tblBorders>
        <w:tblLook w:val="01E0" w:firstRow="1" w:lastRow="1" w:firstColumn="1" w:lastColumn="1" w:noHBand="0" w:noVBand="0"/>
      </w:tblPr>
      <w:tblGrid>
        <w:gridCol w:w="7709"/>
        <w:gridCol w:w="754"/>
      </w:tblGrid>
      <w:tr w:rsidR="001D2587" w:rsidRPr="00C52E37" w14:paraId="41249A9D" w14:textId="77777777">
        <w:tc>
          <w:tcPr>
            <w:tcW w:w="8240" w:type="dxa"/>
            <w:tcMar>
              <w:left w:w="0" w:type="dxa"/>
              <w:right w:w="0" w:type="dxa"/>
            </w:tcMar>
            <w:vAlign w:val="center"/>
          </w:tcPr>
          <w:p w14:paraId="726B3E49" w14:textId="77777777" w:rsidR="001D2587" w:rsidRPr="00C52E37" w:rsidRDefault="001D2587" w:rsidP="005330C7">
            <w:pPr>
              <w:numPr>
                <w:ilvl w:val="12"/>
                <w:numId w:val="0"/>
              </w:numPr>
              <w:rPr>
                <w:lang w:val="en-GB"/>
              </w:rPr>
            </w:pPr>
            <w:r w:rsidRPr="00C52E37">
              <w:rPr>
                <w:bCs/>
                <w:szCs w:val="22"/>
                <w:lang w:val="en-GB"/>
              </w:rPr>
              <w:t>EF</w:t>
            </w:r>
            <w:r w:rsidRPr="00C52E37">
              <w:rPr>
                <w:bCs/>
                <w:szCs w:val="22"/>
                <w:vertAlign w:val="subscript"/>
                <w:lang w:val="en-GB"/>
              </w:rPr>
              <w:t>N2O</w:t>
            </w:r>
            <w:r w:rsidRPr="00C52E37">
              <w:rPr>
                <w:bCs/>
                <w:szCs w:val="22"/>
                <w:lang w:val="en-GB"/>
              </w:rPr>
              <w:t xml:space="preserve"> = [a </w:t>
            </w:r>
            <w:r w:rsidRPr="00C52E37">
              <w:rPr>
                <w:bCs/>
                <w:szCs w:val="22"/>
                <w:lang w:val="en-GB"/>
              </w:rPr>
              <w:sym w:font="Symbol" w:char="F0B4"/>
            </w:r>
            <w:r w:rsidRPr="00C52E37">
              <w:rPr>
                <w:bCs/>
                <w:szCs w:val="22"/>
                <w:lang w:val="en-GB"/>
              </w:rPr>
              <w:t xml:space="preserve"> </w:t>
            </w:r>
            <w:r w:rsidR="00EA0914" w:rsidRPr="00C52E37">
              <w:rPr>
                <w:bCs/>
                <w:szCs w:val="22"/>
                <w:lang w:val="en-GB"/>
              </w:rPr>
              <w:t>C</w:t>
            </w:r>
            <w:r w:rsidRPr="00C52E37">
              <w:rPr>
                <w:bCs/>
                <w:szCs w:val="22"/>
                <w:lang w:val="en-GB"/>
              </w:rPr>
              <w:t xml:space="preserve">Mileage + b] </w:t>
            </w:r>
            <w:r w:rsidRPr="00C52E37">
              <w:rPr>
                <w:bCs/>
                <w:szCs w:val="22"/>
                <w:lang w:val="en-GB"/>
              </w:rPr>
              <w:sym w:font="Symbol" w:char="F0B4"/>
            </w:r>
            <w:r w:rsidRPr="00C52E37">
              <w:rPr>
                <w:bCs/>
                <w:szCs w:val="22"/>
                <w:lang w:val="en-GB"/>
              </w:rPr>
              <w:t xml:space="preserve"> EF</w:t>
            </w:r>
            <w:r w:rsidRPr="00C52E37">
              <w:rPr>
                <w:bCs/>
                <w:szCs w:val="22"/>
                <w:vertAlign w:val="subscript"/>
                <w:lang w:val="en-GB"/>
              </w:rPr>
              <w:t>BASE</w:t>
            </w:r>
          </w:p>
        </w:tc>
        <w:tc>
          <w:tcPr>
            <w:tcW w:w="787" w:type="dxa"/>
            <w:tcMar>
              <w:left w:w="0" w:type="dxa"/>
              <w:right w:w="0" w:type="dxa"/>
            </w:tcMar>
            <w:vAlign w:val="center"/>
          </w:tcPr>
          <w:p w14:paraId="174159F4" w14:textId="64EE04D1" w:rsidR="001D2587" w:rsidRPr="00C52E37" w:rsidRDefault="001D2587" w:rsidP="005330C7">
            <w:pPr>
              <w:numPr>
                <w:ilvl w:val="12"/>
                <w:numId w:val="0"/>
              </w:numPr>
              <w:rPr>
                <w:lang w:val="en-GB"/>
              </w:rPr>
            </w:pPr>
            <w:bookmarkStart w:id="244" w:name="_Ref172048822"/>
            <w:bookmarkStart w:id="245" w:name="_Ref140577418"/>
            <w:r w:rsidRPr="00C52E37">
              <w:rPr>
                <w:lang w:val="en-GB"/>
              </w:rPr>
              <w:t>(</w:t>
            </w:r>
            <w:r w:rsidR="00E17971" w:rsidRPr="00C52E37">
              <w:rPr>
                <w:lang w:val="en-GB"/>
              </w:rPr>
              <w:fldChar w:fldCharType="begin"/>
            </w:r>
            <w:r w:rsidR="00017B39" w:rsidRPr="00C52E37">
              <w:rPr>
                <w:lang w:val="en-GB"/>
              </w:rPr>
              <w:instrText xml:space="preserve"> SEQ Εξίσωση \* ARABIC </w:instrText>
            </w:r>
            <w:r w:rsidR="00E17971" w:rsidRPr="00C52E37">
              <w:rPr>
                <w:lang w:val="en-GB"/>
              </w:rPr>
              <w:fldChar w:fldCharType="separate"/>
            </w:r>
            <w:r w:rsidR="0071604C">
              <w:rPr>
                <w:noProof/>
                <w:lang w:val="en-GB"/>
              </w:rPr>
              <w:t>28</w:t>
            </w:r>
            <w:r w:rsidR="00E17971" w:rsidRPr="00C52E37">
              <w:rPr>
                <w:lang w:val="en-GB"/>
              </w:rPr>
              <w:fldChar w:fldCharType="end"/>
            </w:r>
            <w:bookmarkEnd w:id="244"/>
            <w:r w:rsidRPr="00C52E37">
              <w:rPr>
                <w:lang w:val="en-GB"/>
              </w:rPr>
              <w:t>)</w:t>
            </w:r>
            <w:bookmarkEnd w:id="245"/>
          </w:p>
        </w:tc>
      </w:tr>
    </w:tbl>
    <w:p w14:paraId="344C62FC" w14:textId="6CF6AC42" w:rsidR="001D2587" w:rsidRPr="000855B2" w:rsidRDefault="00741FF2">
      <w:pPr>
        <w:rPr>
          <w:lang w:val="en-GB"/>
        </w:rPr>
      </w:pPr>
      <w:r>
        <w:rPr>
          <w:noProof/>
          <w:lang w:val="en-US" w:eastAsia="en-US"/>
        </w:rPr>
        <mc:AlternateContent>
          <mc:Choice Requires="wps">
            <w:drawing>
              <wp:anchor distT="0" distB="0" distL="114300" distR="114300" simplePos="0" relativeHeight="251646976" behindDoc="0" locked="0" layoutInCell="1" allowOverlap="1" wp14:anchorId="64D4DCD8" wp14:editId="62FF0884">
                <wp:simplePos x="0" y="0"/>
                <wp:positionH relativeFrom="character">
                  <wp:posOffset>9525</wp:posOffset>
                </wp:positionH>
                <wp:positionV relativeFrom="line">
                  <wp:posOffset>157480</wp:posOffset>
                </wp:positionV>
                <wp:extent cx="5383530" cy="1577340"/>
                <wp:effectExtent l="7620" t="12700" r="9525" b="10160"/>
                <wp:wrapNone/>
                <wp:docPr id="1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294A868" w14:textId="77777777" w:rsidR="00185BB9" w:rsidRPr="00EA0914" w:rsidRDefault="00185BB9" w:rsidP="005330C7">
                            <w:pPr>
                              <w:pStyle w:val="BodyText"/>
                              <w:spacing w:before="120" w:line="240" w:lineRule="auto"/>
                              <w:rPr>
                                <w:bCs/>
                              </w:rPr>
                            </w:pPr>
                            <w:r w:rsidRPr="00EA0914">
                              <w:rPr>
                                <w:bCs/>
                              </w:rPr>
                              <w:t>Note</w:t>
                            </w:r>
                          </w:p>
                          <w:p w14:paraId="1C0D4772" w14:textId="77777777" w:rsidR="00185BB9" w:rsidRPr="00EA0914" w:rsidRDefault="00185BB9" w:rsidP="005330C7">
                            <w:pPr>
                              <w:pStyle w:val="BodyText"/>
                              <w:rPr>
                                <w:bCs/>
                              </w:rPr>
                            </w:pPr>
                            <w:r w:rsidRPr="00EA0914">
                              <w:rPr>
                                <w:bCs/>
                              </w:rPr>
                              <w:t xml:space="preserve">The </w:t>
                            </w:r>
                            <w:r>
                              <w:rPr>
                                <w:bCs/>
                              </w:rPr>
                              <w:t>CM</w:t>
                            </w:r>
                            <w:r w:rsidRPr="00EA0914">
                              <w:rPr>
                                <w:bCs/>
                              </w:rPr>
                              <w:t xml:space="preserve">ileage </w:t>
                            </w:r>
                            <w:r>
                              <w:rPr>
                                <w:bCs/>
                              </w:rPr>
                              <w:t xml:space="preserve">value in this calculation corresponds to the mean cumulative mileage of a particular vehicle type. This corresponds to the mean odometer reading of vehicles of a particular type. The cumulative mileage is a good indication of the vehicle operation history. </w:t>
                            </w:r>
                            <w:r w:rsidRPr="00EA0914">
                              <w:rPr>
                                <w:bCs/>
                              </w:rPr>
                              <w:t>Th</w:t>
                            </w:r>
                            <w:r>
                              <w:rPr>
                                <w:bCs/>
                              </w:rPr>
                              <w:t>is should not be confused with the annual</w:t>
                            </w:r>
                            <w:r w:rsidRPr="00EA0914">
                              <w:rPr>
                                <w:bCs/>
                              </w:rPr>
                              <w:t xml:space="preserve"> mileage </w:t>
                            </w:r>
                            <w:r>
                              <w:rPr>
                                <w:bCs/>
                              </w:rPr>
                              <w:t>driven by a vehicle, which corresponds to the distance travelled in a period of a year and typically ranges between 8</w:t>
                            </w:r>
                            <w:r w:rsidRPr="007D4218">
                              <w:rPr>
                                <w:bCs/>
                                <w:lang w:val="el-GR"/>
                              </w:rPr>
                              <w:t xml:space="preserve"> </w:t>
                            </w:r>
                            <w:r>
                              <w:rPr>
                                <w:bCs/>
                              </w:rPr>
                              <w:t>000 and 20</w:t>
                            </w:r>
                            <w:r w:rsidRPr="007D4218">
                              <w:rPr>
                                <w:bCs/>
                                <w:lang w:val="el-GR"/>
                              </w:rPr>
                              <w:t xml:space="preserve"> </w:t>
                            </w:r>
                            <w:r>
                              <w:rPr>
                                <w:bCs/>
                              </w:rPr>
                              <w:t>000 km. The cumulative mileage could be expressed as annual mileage times the years of life of a vehicle.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DCD8" id="Text Box 149" o:spid="_x0000_s1083" type="#_x0000_t202" style="position:absolute;margin-left:.75pt;margin-top:12.4pt;width:423.9pt;height:124.2pt;z-index:2516469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" filled="f" fillcolor="silver">
                <v:textbox>
                  <w:txbxContent>
                    <w:p w14:paraId="0294A868" w14:textId="77777777" w:rsidR="00185BB9" w:rsidRPr="00EA0914" w:rsidRDefault="00185BB9" w:rsidP="005330C7">
                      <w:pPr>
                        <w:pStyle w:val="BodyText"/>
                        <w:spacing w:before="120" w:line="240" w:lineRule="auto"/>
                        <w:rPr>
                          <w:bCs/>
                        </w:rPr>
                      </w:pPr>
                      <w:r w:rsidRPr="00EA0914">
                        <w:rPr>
                          <w:bCs/>
                        </w:rPr>
                        <w:t>Note</w:t>
                      </w:r>
                    </w:p>
                    <w:p w14:paraId="1C0D4772" w14:textId="77777777" w:rsidR="00185BB9" w:rsidRPr="00EA0914" w:rsidRDefault="00185BB9" w:rsidP="005330C7">
                      <w:pPr>
                        <w:pStyle w:val="BodyText"/>
                        <w:rPr>
                          <w:bCs/>
                        </w:rPr>
                      </w:pPr>
                      <w:r w:rsidRPr="00EA0914">
                        <w:rPr>
                          <w:bCs/>
                        </w:rPr>
                        <w:t xml:space="preserve">The </w:t>
                      </w:r>
                      <w:r>
                        <w:rPr>
                          <w:bCs/>
                        </w:rPr>
                        <w:t>CM</w:t>
                      </w:r>
                      <w:r w:rsidRPr="00EA0914">
                        <w:rPr>
                          <w:bCs/>
                        </w:rPr>
                        <w:t xml:space="preserve">ileage </w:t>
                      </w:r>
                      <w:r>
                        <w:rPr>
                          <w:bCs/>
                        </w:rPr>
                        <w:t xml:space="preserve">value in this calculation corresponds to the mean cumulative mileage of a particular vehicle type. This corresponds to the mean odometer reading of vehicles of a particular type. The cumulative mileage is a good indication of the vehicle operation history. </w:t>
                      </w:r>
                      <w:r w:rsidRPr="00EA0914">
                        <w:rPr>
                          <w:bCs/>
                        </w:rPr>
                        <w:t>Th</w:t>
                      </w:r>
                      <w:r>
                        <w:rPr>
                          <w:bCs/>
                        </w:rPr>
                        <w:t>is should not be confused with the annual</w:t>
                      </w:r>
                      <w:r w:rsidRPr="00EA0914">
                        <w:rPr>
                          <w:bCs/>
                        </w:rPr>
                        <w:t xml:space="preserve"> mileage </w:t>
                      </w:r>
                      <w:r>
                        <w:rPr>
                          <w:bCs/>
                        </w:rPr>
                        <w:t>driven by a vehicle, which corresponds to the distance travelled in a period of a year and typically ranges between 8</w:t>
                      </w:r>
                      <w:r w:rsidRPr="007D4218">
                        <w:rPr>
                          <w:bCs/>
                          <w:lang w:val="el-GR"/>
                        </w:rPr>
                        <w:t xml:space="preserve"> </w:t>
                      </w:r>
                      <w:r>
                        <w:rPr>
                          <w:bCs/>
                        </w:rPr>
                        <w:t>000 and 20</w:t>
                      </w:r>
                      <w:r w:rsidRPr="007D4218">
                        <w:rPr>
                          <w:bCs/>
                          <w:lang w:val="el-GR"/>
                        </w:rPr>
                        <w:t xml:space="preserve"> </w:t>
                      </w:r>
                      <w:r>
                        <w:rPr>
                          <w:bCs/>
                        </w:rPr>
                        <w:t>000 km. The cumulative mileage could be expressed as annual mileage times the years of life of a vehicle.</w:t>
                      </w:r>
                    </w:p>
                  </w:txbxContent>
                </v:textbox>
                <w10:wrap anchory="line"/>
              </v:shape>
            </w:pict>
          </mc:Fallback>
        </mc:AlternateContent>
      </w:r>
    </w:p>
    <w:p w14:paraId="717E313D" w14:textId="4787E881" w:rsidR="0001279F" w:rsidRPr="00C92B1B" w:rsidRDefault="00741FF2" w:rsidP="00C92B1B">
      <w:pPr>
        <w:rPr>
          <w:lang w:val="en-GB"/>
        </w:rPr>
      </w:pPr>
      <w:r>
        <w:rPr>
          <w:noProof/>
          <w:lang w:val="en-US" w:eastAsia="en-US"/>
        </w:rPr>
        <mc:AlternateContent>
          <mc:Choice Requires="wps">
            <w:drawing>
              <wp:inline distT="0" distB="0" distL="0" distR="0" wp14:anchorId="552940C8" wp14:editId="545B242E">
                <wp:extent cx="5381625" cy="695325"/>
                <wp:effectExtent l="0" t="0" r="0" b="0"/>
                <wp:docPr id="7"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16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BA2EE" id="AutoShape 31" o:spid="_x0000_s1026" style="width:42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" filled="f" stroked="f">
                <o:lock v:ext="edit" aspectratio="t"/>
                <w10:anchorlock/>
              </v:rect>
            </w:pict>
          </mc:Fallback>
        </mc:AlternateContent>
      </w:r>
      <w:bookmarkStart w:id="246" w:name="_Ref140570386"/>
    </w:p>
    <w:p w14:paraId="1133ED3F" w14:textId="77777777" w:rsidR="0001279F" w:rsidRDefault="0001279F" w:rsidP="000855B2">
      <w:pPr>
        <w:rPr>
          <w:lang w:val="en-GB"/>
        </w:rPr>
      </w:pPr>
    </w:p>
    <w:p w14:paraId="10213593" w14:textId="77777777" w:rsidR="00C92B1B" w:rsidRDefault="00C92B1B" w:rsidP="000855B2">
      <w:pPr>
        <w:rPr>
          <w:lang w:val="en-GB"/>
        </w:rPr>
      </w:pPr>
    </w:p>
    <w:p w14:paraId="6510F7E8" w14:textId="77777777" w:rsidR="00C92B1B" w:rsidRDefault="00C92B1B" w:rsidP="000855B2">
      <w:pPr>
        <w:rPr>
          <w:lang w:val="en-GB"/>
        </w:rPr>
      </w:pPr>
    </w:p>
    <w:p w14:paraId="57035F43" w14:textId="77777777" w:rsidR="00C92B1B" w:rsidRDefault="00C92B1B" w:rsidP="000855B2">
      <w:pPr>
        <w:rPr>
          <w:lang w:val="en-GB"/>
        </w:rPr>
      </w:pPr>
    </w:p>
    <w:p w14:paraId="376A8154" w14:textId="77777777" w:rsidR="00C92B1B" w:rsidRDefault="00C92B1B" w:rsidP="000855B2">
      <w:pPr>
        <w:rPr>
          <w:lang w:val="en-GB"/>
        </w:rPr>
      </w:pPr>
    </w:p>
    <w:p w14:paraId="0BF05440" w14:textId="289F4A07" w:rsidR="001D2587" w:rsidRPr="000855B2" w:rsidRDefault="00A040D1" w:rsidP="00C92B1B">
      <w:pPr>
        <w:pStyle w:val="Caption"/>
      </w:pPr>
      <w:bookmarkStart w:id="247" w:name="_Ref400296623"/>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55</w:t>
      </w:r>
      <w:r w:rsidR="00FB454C">
        <w:rPr>
          <w:noProof/>
        </w:rPr>
        <w:fldChar w:fldCharType="end"/>
      </w:r>
      <w:bookmarkEnd w:id="246"/>
      <w:bookmarkEnd w:id="247"/>
      <w:r w:rsidR="001D2587" w:rsidRPr="000855B2">
        <w:t xml:space="preserve">: </w:t>
      </w:r>
      <w:bookmarkStart w:id="248" w:name="OLE_LINK4"/>
      <w:bookmarkStart w:id="249" w:name="OLE_LINK5"/>
      <w:r w:rsidR="001D2587" w:rsidRPr="000855B2">
        <w:t xml:space="preserve">Parameters for </w:t>
      </w:r>
      <w:r w:rsidR="003C2DC5" w:rsidRPr="000855B2">
        <w:t>equation</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w:t>
      </w:r>
      <w:r w:rsidR="001D2587" w:rsidRPr="000855B2">
        <w:rPr>
          <w:vertAlign w:val="subscript"/>
        </w:rPr>
        <w:t>2</w:t>
      </w:r>
      <w:r w:rsidR="001D2587" w:rsidRPr="000855B2">
        <w:t xml:space="preserve">O emission factors for </w:t>
      </w:r>
      <w:bookmarkEnd w:id="248"/>
      <w:bookmarkEnd w:id="249"/>
      <w:r w:rsidR="005E4DC4">
        <w:t>petrol</w:t>
      </w:r>
      <w:r w:rsidR="003D6F48" w:rsidRPr="000855B2">
        <w:t>, CNG and E85</w:t>
      </w:r>
      <w:r w:rsidR="001D2587" w:rsidRPr="000855B2">
        <w:t xml:space="preserve"> passenger cars under cold urban conditions</w:t>
      </w:r>
      <w:r w:rsidR="00670618" w:rsidRPr="000855B2">
        <w:t xml:space="preserve"> </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04E09459" w14:textId="77777777" w:rsidTr="008D2AFB">
        <w:trPr>
          <w:trHeight w:hRule="exact" w:val="397"/>
        </w:trPr>
        <w:tc>
          <w:tcPr>
            <w:tcW w:w="2036" w:type="dxa"/>
            <w:tcBorders>
              <w:bottom w:val="single" w:sz="12" w:space="0" w:color="auto"/>
            </w:tcBorders>
            <w:noWrap/>
            <w:vAlign w:val="center"/>
          </w:tcPr>
          <w:p w14:paraId="1DDCE1D6"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vAlign w:val="center"/>
          </w:tcPr>
          <w:p w14:paraId="3DD08644"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vAlign w:val="center"/>
          </w:tcPr>
          <w:p w14:paraId="03BBA909"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vAlign w:val="center"/>
          </w:tcPr>
          <w:p w14:paraId="515078F0" w14:textId="77777777" w:rsidR="001D2587" w:rsidRPr="00C52E37" w:rsidRDefault="00C52E37" w:rsidP="005C7955">
            <w:pPr>
              <w:keepNext/>
              <w:keepLines/>
              <w:suppressAutoHyphens/>
              <w:spacing w:line="240" w:lineRule="atLeast"/>
              <w:jc w:val="center"/>
              <w:rPr>
                <w:b/>
                <w:bCs/>
                <w:sz w:val="16"/>
                <w:szCs w:val="16"/>
                <w:lang w:val="en-US" w:eastAsia="en-GB"/>
              </w:rPr>
            </w:pPr>
            <w:r>
              <w:rPr>
                <w:b/>
                <w:bCs/>
                <w:sz w:val="16"/>
                <w:szCs w:val="16"/>
                <w:lang w:val="en-US" w:eastAsia="en-GB"/>
              </w:rPr>
              <w:t>a</w:t>
            </w:r>
          </w:p>
        </w:tc>
        <w:tc>
          <w:tcPr>
            <w:tcW w:w="756" w:type="dxa"/>
            <w:tcBorders>
              <w:bottom w:val="single" w:sz="12" w:space="0" w:color="auto"/>
            </w:tcBorders>
            <w:noWrap/>
            <w:vAlign w:val="center"/>
          </w:tcPr>
          <w:p w14:paraId="173C71A5"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40D8A223" w14:textId="77777777" w:rsidTr="008D2AFB">
        <w:trPr>
          <w:trHeight w:val="255"/>
        </w:trPr>
        <w:tc>
          <w:tcPr>
            <w:tcW w:w="2036" w:type="dxa"/>
            <w:tcBorders>
              <w:top w:val="single" w:sz="12" w:space="0" w:color="auto"/>
            </w:tcBorders>
            <w:noWrap/>
            <w:vAlign w:val="center"/>
          </w:tcPr>
          <w:p w14:paraId="36A7BFC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vAlign w:val="center"/>
          </w:tcPr>
          <w:p w14:paraId="5C75C80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vAlign w:val="center"/>
          </w:tcPr>
          <w:p w14:paraId="2D889DD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w:t>
            </w:r>
          </w:p>
        </w:tc>
        <w:tc>
          <w:tcPr>
            <w:tcW w:w="1536" w:type="dxa"/>
            <w:tcBorders>
              <w:top w:val="single" w:sz="12" w:space="0" w:color="auto"/>
            </w:tcBorders>
            <w:noWrap/>
            <w:vAlign w:val="center"/>
          </w:tcPr>
          <w:p w14:paraId="6D1C62B9"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vAlign w:val="center"/>
          </w:tcPr>
          <w:p w14:paraId="75044BB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63A01BD8" w14:textId="77777777" w:rsidTr="008D2AFB">
        <w:trPr>
          <w:trHeight w:val="255"/>
        </w:trPr>
        <w:tc>
          <w:tcPr>
            <w:tcW w:w="2036" w:type="dxa"/>
            <w:noWrap/>
            <w:vAlign w:val="center"/>
          </w:tcPr>
          <w:p w14:paraId="51D0F4A7"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vAlign w:val="center"/>
          </w:tcPr>
          <w:p w14:paraId="58467FA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vAlign w:val="center"/>
          </w:tcPr>
          <w:p w14:paraId="239B694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17.5</w:t>
            </w:r>
          </w:p>
        </w:tc>
        <w:tc>
          <w:tcPr>
            <w:tcW w:w="1536" w:type="dxa"/>
            <w:noWrap/>
            <w:vAlign w:val="center"/>
          </w:tcPr>
          <w:p w14:paraId="1C23AE0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5.60E-07</w:t>
            </w:r>
          </w:p>
        </w:tc>
        <w:tc>
          <w:tcPr>
            <w:tcW w:w="756" w:type="dxa"/>
            <w:noWrap/>
            <w:vAlign w:val="center"/>
          </w:tcPr>
          <w:p w14:paraId="1FD904F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0.936</w:t>
            </w:r>
          </w:p>
        </w:tc>
      </w:tr>
      <w:tr w:rsidR="001D2587" w:rsidRPr="000855B2" w14:paraId="287D70C2" w14:textId="77777777" w:rsidTr="008D2AFB">
        <w:trPr>
          <w:trHeight w:val="255"/>
        </w:trPr>
        <w:tc>
          <w:tcPr>
            <w:tcW w:w="2036" w:type="dxa"/>
            <w:noWrap/>
            <w:vAlign w:val="center"/>
          </w:tcPr>
          <w:p w14:paraId="10591C7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vAlign w:val="center"/>
          </w:tcPr>
          <w:p w14:paraId="45A4CEE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350</w:t>
            </w:r>
          </w:p>
        </w:tc>
        <w:tc>
          <w:tcPr>
            <w:tcW w:w="1836" w:type="dxa"/>
            <w:noWrap/>
            <w:vAlign w:val="center"/>
          </w:tcPr>
          <w:p w14:paraId="5EA2421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40.5</w:t>
            </w:r>
          </w:p>
        </w:tc>
        <w:tc>
          <w:tcPr>
            <w:tcW w:w="1536" w:type="dxa"/>
            <w:noWrap/>
            <w:vAlign w:val="center"/>
          </w:tcPr>
          <w:p w14:paraId="11CD715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1.76E-06</w:t>
            </w:r>
          </w:p>
        </w:tc>
        <w:tc>
          <w:tcPr>
            <w:tcW w:w="756" w:type="dxa"/>
            <w:noWrap/>
            <w:vAlign w:val="center"/>
          </w:tcPr>
          <w:p w14:paraId="11814D4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0.839</w:t>
            </w:r>
          </w:p>
        </w:tc>
      </w:tr>
      <w:tr w:rsidR="001D2587" w:rsidRPr="000855B2" w14:paraId="490782A5" w14:textId="77777777" w:rsidTr="008D2AFB">
        <w:trPr>
          <w:trHeight w:val="255"/>
        </w:trPr>
        <w:tc>
          <w:tcPr>
            <w:tcW w:w="2036" w:type="dxa"/>
            <w:noWrap/>
            <w:vAlign w:val="center"/>
          </w:tcPr>
          <w:p w14:paraId="6F5B9A8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vAlign w:val="center"/>
          </w:tcPr>
          <w:p w14:paraId="2843A434"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vAlign w:val="center"/>
          </w:tcPr>
          <w:p w14:paraId="45FF283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57.6</w:t>
            </w:r>
          </w:p>
        </w:tc>
        <w:tc>
          <w:tcPr>
            <w:tcW w:w="1536" w:type="dxa"/>
            <w:noWrap/>
            <w:vAlign w:val="center"/>
          </w:tcPr>
          <w:p w14:paraId="68B7CC0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7.24E-06</w:t>
            </w:r>
          </w:p>
        </w:tc>
        <w:tc>
          <w:tcPr>
            <w:tcW w:w="756" w:type="dxa"/>
            <w:noWrap/>
            <w:vAlign w:val="center"/>
          </w:tcPr>
          <w:p w14:paraId="6E1C26C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0.748</w:t>
            </w:r>
          </w:p>
        </w:tc>
      </w:tr>
      <w:tr w:rsidR="001D2587" w:rsidRPr="000855B2" w14:paraId="33D15765" w14:textId="77777777" w:rsidTr="008D2AFB">
        <w:trPr>
          <w:trHeight w:val="255"/>
        </w:trPr>
        <w:tc>
          <w:tcPr>
            <w:tcW w:w="2036" w:type="dxa"/>
            <w:noWrap/>
            <w:vAlign w:val="center"/>
          </w:tcPr>
          <w:p w14:paraId="402BC73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vAlign w:val="center"/>
          </w:tcPr>
          <w:p w14:paraId="6A854EB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vAlign w:val="center"/>
          </w:tcPr>
          <w:p w14:paraId="1729608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11.5</w:t>
            </w:r>
          </w:p>
        </w:tc>
        <w:tc>
          <w:tcPr>
            <w:tcW w:w="1536" w:type="dxa"/>
            <w:noWrap/>
            <w:vAlign w:val="center"/>
          </w:tcPr>
          <w:p w14:paraId="2968EEA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5.85E-07</w:t>
            </w:r>
          </w:p>
        </w:tc>
        <w:tc>
          <w:tcPr>
            <w:tcW w:w="756" w:type="dxa"/>
            <w:noWrap/>
            <w:vAlign w:val="center"/>
          </w:tcPr>
          <w:p w14:paraId="3998BE8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0.978</w:t>
            </w:r>
          </w:p>
        </w:tc>
      </w:tr>
      <w:tr w:rsidR="001D2587" w:rsidRPr="000855B2" w14:paraId="0A343E9D" w14:textId="77777777" w:rsidTr="008D2AFB">
        <w:trPr>
          <w:trHeight w:val="255"/>
        </w:trPr>
        <w:tc>
          <w:tcPr>
            <w:tcW w:w="2036" w:type="dxa"/>
            <w:noWrap/>
            <w:vAlign w:val="center"/>
          </w:tcPr>
          <w:p w14:paraId="0112933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vAlign w:val="center"/>
          </w:tcPr>
          <w:p w14:paraId="40A5559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350</w:t>
            </w:r>
          </w:p>
        </w:tc>
        <w:tc>
          <w:tcPr>
            <w:tcW w:w="1836" w:type="dxa"/>
            <w:noWrap/>
            <w:vAlign w:val="center"/>
          </w:tcPr>
          <w:p w14:paraId="21D0F10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24.4</w:t>
            </w:r>
          </w:p>
        </w:tc>
        <w:tc>
          <w:tcPr>
            <w:tcW w:w="1536" w:type="dxa"/>
            <w:noWrap/>
            <w:vAlign w:val="center"/>
          </w:tcPr>
          <w:p w14:paraId="67BA50F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4.61E-07</w:t>
            </w:r>
          </w:p>
        </w:tc>
        <w:tc>
          <w:tcPr>
            <w:tcW w:w="756" w:type="dxa"/>
            <w:noWrap/>
            <w:vAlign w:val="center"/>
          </w:tcPr>
          <w:p w14:paraId="71C0BD8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0.972</w:t>
            </w:r>
          </w:p>
        </w:tc>
      </w:tr>
      <w:tr w:rsidR="001D2587" w:rsidRPr="000855B2" w14:paraId="3939FF95" w14:textId="77777777" w:rsidTr="008D2AFB">
        <w:trPr>
          <w:trHeight w:val="255"/>
        </w:trPr>
        <w:tc>
          <w:tcPr>
            <w:tcW w:w="2036" w:type="dxa"/>
            <w:noWrap/>
            <w:vAlign w:val="center"/>
          </w:tcPr>
          <w:p w14:paraId="1152BAA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vAlign w:val="center"/>
          </w:tcPr>
          <w:p w14:paraId="2DCFFD5A"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vAlign w:val="center"/>
          </w:tcPr>
          <w:p w14:paraId="1F37274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37.4</w:t>
            </w:r>
          </w:p>
        </w:tc>
        <w:tc>
          <w:tcPr>
            <w:tcW w:w="1536" w:type="dxa"/>
            <w:noWrap/>
            <w:vAlign w:val="center"/>
          </w:tcPr>
          <w:p w14:paraId="21E9E65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2.41E-06</w:t>
            </w:r>
          </w:p>
        </w:tc>
        <w:tc>
          <w:tcPr>
            <w:tcW w:w="756" w:type="dxa"/>
            <w:noWrap/>
            <w:vAlign w:val="center"/>
          </w:tcPr>
          <w:p w14:paraId="25368FD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r w:rsidR="001D2587" w:rsidRPr="000855B2" w14:paraId="597E66C1" w14:textId="77777777" w:rsidTr="008D2AFB">
        <w:trPr>
          <w:trHeight w:val="255"/>
        </w:trPr>
        <w:tc>
          <w:tcPr>
            <w:tcW w:w="2036" w:type="dxa"/>
            <w:noWrap/>
            <w:vAlign w:val="center"/>
          </w:tcPr>
          <w:p w14:paraId="010EB8F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vAlign w:val="center"/>
          </w:tcPr>
          <w:p w14:paraId="2CDBB52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eastAsia="en-GB"/>
              </w:rPr>
              <w:t>–</w:t>
            </w:r>
            <w:r w:rsidRPr="00C92B1B">
              <w:rPr>
                <w:sz w:val="16"/>
                <w:szCs w:val="16"/>
                <w:lang w:val="en-GB" w:eastAsia="en-GB"/>
              </w:rPr>
              <w:t>30</w:t>
            </w:r>
          </w:p>
        </w:tc>
        <w:tc>
          <w:tcPr>
            <w:tcW w:w="1836" w:type="dxa"/>
            <w:noWrap/>
            <w:vAlign w:val="center"/>
          </w:tcPr>
          <w:p w14:paraId="03C15A9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7.9</w:t>
            </w:r>
          </w:p>
        </w:tc>
        <w:tc>
          <w:tcPr>
            <w:tcW w:w="1536" w:type="dxa"/>
            <w:noWrap/>
            <w:vAlign w:val="center"/>
          </w:tcPr>
          <w:p w14:paraId="2BBCDB1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5.68E-07</w:t>
            </w:r>
          </w:p>
        </w:tc>
        <w:tc>
          <w:tcPr>
            <w:tcW w:w="756" w:type="dxa"/>
            <w:noWrap/>
            <w:vAlign w:val="center"/>
          </w:tcPr>
          <w:p w14:paraId="072CB73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0.95</w:t>
            </w:r>
          </w:p>
        </w:tc>
      </w:tr>
      <w:tr w:rsidR="001D2587" w:rsidRPr="000855B2" w14:paraId="79907F51" w14:textId="77777777" w:rsidTr="008D2AFB">
        <w:trPr>
          <w:trHeight w:val="255"/>
        </w:trPr>
        <w:tc>
          <w:tcPr>
            <w:tcW w:w="2036" w:type="dxa"/>
            <w:noWrap/>
            <w:vAlign w:val="center"/>
          </w:tcPr>
          <w:p w14:paraId="6138D62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vAlign w:val="center"/>
          </w:tcPr>
          <w:p w14:paraId="5C7CD58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90</w:t>
            </w:r>
          </w:p>
        </w:tc>
        <w:tc>
          <w:tcPr>
            <w:tcW w:w="1836" w:type="dxa"/>
            <w:noWrap/>
            <w:vAlign w:val="center"/>
          </w:tcPr>
          <w:p w14:paraId="3C18BF2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11.4</w:t>
            </w:r>
          </w:p>
        </w:tc>
        <w:tc>
          <w:tcPr>
            <w:tcW w:w="1536" w:type="dxa"/>
            <w:noWrap/>
            <w:vAlign w:val="center"/>
          </w:tcPr>
          <w:p w14:paraId="1C6A724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-2.54E-07</w:t>
            </w:r>
          </w:p>
        </w:tc>
        <w:tc>
          <w:tcPr>
            <w:tcW w:w="756" w:type="dxa"/>
            <w:noWrap/>
            <w:vAlign w:val="center"/>
          </w:tcPr>
          <w:p w14:paraId="3AAF7E6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1.02</w:t>
            </w:r>
          </w:p>
        </w:tc>
      </w:tr>
      <w:tr w:rsidR="001D2587" w:rsidRPr="000855B2" w14:paraId="5C9AF438" w14:textId="77777777" w:rsidTr="008D2AFB">
        <w:trPr>
          <w:trHeight w:val="255"/>
        </w:trPr>
        <w:tc>
          <w:tcPr>
            <w:tcW w:w="2036" w:type="dxa"/>
            <w:noWrap/>
            <w:vAlign w:val="center"/>
          </w:tcPr>
          <w:p w14:paraId="3771411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vAlign w:val="center"/>
          </w:tcPr>
          <w:p w14:paraId="0EDAA9CF"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vAlign w:val="center"/>
          </w:tcPr>
          <w:p w14:paraId="75B1223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11.7</w:t>
            </w:r>
          </w:p>
        </w:tc>
        <w:tc>
          <w:tcPr>
            <w:tcW w:w="1536" w:type="dxa"/>
            <w:noWrap/>
            <w:vAlign w:val="center"/>
          </w:tcPr>
          <w:p w14:paraId="277B9FA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-5.61E-07</w:t>
            </w:r>
          </w:p>
        </w:tc>
        <w:tc>
          <w:tcPr>
            <w:tcW w:w="756" w:type="dxa"/>
            <w:noWrap/>
            <w:vAlign w:val="center"/>
          </w:tcPr>
          <w:p w14:paraId="4CA7CE1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1.04</w:t>
            </w:r>
          </w:p>
        </w:tc>
      </w:tr>
      <w:tr w:rsidR="001D2587" w:rsidRPr="000855B2" w14:paraId="32D6F013" w14:textId="77777777" w:rsidTr="008D2AFB">
        <w:trPr>
          <w:trHeight w:val="255"/>
        </w:trPr>
        <w:tc>
          <w:tcPr>
            <w:tcW w:w="2036" w:type="dxa"/>
            <w:noWrap/>
            <w:vAlign w:val="center"/>
          </w:tcPr>
          <w:p w14:paraId="3F97DF5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vAlign w:val="center"/>
          </w:tcPr>
          <w:p w14:paraId="405FBBA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eastAsia="en-GB"/>
              </w:rPr>
              <w:t>–</w:t>
            </w:r>
            <w:r w:rsidRPr="00C92B1B">
              <w:rPr>
                <w:sz w:val="16"/>
                <w:szCs w:val="16"/>
                <w:lang w:val="en-GB" w:eastAsia="en-GB"/>
              </w:rPr>
              <w:t>30</w:t>
            </w:r>
          </w:p>
        </w:tc>
        <w:tc>
          <w:tcPr>
            <w:tcW w:w="1836" w:type="dxa"/>
            <w:noWrap/>
            <w:vAlign w:val="center"/>
          </w:tcPr>
          <w:p w14:paraId="33AF1EE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5.4</w:t>
            </w:r>
          </w:p>
        </w:tc>
        <w:tc>
          <w:tcPr>
            <w:tcW w:w="1536" w:type="dxa"/>
            <w:noWrap/>
            <w:vAlign w:val="center"/>
          </w:tcPr>
          <w:p w14:paraId="604276D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3.79E-07</w:t>
            </w:r>
          </w:p>
        </w:tc>
        <w:tc>
          <w:tcPr>
            <w:tcW w:w="756" w:type="dxa"/>
            <w:noWrap/>
            <w:vAlign w:val="center"/>
          </w:tcPr>
          <w:p w14:paraId="70D4E80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w:t>
            </w:r>
          </w:p>
        </w:tc>
      </w:tr>
      <w:tr w:rsidR="001D2587" w:rsidRPr="000855B2" w14:paraId="34781F7E" w14:textId="77777777" w:rsidTr="008D2AFB">
        <w:trPr>
          <w:trHeight w:val="255"/>
        </w:trPr>
        <w:tc>
          <w:tcPr>
            <w:tcW w:w="2036" w:type="dxa"/>
            <w:noWrap/>
            <w:vAlign w:val="center"/>
          </w:tcPr>
          <w:p w14:paraId="7AC4C8F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vAlign w:val="center"/>
          </w:tcPr>
          <w:p w14:paraId="6A5E912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eastAsia="en-GB"/>
              </w:rPr>
              <w:t>–</w:t>
            </w:r>
            <w:r w:rsidRPr="00C92B1B">
              <w:rPr>
                <w:sz w:val="16"/>
                <w:szCs w:val="16"/>
                <w:lang w:val="en-GB" w:eastAsia="en-GB"/>
              </w:rPr>
              <w:t>90</w:t>
            </w:r>
          </w:p>
        </w:tc>
        <w:tc>
          <w:tcPr>
            <w:tcW w:w="1836" w:type="dxa"/>
            <w:noWrap/>
            <w:vAlign w:val="center"/>
          </w:tcPr>
          <w:p w14:paraId="48F48FD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6.4</w:t>
            </w:r>
          </w:p>
        </w:tc>
        <w:tc>
          <w:tcPr>
            <w:tcW w:w="1536" w:type="dxa"/>
            <w:noWrap/>
            <w:vAlign w:val="center"/>
          </w:tcPr>
          <w:p w14:paraId="693E134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4.46E-07</w:t>
            </w:r>
          </w:p>
        </w:tc>
        <w:tc>
          <w:tcPr>
            <w:tcW w:w="756" w:type="dxa"/>
            <w:noWrap/>
            <w:vAlign w:val="center"/>
          </w:tcPr>
          <w:p w14:paraId="0D774AA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0.951</w:t>
            </w:r>
          </w:p>
        </w:tc>
      </w:tr>
      <w:tr w:rsidR="001D2587" w:rsidRPr="000855B2" w14:paraId="6D48C706" w14:textId="77777777" w:rsidTr="008D2AFB">
        <w:trPr>
          <w:trHeight w:val="255"/>
        </w:trPr>
        <w:tc>
          <w:tcPr>
            <w:tcW w:w="2036" w:type="dxa"/>
            <w:noWrap/>
            <w:vAlign w:val="center"/>
          </w:tcPr>
          <w:p w14:paraId="7F5D0667"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vAlign w:val="center"/>
          </w:tcPr>
          <w:p w14:paraId="2ECB9142"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vAlign w:val="center"/>
          </w:tcPr>
          <w:p w14:paraId="529063E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10.5</w:t>
            </w:r>
          </w:p>
        </w:tc>
        <w:tc>
          <w:tcPr>
            <w:tcW w:w="1536" w:type="dxa"/>
            <w:noWrap/>
            <w:vAlign w:val="center"/>
          </w:tcPr>
          <w:p w14:paraId="0856318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4.51E-07</w:t>
            </w:r>
          </w:p>
        </w:tc>
        <w:tc>
          <w:tcPr>
            <w:tcW w:w="756" w:type="dxa"/>
            <w:noWrap/>
            <w:vAlign w:val="center"/>
          </w:tcPr>
          <w:p w14:paraId="6DB5AA0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0.95</w:t>
            </w:r>
          </w:p>
        </w:tc>
      </w:tr>
      <w:tr w:rsidR="00EB183F" w:rsidRPr="000855B2" w14:paraId="21DF68A8" w14:textId="77777777" w:rsidTr="008D2AFB">
        <w:trPr>
          <w:trHeight w:val="255"/>
        </w:trPr>
        <w:tc>
          <w:tcPr>
            <w:tcW w:w="2036" w:type="dxa"/>
            <w:noWrap/>
            <w:vAlign w:val="center"/>
          </w:tcPr>
          <w:p w14:paraId="1C083462"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 xml:space="preserve">Euro 5 </w:t>
            </w:r>
            <w:r w:rsidR="00542D5B">
              <w:rPr>
                <w:sz w:val="16"/>
                <w:szCs w:val="16"/>
                <w:lang w:val="en-GB" w:eastAsia="en-GB"/>
              </w:rPr>
              <w:t>and on</w:t>
            </w:r>
          </w:p>
        </w:tc>
        <w:tc>
          <w:tcPr>
            <w:tcW w:w="2336" w:type="dxa"/>
            <w:noWrap/>
            <w:vAlign w:val="center"/>
          </w:tcPr>
          <w:p w14:paraId="01CE492E"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vAlign w:val="center"/>
          </w:tcPr>
          <w:p w14:paraId="61DA1851"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2.8</w:t>
            </w:r>
          </w:p>
        </w:tc>
        <w:tc>
          <w:tcPr>
            <w:tcW w:w="1536" w:type="dxa"/>
            <w:noWrap/>
            <w:vAlign w:val="center"/>
          </w:tcPr>
          <w:p w14:paraId="06E3B486"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2.49E-06</w:t>
            </w:r>
          </w:p>
        </w:tc>
        <w:tc>
          <w:tcPr>
            <w:tcW w:w="756" w:type="dxa"/>
            <w:noWrap/>
            <w:vAlign w:val="center"/>
          </w:tcPr>
          <w:p w14:paraId="68911BAB"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0.559</w:t>
            </w:r>
          </w:p>
        </w:tc>
      </w:tr>
    </w:tbl>
    <w:p w14:paraId="12BEC056" w14:textId="77777777" w:rsidR="005330C7" w:rsidRPr="000855B2" w:rsidRDefault="005330C7" w:rsidP="000855B2">
      <w:pPr>
        <w:rPr>
          <w:lang w:val="en-GB"/>
        </w:rPr>
      </w:pPr>
    </w:p>
    <w:p w14:paraId="3AE56BC6" w14:textId="3BB3E886" w:rsidR="001D2587" w:rsidRPr="000855B2" w:rsidRDefault="00A040D1" w:rsidP="00C92B1B">
      <w:pPr>
        <w:pStyle w:val="Caption"/>
      </w:pPr>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56</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3D6F48" w:rsidRPr="000855B2">
        <w:t>, CNG and E85</w:t>
      </w:r>
      <w:r w:rsidR="001D2587" w:rsidRPr="000855B2">
        <w:t xml:space="preserve"> passenger cars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0A0CEB9F" w14:textId="77777777" w:rsidTr="008D2AFB">
        <w:trPr>
          <w:trHeight w:hRule="exact" w:val="397"/>
        </w:trPr>
        <w:tc>
          <w:tcPr>
            <w:tcW w:w="2036" w:type="dxa"/>
            <w:tcBorders>
              <w:bottom w:val="single" w:sz="12" w:space="0" w:color="auto"/>
            </w:tcBorders>
            <w:noWrap/>
          </w:tcPr>
          <w:p w14:paraId="0E645E2E"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3B7DB69F"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60D3B62B"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3500899B" w14:textId="77777777" w:rsidR="001D2587" w:rsidRPr="00C92B1B" w:rsidRDefault="00C52E37" w:rsidP="005C7955">
            <w:pPr>
              <w:keepNext/>
              <w:keepLines/>
              <w:suppressAutoHyphens/>
              <w:spacing w:line="240" w:lineRule="atLeast"/>
              <w:jc w:val="center"/>
              <w:rPr>
                <w:b/>
                <w:bCs/>
                <w:sz w:val="16"/>
                <w:szCs w:val="16"/>
                <w:lang w:val="en-GB" w:eastAsia="en-GB"/>
              </w:rPr>
            </w:pPr>
            <w:r>
              <w:rPr>
                <w:b/>
                <w:bCs/>
                <w:sz w:val="16"/>
                <w:szCs w:val="16"/>
                <w:lang w:val="en-GB" w:eastAsia="en-GB"/>
              </w:rPr>
              <w:t>a</w:t>
            </w:r>
          </w:p>
        </w:tc>
        <w:tc>
          <w:tcPr>
            <w:tcW w:w="756" w:type="dxa"/>
            <w:tcBorders>
              <w:bottom w:val="single" w:sz="12" w:space="0" w:color="auto"/>
            </w:tcBorders>
            <w:noWrap/>
          </w:tcPr>
          <w:p w14:paraId="70ABCE0E"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74C844B7" w14:textId="77777777" w:rsidTr="008D2AFB">
        <w:trPr>
          <w:trHeight w:val="255"/>
        </w:trPr>
        <w:tc>
          <w:tcPr>
            <w:tcW w:w="2036" w:type="dxa"/>
            <w:tcBorders>
              <w:top w:val="single" w:sz="12" w:space="0" w:color="auto"/>
            </w:tcBorders>
            <w:noWrap/>
          </w:tcPr>
          <w:p w14:paraId="2CB7E20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25678B1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104F31E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w:t>
            </w:r>
          </w:p>
        </w:tc>
        <w:tc>
          <w:tcPr>
            <w:tcW w:w="1536" w:type="dxa"/>
            <w:tcBorders>
              <w:top w:val="single" w:sz="12" w:space="0" w:color="auto"/>
            </w:tcBorders>
            <w:noWrap/>
          </w:tcPr>
          <w:p w14:paraId="4939D770"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4B0AB4D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3854DEEB" w14:textId="77777777" w:rsidTr="00887829">
        <w:trPr>
          <w:trHeight w:val="255"/>
        </w:trPr>
        <w:tc>
          <w:tcPr>
            <w:tcW w:w="2036" w:type="dxa"/>
            <w:noWrap/>
          </w:tcPr>
          <w:p w14:paraId="42010B8E"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3D250FC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51DBA3F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23.2</w:t>
            </w:r>
          </w:p>
        </w:tc>
        <w:tc>
          <w:tcPr>
            <w:tcW w:w="1536" w:type="dxa"/>
            <w:noWrap/>
          </w:tcPr>
          <w:p w14:paraId="722EA7B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8.81E-07</w:t>
            </w:r>
          </w:p>
        </w:tc>
        <w:tc>
          <w:tcPr>
            <w:tcW w:w="756" w:type="dxa"/>
            <w:noWrap/>
          </w:tcPr>
          <w:p w14:paraId="02E578B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0.92</w:t>
            </w:r>
          </w:p>
        </w:tc>
      </w:tr>
      <w:tr w:rsidR="001D2587" w:rsidRPr="000855B2" w14:paraId="44E76583" w14:textId="77777777" w:rsidTr="00887829">
        <w:trPr>
          <w:trHeight w:val="255"/>
        </w:trPr>
        <w:tc>
          <w:tcPr>
            <w:tcW w:w="2036" w:type="dxa"/>
            <w:noWrap/>
          </w:tcPr>
          <w:p w14:paraId="2AF8C06E"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23FB0B63"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70F09D1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60.4</w:t>
            </w:r>
          </w:p>
        </w:tc>
        <w:tc>
          <w:tcPr>
            <w:tcW w:w="1536" w:type="dxa"/>
            <w:noWrap/>
          </w:tcPr>
          <w:p w14:paraId="59C8850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1.54E-05</w:t>
            </w:r>
          </w:p>
        </w:tc>
        <w:tc>
          <w:tcPr>
            <w:tcW w:w="756" w:type="dxa"/>
            <w:noWrap/>
          </w:tcPr>
          <w:p w14:paraId="7CA4449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0.255</w:t>
            </w:r>
          </w:p>
        </w:tc>
      </w:tr>
      <w:tr w:rsidR="001D2587" w:rsidRPr="000855B2" w14:paraId="55ABFF21" w14:textId="77777777" w:rsidTr="00887829">
        <w:trPr>
          <w:trHeight w:val="255"/>
        </w:trPr>
        <w:tc>
          <w:tcPr>
            <w:tcW w:w="2036" w:type="dxa"/>
            <w:noWrap/>
          </w:tcPr>
          <w:p w14:paraId="7C2E2FB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12E9C3F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2D0ED89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11.1</w:t>
            </w:r>
          </w:p>
        </w:tc>
        <w:tc>
          <w:tcPr>
            <w:tcW w:w="1536" w:type="dxa"/>
            <w:noWrap/>
          </w:tcPr>
          <w:p w14:paraId="2D97926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9.21E-07</w:t>
            </w:r>
          </w:p>
        </w:tc>
        <w:tc>
          <w:tcPr>
            <w:tcW w:w="756" w:type="dxa"/>
            <w:noWrap/>
          </w:tcPr>
          <w:p w14:paraId="2AD8AE8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0.962</w:t>
            </w:r>
          </w:p>
        </w:tc>
      </w:tr>
      <w:tr w:rsidR="001D2587" w:rsidRPr="000855B2" w14:paraId="72F51C28" w14:textId="77777777" w:rsidTr="00887829">
        <w:trPr>
          <w:trHeight w:val="255"/>
        </w:trPr>
        <w:tc>
          <w:tcPr>
            <w:tcW w:w="2036" w:type="dxa"/>
            <w:noWrap/>
          </w:tcPr>
          <w:p w14:paraId="4267748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15EE02DD"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66F0850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17.9</w:t>
            </w:r>
          </w:p>
        </w:tc>
        <w:tc>
          <w:tcPr>
            <w:tcW w:w="1536" w:type="dxa"/>
            <w:noWrap/>
          </w:tcPr>
          <w:p w14:paraId="342BD52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3.14E-06</w:t>
            </w:r>
          </w:p>
        </w:tc>
        <w:tc>
          <w:tcPr>
            <w:tcW w:w="756" w:type="dxa"/>
            <w:noWrap/>
          </w:tcPr>
          <w:p w14:paraId="109D05D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w:t>
            </w:r>
          </w:p>
        </w:tc>
      </w:tr>
      <w:tr w:rsidR="001D2587" w:rsidRPr="000855B2" w14:paraId="6E8A4F78" w14:textId="77777777" w:rsidTr="00887829">
        <w:trPr>
          <w:trHeight w:val="255"/>
        </w:trPr>
        <w:tc>
          <w:tcPr>
            <w:tcW w:w="2036" w:type="dxa"/>
            <w:noWrap/>
          </w:tcPr>
          <w:p w14:paraId="404626B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5E47070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65E5704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w:t>
            </w:r>
          </w:p>
        </w:tc>
        <w:tc>
          <w:tcPr>
            <w:tcW w:w="1536" w:type="dxa"/>
            <w:noWrap/>
          </w:tcPr>
          <w:p w14:paraId="2E10703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1.85E-06</w:t>
            </w:r>
          </w:p>
        </w:tc>
        <w:tc>
          <w:tcPr>
            <w:tcW w:w="756" w:type="dxa"/>
            <w:noWrap/>
          </w:tcPr>
          <w:p w14:paraId="47ADB87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0.829</w:t>
            </w:r>
          </w:p>
        </w:tc>
      </w:tr>
      <w:tr w:rsidR="001D2587" w:rsidRPr="000855B2" w14:paraId="4B4DE666" w14:textId="77777777" w:rsidTr="00887829">
        <w:trPr>
          <w:trHeight w:val="255"/>
        </w:trPr>
        <w:tc>
          <w:tcPr>
            <w:tcW w:w="2036" w:type="dxa"/>
            <w:noWrap/>
          </w:tcPr>
          <w:p w14:paraId="4B17AF2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66A7F92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550D788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w:t>
            </w:r>
          </w:p>
        </w:tc>
        <w:tc>
          <w:tcPr>
            <w:tcW w:w="1536" w:type="dxa"/>
            <w:noWrap/>
          </w:tcPr>
          <w:p w14:paraId="00D4969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2.34E-06</w:t>
            </w:r>
          </w:p>
        </w:tc>
        <w:tc>
          <w:tcPr>
            <w:tcW w:w="756" w:type="dxa"/>
            <w:noWrap/>
          </w:tcPr>
          <w:p w14:paraId="76A24C1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0.801</w:t>
            </w:r>
          </w:p>
        </w:tc>
      </w:tr>
      <w:tr w:rsidR="001D2587" w:rsidRPr="000855B2" w14:paraId="1909D3EC" w14:textId="77777777" w:rsidTr="00887829">
        <w:trPr>
          <w:trHeight w:val="255"/>
        </w:trPr>
        <w:tc>
          <w:tcPr>
            <w:tcW w:w="2036" w:type="dxa"/>
            <w:noWrap/>
          </w:tcPr>
          <w:p w14:paraId="068CA68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5CDE64B5"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5ACA6CC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w:t>
            </w:r>
          </w:p>
        </w:tc>
        <w:tc>
          <w:tcPr>
            <w:tcW w:w="1536" w:type="dxa"/>
            <w:noWrap/>
          </w:tcPr>
          <w:p w14:paraId="22BB5C1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-3.34E-07</w:t>
            </w:r>
          </w:p>
        </w:tc>
        <w:tc>
          <w:tcPr>
            <w:tcW w:w="756" w:type="dxa"/>
            <w:noWrap/>
          </w:tcPr>
          <w:p w14:paraId="08C8C3B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1.03</w:t>
            </w:r>
          </w:p>
        </w:tc>
      </w:tr>
      <w:tr w:rsidR="001D2587" w:rsidRPr="000855B2" w14:paraId="33F3278F" w14:textId="77777777" w:rsidTr="00887829">
        <w:trPr>
          <w:trHeight w:val="255"/>
        </w:trPr>
        <w:tc>
          <w:tcPr>
            <w:tcW w:w="2036" w:type="dxa"/>
            <w:noWrap/>
          </w:tcPr>
          <w:p w14:paraId="2913C94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771E23C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5A505C5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1.9</w:t>
            </w:r>
          </w:p>
        </w:tc>
        <w:tc>
          <w:tcPr>
            <w:tcW w:w="1536" w:type="dxa"/>
            <w:noWrap/>
          </w:tcPr>
          <w:p w14:paraId="57F372F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6.61E-07</w:t>
            </w:r>
          </w:p>
        </w:tc>
        <w:tc>
          <w:tcPr>
            <w:tcW w:w="756" w:type="dxa"/>
            <w:noWrap/>
          </w:tcPr>
          <w:p w14:paraId="318E1CC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0.931</w:t>
            </w:r>
          </w:p>
        </w:tc>
      </w:tr>
      <w:tr w:rsidR="001D2587" w:rsidRPr="000855B2" w14:paraId="11BE473D" w14:textId="77777777" w:rsidTr="00887829">
        <w:trPr>
          <w:trHeight w:val="255"/>
        </w:trPr>
        <w:tc>
          <w:tcPr>
            <w:tcW w:w="2036" w:type="dxa"/>
            <w:noWrap/>
          </w:tcPr>
          <w:p w14:paraId="124158F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6FFDCDA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76C81B3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w:t>
            </w:r>
          </w:p>
        </w:tc>
        <w:tc>
          <w:tcPr>
            <w:tcW w:w="1536" w:type="dxa"/>
            <w:noWrap/>
          </w:tcPr>
          <w:p w14:paraId="75C8339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2.39E-06</w:t>
            </w:r>
          </w:p>
        </w:tc>
        <w:tc>
          <w:tcPr>
            <w:tcW w:w="756" w:type="dxa"/>
            <w:noWrap/>
          </w:tcPr>
          <w:p w14:paraId="1C700D6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0.738</w:t>
            </w:r>
          </w:p>
        </w:tc>
      </w:tr>
      <w:tr w:rsidR="001D2587" w:rsidRPr="000855B2" w14:paraId="53485F51" w14:textId="77777777" w:rsidTr="00887829">
        <w:trPr>
          <w:trHeight w:val="255"/>
        </w:trPr>
        <w:tc>
          <w:tcPr>
            <w:tcW w:w="2036" w:type="dxa"/>
            <w:noWrap/>
          </w:tcPr>
          <w:p w14:paraId="4BBFB27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142D9D9A"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3503DCC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w:t>
            </w:r>
          </w:p>
        </w:tc>
        <w:tc>
          <w:tcPr>
            <w:tcW w:w="1536" w:type="dxa"/>
            <w:noWrap/>
          </w:tcPr>
          <w:p w14:paraId="7039DB9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8.65E-07</w:t>
            </w:r>
          </w:p>
        </w:tc>
        <w:tc>
          <w:tcPr>
            <w:tcW w:w="756" w:type="dxa"/>
            <w:noWrap/>
          </w:tcPr>
          <w:p w14:paraId="76A92DA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0.903</w:t>
            </w:r>
          </w:p>
        </w:tc>
      </w:tr>
      <w:tr w:rsidR="00EB183F" w:rsidRPr="000855B2" w14:paraId="0199C713" w14:textId="77777777" w:rsidTr="00887829">
        <w:trPr>
          <w:trHeight w:val="255"/>
        </w:trPr>
        <w:tc>
          <w:tcPr>
            <w:tcW w:w="2036" w:type="dxa"/>
            <w:noWrap/>
          </w:tcPr>
          <w:p w14:paraId="1A7D7A93"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5AD40C34"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13E50694"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2.4</w:t>
            </w:r>
          </w:p>
        </w:tc>
        <w:tc>
          <w:tcPr>
            <w:tcW w:w="1536" w:type="dxa"/>
            <w:noWrap/>
          </w:tcPr>
          <w:p w14:paraId="543A0D84"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7.83E-07</w:t>
            </w:r>
          </w:p>
        </w:tc>
        <w:tc>
          <w:tcPr>
            <w:tcW w:w="756" w:type="dxa"/>
            <w:noWrap/>
          </w:tcPr>
          <w:p w14:paraId="5225722B"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0.861</w:t>
            </w:r>
          </w:p>
        </w:tc>
      </w:tr>
    </w:tbl>
    <w:p w14:paraId="0376C327" w14:textId="6F0FF318" w:rsidR="001D2587" w:rsidRPr="000855B2" w:rsidRDefault="00A040D1" w:rsidP="00C92B1B">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57</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3D6F48" w:rsidRPr="000855B2">
        <w:t>, CNG and E85</w:t>
      </w:r>
      <w:r w:rsidR="001D2587" w:rsidRPr="000855B2">
        <w:t xml:space="preserve"> passenger cars under hot rural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484A75F6" w14:textId="77777777" w:rsidTr="008D2AFB">
        <w:trPr>
          <w:trHeight w:val="223"/>
        </w:trPr>
        <w:tc>
          <w:tcPr>
            <w:tcW w:w="2036" w:type="dxa"/>
            <w:tcBorders>
              <w:bottom w:val="single" w:sz="12" w:space="0" w:color="auto"/>
            </w:tcBorders>
            <w:noWrap/>
          </w:tcPr>
          <w:p w14:paraId="7E2958D3"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1341A20E"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57F2B000"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1456E3B1" w14:textId="77777777" w:rsidR="001D2587" w:rsidRPr="00C92B1B" w:rsidRDefault="00C52E37" w:rsidP="005C7955">
            <w:pPr>
              <w:keepNext/>
              <w:keepLines/>
              <w:suppressAutoHyphens/>
              <w:spacing w:line="240" w:lineRule="atLeast"/>
              <w:jc w:val="center"/>
              <w:rPr>
                <w:b/>
                <w:bCs/>
                <w:sz w:val="16"/>
                <w:szCs w:val="16"/>
                <w:lang w:val="en-GB" w:eastAsia="en-GB"/>
              </w:rPr>
            </w:pPr>
            <w:r>
              <w:rPr>
                <w:b/>
                <w:bCs/>
                <w:sz w:val="16"/>
                <w:szCs w:val="16"/>
                <w:lang w:val="en-GB" w:eastAsia="en-GB"/>
              </w:rPr>
              <w:t>a</w:t>
            </w:r>
          </w:p>
        </w:tc>
        <w:tc>
          <w:tcPr>
            <w:tcW w:w="756" w:type="dxa"/>
            <w:tcBorders>
              <w:bottom w:val="single" w:sz="12" w:space="0" w:color="auto"/>
            </w:tcBorders>
            <w:noWrap/>
          </w:tcPr>
          <w:p w14:paraId="6469C228"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7CDDCCE3" w14:textId="77777777" w:rsidTr="008D2AFB">
        <w:trPr>
          <w:trHeight w:val="255"/>
        </w:trPr>
        <w:tc>
          <w:tcPr>
            <w:tcW w:w="2036" w:type="dxa"/>
            <w:tcBorders>
              <w:top w:val="single" w:sz="12" w:space="0" w:color="auto"/>
            </w:tcBorders>
            <w:noWrap/>
          </w:tcPr>
          <w:p w14:paraId="6B9C3AC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6386D68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46E0DFC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3BF56388"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4FF81F8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4D2C89F3" w14:textId="77777777" w:rsidTr="00887829">
        <w:trPr>
          <w:trHeight w:val="255"/>
        </w:trPr>
        <w:tc>
          <w:tcPr>
            <w:tcW w:w="2036" w:type="dxa"/>
            <w:noWrap/>
          </w:tcPr>
          <w:p w14:paraId="640A1AA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2AE1C3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1C7D3AC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9.2</w:t>
            </w:r>
          </w:p>
        </w:tc>
        <w:tc>
          <w:tcPr>
            <w:tcW w:w="1536" w:type="dxa"/>
            <w:noWrap/>
          </w:tcPr>
          <w:p w14:paraId="0B43D0C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1.31E-06</w:t>
            </w:r>
          </w:p>
        </w:tc>
        <w:tc>
          <w:tcPr>
            <w:tcW w:w="756" w:type="dxa"/>
            <w:noWrap/>
          </w:tcPr>
          <w:p w14:paraId="43AC89B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0.851</w:t>
            </w:r>
          </w:p>
        </w:tc>
      </w:tr>
      <w:tr w:rsidR="001D2587" w:rsidRPr="000855B2" w14:paraId="1B761C12" w14:textId="77777777" w:rsidTr="00887829">
        <w:trPr>
          <w:trHeight w:val="255"/>
        </w:trPr>
        <w:tc>
          <w:tcPr>
            <w:tcW w:w="2036" w:type="dxa"/>
            <w:noWrap/>
          </w:tcPr>
          <w:p w14:paraId="40B4FFE7"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ACA057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350</w:t>
            </w:r>
          </w:p>
        </w:tc>
        <w:tc>
          <w:tcPr>
            <w:tcW w:w="1836" w:type="dxa"/>
            <w:noWrap/>
          </w:tcPr>
          <w:p w14:paraId="3340FAE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18.5</w:t>
            </w:r>
          </w:p>
        </w:tc>
        <w:tc>
          <w:tcPr>
            <w:tcW w:w="1536" w:type="dxa"/>
            <w:noWrap/>
          </w:tcPr>
          <w:p w14:paraId="5EE5506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2.90E-06</w:t>
            </w:r>
          </w:p>
        </w:tc>
        <w:tc>
          <w:tcPr>
            <w:tcW w:w="756" w:type="dxa"/>
            <w:noWrap/>
          </w:tcPr>
          <w:p w14:paraId="1E4A178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0.747</w:t>
            </w:r>
          </w:p>
        </w:tc>
      </w:tr>
      <w:tr w:rsidR="001D2587" w:rsidRPr="000855B2" w14:paraId="55E17842" w14:textId="77777777" w:rsidTr="00887829">
        <w:trPr>
          <w:trHeight w:val="255"/>
        </w:trPr>
        <w:tc>
          <w:tcPr>
            <w:tcW w:w="2036" w:type="dxa"/>
            <w:noWrap/>
          </w:tcPr>
          <w:p w14:paraId="1D1F999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6053C810"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092EECF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48.9</w:t>
            </w:r>
          </w:p>
        </w:tc>
        <w:tc>
          <w:tcPr>
            <w:tcW w:w="1536" w:type="dxa"/>
            <w:noWrap/>
          </w:tcPr>
          <w:p w14:paraId="6845DA2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1.37E-05</w:t>
            </w:r>
          </w:p>
        </w:tc>
        <w:tc>
          <w:tcPr>
            <w:tcW w:w="756" w:type="dxa"/>
            <w:noWrap/>
          </w:tcPr>
          <w:p w14:paraId="5ACF183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0.227</w:t>
            </w:r>
          </w:p>
        </w:tc>
      </w:tr>
      <w:tr w:rsidR="001D2587" w:rsidRPr="000855B2" w14:paraId="55F34F1F" w14:textId="77777777" w:rsidTr="00887829">
        <w:trPr>
          <w:trHeight w:val="255"/>
        </w:trPr>
        <w:tc>
          <w:tcPr>
            <w:tcW w:w="2036" w:type="dxa"/>
            <w:noWrap/>
          </w:tcPr>
          <w:p w14:paraId="45CF5A3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3EC59CF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3E23A28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w:t>
            </w:r>
          </w:p>
        </w:tc>
        <w:tc>
          <w:tcPr>
            <w:tcW w:w="1536" w:type="dxa"/>
            <w:noWrap/>
          </w:tcPr>
          <w:p w14:paraId="781EACA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1.45E-06</w:t>
            </w:r>
          </w:p>
        </w:tc>
        <w:tc>
          <w:tcPr>
            <w:tcW w:w="756" w:type="dxa"/>
            <w:noWrap/>
          </w:tcPr>
          <w:p w14:paraId="4BD2181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0.945</w:t>
            </w:r>
          </w:p>
        </w:tc>
      </w:tr>
      <w:tr w:rsidR="001D2587" w:rsidRPr="000855B2" w14:paraId="564BFBCA" w14:textId="77777777" w:rsidTr="00887829">
        <w:trPr>
          <w:trHeight w:val="255"/>
        </w:trPr>
        <w:tc>
          <w:tcPr>
            <w:tcW w:w="2036" w:type="dxa"/>
            <w:noWrap/>
          </w:tcPr>
          <w:p w14:paraId="722F428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1A1764CC"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30</w:t>
            </w:r>
          </w:p>
        </w:tc>
        <w:tc>
          <w:tcPr>
            <w:tcW w:w="1836" w:type="dxa"/>
            <w:noWrap/>
          </w:tcPr>
          <w:p w14:paraId="0E82AB6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w:t>
            </w:r>
          </w:p>
        </w:tc>
        <w:tc>
          <w:tcPr>
            <w:tcW w:w="1536" w:type="dxa"/>
            <w:noWrap/>
          </w:tcPr>
          <w:p w14:paraId="45F7026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4.93E-06</w:t>
            </w:r>
          </w:p>
        </w:tc>
        <w:tc>
          <w:tcPr>
            <w:tcW w:w="756" w:type="dxa"/>
            <w:noWrap/>
          </w:tcPr>
          <w:p w14:paraId="302353A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0.799</w:t>
            </w:r>
          </w:p>
        </w:tc>
      </w:tr>
      <w:tr w:rsidR="001D2587" w:rsidRPr="000855B2" w14:paraId="43A7C5E7" w14:textId="77777777" w:rsidTr="00887829">
        <w:trPr>
          <w:trHeight w:val="255"/>
        </w:trPr>
        <w:tc>
          <w:tcPr>
            <w:tcW w:w="2036" w:type="dxa"/>
            <w:noWrap/>
          </w:tcPr>
          <w:p w14:paraId="3C0745F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E14809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73968CA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719ED47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1.35E-06</w:t>
            </w:r>
          </w:p>
        </w:tc>
        <w:tc>
          <w:tcPr>
            <w:tcW w:w="756" w:type="dxa"/>
            <w:noWrap/>
          </w:tcPr>
          <w:p w14:paraId="754A6F9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0.875</w:t>
            </w:r>
          </w:p>
        </w:tc>
      </w:tr>
      <w:tr w:rsidR="001D2587" w:rsidRPr="000855B2" w14:paraId="0A0F5B5E" w14:textId="77777777" w:rsidTr="00887829">
        <w:trPr>
          <w:trHeight w:val="255"/>
        </w:trPr>
        <w:tc>
          <w:tcPr>
            <w:tcW w:w="2036" w:type="dxa"/>
            <w:noWrap/>
          </w:tcPr>
          <w:p w14:paraId="166004D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CA752D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3A2324E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w:t>
            </w:r>
          </w:p>
        </w:tc>
        <w:tc>
          <w:tcPr>
            <w:tcW w:w="1536" w:type="dxa"/>
            <w:noWrap/>
          </w:tcPr>
          <w:p w14:paraId="714AACE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4.10E-06</w:t>
            </w:r>
          </w:p>
        </w:tc>
        <w:tc>
          <w:tcPr>
            <w:tcW w:w="756" w:type="dxa"/>
            <w:noWrap/>
          </w:tcPr>
          <w:p w14:paraId="58D8A3C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0.539</w:t>
            </w:r>
          </w:p>
        </w:tc>
      </w:tr>
      <w:tr w:rsidR="001D2587" w:rsidRPr="000855B2" w14:paraId="79B5BED6" w14:textId="77777777" w:rsidTr="00887829">
        <w:trPr>
          <w:trHeight w:val="255"/>
        </w:trPr>
        <w:tc>
          <w:tcPr>
            <w:tcW w:w="2036" w:type="dxa"/>
            <w:noWrap/>
          </w:tcPr>
          <w:p w14:paraId="0A30CB5E"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0CF67AB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66CD8BD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767B02D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4.20E-06</w:t>
            </w:r>
          </w:p>
        </w:tc>
        <w:tc>
          <w:tcPr>
            <w:tcW w:w="756" w:type="dxa"/>
            <w:noWrap/>
          </w:tcPr>
          <w:p w14:paraId="6828A10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0.68</w:t>
            </w:r>
          </w:p>
        </w:tc>
      </w:tr>
      <w:tr w:rsidR="001D2587" w:rsidRPr="000855B2" w14:paraId="3890983D" w14:textId="77777777" w:rsidTr="00887829">
        <w:trPr>
          <w:trHeight w:val="255"/>
        </w:trPr>
        <w:tc>
          <w:tcPr>
            <w:tcW w:w="2036" w:type="dxa"/>
            <w:noWrap/>
          </w:tcPr>
          <w:p w14:paraId="4C67144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2981971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6B8D7EF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2E4D3D2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2.61E-06</w:t>
            </w:r>
          </w:p>
        </w:tc>
        <w:tc>
          <w:tcPr>
            <w:tcW w:w="756" w:type="dxa"/>
            <w:noWrap/>
          </w:tcPr>
          <w:p w14:paraId="6430A0A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0.726</w:t>
            </w:r>
          </w:p>
        </w:tc>
      </w:tr>
      <w:tr w:rsidR="001D2587" w:rsidRPr="000855B2" w14:paraId="24FAADB8" w14:textId="77777777" w:rsidTr="00887829">
        <w:trPr>
          <w:trHeight w:val="255"/>
        </w:trPr>
        <w:tc>
          <w:tcPr>
            <w:tcW w:w="2036" w:type="dxa"/>
            <w:noWrap/>
          </w:tcPr>
          <w:p w14:paraId="1E2D270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453E898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0B2F38B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w:t>
            </w:r>
          </w:p>
        </w:tc>
        <w:tc>
          <w:tcPr>
            <w:tcW w:w="1536" w:type="dxa"/>
            <w:noWrap/>
          </w:tcPr>
          <w:p w14:paraId="2DA0A10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4.09E-06</w:t>
            </w:r>
          </w:p>
        </w:tc>
        <w:tc>
          <w:tcPr>
            <w:tcW w:w="756" w:type="dxa"/>
            <w:noWrap/>
          </w:tcPr>
          <w:p w14:paraId="064F22E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0.549</w:t>
            </w:r>
          </w:p>
        </w:tc>
      </w:tr>
      <w:tr w:rsidR="001D2587" w:rsidRPr="000855B2" w14:paraId="628C19E5" w14:textId="77777777" w:rsidTr="00887829">
        <w:trPr>
          <w:trHeight w:val="255"/>
        </w:trPr>
        <w:tc>
          <w:tcPr>
            <w:tcW w:w="2036" w:type="dxa"/>
            <w:noWrap/>
          </w:tcPr>
          <w:p w14:paraId="3FE72F5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231082CA"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4B7632D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2.5</w:t>
            </w:r>
          </w:p>
        </w:tc>
        <w:tc>
          <w:tcPr>
            <w:tcW w:w="1536" w:type="dxa"/>
            <w:noWrap/>
          </w:tcPr>
          <w:p w14:paraId="1089F39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4.82E-07</w:t>
            </w:r>
          </w:p>
        </w:tc>
        <w:tc>
          <w:tcPr>
            <w:tcW w:w="756" w:type="dxa"/>
            <w:noWrap/>
          </w:tcPr>
          <w:p w14:paraId="1752E79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0.946</w:t>
            </w:r>
          </w:p>
        </w:tc>
      </w:tr>
      <w:tr w:rsidR="00EB183F" w:rsidRPr="000855B2" w14:paraId="73C233FC" w14:textId="77777777" w:rsidTr="00887829">
        <w:trPr>
          <w:trHeight w:val="255"/>
        </w:trPr>
        <w:tc>
          <w:tcPr>
            <w:tcW w:w="2036" w:type="dxa"/>
            <w:noWrap/>
          </w:tcPr>
          <w:p w14:paraId="33CA584F"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74AA9AAC"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4FFCBFBB"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0.2</w:t>
            </w:r>
          </w:p>
        </w:tc>
        <w:tc>
          <w:tcPr>
            <w:tcW w:w="1536" w:type="dxa"/>
            <w:noWrap/>
          </w:tcPr>
          <w:p w14:paraId="2E543D87"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2.61E-06</w:t>
            </w:r>
          </w:p>
        </w:tc>
        <w:tc>
          <w:tcPr>
            <w:tcW w:w="756" w:type="dxa"/>
            <w:noWrap/>
          </w:tcPr>
          <w:p w14:paraId="70C940A7"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0.726</w:t>
            </w:r>
          </w:p>
        </w:tc>
      </w:tr>
    </w:tbl>
    <w:p w14:paraId="7C514B58" w14:textId="16C7A8D2" w:rsidR="001D2587" w:rsidRPr="000855B2" w:rsidRDefault="00A040D1" w:rsidP="00C92B1B">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58</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3D6F48" w:rsidRPr="000855B2">
        <w:t>, CNG and E85</w:t>
      </w:r>
      <w:r w:rsidR="001D2587" w:rsidRPr="000855B2">
        <w:t xml:space="preserve"> passenger cars under hot highway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367C2429" w14:textId="77777777" w:rsidTr="008D2AFB">
        <w:trPr>
          <w:trHeight w:val="141"/>
        </w:trPr>
        <w:tc>
          <w:tcPr>
            <w:tcW w:w="2036" w:type="dxa"/>
            <w:tcBorders>
              <w:bottom w:val="single" w:sz="12" w:space="0" w:color="auto"/>
            </w:tcBorders>
            <w:noWrap/>
          </w:tcPr>
          <w:p w14:paraId="55C47876"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lastRenderedPageBreak/>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6D4E2CB1"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6B157CBB"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325F0AA5" w14:textId="77777777" w:rsidR="001D2587" w:rsidRPr="00C92B1B" w:rsidRDefault="00C52E37" w:rsidP="005C7955">
            <w:pPr>
              <w:keepNext/>
              <w:keepLines/>
              <w:suppressAutoHyphens/>
              <w:spacing w:line="240" w:lineRule="atLeast"/>
              <w:jc w:val="center"/>
              <w:rPr>
                <w:b/>
                <w:bCs/>
                <w:sz w:val="16"/>
                <w:szCs w:val="16"/>
                <w:lang w:val="en-GB" w:eastAsia="en-GB"/>
              </w:rPr>
            </w:pPr>
            <w:r>
              <w:rPr>
                <w:b/>
                <w:bCs/>
                <w:sz w:val="16"/>
                <w:szCs w:val="16"/>
                <w:lang w:val="en-GB" w:eastAsia="en-GB"/>
              </w:rPr>
              <w:t>a</w:t>
            </w:r>
          </w:p>
        </w:tc>
        <w:tc>
          <w:tcPr>
            <w:tcW w:w="756" w:type="dxa"/>
            <w:tcBorders>
              <w:bottom w:val="single" w:sz="12" w:space="0" w:color="auto"/>
            </w:tcBorders>
            <w:noWrap/>
          </w:tcPr>
          <w:p w14:paraId="03282766"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17F5E3DC" w14:textId="77777777" w:rsidTr="008D2AFB">
        <w:trPr>
          <w:trHeight w:val="255"/>
        </w:trPr>
        <w:tc>
          <w:tcPr>
            <w:tcW w:w="2036" w:type="dxa"/>
            <w:tcBorders>
              <w:top w:val="single" w:sz="12" w:space="0" w:color="auto"/>
            </w:tcBorders>
            <w:noWrap/>
          </w:tcPr>
          <w:p w14:paraId="538403E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0A96789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499CA06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18C36D90"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1C4ED95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3BB71497" w14:textId="77777777" w:rsidTr="00887829">
        <w:trPr>
          <w:trHeight w:val="255"/>
        </w:trPr>
        <w:tc>
          <w:tcPr>
            <w:tcW w:w="2036" w:type="dxa"/>
            <w:noWrap/>
          </w:tcPr>
          <w:p w14:paraId="4F333A4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B506B7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5737D01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4.7</w:t>
            </w:r>
          </w:p>
        </w:tc>
        <w:tc>
          <w:tcPr>
            <w:tcW w:w="1536" w:type="dxa"/>
            <w:noWrap/>
          </w:tcPr>
          <w:p w14:paraId="1336884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1.30E-06</w:t>
            </w:r>
          </w:p>
        </w:tc>
        <w:tc>
          <w:tcPr>
            <w:tcW w:w="756" w:type="dxa"/>
            <w:noWrap/>
          </w:tcPr>
          <w:p w14:paraId="2E16CCA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0.846</w:t>
            </w:r>
          </w:p>
        </w:tc>
      </w:tr>
      <w:tr w:rsidR="001D2587" w:rsidRPr="000855B2" w14:paraId="55966281" w14:textId="77777777" w:rsidTr="00887829">
        <w:trPr>
          <w:trHeight w:val="255"/>
        </w:trPr>
        <w:tc>
          <w:tcPr>
            <w:tcW w:w="2036" w:type="dxa"/>
            <w:noWrap/>
          </w:tcPr>
          <w:p w14:paraId="799DB57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3247F43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350</w:t>
            </w:r>
          </w:p>
        </w:tc>
        <w:tc>
          <w:tcPr>
            <w:tcW w:w="1836" w:type="dxa"/>
            <w:noWrap/>
          </w:tcPr>
          <w:p w14:paraId="0D71D02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9.4</w:t>
            </w:r>
          </w:p>
        </w:tc>
        <w:tc>
          <w:tcPr>
            <w:tcW w:w="1536" w:type="dxa"/>
            <w:noWrap/>
          </w:tcPr>
          <w:p w14:paraId="624B5C0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2.87E-06</w:t>
            </w:r>
          </w:p>
        </w:tc>
        <w:tc>
          <w:tcPr>
            <w:tcW w:w="756" w:type="dxa"/>
            <w:noWrap/>
          </w:tcPr>
          <w:p w14:paraId="00158B8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0.739</w:t>
            </w:r>
          </w:p>
        </w:tc>
      </w:tr>
      <w:tr w:rsidR="001D2587" w:rsidRPr="000855B2" w14:paraId="2C0790B0" w14:textId="77777777" w:rsidTr="00887829">
        <w:trPr>
          <w:trHeight w:val="255"/>
        </w:trPr>
        <w:tc>
          <w:tcPr>
            <w:tcW w:w="2036" w:type="dxa"/>
            <w:noWrap/>
          </w:tcPr>
          <w:p w14:paraId="054DCC01"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1497FB03"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258561D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24.7</w:t>
            </w:r>
          </w:p>
        </w:tc>
        <w:tc>
          <w:tcPr>
            <w:tcW w:w="1536" w:type="dxa"/>
            <w:noWrap/>
          </w:tcPr>
          <w:p w14:paraId="0907D82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1.33E-05</w:t>
            </w:r>
          </w:p>
        </w:tc>
        <w:tc>
          <w:tcPr>
            <w:tcW w:w="756" w:type="dxa"/>
            <w:noWrap/>
          </w:tcPr>
          <w:p w14:paraId="0CFB9EC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0.219</w:t>
            </w:r>
          </w:p>
        </w:tc>
      </w:tr>
      <w:tr w:rsidR="001D2587" w:rsidRPr="000855B2" w14:paraId="46D13272" w14:textId="77777777" w:rsidTr="00887829">
        <w:trPr>
          <w:trHeight w:val="255"/>
        </w:trPr>
        <w:tc>
          <w:tcPr>
            <w:tcW w:w="2036" w:type="dxa"/>
            <w:noWrap/>
          </w:tcPr>
          <w:p w14:paraId="3946799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5FB384E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04FE4CB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2AD2B8B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1.45E-06</w:t>
            </w:r>
          </w:p>
        </w:tc>
        <w:tc>
          <w:tcPr>
            <w:tcW w:w="756" w:type="dxa"/>
            <w:noWrap/>
          </w:tcPr>
          <w:p w14:paraId="7104237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0.944</w:t>
            </w:r>
          </w:p>
        </w:tc>
      </w:tr>
      <w:tr w:rsidR="001D2587" w:rsidRPr="000855B2" w14:paraId="6681FB65" w14:textId="77777777" w:rsidTr="00887829">
        <w:trPr>
          <w:trHeight w:val="255"/>
        </w:trPr>
        <w:tc>
          <w:tcPr>
            <w:tcW w:w="2036" w:type="dxa"/>
            <w:noWrap/>
          </w:tcPr>
          <w:p w14:paraId="62890B77"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3E89BC15"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30</w:t>
            </w:r>
          </w:p>
        </w:tc>
        <w:tc>
          <w:tcPr>
            <w:tcW w:w="1836" w:type="dxa"/>
            <w:noWrap/>
          </w:tcPr>
          <w:p w14:paraId="4501420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w:t>
            </w:r>
          </w:p>
        </w:tc>
        <w:tc>
          <w:tcPr>
            <w:tcW w:w="1536" w:type="dxa"/>
            <w:noWrap/>
          </w:tcPr>
          <w:p w14:paraId="5C4EDC8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4.92E-06</w:t>
            </w:r>
          </w:p>
        </w:tc>
        <w:tc>
          <w:tcPr>
            <w:tcW w:w="756" w:type="dxa"/>
            <w:noWrap/>
          </w:tcPr>
          <w:p w14:paraId="587047D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0.797</w:t>
            </w:r>
          </w:p>
        </w:tc>
      </w:tr>
      <w:tr w:rsidR="001D2587" w:rsidRPr="000855B2" w14:paraId="0E88CA72" w14:textId="77777777" w:rsidTr="00887829">
        <w:trPr>
          <w:trHeight w:val="255"/>
        </w:trPr>
        <w:tc>
          <w:tcPr>
            <w:tcW w:w="2036" w:type="dxa"/>
            <w:noWrap/>
          </w:tcPr>
          <w:p w14:paraId="2396332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543604E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3766538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0.19</w:t>
            </w:r>
          </w:p>
        </w:tc>
        <w:tc>
          <w:tcPr>
            <w:tcW w:w="1536" w:type="dxa"/>
            <w:noWrap/>
          </w:tcPr>
          <w:p w14:paraId="6B9E49F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1.49E-06</w:t>
            </w:r>
          </w:p>
        </w:tc>
        <w:tc>
          <w:tcPr>
            <w:tcW w:w="756" w:type="dxa"/>
            <w:noWrap/>
          </w:tcPr>
          <w:p w14:paraId="3287605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0.967</w:t>
            </w:r>
          </w:p>
        </w:tc>
      </w:tr>
      <w:tr w:rsidR="001D2587" w:rsidRPr="000855B2" w14:paraId="332B304E" w14:textId="77777777" w:rsidTr="00887829">
        <w:trPr>
          <w:trHeight w:val="255"/>
        </w:trPr>
        <w:tc>
          <w:tcPr>
            <w:tcW w:w="2036" w:type="dxa"/>
            <w:noWrap/>
          </w:tcPr>
          <w:p w14:paraId="30CB3827"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F36079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56CEC48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0.61</w:t>
            </w:r>
          </w:p>
        </w:tc>
        <w:tc>
          <w:tcPr>
            <w:tcW w:w="1536" w:type="dxa"/>
            <w:noWrap/>
          </w:tcPr>
          <w:p w14:paraId="5556A61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6.32E-06</w:t>
            </w:r>
          </w:p>
        </w:tc>
        <w:tc>
          <w:tcPr>
            <w:tcW w:w="756" w:type="dxa"/>
            <w:noWrap/>
          </w:tcPr>
          <w:p w14:paraId="782EB6E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0.832</w:t>
            </w:r>
          </w:p>
        </w:tc>
      </w:tr>
      <w:tr w:rsidR="001D2587" w:rsidRPr="000855B2" w14:paraId="3578A3DB" w14:textId="77777777" w:rsidTr="00887829">
        <w:trPr>
          <w:trHeight w:val="255"/>
        </w:trPr>
        <w:tc>
          <w:tcPr>
            <w:tcW w:w="2036" w:type="dxa"/>
            <w:noWrap/>
          </w:tcPr>
          <w:p w14:paraId="1AE8F45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5F22C1B"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6692EFB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1.3</w:t>
            </w:r>
          </w:p>
        </w:tc>
        <w:tc>
          <w:tcPr>
            <w:tcW w:w="1536" w:type="dxa"/>
            <w:noWrap/>
          </w:tcPr>
          <w:p w14:paraId="2E03D6B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5.56E-06</w:t>
            </w:r>
          </w:p>
        </w:tc>
        <w:tc>
          <w:tcPr>
            <w:tcW w:w="756" w:type="dxa"/>
            <w:noWrap/>
          </w:tcPr>
          <w:p w14:paraId="6451E98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w:t>
            </w:r>
          </w:p>
        </w:tc>
      </w:tr>
      <w:tr w:rsidR="001D2587" w:rsidRPr="000855B2" w14:paraId="4F86721C" w14:textId="77777777" w:rsidTr="00887829">
        <w:trPr>
          <w:trHeight w:val="255"/>
        </w:trPr>
        <w:tc>
          <w:tcPr>
            <w:tcW w:w="2036" w:type="dxa"/>
            <w:noWrap/>
          </w:tcPr>
          <w:p w14:paraId="7032CAC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679ABD7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3663517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0.17</w:t>
            </w:r>
          </w:p>
        </w:tc>
        <w:tc>
          <w:tcPr>
            <w:tcW w:w="1536" w:type="dxa"/>
            <w:noWrap/>
          </w:tcPr>
          <w:p w14:paraId="1B39879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3.30E-06</w:t>
            </w:r>
          </w:p>
        </w:tc>
        <w:tc>
          <w:tcPr>
            <w:tcW w:w="756" w:type="dxa"/>
            <w:noWrap/>
          </w:tcPr>
          <w:p w14:paraId="091396A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r w:rsidR="001D2587" w:rsidRPr="000855B2" w14:paraId="44411BC7" w14:textId="77777777" w:rsidTr="00887829">
        <w:trPr>
          <w:trHeight w:val="255"/>
        </w:trPr>
        <w:tc>
          <w:tcPr>
            <w:tcW w:w="2036" w:type="dxa"/>
            <w:noWrap/>
          </w:tcPr>
          <w:p w14:paraId="73D46AE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716B5E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7D4D348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0.63</w:t>
            </w:r>
          </w:p>
        </w:tc>
        <w:tc>
          <w:tcPr>
            <w:tcW w:w="1536" w:type="dxa"/>
            <w:noWrap/>
          </w:tcPr>
          <w:p w14:paraId="15E6436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6.23E-06</w:t>
            </w:r>
          </w:p>
        </w:tc>
        <w:tc>
          <w:tcPr>
            <w:tcW w:w="756" w:type="dxa"/>
            <w:noWrap/>
          </w:tcPr>
          <w:p w14:paraId="3DB42D7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0.838</w:t>
            </w:r>
          </w:p>
        </w:tc>
      </w:tr>
      <w:tr w:rsidR="001D2587" w:rsidRPr="000855B2" w14:paraId="2866DAA1" w14:textId="77777777" w:rsidTr="00887829">
        <w:trPr>
          <w:trHeight w:val="255"/>
        </w:trPr>
        <w:tc>
          <w:tcPr>
            <w:tcW w:w="2036" w:type="dxa"/>
            <w:noWrap/>
          </w:tcPr>
          <w:p w14:paraId="10D36A3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199DF64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5BFCD94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w:t>
            </w:r>
          </w:p>
        </w:tc>
        <w:tc>
          <w:tcPr>
            <w:tcW w:w="1536" w:type="dxa"/>
            <w:noWrap/>
          </w:tcPr>
          <w:p w14:paraId="0E28657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5.03E-07</w:t>
            </w:r>
          </w:p>
        </w:tc>
        <w:tc>
          <w:tcPr>
            <w:tcW w:w="756" w:type="dxa"/>
            <w:noWrap/>
          </w:tcPr>
          <w:p w14:paraId="3EC8621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0.987</w:t>
            </w:r>
          </w:p>
        </w:tc>
      </w:tr>
      <w:tr w:rsidR="00EB183F" w:rsidRPr="000855B2" w14:paraId="1686BB91" w14:textId="77777777" w:rsidTr="00887829">
        <w:trPr>
          <w:trHeight w:val="255"/>
        </w:trPr>
        <w:tc>
          <w:tcPr>
            <w:tcW w:w="2036" w:type="dxa"/>
            <w:noWrap/>
          </w:tcPr>
          <w:p w14:paraId="0CDE0BA9"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3D721C93"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5DBF067F"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c>
          <w:tcPr>
            <w:tcW w:w="1536" w:type="dxa"/>
            <w:noWrap/>
          </w:tcPr>
          <w:p w14:paraId="046920D7"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3.30E-06</w:t>
            </w:r>
          </w:p>
        </w:tc>
        <w:tc>
          <w:tcPr>
            <w:tcW w:w="756" w:type="dxa"/>
            <w:noWrap/>
          </w:tcPr>
          <w:p w14:paraId="501D7E65"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bl>
    <w:p w14:paraId="49D6591B" w14:textId="312708C9" w:rsidR="001D2587" w:rsidRPr="000855B2" w:rsidRDefault="00A040D1" w:rsidP="00C92B1B">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59</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1D2587" w:rsidRPr="000855B2">
        <w:t xml:space="preserve"> </w:t>
      </w:r>
      <w:r w:rsidR="00757EE1" w:rsidRPr="000855B2">
        <w:t>LCV</w:t>
      </w:r>
      <w:r w:rsidR="001D2587" w:rsidRPr="000855B2">
        <w:t>s under cold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105448B7" w14:textId="77777777" w:rsidTr="008D2AFB">
        <w:trPr>
          <w:trHeight w:val="180"/>
        </w:trPr>
        <w:tc>
          <w:tcPr>
            <w:tcW w:w="2036" w:type="dxa"/>
            <w:tcBorders>
              <w:bottom w:val="single" w:sz="12" w:space="0" w:color="auto"/>
            </w:tcBorders>
            <w:noWrap/>
          </w:tcPr>
          <w:p w14:paraId="3F2539D3"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 xml:space="preserve">Emission </w:t>
            </w:r>
            <w:r w:rsidR="00861120" w:rsidRPr="000855B2">
              <w:rPr>
                <w:b/>
                <w:bCs/>
                <w:szCs w:val="18"/>
                <w:lang w:val="en-GB" w:eastAsia="en-GB"/>
              </w:rPr>
              <w:t>s</w:t>
            </w:r>
            <w:r w:rsidRPr="000855B2">
              <w:rPr>
                <w:b/>
                <w:bCs/>
                <w:szCs w:val="18"/>
                <w:lang w:val="en-GB" w:eastAsia="en-GB"/>
              </w:rPr>
              <w:t>tandard</w:t>
            </w:r>
          </w:p>
        </w:tc>
        <w:tc>
          <w:tcPr>
            <w:tcW w:w="2336" w:type="dxa"/>
            <w:tcBorders>
              <w:bottom w:val="single" w:sz="12" w:space="0" w:color="auto"/>
            </w:tcBorders>
            <w:noWrap/>
          </w:tcPr>
          <w:p w14:paraId="12282567"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Sulphur content (ppm)</w:t>
            </w:r>
          </w:p>
        </w:tc>
        <w:tc>
          <w:tcPr>
            <w:tcW w:w="1836" w:type="dxa"/>
            <w:tcBorders>
              <w:bottom w:val="single" w:sz="12" w:space="0" w:color="auto"/>
            </w:tcBorders>
            <w:noWrap/>
          </w:tcPr>
          <w:p w14:paraId="292F9A6A"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Base EF (mg/km)</w:t>
            </w:r>
          </w:p>
        </w:tc>
        <w:tc>
          <w:tcPr>
            <w:tcW w:w="1536" w:type="dxa"/>
            <w:tcBorders>
              <w:bottom w:val="single" w:sz="12" w:space="0" w:color="auto"/>
            </w:tcBorders>
            <w:noWrap/>
          </w:tcPr>
          <w:p w14:paraId="22439E9D"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a</w:t>
            </w:r>
          </w:p>
        </w:tc>
        <w:tc>
          <w:tcPr>
            <w:tcW w:w="756" w:type="dxa"/>
            <w:tcBorders>
              <w:bottom w:val="single" w:sz="12" w:space="0" w:color="auto"/>
            </w:tcBorders>
            <w:noWrap/>
          </w:tcPr>
          <w:p w14:paraId="1728B92A" w14:textId="77777777" w:rsidR="001D2587" w:rsidRPr="000855B2" w:rsidRDefault="001D2587" w:rsidP="005C7955">
            <w:pPr>
              <w:keepNext/>
              <w:keepLines/>
              <w:suppressAutoHyphens/>
              <w:spacing w:line="240" w:lineRule="atLeast"/>
              <w:jc w:val="center"/>
              <w:rPr>
                <w:b/>
                <w:bCs/>
                <w:szCs w:val="18"/>
                <w:lang w:val="en-GB" w:eastAsia="en-GB"/>
              </w:rPr>
            </w:pPr>
            <w:r w:rsidRPr="000855B2">
              <w:rPr>
                <w:b/>
                <w:bCs/>
                <w:szCs w:val="18"/>
                <w:lang w:val="en-GB" w:eastAsia="en-GB"/>
              </w:rPr>
              <w:t>b</w:t>
            </w:r>
          </w:p>
        </w:tc>
      </w:tr>
      <w:tr w:rsidR="001D2587" w:rsidRPr="000855B2" w14:paraId="7D75E0B8" w14:textId="77777777" w:rsidTr="008D2AFB">
        <w:trPr>
          <w:trHeight w:val="255"/>
        </w:trPr>
        <w:tc>
          <w:tcPr>
            <w:tcW w:w="2036" w:type="dxa"/>
            <w:tcBorders>
              <w:top w:val="single" w:sz="12" w:space="0" w:color="auto"/>
            </w:tcBorders>
            <w:noWrap/>
          </w:tcPr>
          <w:p w14:paraId="0C7660C3"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pre-Euro</w:t>
            </w:r>
          </w:p>
        </w:tc>
        <w:tc>
          <w:tcPr>
            <w:tcW w:w="2336" w:type="dxa"/>
            <w:tcBorders>
              <w:top w:val="single" w:sz="12" w:space="0" w:color="auto"/>
            </w:tcBorders>
            <w:noWrap/>
          </w:tcPr>
          <w:p w14:paraId="346AC8DF"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All</w:t>
            </w:r>
          </w:p>
        </w:tc>
        <w:tc>
          <w:tcPr>
            <w:tcW w:w="1836" w:type="dxa"/>
            <w:tcBorders>
              <w:top w:val="single" w:sz="12" w:space="0" w:color="auto"/>
            </w:tcBorders>
            <w:noWrap/>
          </w:tcPr>
          <w:p w14:paraId="7FA8D70B"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10</w:t>
            </w:r>
          </w:p>
        </w:tc>
        <w:tc>
          <w:tcPr>
            <w:tcW w:w="1536" w:type="dxa"/>
            <w:tcBorders>
              <w:top w:val="single" w:sz="12" w:space="0" w:color="auto"/>
            </w:tcBorders>
            <w:noWrap/>
          </w:tcPr>
          <w:p w14:paraId="0B4EBE81" w14:textId="77777777" w:rsidR="001D2587" w:rsidRPr="005B3D90" w:rsidRDefault="005B3D90" w:rsidP="005C7955">
            <w:pPr>
              <w:keepNext/>
              <w:keepLines/>
              <w:suppressAutoHyphens/>
              <w:spacing w:line="240" w:lineRule="atLeast"/>
              <w:jc w:val="center"/>
              <w:rPr>
                <w:szCs w:val="18"/>
                <w:lang w:val="el-GR" w:eastAsia="en-GB"/>
              </w:rPr>
            </w:pPr>
            <w:r>
              <w:rPr>
                <w:szCs w:val="18"/>
                <w:lang w:val="el-GR" w:eastAsia="en-GB"/>
              </w:rPr>
              <w:t>0</w:t>
            </w:r>
          </w:p>
        </w:tc>
        <w:tc>
          <w:tcPr>
            <w:tcW w:w="756" w:type="dxa"/>
            <w:tcBorders>
              <w:top w:val="single" w:sz="12" w:space="0" w:color="auto"/>
            </w:tcBorders>
            <w:noWrap/>
          </w:tcPr>
          <w:p w14:paraId="66EF17EE"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w:t>
            </w:r>
          </w:p>
        </w:tc>
      </w:tr>
      <w:tr w:rsidR="001D2587" w:rsidRPr="000855B2" w14:paraId="39F08112" w14:textId="77777777" w:rsidTr="00887829">
        <w:trPr>
          <w:trHeight w:val="255"/>
        </w:trPr>
        <w:tc>
          <w:tcPr>
            <w:tcW w:w="2036" w:type="dxa"/>
            <w:noWrap/>
          </w:tcPr>
          <w:p w14:paraId="2E3AFC30"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1</w:t>
            </w:r>
          </w:p>
        </w:tc>
        <w:tc>
          <w:tcPr>
            <w:tcW w:w="2336" w:type="dxa"/>
            <w:noWrap/>
          </w:tcPr>
          <w:p w14:paraId="27E99555"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w:t>
            </w:r>
            <w:r w:rsidR="003424C3" w:rsidRPr="000855B2">
              <w:rPr>
                <w:szCs w:val="18"/>
                <w:lang w:val="en-GB"/>
              </w:rPr>
              <w:t>–</w:t>
            </w:r>
            <w:r w:rsidRPr="000855B2">
              <w:rPr>
                <w:szCs w:val="18"/>
                <w:lang w:val="en-GB" w:eastAsia="en-GB"/>
              </w:rPr>
              <w:t>350</w:t>
            </w:r>
          </w:p>
        </w:tc>
        <w:tc>
          <w:tcPr>
            <w:tcW w:w="1836" w:type="dxa"/>
            <w:noWrap/>
          </w:tcPr>
          <w:p w14:paraId="471293D4"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46.5</w:t>
            </w:r>
          </w:p>
        </w:tc>
        <w:tc>
          <w:tcPr>
            <w:tcW w:w="1536" w:type="dxa"/>
            <w:noWrap/>
          </w:tcPr>
          <w:p w14:paraId="2EBDFD7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3.30E-07</w:t>
            </w:r>
          </w:p>
        </w:tc>
        <w:tc>
          <w:tcPr>
            <w:tcW w:w="756" w:type="dxa"/>
            <w:noWrap/>
          </w:tcPr>
          <w:p w14:paraId="49B182B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0.933</w:t>
            </w:r>
          </w:p>
        </w:tc>
      </w:tr>
      <w:tr w:rsidR="001D2587" w:rsidRPr="000855B2" w14:paraId="0DFBB1CD" w14:textId="77777777" w:rsidTr="00887829">
        <w:trPr>
          <w:trHeight w:val="255"/>
        </w:trPr>
        <w:tc>
          <w:tcPr>
            <w:tcW w:w="2036" w:type="dxa"/>
            <w:noWrap/>
          </w:tcPr>
          <w:p w14:paraId="5A945A2B"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1</w:t>
            </w:r>
          </w:p>
        </w:tc>
        <w:tc>
          <w:tcPr>
            <w:tcW w:w="2336" w:type="dxa"/>
            <w:noWrap/>
          </w:tcPr>
          <w:p w14:paraId="0853FA2B" w14:textId="77777777" w:rsidR="001D2587" w:rsidRPr="000855B2" w:rsidRDefault="00972A38" w:rsidP="005C7955">
            <w:pPr>
              <w:keepNext/>
              <w:keepLines/>
              <w:suppressAutoHyphens/>
              <w:spacing w:line="240" w:lineRule="atLeast"/>
              <w:jc w:val="center"/>
              <w:rPr>
                <w:szCs w:val="18"/>
                <w:lang w:val="en-GB" w:eastAsia="en-GB"/>
              </w:rPr>
            </w:pPr>
            <w:r w:rsidRPr="000855B2">
              <w:rPr>
                <w:szCs w:val="18"/>
                <w:lang w:val="en-GB" w:eastAsia="en-GB"/>
              </w:rPr>
              <w:t>&gt; </w:t>
            </w:r>
            <w:r w:rsidR="001D2587" w:rsidRPr="000855B2">
              <w:rPr>
                <w:szCs w:val="18"/>
                <w:lang w:val="en-GB" w:eastAsia="en-GB"/>
              </w:rPr>
              <w:t>350</w:t>
            </w:r>
          </w:p>
        </w:tc>
        <w:tc>
          <w:tcPr>
            <w:tcW w:w="1836" w:type="dxa"/>
            <w:noWrap/>
          </w:tcPr>
          <w:p w14:paraId="18B0EF3B"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83.6</w:t>
            </w:r>
          </w:p>
        </w:tc>
        <w:tc>
          <w:tcPr>
            <w:tcW w:w="1536" w:type="dxa"/>
            <w:noWrap/>
          </w:tcPr>
          <w:p w14:paraId="56D67955"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1.55E-05</w:t>
            </w:r>
          </w:p>
        </w:tc>
        <w:tc>
          <w:tcPr>
            <w:tcW w:w="756" w:type="dxa"/>
            <w:noWrap/>
          </w:tcPr>
          <w:p w14:paraId="7CF995FB"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0.686</w:t>
            </w:r>
          </w:p>
        </w:tc>
      </w:tr>
      <w:tr w:rsidR="001D2587" w:rsidRPr="000855B2" w14:paraId="645038DF" w14:textId="77777777" w:rsidTr="00887829">
        <w:trPr>
          <w:trHeight w:val="255"/>
        </w:trPr>
        <w:tc>
          <w:tcPr>
            <w:tcW w:w="2036" w:type="dxa"/>
            <w:noWrap/>
          </w:tcPr>
          <w:p w14:paraId="0BE0C371"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2</w:t>
            </w:r>
          </w:p>
        </w:tc>
        <w:tc>
          <w:tcPr>
            <w:tcW w:w="2336" w:type="dxa"/>
            <w:noWrap/>
          </w:tcPr>
          <w:p w14:paraId="48B681D8"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All</w:t>
            </w:r>
          </w:p>
        </w:tc>
        <w:tc>
          <w:tcPr>
            <w:tcW w:w="1836" w:type="dxa"/>
            <w:noWrap/>
          </w:tcPr>
          <w:p w14:paraId="1CA0135D"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67.7</w:t>
            </w:r>
          </w:p>
        </w:tc>
        <w:tc>
          <w:tcPr>
            <w:tcW w:w="1536" w:type="dxa"/>
            <w:noWrap/>
          </w:tcPr>
          <w:p w14:paraId="44138CBC"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2.13E-06</w:t>
            </w:r>
          </w:p>
        </w:tc>
        <w:tc>
          <w:tcPr>
            <w:tcW w:w="756" w:type="dxa"/>
            <w:noWrap/>
          </w:tcPr>
          <w:p w14:paraId="3D0AD9BF"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0.812</w:t>
            </w:r>
          </w:p>
        </w:tc>
      </w:tr>
      <w:tr w:rsidR="001D2587" w:rsidRPr="000855B2" w14:paraId="0D41DFE5" w14:textId="77777777" w:rsidTr="00887829">
        <w:trPr>
          <w:trHeight w:val="255"/>
        </w:trPr>
        <w:tc>
          <w:tcPr>
            <w:tcW w:w="2036" w:type="dxa"/>
            <w:noWrap/>
          </w:tcPr>
          <w:p w14:paraId="74A29D99"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3</w:t>
            </w:r>
          </w:p>
        </w:tc>
        <w:tc>
          <w:tcPr>
            <w:tcW w:w="2336" w:type="dxa"/>
            <w:noWrap/>
          </w:tcPr>
          <w:p w14:paraId="1D84E794"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w:t>
            </w:r>
            <w:r w:rsidR="003424C3" w:rsidRPr="000855B2">
              <w:rPr>
                <w:szCs w:val="18"/>
                <w:lang w:val="en-GB"/>
              </w:rPr>
              <w:t>–</w:t>
            </w:r>
            <w:r w:rsidRPr="000855B2">
              <w:rPr>
                <w:szCs w:val="18"/>
                <w:lang w:val="en-GB" w:eastAsia="en-GB"/>
              </w:rPr>
              <w:t>30</w:t>
            </w:r>
          </w:p>
        </w:tc>
        <w:tc>
          <w:tcPr>
            <w:tcW w:w="1836" w:type="dxa"/>
            <w:noWrap/>
          </w:tcPr>
          <w:p w14:paraId="0EB4C8F3"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16.8</w:t>
            </w:r>
          </w:p>
        </w:tc>
        <w:tc>
          <w:tcPr>
            <w:tcW w:w="1536" w:type="dxa"/>
            <w:noWrap/>
          </w:tcPr>
          <w:p w14:paraId="488DBDE3"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3.38E-07</w:t>
            </w:r>
          </w:p>
        </w:tc>
        <w:tc>
          <w:tcPr>
            <w:tcW w:w="756" w:type="dxa"/>
            <w:noWrap/>
          </w:tcPr>
          <w:p w14:paraId="00BA7C5E"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0.957</w:t>
            </w:r>
          </w:p>
        </w:tc>
      </w:tr>
      <w:tr w:rsidR="001D2587" w:rsidRPr="000855B2" w14:paraId="7FA2121D" w14:textId="77777777" w:rsidTr="00887829">
        <w:trPr>
          <w:trHeight w:val="255"/>
        </w:trPr>
        <w:tc>
          <w:tcPr>
            <w:tcW w:w="2036" w:type="dxa"/>
            <w:noWrap/>
          </w:tcPr>
          <w:p w14:paraId="3336FB15"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3</w:t>
            </w:r>
          </w:p>
        </w:tc>
        <w:tc>
          <w:tcPr>
            <w:tcW w:w="2336" w:type="dxa"/>
            <w:noWrap/>
          </w:tcPr>
          <w:p w14:paraId="5F4B1E05"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30</w:t>
            </w:r>
            <w:r w:rsidR="003424C3" w:rsidRPr="000855B2">
              <w:rPr>
                <w:szCs w:val="18"/>
                <w:lang w:val="en-GB"/>
              </w:rPr>
              <w:t>–</w:t>
            </w:r>
            <w:r w:rsidRPr="000855B2">
              <w:rPr>
                <w:szCs w:val="18"/>
                <w:lang w:val="en-GB" w:eastAsia="en-GB"/>
              </w:rPr>
              <w:t>90</w:t>
            </w:r>
          </w:p>
        </w:tc>
        <w:tc>
          <w:tcPr>
            <w:tcW w:w="1836" w:type="dxa"/>
            <w:noWrap/>
          </w:tcPr>
          <w:p w14:paraId="5FCB8FA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20.5</w:t>
            </w:r>
          </w:p>
        </w:tc>
        <w:tc>
          <w:tcPr>
            <w:tcW w:w="1536" w:type="dxa"/>
            <w:noWrap/>
          </w:tcPr>
          <w:p w14:paraId="1F52D622"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-1.81E-07</w:t>
            </w:r>
          </w:p>
        </w:tc>
        <w:tc>
          <w:tcPr>
            <w:tcW w:w="756" w:type="dxa"/>
            <w:noWrap/>
          </w:tcPr>
          <w:p w14:paraId="47ED8F5F"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1.02</w:t>
            </w:r>
          </w:p>
        </w:tc>
      </w:tr>
      <w:tr w:rsidR="001D2587" w:rsidRPr="000855B2" w14:paraId="251DBB7A" w14:textId="77777777" w:rsidTr="00887829">
        <w:trPr>
          <w:trHeight w:val="255"/>
        </w:trPr>
        <w:tc>
          <w:tcPr>
            <w:tcW w:w="2036" w:type="dxa"/>
            <w:noWrap/>
          </w:tcPr>
          <w:p w14:paraId="079DE43D"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3</w:t>
            </w:r>
          </w:p>
        </w:tc>
        <w:tc>
          <w:tcPr>
            <w:tcW w:w="2336" w:type="dxa"/>
            <w:noWrap/>
          </w:tcPr>
          <w:p w14:paraId="4F49BBD2" w14:textId="77777777" w:rsidR="001D2587" w:rsidRPr="000855B2" w:rsidRDefault="00972A38" w:rsidP="005C7955">
            <w:pPr>
              <w:keepNext/>
              <w:keepLines/>
              <w:suppressAutoHyphens/>
              <w:spacing w:line="240" w:lineRule="atLeast"/>
              <w:jc w:val="center"/>
              <w:rPr>
                <w:szCs w:val="18"/>
                <w:lang w:val="en-GB" w:eastAsia="en-GB"/>
              </w:rPr>
            </w:pPr>
            <w:r w:rsidRPr="000855B2">
              <w:rPr>
                <w:szCs w:val="18"/>
                <w:lang w:val="en-GB" w:eastAsia="en-GB"/>
              </w:rPr>
              <w:t>&gt; </w:t>
            </w:r>
            <w:r w:rsidR="001D2587" w:rsidRPr="000855B2">
              <w:rPr>
                <w:szCs w:val="18"/>
                <w:lang w:val="en-GB" w:eastAsia="en-GB"/>
              </w:rPr>
              <w:t>90</w:t>
            </w:r>
          </w:p>
        </w:tc>
        <w:tc>
          <w:tcPr>
            <w:tcW w:w="1836" w:type="dxa"/>
            <w:noWrap/>
          </w:tcPr>
          <w:p w14:paraId="5AB741F3"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32.9</w:t>
            </w:r>
          </w:p>
        </w:tc>
        <w:tc>
          <w:tcPr>
            <w:tcW w:w="1536" w:type="dxa"/>
            <w:noWrap/>
          </w:tcPr>
          <w:p w14:paraId="4369FF3D"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-2.84E-07</w:t>
            </w:r>
          </w:p>
        </w:tc>
        <w:tc>
          <w:tcPr>
            <w:tcW w:w="756" w:type="dxa"/>
            <w:noWrap/>
          </w:tcPr>
          <w:p w14:paraId="54719995"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1.02</w:t>
            </w:r>
          </w:p>
        </w:tc>
      </w:tr>
      <w:tr w:rsidR="001D2587" w:rsidRPr="000855B2" w14:paraId="701B7151" w14:textId="77777777" w:rsidTr="00887829">
        <w:trPr>
          <w:trHeight w:val="255"/>
        </w:trPr>
        <w:tc>
          <w:tcPr>
            <w:tcW w:w="2036" w:type="dxa"/>
            <w:noWrap/>
          </w:tcPr>
          <w:p w14:paraId="00AE02B4"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4</w:t>
            </w:r>
          </w:p>
        </w:tc>
        <w:tc>
          <w:tcPr>
            <w:tcW w:w="2336" w:type="dxa"/>
            <w:noWrap/>
          </w:tcPr>
          <w:p w14:paraId="2EAA5C8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w:t>
            </w:r>
            <w:r w:rsidR="003424C3" w:rsidRPr="000855B2">
              <w:rPr>
                <w:szCs w:val="18"/>
                <w:lang w:val="en-GB"/>
              </w:rPr>
              <w:t>–</w:t>
            </w:r>
            <w:r w:rsidRPr="000855B2">
              <w:rPr>
                <w:szCs w:val="18"/>
                <w:lang w:val="en-GB" w:eastAsia="en-GB"/>
              </w:rPr>
              <w:t>30</w:t>
            </w:r>
          </w:p>
        </w:tc>
        <w:tc>
          <w:tcPr>
            <w:tcW w:w="1836" w:type="dxa"/>
            <w:noWrap/>
          </w:tcPr>
          <w:p w14:paraId="58AC762B"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13.7</w:t>
            </w:r>
          </w:p>
        </w:tc>
        <w:tc>
          <w:tcPr>
            <w:tcW w:w="1536" w:type="dxa"/>
            <w:noWrap/>
          </w:tcPr>
          <w:p w14:paraId="6B3E2DC4"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1.14E-06</w:t>
            </w:r>
          </w:p>
        </w:tc>
        <w:tc>
          <w:tcPr>
            <w:tcW w:w="756" w:type="dxa"/>
            <w:noWrap/>
          </w:tcPr>
          <w:p w14:paraId="4B6EAE24"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0.87</w:t>
            </w:r>
          </w:p>
        </w:tc>
      </w:tr>
      <w:tr w:rsidR="001D2587" w:rsidRPr="000855B2" w14:paraId="68F50A84" w14:textId="77777777" w:rsidTr="00887829">
        <w:trPr>
          <w:trHeight w:val="255"/>
        </w:trPr>
        <w:tc>
          <w:tcPr>
            <w:tcW w:w="2036" w:type="dxa"/>
            <w:noWrap/>
          </w:tcPr>
          <w:p w14:paraId="67D73340"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4</w:t>
            </w:r>
          </w:p>
        </w:tc>
        <w:tc>
          <w:tcPr>
            <w:tcW w:w="2336" w:type="dxa"/>
            <w:noWrap/>
          </w:tcPr>
          <w:p w14:paraId="45D5FDC9"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30</w:t>
            </w:r>
            <w:r w:rsidR="003424C3" w:rsidRPr="000855B2">
              <w:rPr>
                <w:szCs w:val="18"/>
                <w:lang w:val="en-GB"/>
              </w:rPr>
              <w:t>–</w:t>
            </w:r>
            <w:r w:rsidRPr="000855B2">
              <w:rPr>
                <w:szCs w:val="18"/>
                <w:lang w:val="en-GB" w:eastAsia="en-GB"/>
              </w:rPr>
              <w:t>90</w:t>
            </w:r>
          </w:p>
        </w:tc>
        <w:tc>
          <w:tcPr>
            <w:tcW w:w="1836" w:type="dxa"/>
            <w:noWrap/>
          </w:tcPr>
          <w:p w14:paraId="3D75D233"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16.5</w:t>
            </w:r>
          </w:p>
        </w:tc>
        <w:tc>
          <w:tcPr>
            <w:tcW w:w="1536" w:type="dxa"/>
            <w:noWrap/>
          </w:tcPr>
          <w:p w14:paraId="6C0DC19F"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4.75E-07</w:t>
            </w:r>
          </w:p>
        </w:tc>
        <w:tc>
          <w:tcPr>
            <w:tcW w:w="756" w:type="dxa"/>
            <w:noWrap/>
          </w:tcPr>
          <w:p w14:paraId="66C9DB75"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0.946</w:t>
            </w:r>
          </w:p>
        </w:tc>
      </w:tr>
      <w:tr w:rsidR="001D2587" w:rsidRPr="000855B2" w14:paraId="7DCA4DBC" w14:textId="77777777" w:rsidTr="00887829">
        <w:trPr>
          <w:trHeight w:val="255"/>
        </w:trPr>
        <w:tc>
          <w:tcPr>
            <w:tcW w:w="2036" w:type="dxa"/>
            <w:noWrap/>
          </w:tcPr>
          <w:p w14:paraId="1BA16331" w14:textId="77777777" w:rsidR="001D2587" w:rsidRPr="000855B2" w:rsidRDefault="001D2587" w:rsidP="005C7955">
            <w:pPr>
              <w:keepNext/>
              <w:keepLines/>
              <w:suppressAutoHyphens/>
              <w:spacing w:line="240" w:lineRule="atLeast"/>
              <w:rPr>
                <w:szCs w:val="18"/>
                <w:lang w:val="en-GB" w:eastAsia="en-GB"/>
              </w:rPr>
            </w:pPr>
            <w:r w:rsidRPr="000855B2">
              <w:rPr>
                <w:szCs w:val="18"/>
                <w:lang w:val="en-GB" w:eastAsia="en-GB"/>
              </w:rPr>
              <w:t>Euro 4</w:t>
            </w:r>
          </w:p>
        </w:tc>
        <w:tc>
          <w:tcPr>
            <w:tcW w:w="2336" w:type="dxa"/>
            <w:noWrap/>
          </w:tcPr>
          <w:p w14:paraId="1966FE3C" w14:textId="77777777" w:rsidR="001D2587" w:rsidRPr="000855B2" w:rsidRDefault="00972A38" w:rsidP="005C7955">
            <w:pPr>
              <w:keepNext/>
              <w:keepLines/>
              <w:suppressAutoHyphens/>
              <w:spacing w:line="240" w:lineRule="atLeast"/>
              <w:jc w:val="center"/>
              <w:rPr>
                <w:szCs w:val="18"/>
                <w:lang w:val="en-GB" w:eastAsia="en-GB"/>
              </w:rPr>
            </w:pPr>
            <w:r w:rsidRPr="000855B2">
              <w:rPr>
                <w:szCs w:val="18"/>
                <w:lang w:val="en-GB" w:eastAsia="en-GB"/>
              </w:rPr>
              <w:t>&gt; </w:t>
            </w:r>
            <w:r w:rsidR="001D2587" w:rsidRPr="000855B2">
              <w:rPr>
                <w:szCs w:val="18"/>
                <w:lang w:val="en-GB" w:eastAsia="en-GB"/>
              </w:rPr>
              <w:t>90</w:t>
            </w:r>
          </w:p>
        </w:tc>
        <w:tc>
          <w:tcPr>
            <w:tcW w:w="1836" w:type="dxa"/>
            <w:noWrap/>
          </w:tcPr>
          <w:p w14:paraId="1F33F673"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23.2</w:t>
            </w:r>
          </w:p>
        </w:tc>
        <w:tc>
          <w:tcPr>
            <w:tcW w:w="1536" w:type="dxa"/>
            <w:noWrap/>
          </w:tcPr>
          <w:p w14:paraId="27826B87"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1.27E-07</w:t>
            </w:r>
          </w:p>
        </w:tc>
        <w:tc>
          <w:tcPr>
            <w:tcW w:w="756" w:type="dxa"/>
            <w:noWrap/>
          </w:tcPr>
          <w:p w14:paraId="5163D409" w14:textId="77777777" w:rsidR="001D2587" w:rsidRPr="000855B2" w:rsidRDefault="001D2587" w:rsidP="005C7955">
            <w:pPr>
              <w:keepNext/>
              <w:keepLines/>
              <w:suppressAutoHyphens/>
              <w:spacing w:line="240" w:lineRule="atLeast"/>
              <w:jc w:val="center"/>
              <w:rPr>
                <w:szCs w:val="18"/>
                <w:lang w:val="en-GB" w:eastAsia="en-GB"/>
              </w:rPr>
            </w:pPr>
            <w:r w:rsidRPr="000855B2">
              <w:rPr>
                <w:szCs w:val="18"/>
                <w:lang w:val="en-GB" w:eastAsia="en-GB"/>
              </w:rPr>
              <w:t>0.986</w:t>
            </w:r>
          </w:p>
        </w:tc>
      </w:tr>
      <w:tr w:rsidR="00EB183F" w:rsidRPr="000855B2" w14:paraId="655FD8A0" w14:textId="77777777" w:rsidTr="00887829">
        <w:trPr>
          <w:trHeight w:val="255"/>
        </w:trPr>
        <w:tc>
          <w:tcPr>
            <w:tcW w:w="2036" w:type="dxa"/>
            <w:noWrap/>
            <w:vAlign w:val="bottom"/>
          </w:tcPr>
          <w:p w14:paraId="551517C9" w14:textId="77777777" w:rsidR="00EB183F" w:rsidRPr="000855B2" w:rsidRDefault="00EB183F" w:rsidP="005C7955">
            <w:pPr>
              <w:keepNext/>
              <w:keepLines/>
              <w:suppressAutoHyphens/>
              <w:spacing w:line="240" w:lineRule="atLeast"/>
              <w:rPr>
                <w:szCs w:val="18"/>
                <w:lang w:val="en-GB" w:eastAsia="en-GB"/>
              </w:rPr>
            </w:pPr>
            <w:r w:rsidRPr="000855B2">
              <w:rPr>
                <w:szCs w:val="18"/>
                <w:lang w:val="en-GB" w:eastAsia="en-GB"/>
              </w:rPr>
              <w:t>Euro 5</w:t>
            </w:r>
            <w:r w:rsidR="00542D5B">
              <w:rPr>
                <w:szCs w:val="18"/>
                <w:lang w:val="en-GB" w:eastAsia="en-GB"/>
              </w:rPr>
              <w:t xml:space="preserve"> and on</w:t>
            </w:r>
          </w:p>
        </w:tc>
        <w:tc>
          <w:tcPr>
            <w:tcW w:w="2336" w:type="dxa"/>
            <w:noWrap/>
            <w:vAlign w:val="bottom"/>
          </w:tcPr>
          <w:p w14:paraId="253E68D7" w14:textId="77777777" w:rsidR="00EB183F" w:rsidRPr="000855B2" w:rsidRDefault="00EB183F" w:rsidP="005C7955">
            <w:pPr>
              <w:keepNext/>
              <w:keepLines/>
              <w:suppressAutoHyphens/>
              <w:spacing w:line="240" w:lineRule="atLeast"/>
              <w:jc w:val="center"/>
              <w:rPr>
                <w:szCs w:val="18"/>
                <w:lang w:val="en-GB" w:eastAsia="en-GB"/>
              </w:rPr>
            </w:pPr>
            <w:r w:rsidRPr="000855B2">
              <w:rPr>
                <w:szCs w:val="18"/>
                <w:lang w:val="en-GB" w:eastAsia="en-GB"/>
              </w:rPr>
              <w:t>0-30</w:t>
            </w:r>
          </w:p>
        </w:tc>
        <w:tc>
          <w:tcPr>
            <w:tcW w:w="1836" w:type="dxa"/>
            <w:noWrap/>
            <w:vAlign w:val="bottom"/>
          </w:tcPr>
          <w:p w14:paraId="6648CC61" w14:textId="77777777" w:rsidR="00EB183F" w:rsidRPr="000855B2" w:rsidRDefault="00EB183F" w:rsidP="005C7955">
            <w:pPr>
              <w:keepNext/>
              <w:keepLines/>
              <w:suppressAutoHyphens/>
              <w:spacing w:line="240" w:lineRule="atLeast"/>
              <w:jc w:val="center"/>
              <w:rPr>
                <w:szCs w:val="18"/>
                <w:lang w:val="en-GB" w:eastAsia="en-GB"/>
              </w:rPr>
            </w:pPr>
            <w:r w:rsidRPr="000855B2">
              <w:rPr>
                <w:szCs w:val="18"/>
                <w:lang w:val="en-GB" w:eastAsia="en-GB"/>
              </w:rPr>
              <w:t>2.8</w:t>
            </w:r>
          </w:p>
        </w:tc>
        <w:tc>
          <w:tcPr>
            <w:tcW w:w="1536" w:type="dxa"/>
            <w:noWrap/>
            <w:vAlign w:val="bottom"/>
          </w:tcPr>
          <w:p w14:paraId="11D5A1FF" w14:textId="77777777" w:rsidR="00EB183F" w:rsidRPr="000855B2" w:rsidRDefault="00EB183F" w:rsidP="005C7955">
            <w:pPr>
              <w:keepNext/>
              <w:keepLines/>
              <w:suppressAutoHyphens/>
              <w:spacing w:line="240" w:lineRule="atLeast"/>
              <w:jc w:val="center"/>
              <w:rPr>
                <w:szCs w:val="18"/>
                <w:lang w:val="en-GB" w:eastAsia="en-GB"/>
              </w:rPr>
            </w:pPr>
            <w:r w:rsidRPr="000855B2">
              <w:rPr>
                <w:color w:val="000000"/>
                <w:szCs w:val="18"/>
                <w:lang w:val="en-GB"/>
              </w:rPr>
              <w:t>2.49E-06</w:t>
            </w:r>
          </w:p>
        </w:tc>
        <w:tc>
          <w:tcPr>
            <w:tcW w:w="756" w:type="dxa"/>
            <w:noWrap/>
            <w:vAlign w:val="bottom"/>
          </w:tcPr>
          <w:p w14:paraId="4BB477AC" w14:textId="77777777" w:rsidR="00EB183F" w:rsidRPr="000855B2" w:rsidRDefault="00EB183F" w:rsidP="005C7955">
            <w:pPr>
              <w:keepNext/>
              <w:keepLines/>
              <w:suppressAutoHyphens/>
              <w:spacing w:line="240" w:lineRule="atLeast"/>
              <w:jc w:val="center"/>
              <w:rPr>
                <w:szCs w:val="18"/>
                <w:lang w:val="en-GB" w:eastAsia="en-GB"/>
              </w:rPr>
            </w:pPr>
            <w:r w:rsidRPr="000855B2">
              <w:rPr>
                <w:szCs w:val="18"/>
                <w:lang w:val="en-GB" w:eastAsia="en-GB"/>
              </w:rPr>
              <w:t>0.559</w:t>
            </w:r>
          </w:p>
        </w:tc>
      </w:tr>
    </w:tbl>
    <w:p w14:paraId="2906557B" w14:textId="74B55538" w:rsidR="001D2587" w:rsidRPr="00C92B1B" w:rsidRDefault="00A040D1" w:rsidP="00C92B1B">
      <w:pPr>
        <w:pStyle w:val="Caption"/>
        <w:rPr>
          <w:sz w:val="16"/>
          <w:szCs w:val="16"/>
        </w:rPr>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60</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1D2587" w:rsidRPr="000855B2">
        <w:t xml:space="preserve"> </w:t>
      </w:r>
      <w:r w:rsidR="00757EE1" w:rsidRPr="000855B2">
        <w:t>LCV</w:t>
      </w:r>
      <w:r w:rsidR="001D2587" w:rsidRPr="000855B2">
        <w:t>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C92B1B" w14:paraId="25C776FC" w14:textId="77777777" w:rsidTr="008D2AFB">
        <w:trPr>
          <w:trHeight w:hRule="exact" w:val="397"/>
        </w:trPr>
        <w:tc>
          <w:tcPr>
            <w:tcW w:w="2036" w:type="dxa"/>
            <w:tcBorders>
              <w:bottom w:val="single" w:sz="12" w:space="0" w:color="auto"/>
            </w:tcBorders>
            <w:noWrap/>
          </w:tcPr>
          <w:p w14:paraId="730A23FA"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671314EB"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6216792D"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13338C37"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a</w:t>
            </w:r>
          </w:p>
        </w:tc>
        <w:tc>
          <w:tcPr>
            <w:tcW w:w="756" w:type="dxa"/>
            <w:tcBorders>
              <w:bottom w:val="single" w:sz="12" w:space="0" w:color="auto"/>
            </w:tcBorders>
            <w:noWrap/>
          </w:tcPr>
          <w:p w14:paraId="3B96DDCB"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C92B1B" w14:paraId="1E714E69" w14:textId="77777777" w:rsidTr="008D2AFB">
        <w:trPr>
          <w:trHeight w:val="255"/>
        </w:trPr>
        <w:tc>
          <w:tcPr>
            <w:tcW w:w="2036" w:type="dxa"/>
            <w:tcBorders>
              <w:top w:val="single" w:sz="12" w:space="0" w:color="auto"/>
            </w:tcBorders>
            <w:noWrap/>
          </w:tcPr>
          <w:p w14:paraId="702C6AE6"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730DF31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793384C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10</w:t>
            </w:r>
          </w:p>
        </w:tc>
        <w:tc>
          <w:tcPr>
            <w:tcW w:w="1536" w:type="dxa"/>
            <w:tcBorders>
              <w:top w:val="single" w:sz="12" w:space="0" w:color="auto"/>
            </w:tcBorders>
            <w:noWrap/>
          </w:tcPr>
          <w:p w14:paraId="487ACFBE"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2A807E1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C92B1B" w14:paraId="4332856C" w14:textId="77777777" w:rsidTr="00887829">
        <w:trPr>
          <w:trHeight w:val="255"/>
        </w:trPr>
        <w:tc>
          <w:tcPr>
            <w:tcW w:w="2036" w:type="dxa"/>
            <w:noWrap/>
          </w:tcPr>
          <w:p w14:paraId="7BD9CBC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6D6AEBD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39E604C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41.5</w:t>
            </w:r>
          </w:p>
        </w:tc>
        <w:tc>
          <w:tcPr>
            <w:tcW w:w="1536" w:type="dxa"/>
            <w:noWrap/>
          </w:tcPr>
          <w:p w14:paraId="4851006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2.33E-06</w:t>
            </w:r>
          </w:p>
        </w:tc>
        <w:tc>
          <w:tcPr>
            <w:tcW w:w="756" w:type="dxa"/>
            <w:noWrap/>
          </w:tcPr>
          <w:p w14:paraId="66897AA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0.53</w:t>
            </w:r>
          </w:p>
        </w:tc>
      </w:tr>
      <w:tr w:rsidR="001D2587" w:rsidRPr="00C92B1B" w14:paraId="0D28B226" w14:textId="77777777" w:rsidTr="00887829">
        <w:trPr>
          <w:trHeight w:val="255"/>
        </w:trPr>
        <w:tc>
          <w:tcPr>
            <w:tcW w:w="2036" w:type="dxa"/>
            <w:noWrap/>
          </w:tcPr>
          <w:p w14:paraId="043561A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0EEFAF84"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1C2D13C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60.4</w:t>
            </w:r>
          </w:p>
        </w:tc>
        <w:tc>
          <w:tcPr>
            <w:tcW w:w="1536" w:type="dxa"/>
            <w:noWrap/>
          </w:tcPr>
          <w:p w14:paraId="085B7A7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1.54E-05</w:t>
            </w:r>
          </w:p>
        </w:tc>
        <w:tc>
          <w:tcPr>
            <w:tcW w:w="756" w:type="dxa"/>
            <w:noWrap/>
          </w:tcPr>
          <w:p w14:paraId="3875757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0.255</w:t>
            </w:r>
          </w:p>
        </w:tc>
      </w:tr>
      <w:tr w:rsidR="001D2587" w:rsidRPr="00C92B1B" w14:paraId="152BB659" w14:textId="77777777" w:rsidTr="00887829">
        <w:trPr>
          <w:trHeight w:val="255"/>
        </w:trPr>
        <w:tc>
          <w:tcPr>
            <w:tcW w:w="2036" w:type="dxa"/>
            <w:noWrap/>
          </w:tcPr>
          <w:p w14:paraId="6D4713B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5ACBA73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51DA1C0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23.9</w:t>
            </w:r>
          </w:p>
        </w:tc>
        <w:tc>
          <w:tcPr>
            <w:tcW w:w="1536" w:type="dxa"/>
            <w:noWrap/>
          </w:tcPr>
          <w:p w14:paraId="377223D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2.40E-06</w:t>
            </w:r>
          </w:p>
        </w:tc>
        <w:tc>
          <w:tcPr>
            <w:tcW w:w="756" w:type="dxa"/>
            <w:noWrap/>
          </w:tcPr>
          <w:p w14:paraId="30D5CD2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0.68</w:t>
            </w:r>
          </w:p>
        </w:tc>
      </w:tr>
      <w:tr w:rsidR="001D2587" w:rsidRPr="00C92B1B" w14:paraId="693094FD" w14:textId="77777777" w:rsidTr="00887829">
        <w:trPr>
          <w:trHeight w:val="255"/>
        </w:trPr>
        <w:tc>
          <w:tcPr>
            <w:tcW w:w="2036" w:type="dxa"/>
            <w:noWrap/>
          </w:tcPr>
          <w:p w14:paraId="48FF26C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7F7EC3AE"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3D25D6E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42.1</w:t>
            </w:r>
          </w:p>
        </w:tc>
        <w:tc>
          <w:tcPr>
            <w:tcW w:w="1536" w:type="dxa"/>
            <w:noWrap/>
          </w:tcPr>
          <w:p w14:paraId="6FB357E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1.17E-05</w:t>
            </w:r>
          </w:p>
        </w:tc>
        <w:tc>
          <w:tcPr>
            <w:tcW w:w="756" w:type="dxa"/>
            <w:noWrap/>
          </w:tcPr>
          <w:p w14:paraId="4E3F306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0.56</w:t>
            </w:r>
          </w:p>
        </w:tc>
      </w:tr>
      <w:tr w:rsidR="001D2587" w:rsidRPr="00C92B1B" w14:paraId="2C298BEE" w14:textId="77777777" w:rsidTr="00887829">
        <w:trPr>
          <w:trHeight w:val="255"/>
        </w:trPr>
        <w:tc>
          <w:tcPr>
            <w:tcW w:w="2036" w:type="dxa"/>
            <w:noWrap/>
          </w:tcPr>
          <w:p w14:paraId="07D0A93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6AF9889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01FAC7C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7.4</w:t>
            </w:r>
          </w:p>
        </w:tc>
        <w:tc>
          <w:tcPr>
            <w:tcW w:w="1536" w:type="dxa"/>
            <w:noWrap/>
          </w:tcPr>
          <w:p w14:paraId="0CCDECF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2.81E-06</w:t>
            </w:r>
          </w:p>
        </w:tc>
        <w:tc>
          <w:tcPr>
            <w:tcW w:w="756" w:type="dxa"/>
            <w:noWrap/>
          </w:tcPr>
          <w:p w14:paraId="5309706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0.64</w:t>
            </w:r>
          </w:p>
        </w:tc>
      </w:tr>
      <w:tr w:rsidR="001D2587" w:rsidRPr="00C92B1B" w14:paraId="6BEFED4D" w14:textId="77777777" w:rsidTr="00887829">
        <w:trPr>
          <w:trHeight w:val="255"/>
        </w:trPr>
        <w:tc>
          <w:tcPr>
            <w:tcW w:w="2036" w:type="dxa"/>
            <w:noWrap/>
          </w:tcPr>
          <w:p w14:paraId="50E9EB5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38F59C0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416FA05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12.7</w:t>
            </w:r>
          </w:p>
        </w:tc>
        <w:tc>
          <w:tcPr>
            <w:tcW w:w="1536" w:type="dxa"/>
            <w:noWrap/>
          </w:tcPr>
          <w:p w14:paraId="7266333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1.41E-06</w:t>
            </w:r>
          </w:p>
        </w:tc>
        <w:tc>
          <w:tcPr>
            <w:tcW w:w="756" w:type="dxa"/>
            <w:noWrap/>
          </w:tcPr>
          <w:p w14:paraId="55C7C57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w:t>
            </w:r>
          </w:p>
        </w:tc>
      </w:tr>
      <w:tr w:rsidR="001D2587" w:rsidRPr="00C92B1B" w14:paraId="5F8E4E1F" w14:textId="77777777" w:rsidTr="00887829">
        <w:trPr>
          <w:trHeight w:val="255"/>
        </w:trPr>
        <w:tc>
          <w:tcPr>
            <w:tcW w:w="2036" w:type="dxa"/>
            <w:noWrap/>
          </w:tcPr>
          <w:p w14:paraId="6E6F993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4A55785F"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4BF7A09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36.7</w:t>
            </w:r>
          </w:p>
        </w:tc>
        <w:tc>
          <w:tcPr>
            <w:tcW w:w="1536" w:type="dxa"/>
            <w:noWrap/>
          </w:tcPr>
          <w:p w14:paraId="75D79C2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1.44E-06</w:t>
            </w:r>
          </w:p>
        </w:tc>
        <w:tc>
          <w:tcPr>
            <w:tcW w:w="756" w:type="dxa"/>
            <w:noWrap/>
          </w:tcPr>
          <w:p w14:paraId="6B8EC7A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0.86</w:t>
            </w:r>
          </w:p>
        </w:tc>
      </w:tr>
      <w:tr w:rsidR="001D2587" w:rsidRPr="00C92B1B" w14:paraId="1E71F235" w14:textId="77777777" w:rsidTr="00887829">
        <w:trPr>
          <w:trHeight w:val="255"/>
        </w:trPr>
        <w:tc>
          <w:tcPr>
            <w:tcW w:w="2036" w:type="dxa"/>
            <w:noWrap/>
          </w:tcPr>
          <w:p w14:paraId="7157F03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55A7A94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1C16CCB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w:t>
            </w:r>
          </w:p>
        </w:tc>
        <w:tc>
          <w:tcPr>
            <w:tcW w:w="1536" w:type="dxa"/>
            <w:noWrap/>
          </w:tcPr>
          <w:p w14:paraId="31B81E8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6.57E-07</w:t>
            </w:r>
          </w:p>
        </w:tc>
        <w:tc>
          <w:tcPr>
            <w:tcW w:w="756" w:type="dxa"/>
            <w:noWrap/>
          </w:tcPr>
          <w:p w14:paraId="7F774A7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0.925</w:t>
            </w:r>
          </w:p>
        </w:tc>
      </w:tr>
      <w:tr w:rsidR="001D2587" w:rsidRPr="00C92B1B" w14:paraId="420F7676" w14:textId="77777777" w:rsidTr="00887829">
        <w:trPr>
          <w:trHeight w:val="255"/>
        </w:trPr>
        <w:tc>
          <w:tcPr>
            <w:tcW w:w="2036" w:type="dxa"/>
            <w:noWrap/>
          </w:tcPr>
          <w:p w14:paraId="1465AFB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1C1234B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017CAC9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0.85</w:t>
            </w:r>
          </w:p>
        </w:tc>
        <w:tc>
          <w:tcPr>
            <w:tcW w:w="1536" w:type="dxa"/>
            <w:noWrap/>
          </w:tcPr>
          <w:p w14:paraId="26F5F67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5.72E-07</w:t>
            </w:r>
          </w:p>
        </w:tc>
        <w:tc>
          <w:tcPr>
            <w:tcW w:w="756" w:type="dxa"/>
            <w:noWrap/>
          </w:tcPr>
          <w:p w14:paraId="44FD3CB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0.935</w:t>
            </w:r>
          </w:p>
        </w:tc>
      </w:tr>
      <w:tr w:rsidR="001D2587" w:rsidRPr="00C92B1B" w14:paraId="286A7F3C" w14:textId="77777777" w:rsidTr="00887829">
        <w:trPr>
          <w:trHeight w:val="255"/>
        </w:trPr>
        <w:tc>
          <w:tcPr>
            <w:tcW w:w="2036" w:type="dxa"/>
            <w:noWrap/>
          </w:tcPr>
          <w:p w14:paraId="6640689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4FF8DC3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1924294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7.9</w:t>
            </w:r>
          </w:p>
        </w:tc>
        <w:tc>
          <w:tcPr>
            <w:tcW w:w="1536" w:type="dxa"/>
            <w:noWrap/>
          </w:tcPr>
          <w:p w14:paraId="1B4F7A3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3.07E-07</w:t>
            </w:r>
          </w:p>
        </w:tc>
        <w:tc>
          <w:tcPr>
            <w:tcW w:w="756" w:type="dxa"/>
            <w:noWrap/>
          </w:tcPr>
          <w:p w14:paraId="531003B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0.965</w:t>
            </w:r>
          </w:p>
        </w:tc>
      </w:tr>
      <w:tr w:rsidR="00EB183F" w:rsidRPr="00C92B1B" w14:paraId="217AFB72" w14:textId="77777777" w:rsidTr="00887829">
        <w:trPr>
          <w:trHeight w:val="255"/>
        </w:trPr>
        <w:tc>
          <w:tcPr>
            <w:tcW w:w="2036" w:type="dxa"/>
            <w:noWrap/>
            <w:vAlign w:val="bottom"/>
          </w:tcPr>
          <w:p w14:paraId="189FE3C9"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vAlign w:val="bottom"/>
          </w:tcPr>
          <w:p w14:paraId="48F25855"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vAlign w:val="bottom"/>
          </w:tcPr>
          <w:p w14:paraId="14338534"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2.4</w:t>
            </w:r>
          </w:p>
        </w:tc>
        <w:tc>
          <w:tcPr>
            <w:tcW w:w="1536" w:type="dxa"/>
            <w:noWrap/>
            <w:vAlign w:val="bottom"/>
          </w:tcPr>
          <w:p w14:paraId="1789EAF1"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7.83E-07</w:t>
            </w:r>
          </w:p>
        </w:tc>
        <w:tc>
          <w:tcPr>
            <w:tcW w:w="756" w:type="dxa"/>
            <w:noWrap/>
            <w:vAlign w:val="bottom"/>
          </w:tcPr>
          <w:p w14:paraId="2106EB3B"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0.861</w:t>
            </w:r>
          </w:p>
        </w:tc>
      </w:tr>
    </w:tbl>
    <w:p w14:paraId="060D030F" w14:textId="77777777" w:rsidR="00323D0A" w:rsidRPr="000855B2" w:rsidRDefault="00323D0A" w:rsidP="00660D54">
      <w:pPr>
        <w:rPr>
          <w:lang w:val="en-GB"/>
        </w:rPr>
      </w:pPr>
    </w:p>
    <w:p w14:paraId="3C3B043B" w14:textId="2E7B475D" w:rsidR="001D2587" w:rsidRPr="00C92B1B" w:rsidRDefault="00323D0A" w:rsidP="00C92B1B">
      <w:pPr>
        <w:pStyle w:val="Caption"/>
      </w:pPr>
      <w:r w:rsidRPr="00C92B1B">
        <w:br w:type="page"/>
      </w:r>
      <w:r w:rsidRPr="00C92B1B">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61</w:t>
      </w:r>
      <w:r w:rsidR="00FB454C">
        <w:rPr>
          <w:noProof/>
        </w:rPr>
        <w:fldChar w:fldCharType="end"/>
      </w:r>
      <w:r w:rsidRPr="00C92B1B">
        <w:t xml:space="preserve">: Parameters for equation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Pr="00C92B1B">
        <w:t xml:space="preserve"> to calculate N</w:t>
      </w:r>
      <w:r w:rsidRPr="00631228">
        <w:rPr>
          <w:vertAlign w:val="subscript"/>
        </w:rPr>
        <w:t>2</w:t>
      </w:r>
      <w:r w:rsidRPr="00C92B1B">
        <w:t xml:space="preserve">O emission factors for </w:t>
      </w:r>
      <w:r w:rsidR="005E4DC4">
        <w:t>petrol</w:t>
      </w:r>
      <w:r w:rsidRPr="00C92B1B">
        <w:t xml:space="preserve"> LCVs under hot rural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36"/>
        <w:gridCol w:w="2336"/>
        <w:gridCol w:w="1836"/>
        <w:gridCol w:w="1536"/>
        <w:gridCol w:w="756"/>
      </w:tblGrid>
      <w:tr w:rsidR="001D2587" w:rsidRPr="000855B2" w14:paraId="0311FCF4" w14:textId="77777777" w:rsidTr="008D2AFB">
        <w:trPr>
          <w:trHeight w:hRule="exact" w:val="397"/>
        </w:trPr>
        <w:tc>
          <w:tcPr>
            <w:tcW w:w="2036" w:type="dxa"/>
            <w:tcBorders>
              <w:bottom w:val="single" w:sz="12" w:space="0" w:color="auto"/>
            </w:tcBorders>
            <w:noWrap/>
          </w:tcPr>
          <w:p w14:paraId="3F1E2499"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 xml:space="preserve">Emission </w:t>
            </w:r>
            <w:r w:rsidR="00861120" w:rsidRPr="00C92B1B">
              <w:rPr>
                <w:b/>
                <w:sz w:val="16"/>
                <w:szCs w:val="16"/>
                <w:lang w:val="en-GB" w:eastAsia="en-GB"/>
              </w:rPr>
              <w:t>s</w:t>
            </w:r>
            <w:r w:rsidRPr="00C92B1B">
              <w:rPr>
                <w:b/>
                <w:sz w:val="16"/>
                <w:szCs w:val="16"/>
                <w:lang w:val="en-GB" w:eastAsia="en-GB"/>
              </w:rPr>
              <w:t>tandard</w:t>
            </w:r>
          </w:p>
        </w:tc>
        <w:tc>
          <w:tcPr>
            <w:tcW w:w="2336" w:type="dxa"/>
            <w:tcBorders>
              <w:bottom w:val="single" w:sz="12" w:space="0" w:color="auto"/>
            </w:tcBorders>
            <w:noWrap/>
          </w:tcPr>
          <w:p w14:paraId="026EE145"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Sulphur content (ppm)</w:t>
            </w:r>
          </w:p>
        </w:tc>
        <w:tc>
          <w:tcPr>
            <w:tcW w:w="1836" w:type="dxa"/>
            <w:tcBorders>
              <w:bottom w:val="single" w:sz="12" w:space="0" w:color="auto"/>
            </w:tcBorders>
            <w:noWrap/>
          </w:tcPr>
          <w:p w14:paraId="72C4C5D1"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Base EF (mg/km)</w:t>
            </w:r>
          </w:p>
        </w:tc>
        <w:tc>
          <w:tcPr>
            <w:tcW w:w="1536" w:type="dxa"/>
            <w:tcBorders>
              <w:bottom w:val="single" w:sz="12" w:space="0" w:color="auto"/>
            </w:tcBorders>
            <w:noWrap/>
          </w:tcPr>
          <w:p w14:paraId="01E5D426"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a</w:t>
            </w:r>
          </w:p>
        </w:tc>
        <w:tc>
          <w:tcPr>
            <w:tcW w:w="756" w:type="dxa"/>
            <w:tcBorders>
              <w:bottom w:val="single" w:sz="12" w:space="0" w:color="auto"/>
            </w:tcBorders>
            <w:noWrap/>
          </w:tcPr>
          <w:p w14:paraId="69086B87" w14:textId="77777777" w:rsidR="001D2587" w:rsidRPr="00C92B1B" w:rsidRDefault="001D2587" w:rsidP="005C7955">
            <w:pPr>
              <w:keepNext/>
              <w:keepLines/>
              <w:suppressAutoHyphens/>
              <w:spacing w:line="240" w:lineRule="atLeast"/>
              <w:jc w:val="center"/>
              <w:rPr>
                <w:b/>
                <w:sz w:val="16"/>
                <w:szCs w:val="16"/>
                <w:lang w:val="en-GB" w:eastAsia="en-GB"/>
              </w:rPr>
            </w:pPr>
            <w:r w:rsidRPr="00C92B1B">
              <w:rPr>
                <w:b/>
                <w:sz w:val="16"/>
                <w:szCs w:val="16"/>
                <w:lang w:val="en-GB" w:eastAsia="en-GB"/>
              </w:rPr>
              <w:t>b</w:t>
            </w:r>
          </w:p>
        </w:tc>
      </w:tr>
      <w:tr w:rsidR="001D2587" w:rsidRPr="000855B2" w14:paraId="528D2ED4" w14:textId="77777777" w:rsidTr="008D2AFB">
        <w:trPr>
          <w:trHeight w:val="255"/>
        </w:trPr>
        <w:tc>
          <w:tcPr>
            <w:tcW w:w="2036" w:type="dxa"/>
            <w:tcBorders>
              <w:top w:val="single" w:sz="12" w:space="0" w:color="auto"/>
            </w:tcBorders>
            <w:noWrap/>
          </w:tcPr>
          <w:p w14:paraId="6421DE2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0253686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All</w:t>
            </w:r>
          </w:p>
        </w:tc>
        <w:tc>
          <w:tcPr>
            <w:tcW w:w="1836" w:type="dxa"/>
            <w:tcBorders>
              <w:top w:val="single" w:sz="12" w:space="0" w:color="auto"/>
            </w:tcBorders>
            <w:noWrap/>
          </w:tcPr>
          <w:p w14:paraId="54D88AF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1258CA68"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7359AEA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1792AA29" w14:textId="77777777" w:rsidTr="00887829">
        <w:trPr>
          <w:trHeight w:val="255"/>
        </w:trPr>
        <w:tc>
          <w:tcPr>
            <w:tcW w:w="2036" w:type="dxa"/>
            <w:noWrap/>
          </w:tcPr>
          <w:p w14:paraId="0D4A5AD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788C1CE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323CF31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18.5</w:t>
            </w:r>
          </w:p>
        </w:tc>
        <w:tc>
          <w:tcPr>
            <w:tcW w:w="1536" w:type="dxa"/>
            <w:noWrap/>
          </w:tcPr>
          <w:p w14:paraId="67460C2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2.90E-06</w:t>
            </w:r>
          </w:p>
        </w:tc>
        <w:tc>
          <w:tcPr>
            <w:tcW w:w="756" w:type="dxa"/>
            <w:noWrap/>
          </w:tcPr>
          <w:p w14:paraId="054DDFE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0.747</w:t>
            </w:r>
          </w:p>
        </w:tc>
      </w:tr>
      <w:tr w:rsidR="001D2587" w:rsidRPr="000855B2" w14:paraId="2D644763" w14:textId="77777777" w:rsidTr="00887829">
        <w:trPr>
          <w:trHeight w:val="255"/>
        </w:trPr>
        <w:tc>
          <w:tcPr>
            <w:tcW w:w="2036" w:type="dxa"/>
            <w:noWrap/>
          </w:tcPr>
          <w:p w14:paraId="70969E3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5D3F9996"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6BF3FCF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26.3</w:t>
            </w:r>
          </w:p>
        </w:tc>
        <w:tc>
          <w:tcPr>
            <w:tcW w:w="1536" w:type="dxa"/>
            <w:noWrap/>
          </w:tcPr>
          <w:p w14:paraId="0A3C51A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2.96E-05</w:t>
            </w:r>
          </w:p>
        </w:tc>
        <w:tc>
          <w:tcPr>
            <w:tcW w:w="756" w:type="dxa"/>
            <w:noWrap/>
          </w:tcPr>
          <w:p w14:paraId="4715E0F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0.49</w:t>
            </w:r>
          </w:p>
        </w:tc>
      </w:tr>
      <w:tr w:rsidR="001D2587" w:rsidRPr="000855B2" w14:paraId="5D1BFFBC" w14:textId="77777777" w:rsidTr="00887829">
        <w:trPr>
          <w:trHeight w:val="255"/>
        </w:trPr>
        <w:tc>
          <w:tcPr>
            <w:tcW w:w="2036" w:type="dxa"/>
            <w:noWrap/>
          </w:tcPr>
          <w:p w14:paraId="7B136AC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32F3DE2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509F8A0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12.2</w:t>
            </w:r>
          </w:p>
        </w:tc>
        <w:tc>
          <w:tcPr>
            <w:tcW w:w="1536" w:type="dxa"/>
            <w:noWrap/>
          </w:tcPr>
          <w:p w14:paraId="137E863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2.67E-06</w:t>
            </w:r>
          </w:p>
        </w:tc>
        <w:tc>
          <w:tcPr>
            <w:tcW w:w="756" w:type="dxa"/>
            <w:noWrap/>
          </w:tcPr>
          <w:p w14:paraId="77F069E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0.76</w:t>
            </w:r>
          </w:p>
        </w:tc>
      </w:tr>
      <w:tr w:rsidR="001D2587" w:rsidRPr="000855B2" w14:paraId="59C0833A" w14:textId="77777777" w:rsidTr="00887829">
        <w:trPr>
          <w:trHeight w:val="255"/>
        </w:trPr>
        <w:tc>
          <w:tcPr>
            <w:tcW w:w="2036" w:type="dxa"/>
            <w:noWrap/>
          </w:tcPr>
          <w:p w14:paraId="162EC550"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1B5444C3"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0ADEB73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21.1</w:t>
            </w:r>
          </w:p>
        </w:tc>
        <w:tc>
          <w:tcPr>
            <w:tcW w:w="1536" w:type="dxa"/>
            <w:noWrap/>
          </w:tcPr>
          <w:p w14:paraId="1D28AD8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1.92E-05</w:t>
            </w:r>
          </w:p>
        </w:tc>
        <w:tc>
          <w:tcPr>
            <w:tcW w:w="756" w:type="dxa"/>
            <w:noWrap/>
          </w:tcPr>
          <w:p w14:paraId="3C95CC04"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0.66</w:t>
            </w:r>
          </w:p>
        </w:tc>
      </w:tr>
      <w:tr w:rsidR="001D2587" w:rsidRPr="000855B2" w14:paraId="203E8798" w14:textId="77777777" w:rsidTr="00887829">
        <w:trPr>
          <w:trHeight w:val="255"/>
        </w:trPr>
        <w:tc>
          <w:tcPr>
            <w:tcW w:w="2036" w:type="dxa"/>
            <w:noWrap/>
          </w:tcPr>
          <w:p w14:paraId="497736BD"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D7BD55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12B52F6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w:t>
            </w:r>
          </w:p>
        </w:tc>
        <w:tc>
          <w:tcPr>
            <w:tcW w:w="1536" w:type="dxa"/>
            <w:noWrap/>
          </w:tcPr>
          <w:p w14:paraId="4BE9059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1.27E-06</w:t>
            </w:r>
          </w:p>
        </w:tc>
        <w:tc>
          <w:tcPr>
            <w:tcW w:w="756" w:type="dxa"/>
            <w:noWrap/>
          </w:tcPr>
          <w:p w14:paraId="45887D5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0.837</w:t>
            </w:r>
          </w:p>
        </w:tc>
      </w:tr>
      <w:tr w:rsidR="001D2587" w:rsidRPr="000855B2" w14:paraId="3A9FFCF5" w14:textId="77777777" w:rsidTr="00887829">
        <w:trPr>
          <w:trHeight w:val="255"/>
        </w:trPr>
        <w:tc>
          <w:tcPr>
            <w:tcW w:w="2036" w:type="dxa"/>
            <w:noWrap/>
          </w:tcPr>
          <w:p w14:paraId="19E4A32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3537C8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64DC7EA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w:t>
            </w:r>
          </w:p>
        </w:tc>
        <w:tc>
          <w:tcPr>
            <w:tcW w:w="1536" w:type="dxa"/>
            <w:noWrap/>
          </w:tcPr>
          <w:p w14:paraId="79F407E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1.88E-06</w:t>
            </w:r>
          </w:p>
        </w:tc>
        <w:tc>
          <w:tcPr>
            <w:tcW w:w="756" w:type="dxa"/>
            <w:noWrap/>
          </w:tcPr>
          <w:p w14:paraId="21E072C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0.77</w:t>
            </w:r>
          </w:p>
        </w:tc>
      </w:tr>
      <w:tr w:rsidR="001D2587" w:rsidRPr="000855B2" w14:paraId="03DE9DAC" w14:textId="77777777" w:rsidTr="00887829">
        <w:trPr>
          <w:trHeight w:val="255"/>
        </w:trPr>
        <w:tc>
          <w:tcPr>
            <w:tcW w:w="2036" w:type="dxa"/>
            <w:noWrap/>
          </w:tcPr>
          <w:p w14:paraId="26B8137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ED00C4E"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0E74F62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18.1</w:t>
            </w:r>
          </w:p>
        </w:tc>
        <w:tc>
          <w:tcPr>
            <w:tcW w:w="1536" w:type="dxa"/>
            <w:noWrap/>
          </w:tcPr>
          <w:p w14:paraId="3813627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1.78E-06</w:t>
            </w:r>
          </w:p>
        </w:tc>
        <w:tc>
          <w:tcPr>
            <w:tcW w:w="756" w:type="dxa"/>
            <w:noWrap/>
          </w:tcPr>
          <w:p w14:paraId="5AB599E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w:t>
            </w:r>
          </w:p>
        </w:tc>
      </w:tr>
      <w:tr w:rsidR="001D2587" w:rsidRPr="000855B2" w14:paraId="066D91EA" w14:textId="77777777" w:rsidTr="00887829">
        <w:trPr>
          <w:trHeight w:val="255"/>
        </w:trPr>
        <w:tc>
          <w:tcPr>
            <w:tcW w:w="2036" w:type="dxa"/>
            <w:noWrap/>
          </w:tcPr>
          <w:p w14:paraId="0E538609"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549C3B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69E6F38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5C19D2B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6.33E-06</w:t>
            </w:r>
          </w:p>
        </w:tc>
        <w:tc>
          <w:tcPr>
            <w:tcW w:w="756" w:type="dxa"/>
            <w:noWrap/>
          </w:tcPr>
          <w:p w14:paraId="65B5B1A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0.278</w:t>
            </w:r>
          </w:p>
        </w:tc>
      </w:tr>
      <w:tr w:rsidR="001D2587" w:rsidRPr="000855B2" w14:paraId="7E9DE8E9" w14:textId="77777777" w:rsidTr="00887829">
        <w:trPr>
          <w:trHeight w:val="255"/>
        </w:trPr>
        <w:tc>
          <w:tcPr>
            <w:tcW w:w="2036" w:type="dxa"/>
            <w:noWrap/>
          </w:tcPr>
          <w:p w14:paraId="3483789A"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32B6876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1F767ED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1FED164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3.62E-06</w:t>
            </w:r>
          </w:p>
        </w:tc>
        <w:tc>
          <w:tcPr>
            <w:tcW w:w="756" w:type="dxa"/>
            <w:noWrap/>
          </w:tcPr>
          <w:p w14:paraId="657CC4F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0.587</w:t>
            </w:r>
          </w:p>
        </w:tc>
      </w:tr>
      <w:tr w:rsidR="001D2587" w:rsidRPr="000855B2" w14:paraId="673F9B69" w14:textId="77777777" w:rsidTr="00887829">
        <w:trPr>
          <w:trHeight w:val="255"/>
        </w:trPr>
        <w:tc>
          <w:tcPr>
            <w:tcW w:w="2036" w:type="dxa"/>
            <w:noWrap/>
          </w:tcPr>
          <w:p w14:paraId="0AFD2C08"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2D8EEC46"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5F0B0A3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8.7</w:t>
            </w:r>
          </w:p>
        </w:tc>
        <w:tc>
          <w:tcPr>
            <w:tcW w:w="1536" w:type="dxa"/>
            <w:noWrap/>
          </w:tcPr>
          <w:p w14:paraId="45933F6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2.03E-06</w:t>
            </w:r>
          </w:p>
        </w:tc>
        <w:tc>
          <w:tcPr>
            <w:tcW w:w="756" w:type="dxa"/>
            <w:noWrap/>
          </w:tcPr>
          <w:p w14:paraId="3CF3924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0.768</w:t>
            </w:r>
          </w:p>
        </w:tc>
      </w:tr>
      <w:tr w:rsidR="00EB183F" w:rsidRPr="000855B2" w14:paraId="5BCB0FD7" w14:textId="77777777" w:rsidTr="00887829">
        <w:trPr>
          <w:trHeight w:val="255"/>
        </w:trPr>
        <w:tc>
          <w:tcPr>
            <w:tcW w:w="2036" w:type="dxa"/>
            <w:noWrap/>
          </w:tcPr>
          <w:p w14:paraId="0E3A0162"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6253D834"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459A274B"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0.2</w:t>
            </w:r>
          </w:p>
        </w:tc>
        <w:tc>
          <w:tcPr>
            <w:tcW w:w="1536" w:type="dxa"/>
            <w:noWrap/>
          </w:tcPr>
          <w:p w14:paraId="45E2515F"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2.61E-06</w:t>
            </w:r>
          </w:p>
        </w:tc>
        <w:tc>
          <w:tcPr>
            <w:tcW w:w="756" w:type="dxa"/>
            <w:noWrap/>
          </w:tcPr>
          <w:p w14:paraId="16587D49"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0.726</w:t>
            </w:r>
          </w:p>
        </w:tc>
      </w:tr>
    </w:tbl>
    <w:p w14:paraId="182B9F66" w14:textId="45934A93" w:rsidR="001D2587" w:rsidRPr="000855B2" w:rsidRDefault="00A040D1" w:rsidP="00C92B1B">
      <w:pPr>
        <w:pStyle w:val="Caption"/>
      </w:pPr>
      <w:bookmarkStart w:id="250" w:name="_Ref140570393"/>
      <w:bookmarkStart w:id="251" w:name="_Ref201742608"/>
      <w:bookmarkStart w:id="252" w:name="_Ref400296633"/>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62</w:t>
      </w:r>
      <w:r w:rsidR="00FB454C">
        <w:rPr>
          <w:noProof/>
        </w:rPr>
        <w:fldChar w:fldCharType="end"/>
      </w:r>
      <w:bookmarkEnd w:id="250"/>
      <w:bookmarkEnd w:id="251"/>
      <w:bookmarkEnd w:id="252"/>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w:t>
      </w:r>
      <w:r w:rsidR="001D2587" w:rsidRPr="000855B2">
        <w:rPr>
          <w:vertAlign w:val="subscript"/>
        </w:rPr>
        <w:t>2</w:t>
      </w:r>
      <w:r w:rsidR="001D2587" w:rsidRPr="000855B2">
        <w:t xml:space="preserve">O emission factors for </w:t>
      </w:r>
      <w:r w:rsidR="005E4DC4">
        <w:t>petrol</w:t>
      </w:r>
      <w:r w:rsidR="001D2587" w:rsidRPr="000855B2">
        <w:t xml:space="preserve"> </w:t>
      </w:r>
      <w:r w:rsidR="00757EE1" w:rsidRPr="000855B2">
        <w:t>LCV</w:t>
      </w:r>
      <w:r w:rsidR="001D2587" w:rsidRPr="000855B2">
        <w:t>s under hot highway conditions</w:t>
      </w:r>
    </w:p>
    <w:tbl>
      <w:tblPr>
        <w:tblW w:w="84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937"/>
        <w:gridCol w:w="2336"/>
        <w:gridCol w:w="1836"/>
        <w:gridCol w:w="1536"/>
        <w:gridCol w:w="756"/>
      </w:tblGrid>
      <w:tr w:rsidR="001D2587" w:rsidRPr="000855B2" w14:paraId="73B5044A" w14:textId="77777777" w:rsidTr="008D2AFB">
        <w:trPr>
          <w:trHeight w:hRule="exact" w:val="397"/>
        </w:trPr>
        <w:tc>
          <w:tcPr>
            <w:tcW w:w="1937" w:type="dxa"/>
            <w:tcBorders>
              <w:bottom w:val="single" w:sz="12" w:space="0" w:color="auto"/>
            </w:tcBorders>
            <w:noWrap/>
          </w:tcPr>
          <w:p w14:paraId="5C8EBBEF"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 xml:space="preserve">Emission </w:t>
            </w:r>
            <w:r w:rsidR="00861120" w:rsidRPr="00C92B1B">
              <w:rPr>
                <w:b/>
                <w:bCs/>
                <w:sz w:val="16"/>
                <w:szCs w:val="16"/>
                <w:lang w:val="en-GB" w:eastAsia="en-GB"/>
              </w:rPr>
              <w:t>s</w:t>
            </w:r>
            <w:r w:rsidRPr="00C92B1B">
              <w:rPr>
                <w:b/>
                <w:bCs/>
                <w:sz w:val="16"/>
                <w:szCs w:val="16"/>
                <w:lang w:val="en-GB" w:eastAsia="en-GB"/>
              </w:rPr>
              <w:t>tandard</w:t>
            </w:r>
          </w:p>
        </w:tc>
        <w:tc>
          <w:tcPr>
            <w:tcW w:w="2336" w:type="dxa"/>
            <w:tcBorders>
              <w:bottom w:val="single" w:sz="12" w:space="0" w:color="auto"/>
            </w:tcBorders>
            <w:noWrap/>
          </w:tcPr>
          <w:p w14:paraId="6ACC9C49"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Sulphur content (ppm)</w:t>
            </w:r>
          </w:p>
        </w:tc>
        <w:tc>
          <w:tcPr>
            <w:tcW w:w="1836" w:type="dxa"/>
            <w:tcBorders>
              <w:bottom w:val="single" w:sz="12" w:space="0" w:color="auto"/>
            </w:tcBorders>
            <w:noWrap/>
          </w:tcPr>
          <w:p w14:paraId="46947BE7"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Base EF (mg/km)</w:t>
            </w:r>
          </w:p>
        </w:tc>
        <w:tc>
          <w:tcPr>
            <w:tcW w:w="1536" w:type="dxa"/>
            <w:tcBorders>
              <w:bottom w:val="single" w:sz="12" w:space="0" w:color="auto"/>
            </w:tcBorders>
            <w:noWrap/>
          </w:tcPr>
          <w:p w14:paraId="49622F99"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a</w:t>
            </w:r>
          </w:p>
        </w:tc>
        <w:tc>
          <w:tcPr>
            <w:tcW w:w="756" w:type="dxa"/>
            <w:tcBorders>
              <w:bottom w:val="single" w:sz="12" w:space="0" w:color="auto"/>
            </w:tcBorders>
            <w:noWrap/>
          </w:tcPr>
          <w:p w14:paraId="56C8E2E3" w14:textId="77777777" w:rsidR="001D2587" w:rsidRPr="00C92B1B" w:rsidRDefault="001D2587" w:rsidP="005C7955">
            <w:pPr>
              <w:keepNext/>
              <w:keepLines/>
              <w:suppressAutoHyphens/>
              <w:spacing w:line="240" w:lineRule="atLeast"/>
              <w:jc w:val="center"/>
              <w:rPr>
                <w:b/>
                <w:bCs/>
                <w:sz w:val="16"/>
                <w:szCs w:val="16"/>
                <w:lang w:val="en-GB" w:eastAsia="en-GB"/>
              </w:rPr>
            </w:pPr>
            <w:r w:rsidRPr="00C92B1B">
              <w:rPr>
                <w:b/>
                <w:bCs/>
                <w:sz w:val="16"/>
                <w:szCs w:val="16"/>
                <w:lang w:val="en-GB" w:eastAsia="en-GB"/>
              </w:rPr>
              <w:t>b</w:t>
            </w:r>
          </w:p>
        </w:tc>
      </w:tr>
      <w:tr w:rsidR="001D2587" w:rsidRPr="000855B2" w14:paraId="51B5D5A3" w14:textId="77777777" w:rsidTr="008D2AFB">
        <w:trPr>
          <w:trHeight w:val="255"/>
        </w:trPr>
        <w:tc>
          <w:tcPr>
            <w:tcW w:w="1937" w:type="dxa"/>
            <w:tcBorders>
              <w:top w:val="single" w:sz="12" w:space="0" w:color="auto"/>
            </w:tcBorders>
            <w:noWrap/>
          </w:tcPr>
          <w:p w14:paraId="02728552"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pre-Euro</w:t>
            </w:r>
          </w:p>
        </w:tc>
        <w:tc>
          <w:tcPr>
            <w:tcW w:w="2336" w:type="dxa"/>
            <w:tcBorders>
              <w:top w:val="single" w:sz="12" w:space="0" w:color="auto"/>
            </w:tcBorders>
            <w:noWrap/>
          </w:tcPr>
          <w:p w14:paraId="7E7146C5"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0</w:t>
            </w:r>
          </w:p>
        </w:tc>
        <w:tc>
          <w:tcPr>
            <w:tcW w:w="1836" w:type="dxa"/>
            <w:tcBorders>
              <w:top w:val="single" w:sz="12" w:space="0" w:color="auto"/>
            </w:tcBorders>
            <w:noWrap/>
          </w:tcPr>
          <w:p w14:paraId="5AB4E54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6.5</w:t>
            </w:r>
          </w:p>
        </w:tc>
        <w:tc>
          <w:tcPr>
            <w:tcW w:w="1536" w:type="dxa"/>
            <w:tcBorders>
              <w:top w:val="single" w:sz="12" w:space="0" w:color="auto"/>
            </w:tcBorders>
            <w:noWrap/>
          </w:tcPr>
          <w:p w14:paraId="68CDEE46" w14:textId="77777777" w:rsidR="001D2587" w:rsidRPr="005B3D90" w:rsidRDefault="005B3D90" w:rsidP="005C7955">
            <w:pPr>
              <w:keepNext/>
              <w:keepLines/>
              <w:suppressAutoHyphens/>
              <w:spacing w:line="240" w:lineRule="atLeast"/>
              <w:jc w:val="center"/>
              <w:rPr>
                <w:sz w:val="16"/>
                <w:szCs w:val="16"/>
                <w:lang w:val="el-GR" w:eastAsia="en-GB"/>
              </w:rPr>
            </w:pPr>
            <w:r>
              <w:rPr>
                <w:sz w:val="16"/>
                <w:szCs w:val="16"/>
                <w:lang w:val="el-GR" w:eastAsia="en-GB"/>
              </w:rPr>
              <w:t>0</w:t>
            </w:r>
          </w:p>
        </w:tc>
        <w:tc>
          <w:tcPr>
            <w:tcW w:w="756" w:type="dxa"/>
            <w:tcBorders>
              <w:top w:val="single" w:sz="12" w:space="0" w:color="auto"/>
            </w:tcBorders>
            <w:noWrap/>
          </w:tcPr>
          <w:p w14:paraId="3F3AE6D2"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r>
      <w:tr w:rsidR="001D2587" w:rsidRPr="000855B2" w14:paraId="5A7F85B7" w14:textId="77777777" w:rsidTr="00887829">
        <w:trPr>
          <w:trHeight w:val="255"/>
        </w:trPr>
        <w:tc>
          <w:tcPr>
            <w:tcW w:w="1937" w:type="dxa"/>
            <w:noWrap/>
          </w:tcPr>
          <w:p w14:paraId="47D1B5C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5336FB1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7F4B87D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9.4</w:t>
            </w:r>
          </w:p>
        </w:tc>
        <w:tc>
          <w:tcPr>
            <w:tcW w:w="1536" w:type="dxa"/>
            <w:noWrap/>
          </w:tcPr>
          <w:p w14:paraId="0FA7C8F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2.87E-06</w:t>
            </w:r>
          </w:p>
        </w:tc>
        <w:tc>
          <w:tcPr>
            <w:tcW w:w="756" w:type="dxa"/>
            <w:noWrap/>
          </w:tcPr>
          <w:p w14:paraId="32D618B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0.739</w:t>
            </w:r>
          </w:p>
        </w:tc>
      </w:tr>
      <w:tr w:rsidR="001D2587" w:rsidRPr="000855B2" w14:paraId="70EED55B" w14:textId="77777777" w:rsidTr="00887829">
        <w:trPr>
          <w:trHeight w:val="255"/>
        </w:trPr>
        <w:tc>
          <w:tcPr>
            <w:tcW w:w="1937" w:type="dxa"/>
            <w:noWrap/>
          </w:tcPr>
          <w:p w14:paraId="693997C4"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1</w:t>
            </w:r>
          </w:p>
        </w:tc>
        <w:tc>
          <w:tcPr>
            <w:tcW w:w="2336" w:type="dxa"/>
            <w:noWrap/>
          </w:tcPr>
          <w:p w14:paraId="618035AF"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0E98619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26.3</w:t>
            </w:r>
          </w:p>
        </w:tc>
        <w:tc>
          <w:tcPr>
            <w:tcW w:w="1536" w:type="dxa"/>
            <w:noWrap/>
          </w:tcPr>
          <w:p w14:paraId="06E5216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2.96E-05</w:t>
            </w:r>
          </w:p>
        </w:tc>
        <w:tc>
          <w:tcPr>
            <w:tcW w:w="756" w:type="dxa"/>
            <w:noWrap/>
          </w:tcPr>
          <w:p w14:paraId="1F3FE2D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0.49</w:t>
            </w:r>
          </w:p>
        </w:tc>
      </w:tr>
      <w:tr w:rsidR="001D2587" w:rsidRPr="000855B2" w14:paraId="7869E779" w14:textId="77777777" w:rsidTr="00887829">
        <w:trPr>
          <w:trHeight w:val="255"/>
        </w:trPr>
        <w:tc>
          <w:tcPr>
            <w:tcW w:w="1937" w:type="dxa"/>
            <w:noWrap/>
          </w:tcPr>
          <w:p w14:paraId="157BF02F"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4EB9F2B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350</w:t>
            </w:r>
          </w:p>
        </w:tc>
        <w:tc>
          <w:tcPr>
            <w:tcW w:w="1836" w:type="dxa"/>
            <w:noWrap/>
          </w:tcPr>
          <w:p w14:paraId="4EA261A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7.7</w:t>
            </w:r>
          </w:p>
        </w:tc>
        <w:tc>
          <w:tcPr>
            <w:tcW w:w="1536" w:type="dxa"/>
            <w:noWrap/>
          </w:tcPr>
          <w:p w14:paraId="46891C7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2.50E-06</w:t>
            </w:r>
          </w:p>
        </w:tc>
        <w:tc>
          <w:tcPr>
            <w:tcW w:w="756" w:type="dxa"/>
            <w:noWrap/>
          </w:tcPr>
          <w:p w14:paraId="151597B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0.75</w:t>
            </w:r>
          </w:p>
        </w:tc>
      </w:tr>
      <w:tr w:rsidR="001D2587" w:rsidRPr="000855B2" w14:paraId="338E009F" w14:textId="77777777" w:rsidTr="00887829">
        <w:trPr>
          <w:trHeight w:val="255"/>
        </w:trPr>
        <w:tc>
          <w:tcPr>
            <w:tcW w:w="1937" w:type="dxa"/>
            <w:noWrap/>
          </w:tcPr>
          <w:p w14:paraId="11E1FC4E"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2</w:t>
            </w:r>
          </w:p>
        </w:tc>
        <w:tc>
          <w:tcPr>
            <w:tcW w:w="2336" w:type="dxa"/>
            <w:noWrap/>
          </w:tcPr>
          <w:p w14:paraId="2598ECD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350</w:t>
            </w:r>
          </w:p>
        </w:tc>
        <w:tc>
          <w:tcPr>
            <w:tcW w:w="1836" w:type="dxa"/>
            <w:noWrap/>
          </w:tcPr>
          <w:p w14:paraId="76C1D56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21.1</w:t>
            </w:r>
          </w:p>
        </w:tc>
        <w:tc>
          <w:tcPr>
            <w:tcW w:w="1536" w:type="dxa"/>
            <w:noWrap/>
          </w:tcPr>
          <w:p w14:paraId="0524DB9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1.92E-05</w:t>
            </w:r>
          </w:p>
        </w:tc>
        <w:tc>
          <w:tcPr>
            <w:tcW w:w="756" w:type="dxa"/>
            <w:noWrap/>
          </w:tcPr>
          <w:p w14:paraId="7207E2A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0.66</w:t>
            </w:r>
          </w:p>
        </w:tc>
      </w:tr>
      <w:tr w:rsidR="001D2587" w:rsidRPr="000855B2" w14:paraId="3289DBD4" w14:textId="77777777" w:rsidTr="00887829">
        <w:trPr>
          <w:trHeight w:val="255"/>
        </w:trPr>
        <w:tc>
          <w:tcPr>
            <w:tcW w:w="1937" w:type="dxa"/>
            <w:noWrap/>
          </w:tcPr>
          <w:p w14:paraId="69BAAE3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39B9BD95"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25AADBE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1.4</w:t>
            </w:r>
          </w:p>
        </w:tc>
        <w:tc>
          <w:tcPr>
            <w:tcW w:w="1536" w:type="dxa"/>
            <w:noWrap/>
          </w:tcPr>
          <w:p w14:paraId="26C3713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1.27E-06</w:t>
            </w:r>
          </w:p>
        </w:tc>
        <w:tc>
          <w:tcPr>
            <w:tcW w:w="756" w:type="dxa"/>
            <w:noWrap/>
          </w:tcPr>
          <w:p w14:paraId="32DBBA6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0.837</w:t>
            </w:r>
          </w:p>
        </w:tc>
      </w:tr>
      <w:tr w:rsidR="001D2587" w:rsidRPr="000855B2" w14:paraId="5DC5AD09" w14:textId="77777777" w:rsidTr="00887829">
        <w:trPr>
          <w:trHeight w:val="255"/>
        </w:trPr>
        <w:tc>
          <w:tcPr>
            <w:tcW w:w="1937" w:type="dxa"/>
            <w:noWrap/>
          </w:tcPr>
          <w:p w14:paraId="6DC31D85"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7150586C"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325D10A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w:t>
            </w:r>
          </w:p>
        </w:tc>
        <w:tc>
          <w:tcPr>
            <w:tcW w:w="1536" w:type="dxa"/>
            <w:noWrap/>
          </w:tcPr>
          <w:p w14:paraId="3754ECC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1.88E-06</w:t>
            </w:r>
          </w:p>
        </w:tc>
        <w:tc>
          <w:tcPr>
            <w:tcW w:w="756" w:type="dxa"/>
            <w:noWrap/>
          </w:tcPr>
          <w:p w14:paraId="500B54E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0.77</w:t>
            </w:r>
          </w:p>
        </w:tc>
      </w:tr>
      <w:tr w:rsidR="001D2587" w:rsidRPr="000855B2" w14:paraId="4E2F2BA3" w14:textId="77777777" w:rsidTr="00887829">
        <w:trPr>
          <w:trHeight w:val="255"/>
        </w:trPr>
        <w:tc>
          <w:tcPr>
            <w:tcW w:w="1937" w:type="dxa"/>
            <w:noWrap/>
          </w:tcPr>
          <w:p w14:paraId="038C212B"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3</w:t>
            </w:r>
          </w:p>
        </w:tc>
        <w:tc>
          <w:tcPr>
            <w:tcW w:w="2336" w:type="dxa"/>
            <w:noWrap/>
          </w:tcPr>
          <w:p w14:paraId="31E11B81"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23E8F623"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18.1</w:t>
            </w:r>
          </w:p>
        </w:tc>
        <w:tc>
          <w:tcPr>
            <w:tcW w:w="1536" w:type="dxa"/>
            <w:noWrap/>
          </w:tcPr>
          <w:p w14:paraId="3B376120"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1.78E-06</w:t>
            </w:r>
          </w:p>
        </w:tc>
        <w:tc>
          <w:tcPr>
            <w:tcW w:w="756" w:type="dxa"/>
            <w:noWrap/>
          </w:tcPr>
          <w:p w14:paraId="5695DC3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0.83</w:t>
            </w:r>
          </w:p>
        </w:tc>
      </w:tr>
      <w:tr w:rsidR="001D2587" w:rsidRPr="000855B2" w14:paraId="67FA65FB" w14:textId="77777777" w:rsidTr="00887829">
        <w:trPr>
          <w:trHeight w:val="255"/>
        </w:trPr>
        <w:tc>
          <w:tcPr>
            <w:tcW w:w="1937" w:type="dxa"/>
            <w:noWrap/>
          </w:tcPr>
          <w:p w14:paraId="02A9E263"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4A5E9F1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w:t>
            </w:r>
            <w:r w:rsidR="003424C3" w:rsidRPr="00C92B1B">
              <w:rPr>
                <w:sz w:val="16"/>
                <w:szCs w:val="16"/>
                <w:lang w:val="en-GB"/>
              </w:rPr>
              <w:t>–</w:t>
            </w:r>
            <w:r w:rsidRPr="00C92B1B">
              <w:rPr>
                <w:sz w:val="16"/>
                <w:szCs w:val="16"/>
                <w:lang w:val="en-GB" w:eastAsia="en-GB"/>
              </w:rPr>
              <w:t>30</w:t>
            </w:r>
          </w:p>
        </w:tc>
        <w:tc>
          <w:tcPr>
            <w:tcW w:w="1836" w:type="dxa"/>
            <w:noWrap/>
          </w:tcPr>
          <w:p w14:paraId="2B0A3F3A"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0.3</w:t>
            </w:r>
          </w:p>
        </w:tc>
        <w:tc>
          <w:tcPr>
            <w:tcW w:w="1536" w:type="dxa"/>
            <w:noWrap/>
          </w:tcPr>
          <w:p w14:paraId="432866F1"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6.33E-06</w:t>
            </w:r>
          </w:p>
        </w:tc>
        <w:tc>
          <w:tcPr>
            <w:tcW w:w="756" w:type="dxa"/>
            <w:noWrap/>
          </w:tcPr>
          <w:p w14:paraId="00020159"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0.278</w:t>
            </w:r>
          </w:p>
        </w:tc>
      </w:tr>
      <w:tr w:rsidR="001D2587" w:rsidRPr="000855B2" w14:paraId="24B1A407" w14:textId="77777777" w:rsidTr="00887829">
        <w:trPr>
          <w:trHeight w:val="255"/>
        </w:trPr>
        <w:tc>
          <w:tcPr>
            <w:tcW w:w="1937" w:type="dxa"/>
            <w:noWrap/>
          </w:tcPr>
          <w:p w14:paraId="0C27464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59C09977"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30</w:t>
            </w:r>
            <w:r w:rsidR="003424C3" w:rsidRPr="00C92B1B">
              <w:rPr>
                <w:sz w:val="16"/>
                <w:szCs w:val="16"/>
                <w:lang w:val="en-GB"/>
              </w:rPr>
              <w:t>–</w:t>
            </w:r>
            <w:r w:rsidRPr="00C92B1B">
              <w:rPr>
                <w:sz w:val="16"/>
                <w:szCs w:val="16"/>
                <w:lang w:val="en-GB" w:eastAsia="en-GB"/>
              </w:rPr>
              <w:t>90</w:t>
            </w:r>
          </w:p>
        </w:tc>
        <w:tc>
          <w:tcPr>
            <w:tcW w:w="1836" w:type="dxa"/>
            <w:noWrap/>
          </w:tcPr>
          <w:p w14:paraId="4CCC4B7D"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2.2</w:t>
            </w:r>
          </w:p>
        </w:tc>
        <w:tc>
          <w:tcPr>
            <w:tcW w:w="1536" w:type="dxa"/>
            <w:noWrap/>
          </w:tcPr>
          <w:p w14:paraId="5478CB68"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3.62E-06</w:t>
            </w:r>
          </w:p>
        </w:tc>
        <w:tc>
          <w:tcPr>
            <w:tcW w:w="756" w:type="dxa"/>
            <w:noWrap/>
          </w:tcPr>
          <w:p w14:paraId="39203C2F"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0.587</w:t>
            </w:r>
          </w:p>
        </w:tc>
      </w:tr>
      <w:tr w:rsidR="001D2587" w:rsidRPr="000855B2" w14:paraId="508F3467" w14:textId="77777777" w:rsidTr="00887829">
        <w:trPr>
          <w:trHeight w:val="255"/>
        </w:trPr>
        <w:tc>
          <w:tcPr>
            <w:tcW w:w="1937" w:type="dxa"/>
            <w:noWrap/>
          </w:tcPr>
          <w:p w14:paraId="4DEE68EC" w14:textId="77777777" w:rsidR="001D2587" w:rsidRPr="00C92B1B" w:rsidRDefault="001D2587" w:rsidP="005C7955">
            <w:pPr>
              <w:keepNext/>
              <w:keepLines/>
              <w:suppressAutoHyphens/>
              <w:spacing w:line="240" w:lineRule="atLeast"/>
              <w:rPr>
                <w:sz w:val="16"/>
                <w:szCs w:val="16"/>
                <w:lang w:val="en-GB" w:eastAsia="en-GB"/>
              </w:rPr>
            </w:pPr>
            <w:r w:rsidRPr="00C92B1B">
              <w:rPr>
                <w:sz w:val="16"/>
                <w:szCs w:val="16"/>
                <w:lang w:val="en-GB" w:eastAsia="en-GB"/>
              </w:rPr>
              <w:t>Euro 4</w:t>
            </w:r>
          </w:p>
        </w:tc>
        <w:tc>
          <w:tcPr>
            <w:tcW w:w="2336" w:type="dxa"/>
            <w:noWrap/>
          </w:tcPr>
          <w:p w14:paraId="4E3C1168" w14:textId="77777777" w:rsidR="001D2587" w:rsidRPr="00C92B1B" w:rsidRDefault="00972A38" w:rsidP="005C7955">
            <w:pPr>
              <w:keepNext/>
              <w:keepLines/>
              <w:suppressAutoHyphens/>
              <w:spacing w:line="240" w:lineRule="atLeast"/>
              <w:jc w:val="center"/>
              <w:rPr>
                <w:sz w:val="16"/>
                <w:szCs w:val="16"/>
                <w:lang w:val="en-GB" w:eastAsia="en-GB"/>
              </w:rPr>
            </w:pPr>
            <w:r w:rsidRPr="00C92B1B">
              <w:rPr>
                <w:sz w:val="16"/>
                <w:szCs w:val="16"/>
                <w:lang w:val="en-GB" w:eastAsia="en-GB"/>
              </w:rPr>
              <w:t>&gt; </w:t>
            </w:r>
            <w:r w:rsidR="001D2587" w:rsidRPr="00C92B1B">
              <w:rPr>
                <w:sz w:val="16"/>
                <w:szCs w:val="16"/>
                <w:lang w:val="en-GB" w:eastAsia="en-GB"/>
              </w:rPr>
              <w:t>90</w:t>
            </w:r>
          </w:p>
        </w:tc>
        <w:tc>
          <w:tcPr>
            <w:tcW w:w="1836" w:type="dxa"/>
            <w:noWrap/>
          </w:tcPr>
          <w:p w14:paraId="71749D4B"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8.7</w:t>
            </w:r>
          </w:p>
        </w:tc>
        <w:tc>
          <w:tcPr>
            <w:tcW w:w="1536" w:type="dxa"/>
            <w:noWrap/>
          </w:tcPr>
          <w:p w14:paraId="21C33046"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2.03E-06</w:t>
            </w:r>
          </w:p>
        </w:tc>
        <w:tc>
          <w:tcPr>
            <w:tcW w:w="756" w:type="dxa"/>
            <w:noWrap/>
          </w:tcPr>
          <w:p w14:paraId="581FA1CE" w14:textId="77777777" w:rsidR="001D2587" w:rsidRPr="00C92B1B" w:rsidRDefault="001D2587" w:rsidP="005C7955">
            <w:pPr>
              <w:keepNext/>
              <w:keepLines/>
              <w:suppressAutoHyphens/>
              <w:spacing w:line="240" w:lineRule="atLeast"/>
              <w:jc w:val="center"/>
              <w:rPr>
                <w:sz w:val="16"/>
                <w:szCs w:val="16"/>
                <w:lang w:val="en-GB" w:eastAsia="en-GB"/>
              </w:rPr>
            </w:pPr>
            <w:r w:rsidRPr="00C92B1B">
              <w:rPr>
                <w:sz w:val="16"/>
                <w:szCs w:val="16"/>
                <w:lang w:val="en-GB" w:eastAsia="en-GB"/>
              </w:rPr>
              <w:t>0.768</w:t>
            </w:r>
          </w:p>
        </w:tc>
      </w:tr>
      <w:tr w:rsidR="00EB183F" w:rsidRPr="000855B2" w14:paraId="66355D46" w14:textId="77777777" w:rsidTr="00887829">
        <w:trPr>
          <w:trHeight w:val="255"/>
        </w:trPr>
        <w:tc>
          <w:tcPr>
            <w:tcW w:w="1937" w:type="dxa"/>
            <w:noWrap/>
          </w:tcPr>
          <w:p w14:paraId="20DA21B8" w14:textId="77777777" w:rsidR="00EB183F" w:rsidRPr="00C92B1B" w:rsidRDefault="00EB183F" w:rsidP="005C7955">
            <w:pPr>
              <w:keepNext/>
              <w:keepLines/>
              <w:suppressAutoHyphens/>
              <w:spacing w:line="240" w:lineRule="atLeast"/>
              <w:rPr>
                <w:sz w:val="16"/>
                <w:szCs w:val="16"/>
                <w:lang w:val="en-GB" w:eastAsia="en-GB"/>
              </w:rPr>
            </w:pPr>
            <w:r w:rsidRPr="00C92B1B">
              <w:rPr>
                <w:sz w:val="16"/>
                <w:szCs w:val="16"/>
                <w:lang w:val="en-GB" w:eastAsia="en-GB"/>
              </w:rPr>
              <w:t>Euro 5</w:t>
            </w:r>
            <w:r w:rsidR="00542D5B">
              <w:rPr>
                <w:sz w:val="16"/>
                <w:szCs w:val="16"/>
                <w:lang w:val="en-GB" w:eastAsia="en-GB"/>
              </w:rPr>
              <w:t xml:space="preserve"> and on</w:t>
            </w:r>
          </w:p>
        </w:tc>
        <w:tc>
          <w:tcPr>
            <w:tcW w:w="2336" w:type="dxa"/>
            <w:noWrap/>
          </w:tcPr>
          <w:p w14:paraId="6B4C6290"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0-30</w:t>
            </w:r>
          </w:p>
        </w:tc>
        <w:tc>
          <w:tcPr>
            <w:tcW w:w="1836" w:type="dxa"/>
            <w:noWrap/>
          </w:tcPr>
          <w:p w14:paraId="6C6E1C88"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1</w:t>
            </w:r>
          </w:p>
        </w:tc>
        <w:tc>
          <w:tcPr>
            <w:tcW w:w="1536" w:type="dxa"/>
            <w:noWrap/>
          </w:tcPr>
          <w:p w14:paraId="57496EBD" w14:textId="77777777" w:rsidR="00EB183F" w:rsidRPr="00C92B1B" w:rsidRDefault="00EB183F" w:rsidP="005C7955">
            <w:pPr>
              <w:keepNext/>
              <w:keepLines/>
              <w:suppressAutoHyphens/>
              <w:spacing w:line="240" w:lineRule="atLeast"/>
              <w:jc w:val="center"/>
              <w:rPr>
                <w:sz w:val="16"/>
                <w:szCs w:val="16"/>
                <w:lang w:val="en-GB" w:eastAsia="en-GB"/>
              </w:rPr>
            </w:pPr>
            <w:r w:rsidRPr="00C92B1B">
              <w:rPr>
                <w:color w:val="000000"/>
                <w:sz w:val="16"/>
                <w:szCs w:val="16"/>
                <w:lang w:val="en-GB"/>
              </w:rPr>
              <w:t>3.30E-06</w:t>
            </w:r>
          </w:p>
        </w:tc>
        <w:tc>
          <w:tcPr>
            <w:tcW w:w="756" w:type="dxa"/>
            <w:noWrap/>
          </w:tcPr>
          <w:p w14:paraId="372A20B4" w14:textId="77777777" w:rsidR="00EB183F" w:rsidRPr="00C92B1B" w:rsidRDefault="00EB183F" w:rsidP="005C7955">
            <w:pPr>
              <w:keepNext/>
              <w:keepLines/>
              <w:suppressAutoHyphens/>
              <w:spacing w:line="240" w:lineRule="atLeast"/>
              <w:jc w:val="center"/>
              <w:rPr>
                <w:sz w:val="16"/>
                <w:szCs w:val="16"/>
                <w:lang w:val="en-GB" w:eastAsia="en-GB"/>
              </w:rPr>
            </w:pPr>
            <w:r w:rsidRPr="00C92B1B">
              <w:rPr>
                <w:sz w:val="16"/>
                <w:szCs w:val="16"/>
                <w:lang w:val="en-GB" w:eastAsia="en-GB"/>
              </w:rPr>
              <w:t>0.918</w:t>
            </w:r>
          </w:p>
        </w:tc>
      </w:tr>
    </w:tbl>
    <w:p w14:paraId="28483600" w14:textId="647264B9" w:rsidR="001D2587" w:rsidRPr="000855B2" w:rsidRDefault="001D2587" w:rsidP="0083104A">
      <w:pPr>
        <w:pStyle w:val="BodyText"/>
      </w:pPr>
      <w:r w:rsidRPr="000855B2">
        <w:t>Nitrous oxide emissions f</w:t>
      </w:r>
      <w:r w:rsidR="00861120" w:rsidRPr="000855B2">
        <w:t>rom</w:t>
      </w:r>
      <w:r w:rsidRPr="000855B2">
        <w:t xml:space="preserve"> diesel vehicles </w:t>
      </w:r>
      <w:r w:rsidR="005B074A" w:rsidRPr="000855B2">
        <w:t xml:space="preserve">without deNOx aftertreatment </w:t>
      </w:r>
      <w:r w:rsidRPr="000855B2">
        <w:t xml:space="preserve">and motorcycles are </w:t>
      </w:r>
      <w:r w:rsidR="00861120" w:rsidRPr="000855B2">
        <w:t>substantially</w:t>
      </w:r>
      <w:r w:rsidRPr="000855B2">
        <w:t xml:space="preserve"> </w:t>
      </w:r>
      <w:r w:rsidR="00861120" w:rsidRPr="000855B2">
        <w:t>lower than those from</w:t>
      </w:r>
      <w:r w:rsidRPr="000855B2">
        <w:t xml:space="preserve"> catalyst</w:t>
      </w:r>
      <w:r w:rsidR="00861120" w:rsidRPr="000855B2">
        <w:t>-</w:t>
      </w:r>
      <w:r w:rsidRPr="000855B2">
        <w:t>equipped passenger cars</w:t>
      </w:r>
      <w:r w:rsidR="00861120" w:rsidRPr="000855B2">
        <w:t>,</w:t>
      </w:r>
      <w:r w:rsidRPr="000855B2">
        <w:t xml:space="preserve"> and are</w:t>
      </w:r>
      <w:r w:rsidR="00861120" w:rsidRPr="000855B2">
        <w:t xml:space="preserve"> </w:t>
      </w:r>
      <w:r w:rsidRPr="000855B2">
        <w:t xml:space="preserve">roughly estimated on the basis of </w:t>
      </w:r>
      <w:r w:rsidR="00861120" w:rsidRPr="000855B2">
        <w:t>the</w:t>
      </w:r>
      <w:r w:rsidRPr="000855B2">
        <w:t xml:space="preserve"> literature (Pringent </w:t>
      </w:r>
      <w:r w:rsidR="00D73F59" w:rsidRPr="000855B2">
        <w:t>et al</w:t>
      </w:r>
      <w:r w:rsidRPr="000855B2">
        <w:t xml:space="preserve">., 1989; Perby, 1990; de Reydellet, 1990; Potter, 1990; OECD, 1991; Zajontz </w:t>
      </w:r>
      <w:r w:rsidR="00D73F59" w:rsidRPr="000855B2">
        <w:t>et al</w:t>
      </w:r>
      <w:r w:rsidRPr="000855B2">
        <w:t>., 1991</w:t>
      </w:r>
      <w:r w:rsidR="00861120" w:rsidRPr="000855B2">
        <w:t>,</w:t>
      </w:r>
      <w:r w:rsidRPr="000855B2">
        <w:t xml:space="preserve"> and others) and the work of </w:t>
      </w:r>
      <w:smartTag w:uri="urn:schemas-microsoft-com:office:smarttags" w:element="stockticker">
        <w:r w:rsidRPr="000855B2">
          <w:t>TNO</w:t>
        </w:r>
      </w:smartTag>
      <w:r w:rsidRPr="000855B2">
        <w:t xml:space="preserve"> (2002)</w:t>
      </w:r>
      <w:r w:rsidR="00EB183F" w:rsidRPr="000855B2">
        <w:t>,</w:t>
      </w:r>
      <w:r w:rsidR="00714F0C" w:rsidRPr="000855B2">
        <w:t xml:space="preserve"> </w:t>
      </w:r>
      <w:r w:rsidR="00505C7C" w:rsidRPr="000855B2">
        <w:t>Riemersma et al. (2003)</w:t>
      </w:r>
      <w:r w:rsidR="00EB183F" w:rsidRPr="000855B2">
        <w:t xml:space="preserve"> and Pastramas et al., (2014)</w:t>
      </w:r>
      <w:r w:rsidRPr="000855B2">
        <w:t xml:space="preserve">. These data are shown in </w:t>
      </w:r>
      <w:r w:rsidR="00FB454C">
        <w:fldChar w:fldCharType="begin"/>
      </w:r>
      <w:r w:rsidR="00FB454C">
        <w:instrText xml:space="preserve"> REF _Ref140570932 \h  \* MERGEFORMAT </w:instrText>
      </w:r>
      <w:r w:rsidR="00FB454C">
        <w:fldChar w:fldCharType="separate"/>
      </w:r>
      <w:r w:rsidR="0071604C" w:rsidRPr="000855B2">
        <w:t>Table </w:t>
      </w:r>
      <w:r w:rsidR="0071604C">
        <w:t>3.63</w:t>
      </w:r>
      <w:r w:rsidR="00FB454C">
        <w:fldChar w:fldCharType="end"/>
      </w:r>
      <w:r w:rsidR="00505C7C" w:rsidRPr="000855B2">
        <w:t xml:space="preserve"> and</w:t>
      </w:r>
      <w:r w:rsidR="0008044E" w:rsidRPr="000855B2">
        <w:t xml:space="preserve"> </w:t>
      </w:r>
      <w:r w:rsidR="00FB454C">
        <w:fldChar w:fldCharType="begin"/>
      </w:r>
      <w:r w:rsidR="00FB454C">
        <w:instrText xml:space="preserve"> REF _Ref202071529 \h  \* MERGEFORMAT </w:instrText>
      </w:r>
      <w:r w:rsidR="00FB454C">
        <w:fldChar w:fldCharType="separate"/>
      </w:r>
      <w:r w:rsidR="0071604C" w:rsidRPr="000855B2">
        <w:t>Table </w:t>
      </w:r>
      <w:r w:rsidR="0071604C">
        <w:t>3.64</w:t>
      </w:r>
      <w:r w:rsidR="00FB454C">
        <w:fldChar w:fldCharType="end"/>
      </w:r>
      <w:r w:rsidRPr="000855B2">
        <w:t xml:space="preserve">. For </w:t>
      </w:r>
      <w:r w:rsidR="00505C7C" w:rsidRPr="000855B2">
        <w:t>motorcycles and heavy duty vehicles</w:t>
      </w:r>
      <w:r w:rsidRPr="000855B2">
        <w:t xml:space="preserve">, there is no separate methodology for estimating </w:t>
      </w:r>
      <w:r w:rsidR="00861120" w:rsidRPr="000855B2">
        <w:t xml:space="preserve">excess </w:t>
      </w:r>
      <w:r w:rsidRPr="000855B2">
        <w:t>cold</w:t>
      </w:r>
      <w:r w:rsidR="00861120" w:rsidRPr="000855B2">
        <w:t>-</w:t>
      </w:r>
      <w:r w:rsidRPr="000855B2">
        <w:t>start emissions</w:t>
      </w:r>
      <w:r w:rsidR="00861120" w:rsidRPr="000855B2">
        <w:t>,</w:t>
      </w:r>
      <w:r w:rsidRPr="000855B2">
        <w:t xml:space="preserve"> but they are assumed to be already incorporate</w:t>
      </w:r>
      <w:r w:rsidR="003F36D2">
        <w:t>d in the bulk emission factors.</w:t>
      </w:r>
    </w:p>
    <w:p w14:paraId="754C633B" w14:textId="2A98F243" w:rsidR="001D2587" w:rsidRPr="000855B2" w:rsidRDefault="00A040D1" w:rsidP="00C92B1B">
      <w:pPr>
        <w:pStyle w:val="Caption"/>
      </w:pPr>
      <w:bookmarkStart w:id="253" w:name="_Ref140570932"/>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63</w:t>
      </w:r>
      <w:r w:rsidR="00FB454C">
        <w:rPr>
          <w:noProof/>
        </w:rPr>
        <w:fldChar w:fldCharType="end"/>
      </w:r>
      <w:bookmarkEnd w:id="253"/>
      <w:r w:rsidR="001D2587" w:rsidRPr="000855B2">
        <w:t>:</w:t>
      </w:r>
      <w:r w:rsidR="00505C7C" w:rsidRPr="000855B2">
        <w:t xml:space="preserve"> </w:t>
      </w:r>
      <w:r w:rsidR="001D2587" w:rsidRPr="000855B2">
        <w:t>N</w:t>
      </w:r>
      <w:r w:rsidR="001D2587" w:rsidRPr="000855B2">
        <w:rPr>
          <w:vertAlign w:val="subscript"/>
        </w:rPr>
        <w:t>2</w:t>
      </w:r>
      <w:r w:rsidR="00505C7C" w:rsidRPr="000855B2">
        <w:t>O</w:t>
      </w:r>
      <w:r w:rsidR="001D2587" w:rsidRPr="000855B2">
        <w:t xml:space="preserve"> emission factors (mg/km)</w:t>
      </w:r>
      <w:r w:rsidR="00714F0C" w:rsidRPr="000855B2">
        <w:t xml:space="preserve"> for diesel </w:t>
      </w:r>
      <w:r w:rsidR="00505C7C" w:rsidRPr="000855B2">
        <w:t xml:space="preserve">and LPG </w:t>
      </w:r>
      <w:r w:rsidR="00714F0C" w:rsidRPr="000855B2">
        <w:t>cars</w:t>
      </w:r>
      <w:r w:rsidR="00505C7C" w:rsidRPr="000855B2">
        <w:t xml:space="preserve">, diesel </w:t>
      </w:r>
      <w:r w:rsidR="00606052" w:rsidRPr="000855B2">
        <w:t>light commercial</w:t>
      </w:r>
      <w:r w:rsidR="00505C7C" w:rsidRPr="000855B2">
        <w:t xml:space="preserve"> vehicles,</w:t>
      </w:r>
      <w:r w:rsidR="00714F0C" w:rsidRPr="000855B2">
        <w:t xml:space="preserve"> and two-wheel vehicles</w:t>
      </w:r>
      <w:r w:rsidR="00F415D9" w:rsidRPr="000855B2">
        <w:t>.</w:t>
      </w:r>
    </w:p>
    <w:tbl>
      <w:tblPr>
        <w:tblW w:w="8303"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3315"/>
        <w:gridCol w:w="1247"/>
        <w:gridCol w:w="1247"/>
        <w:gridCol w:w="1247"/>
        <w:gridCol w:w="1247"/>
      </w:tblGrid>
      <w:tr w:rsidR="001D2587" w:rsidRPr="000855B2" w14:paraId="27B2D923" w14:textId="77777777" w:rsidTr="00887829">
        <w:trPr>
          <w:trHeight w:val="240"/>
        </w:trPr>
        <w:tc>
          <w:tcPr>
            <w:tcW w:w="3315" w:type="dxa"/>
            <w:tcBorders>
              <w:top w:val="double" w:sz="6" w:space="0" w:color="auto"/>
              <w:left w:val="double" w:sz="6" w:space="0" w:color="auto"/>
              <w:bottom w:val="single" w:sz="12" w:space="0" w:color="000000"/>
              <w:right w:val="single" w:sz="6" w:space="0" w:color="000000"/>
            </w:tcBorders>
          </w:tcPr>
          <w:p w14:paraId="0E87C858" w14:textId="77777777" w:rsidR="001D2587" w:rsidRPr="00C92B1B" w:rsidRDefault="001D2587" w:rsidP="005C7955">
            <w:pPr>
              <w:pStyle w:val="Table"/>
              <w:spacing w:line="240" w:lineRule="atLeast"/>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Vehicle category</w:t>
            </w:r>
          </w:p>
        </w:tc>
        <w:tc>
          <w:tcPr>
            <w:tcW w:w="1247" w:type="dxa"/>
            <w:tcBorders>
              <w:top w:val="double" w:sz="6" w:space="0" w:color="auto"/>
              <w:left w:val="nil"/>
              <w:bottom w:val="single" w:sz="12" w:space="0" w:color="000000"/>
              <w:right w:val="single" w:sz="6" w:space="0" w:color="000000"/>
            </w:tcBorders>
          </w:tcPr>
          <w:p w14:paraId="0A1D9FD4"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Urban </w:t>
            </w:r>
            <w:r w:rsidR="00861120" w:rsidRPr="00C92B1B">
              <w:rPr>
                <w:rFonts w:ascii="Open Sans" w:hAnsi="Open Sans" w:cs="Open Sans"/>
                <w:b/>
                <w:snapToGrid w:val="0"/>
                <w:sz w:val="16"/>
                <w:szCs w:val="16"/>
                <w:lang w:val="en-GB" w:eastAsia="en-US"/>
              </w:rPr>
              <w:t>c</w:t>
            </w:r>
            <w:r w:rsidRPr="00C92B1B">
              <w:rPr>
                <w:rFonts w:ascii="Open Sans" w:hAnsi="Open Sans" w:cs="Open Sans"/>
                <w:b/>
                <w:snapToGrid w:val="0"/>
                <w:sz w:val="16"/>
                <w:szCs w:val="16"/>
                <w:lang w:val="en-GB" w:eastAsia="en-US"/>
              </w:rPr>
              <w:t>old</w:t>
            </w:r>
          </w:p>
        </w:tc>
        <w:tc>
          <w:tcPr>
            <w:tcW w:w="1247" w:type="dxa"/>
            <w:tcBorders>
              <w:top w:val="double" w:sz="6" w:space="0" w:color="auto"/>
              <w:left w:val="single" w:sz="6" w:space="0" w:color="000000"/>
              <w:bottom w:val="single" w:sz="12" w:space="0" w:color="000000"/>
              <w:right w:val="single" w:sz="6" w:space="0" w:color="000000"/>
            </w:tcBorders>
          </w:tcPr>
          <w:p w14:paraId="2D8942E9"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Urban </w:t>
            </w:r>
            <w:r w:rsidR="00861120" w:rsidRPr="00C92B1B">
              <w:rPr>
                <w:rFonts w:ascii="Open Sans" w:hAnsi="Open Sans" w:cs="Open Sans"/>
                <w:b/>
                <w:snapToGrid w:val="0"/>
                <w:sz w:val="16"/>
                <w:szCs w:val="16"/>
                <w:lang w:val="en-GB" w:eastAsia="en-US"/>
              </w:rPr>
              <w:t>h</w:t>
            </w:r>
            <w:r w:rsidRPr="00C92B1B">
              <w:rPr>
                <w:rFonts w:ascii="Open Sans" w:hAnsi="Open Sans" w:cs="Open Sans"/>
                <w:b/>
                <w:snapToGrid w:val="0"/>
                <w:sz w:val="16"/>
                <w:szCs w:val="16"/>
                <w:lang w:val="en-GB" w:eastAsia="en-US"/>
              </w:rPr>
              <w:t>ot</w:t>
            </w:r>
          </w:p>
        </w:tc>
        <w:tc>
          <w:tcPr>
            <w:tcW w:w="1247" w:type="dxa"/>
            <w:tcBorders>
              <w:top w:val="double" w:sz="6" w:space="0" w:color="auto"/>
              <w:left w:val="single" w:sz="6" w:space="0" w:color="000000"/>
              <w:bottom w:val="single" w:sz="12" w:space="0" w:color="000000"/>
              <w:right w:val="single" w:sz="6" w:space="0" w:color="000000"/>
            </w:tcBorders>
          </w:tcPr>
          <w:p w14:paraId="05D8B5A5"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Rural</w:t>
            </w:r>
          </w:p>
        </w:tc>
        <w:tc>
          <w:tcPr>
            <w:tcW w:w="1247" w:type="dxa"/>
            <w:tcBorders>
              <w:top w:val="double" w:sz="6" w:space="0" w:color="auto"/>
              <w:left w:val="nil"/>
              <w:bottom w:val="single" w:sz="12" w:space="0" w:color="000000"/>
              <w:right w:val="double" w:sz="6" w:space="0" w:color="auto"/>
            </w:tcBorders>
          </w:tcPr>
          <w:p w14:paraId="65BD3BFA"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Highway</w:t>
            </w:r>
          </w:p>
        </w:tc>
      </w:tr>
      <w:tr w:rsidR="001D2587" w:rsidRPr="000855B2" w14:paraId="7E5D4443"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1340DC19" w14:textId="77777777" w:rsidR="001D2587" w:rsidRPr="00C92B1B" w:rsidRDefault="001D2587" w:rsidP="005C7955">
            <w:pPr>
              <w:pStyle w:val="Table"/>
              <w:spacing w:line="240" w:lineRule="atLeast"/>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Diesel </w:t>
            </w:r>
            <w:r w:rsidR="00861120" w:rsidRPr="00C92B1B">
              <w:rPr>
                <w:rFonts w:ascii="Open Sans" w:hAnsi="Open Sans" w:cs="Open Sans"/>
                <w:b/>
                <w:snapToGrid w:val="0"/>
                <w:sz w:val="16"/>
                <w:szCs w:val="16"/>
                <w:lang w:val="en-GB" w:eastAsia="en-US"/>
              </w:rPr>
              <w:t>p</w:t>
            </w:r>
            <w:r w:rsidRPr="00C92B1B">
              <w:rPr>
                <w:rFonts w:ascii="Open Sans" w:hAnsi="Open Sans" w:cs="Open Sans"/>
                <w:b/>
                <w:snapToGrid w:val="0"/>
                <w:sz w:val="16"/>
                <w:szCs w:val="16"/>
                <w:lang w:val="en-GB" w:eastAsia="en-US"/>
              </w:rPr>
              <w:t xml:space="preserve">assenger </w:t>
            </w:r>
            <w:r w:rsidR="00861120" w:rsidRPr="00C92B1B">
              <w:rPr>
                <w:rFonts w:ascii="Open Sans" w:hAnsi="Open Sans" w:cs="Open Sans"/>
                <w:b/>
                <w:snapToGrid w:val="0"/>
                <w:sz w:val="16"/>
                <w:szCs w:val="16"/>
                <w:lang w:val="en-GB" w:eastAsia="en-US"/>
              </w:rPr>
              <w:t>c</w:t>
            </w:r>
            <w:r w:rsidRPr="00C92B1B">
              <w:rPr>
                <w:rFonts w:ascii="Open Sans" w:hAnsi="Open Sans" w:cs="Open Sans"/>
                <w:b/>
                <w:snapToGrid w:val="0"/>
                <w:sz w:val="16"/>
                <w:szCs w:val="16"/>
                <w:lang w:val="en-GB" w:eastAsia="en-US"/>
              </w:rPr>
              <w:t>ars</w:t>
            </w:r>
            <w:r w:rsidR="00505C7C" w:rsidRPr="00C92B1B">
              <w:rPr>
                <w:rFonts w:ascii="Open Sans" w:hAnsi="Open Sans" w:cs="Open Sans"/>
                <w:b/>
                <w:snapToGrid w:val="0"/>
                <w:sz w:val="16"/>
                <w:szCs w:val="16"/>
                <w:lang w:val="en-GB" w:eastAsia="en-US"/>
              </w:rPr>
              <w:t xml:space="preserve"> and </w:t>
            </w:r>
            <w:r w:rsidR="00757EE1" w:rsidRPr="00C92B1B">
              <w:rPr>
                <w:rFonts w:ascii="Open Sans" w:hAnsi="Open Sans" w:cs="Open Sans"/>
                <w:b/>
                <w:snapToGrid w:val="0"/>
                <w:sz w:val="16"/>
                <w:szCs w:val="16"/>
                <w:lang w:val="en-GB" w:eastAsia="en-US"/>
              </w:rPr>
              <w:t>LCV</w:t>
            </w:r>
            <w:r w:rsidR="00505C7C" w:rsidRPr="00C92B1B">
              <w:rPr>
                <w:rFonts w:ascii="Open Sans" w:hAnsi="Open Sans" w:cs="Open Sans"/>
                <w:b/>
                <w:snapToGrid w:val="0"/>
                <w:sz w:val="16"/>
                <w:szCs w:val="16"/>
                <w:lang w:val="en-GB" w:eastAsia="en-US"/>
              </w:rPr>
              <w:t>s</w:t>
            </w:r>
          </w:p>
        </w:tc>
        <w:tc>
          <w:tcPr>
            <w:tcW w:w="1247" w:type="dxa"/>
            <w:tcBorders>
              <w:top w:val="single" w:sz="6" w:space="0" w:color="000000"/>
              <w:left w:val="nil"/>
              <w:bottom w:val="single" w:sz="6" w:space="0" w:color="000000"/>
              <w:right w:val="single" w:sz="6" w:space="0" w:color="000000"/>
            </w:tcBorders>
          </w:tcPr>
          <w:p w14:paraId="3A487064"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080C86D8"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639DD021"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nil"/>
              <w:bottom w:val="single" w:sz="6" w:space="0" w:color="000000"/>
              <w:right w:val="double" w:sz="6" w:space="0" w:color="auto"/>
            </w:tcBorders>
          </w:tcPr>
          <w:p w14:paraId="38465CA7"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r>
      <w:tr w:rsidR="001D2587" w:rsidRPr="000855B2" w14:paraId="45BB6FE5"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5B10B71F"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Conventional</w:t>
            </w:r>
          </w:p>
        </w:tc>
        <w:tc>
          <w:tcPr>
            <w:tcW w:w="1247" w:type="dxa"/>
            <w:tcBorders>
              <w:top w:val="single" w:sz="6" w:space="0" w:color="000000"/>
              <w:left w:val="nil"/>
              <w:bottom w:val="single" w:sz="6" w:space="0" w:color="000000"/>
              <w:right w:val="single" w:sz="6" w:space="0" w:color="000000"/>
            </w:tcBorders>
          </w:tcPr>
          <w:p w14:paraId="2B4E18F9"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6E20D3D5"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7C6B883D"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nil"/>
              <w:bottom w:val="single" w:sz="6" w:space="0" w:color="000000"/>
              <w:right w:val="double" w:sz="6" w:space="0" w:color="auto"/>
            </w:tcBorders>
          </w:tcPr>
          <w:p w14:paraId="445681B9"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r>
      <w:tr w:rsidR="001D2587" w:rsidRPr="000855B2" w14:paraId="72CA0CE3"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42C08E4A"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1</w:t>
            </w:r>
          </w:p>
        </w:tc>
        <w:tc>
          <w:tcPr>
            <w:tcW w:w="1247" w:type="dxa"/>
            <w:tcBorders>
              <w:top w:val="single" w:sz="6" w:space="0" w:color="000000"/>
              <w:left w:val="nil"/>
              <w:bottom w:val="single" w:sz="6" w:space="0" w:color="000000"/>
              <w:right w:val="single" w:sz="6" w:space="0" w:color="000000"/>
            </w:tcBorders>
          </w:tcPr>
          <w:p w14:paraId="701F8E83"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05AB2B6F"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single" w:sz="6" w:space="0" w:color="000000"/>
              <w:bottom w:val="single" w:sz="6" w:space="0" w:color="000000"/>
              <w:right w:val="single" w:sz="6" w:space="0" w:color="000000"/>
            </w:tcBorders>
          </w:tcPr>
          <w:p w14:paraId="12ADEDE9"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c>
          <w:tcPr>
            <w:tcW w:w="1247" w:type="dxa"/>
            <w:tcBorders>
              <w:top w:val="single" w:sz="6" w:space="0" w:color="000000"/>
              <w:left w:val="nil"/>
              <w:bottom w:val="single" w:sz="6" w:space="0" w:color="000000"/>
              <w:right w:val="double" w:sz="6" w:space="0" w:color="auto"/>
            </w:tcBorders>
          </w:tcPr>
          <w:p w14:paraId="358CBA0B"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r>
      <w:tr w:rsidR="001D2587" w:rsidRPr="000855B2" w14:paraId="20E11BF4"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4C5D58F3"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2</w:t>
            </w:r>
          </w:p>
        </w:tc>
        <w:tc>
          <w:tcPr>
            <w:tcW w:w="1247" w:type="dxa"/>
            <w:tcBorders>
              <w:top w:val="single" w:sz="6" w:space="0" w:color="000000"/>
              <w:left w:val="nil"/>
              <w:bottom w:val="single" w:sz="6" w:space="0" w:color="000000"/>
              <w:right w:val="single" w:sz="6" w:space="0" w:color="000000"/>
            </w:tcBorders>
          </w:tcPr>
          <w:p w14:paraId="342A3F1D"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3</w:t>
            </w:r>
          </w:p>
        </w:tc>
        <w:tc>
          <w:tcPr>
            <w:tcW w:w="1247" w:type="dxa"/>
            <w:tcBorders>
              <w:top w:val="single" w:sz="6" w:space="0" w:color="000000"/>
              <w:left w:val="single" w:sz="6" w:space="0" w:color="000000"/>
              <w:bottom w:val="single" w:sz="6" w:space="0" w:color="000000"/>
              <w:right w:val="single" w:sz="6" w:space="0" w:color="000000"/>
            </w:tcBorders>
          </w:tcPr>
          <w:p w14:paraId="53C41765"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c>
          <w:tcPr>
            <w:tcW w:w="1247" w:type="dxa"/>
            <w:tcBorders>
              <w:top w:val="single" w:sz="6" w:space="0" w:color="000000"/>
              <w:left w:val="single" w:sz="6" w:space="0" w:color="000000"/>
              <w:bottom w:val="single" w:sz="6" w:space="0" w:color="000000"/>
              <w:right w:val="single" w:sz="6" w:space="0" w:color="000000"/>
            </w:tcBorders>
          </w:tcPr>
          <w:p w14:paraId="24C2720F"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6</w:t>
            </w:r>
          </w:p>
        </w:tc>
        <w:tc>
          <w:tcPr>
            <w:tcW w:w="1247" w:type="dxa"/>
            <w:tcBorders>
              <w:top w:val="single" w:sz="6" w:space="0" w:color="000000"/>
              <w:left w:val="nil"/>
              <w:bottom w:val="single" w:sz="6" w:space="0" w:color="000000"/>
              <w:right w:val="double" w:sz="6" w:space="0" w:color="auto"/>
            </w:tcBorders>
          </w:tcPr>
          <w:p w14:paraId="529E604C"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6</w:t>
            </w:r>
          </w:p>
        </w:tc>
      </w:tr>
      <w:tr w:rsidR="001D2587" w:rsidRPr="000855B2" w14:paraId="0E6F0F7C"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76FA1908"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 xml:space="preserve">Euro </w:t>
            </w:r>
            <w:smartTag w:uri="urn:schemas-microsoft-com:office:smarttags" w:element="date">
              <w:smartTagPr>
                <w:attr w:name="Month" w:val="4"/>
                <w:attr w:name="Day" w:val="3"/>
                <w:attr w:name="Year" w:val="2005"/>
              </w:smartTagPr>
              <w:r w:rsidRPr="00C92B1B">
                <w:rPr>
                  <w:rFonts w:ascii="Open Sans" w:hAnsi="Open Sans" w:cs="Open Sans"/>
                  <w:snapToGrid w:val="0"/>
                  <w:sz w:val="16"/>
                  <w:szCs w:val="16"/>
                  <w:lang w:val="en-GB" w:eastAsia="en-US"/>
                </w:rPr>
                <w:t>3</w:t>
              </w:r>
              <w:r w:rsidR="00855F0B" w:rsidRPr="00C92B1B">
                <w:rPr>
                  <w:rFonts w:ascii="Open Sans" w:hAnsi="Open Sans" w:cs="Open Sans"/>
                  <w:snapToGrid w:val="0"/>
                  <w:sz w:val="16"/>
                  <w:szCs w:val="16"/>
                  <w:lang w:val="en-GB" w:eastAsia="en-US"/>
                </w:rPr>
                <w:t>/4/5</w:t>
              </w:r>
            </w:smartTag>
          </w:p>
        </w:tc>
        <w:tc>
          <w:tcPr>
            <w:tcW w:w="1247" w:type="dxa"/>
            <w:tcBorders>
              <w:top w:val="single" w:sz="6" w:space="0" w:color="000000"/>
              <w:left w:val="nil"/>
              <w:bottom w:val="single" w:sz="6" w:space="0" w:color="000000"/>
              <w:right w:val="single" w:sz="6" w:space="0" w:color="000000"/>
            </w:tcBorders>
          </w:tcPr>
          <w:p w14:paraId="739F4D5A"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15</w:t>
            </w:r>
          </w:p>
        </w:tc>
        <w:tc>
          <w:tcPr>
            <w:tcW w:w="1247" w:type="dxa"/>
            <w:tcBorders>
              <w:top w:val="single" w:sz="6" w:space="0" w:color="000000"/>
              <w:left w:val="single" w:sz="6" w:space="0" w:color="000000"/>
              <w:bottom w:val="single" w:sz="6" w:space="0" w:color="000000"/>
              <w:right w:val="single" w:sz="6" w:space="0" w:color="000000"/>
            </w:tcBorders>
          </w:tcPr>
          <w:p w14:paraId="416762DE"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3648AB27"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c>
          <w:tcPr>
            <w:tcW w:w="1247" w:type="dxa"/>
            <w:tcBorders>
              <w:top w:val="single" w:sz="6" w:space="0" w:color="000000"/>
              <w:left w:val="nil"/>
              <w:bottom w:val="single" w:sz="6" w:space="0" w:color="000000"/>
              <w:right w:val="double" w:sz="6" w:space="0" w:color="auto"/>
            </w:tcBorders>
          </w:tcPr>
          <w:p w14:paraId="1CDABC1B"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p>
        </w:tc>
      </w:tr>
      <w:tr w:rsidR="001D2587" w:rsidRPr="000855B2" w14:paraId="434D7B2D"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55B1B9F3" w14:textId="77777777" w:rsidR="00957E20"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 xml:space="preserve">Euro </w:t>
            </w:r>
            <w:r w:rsidR="00855F0B" w:rsidRPr="00C92B1B">
              <w:rPr>
                <w:rFonts w:ascii="Open Sans" w:hAnsi="Open Sans" w:cs="Open Sans"/>
                <w:snapToGrid w:val="0"/>
                <w:sz w:val="16"/>
                <w:szCs w:val="16"/>
                <w:lang w:val="en-GB" w:eastAsia="en-US"/>
              </w:rPr>
              <w:t>6</w:t>
            </w:r>
            <w:r w:rsidR="00542D5B">
              <w:rPr>
                <w:rFonts w:ascii="Open Sans" w:hAnsi="Open Sans" w:cs="Open Sans"/>
                <w:snapToGrid w:val="0"/>
                <w:sz w:val="16"/>
                <w:szCs w:val="16"/>
                <w:lang w:val="en-GB" w:eastAsia="en-US"/>
              </w:rPr>
              <w:t xml:space="preserve"> up to 2016 / 2017-2019 / 2020+</w:t>
            </w:r>
          </w:p>
        </w:tc>
        <w:tc>
          <w:tcPr>
            <w:tcW w:w="1247" w:type="dxa"/>
            <w:tcBorders>
              <w:top w:val="single" w:sz="6" w:space="0" w:color="000000"/>
              <w:left w:val="nil"/>
              <w:bottom w:val="single" w:sz="6" w:space="0" w:color="000000"/>
              <w:right w:val="single" w:sz="6" w:space="0" w:color="000000"/>
            </w:tcBorders>
          </w:tcPr>
          <w:p w14:paraId="1E377812"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51060761"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-11</w:t>
            </w:r>
            <w:r w:rsidR="00855F0B" w:rsidRPr="00C92B1B" w:rsidDel="00855F0B">
              <w:rPr>
                <w:rFonts w:ascii="Open Sans" w:hAnsi="Open Sans" w:cs="Open Sans"/>
                <w:snapToGrid w:val="0"/>
                <w:sz w:val="16"/>
                <w:szCs w:val="16"/>
                <w:lang w:val="en-GB" w:eastAsia="en-US"/>
              </w:rPr>
              <w:t xml:space="preserve"> </w:t>
            </w:r>
          </w:p>
        </w:tc>
        <w:tc>
          <w:tcPr>
            <w:tcW w:w="1247" w:type="dxa"/>
            <w:tcBorders>
              <w:top w:val="single" w:sz="6" w:space="0" w:color="000000"/>
              <w:left w:val="single" w:sz="6" w:space="0" w:color="000000"/>
              <w:bottom w:val="single" w:sz="6" w:space="0" w:color="000000"/>
              <w:right w:val="single" w:sz="6" w:space="0" w:color="000000"/>
            </w:tcBorders>
          </w:tcPr>
          <w:p w14:paraId="6F5600F5"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r w:rsidR="00855F0B" w:rsidRPr="00C92B1B" w:rsidDel="00855F0B">
              <w:rPr>
                <w:rFonts w:ascii="Open Sans" w:hAnsi="Open Sans" w:cs="Open Sans"/>
                <w:snapToGrid w:val="0"/>
                <w:sz w:val="16"/>
                <w:szCs w:val="16"/>
                <w:lang w:val="en-GB" w:eastAsia="en-US"/>
              </w:rPr>
              <w:t xml:space="preserve"> </w:t>
            </w:r>
          </w:p>
        </w:tc>
        <w:tc>
          <w:tcPr>
            <w:tcW w:w="1247" w:type="dxa"/>
            <w:tcBorders>
              <w:top w:val="single" w:sz="6" w:space="0" w:color="000000"/>
              <w:left w:val="nil"/>
              <w:bottom w:val="single" w:sz="6" w:space="0" w:color="000000"/>
              <w:right w:val="double" w:sz="6" w:space="0" w:color="auto"/>
            </w:tcBorders>
          </w:tcPr>
          <w:p w14:paraId="516FA659" w14:textId="77777777" w:rsidR="001D2587"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4</w:t>
            </w:r>
            <w:r w:rsidR="00855F0B" w:rsidRPr="00C92B1B" w:rsidDel="00855F0B">
              <w:rPr>
                <w:rFonts w:ascii="Open Sans" w:hAnsi="Open Sans" w:cs="Open Sans"/>
                <w:snapToGrid w:val="0"/>
                <w:sz w:val="16"/>
                <w:szCs w:val="16"/>
                <w:lang w:val="en-GB" w:eastAsia="en-US"/>
              </w:rPr>
              <w:t xml:space="preserve"> </w:t>
            </w:r>
          </w:p>
        </w:tc>
      </w:tr>
      <w:tr w:rsidR="001D2587" w:rsidRPr="000855B2" w14:paraId="1686145E"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0E7B34D5" w14:textId="77777777" w:rsidR="001D2587" w:rsidRPr="00C92B1B" w:rsidRDefault="001D2587" w:rsidP="005C7955">
            <w:pPr>
              <w:pStyle w:val="Table"/>
              <w:spacing w:line="240" w:lineRule="atLeast"/>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 xml:space="preserve">LPG </w:t>
            </w:r>
            <w:r w:rsidR="00861120" w:rsidRPr="00C92B1B">
              <w:rPr>
                <w:rFonts w:ascii="Open Sans" w:hAnsi="Open Sans" w:cs="Open Sans"/>
                <w:b/>
                <w:snapToGrid w:val="0"/>
                <w:sz w:val="16"/>
                <w:szCs w:val="16"/>
                <w:lang w:val="en-GB" w:eastAsia="en-US"/>
              </w:rPr>
              <w:t>p</w:t>
            </w:r>
            <w:r w:rsidRPr="00C92B1B">
              <w:rPr>
                <w:rFonts w:ascii="Open Sans" w:hAnsi="Open Sans" w:cs="Open Sans"/>
                <w:b/>
                <w:snapToGrid w:val="0"/>
                <w:sz w:val="16"/>
                <w:szCs w:val="16"/>
                <w:lang w:val="en-GB" w:eastAsia="en-US"/>
              </w:rPr>
              <w:t xml:space="preserve">assenger </w:t>
            </w:r>
            <w:r w:rsidR="00861120" w:rsidRPr="00C92B1B">
              <w:rPr>
                <w:rFonts w:ascii="Open Sans" w:hAnsi="Open Sans" w:cs="Open Sans"/>
                <w:b/>
                <w:snapToGrid w:val="0"/>
                <w:sz w:val="16"/>
                <w:szCs w:val="16"/>
                <w:lang w:val="en-GB" w:eastAsia="en-US"/>
              </w:rPr>
              <w:t>c</w:t>
            </w:r>
            <w:r w:rsidRPr="00C92B1B">
              <w:rPr>
                <w:rFonts w:ascii="Open Sans" w:hAnsi="Open Sans" w:cs="Open Sans"/>
                <w:b/>
                <w:snapToGrid w:val="0"/>
                <w:sz w:val="16"/>
                <w:szCs w:val="16"/>
                <w:lang w:val="en-GB" w:eastAsia="en-US"/>
              </w:rPr>
              <w:t>ars</w:t>
            </w:r>
          </w:p>
        </w:tc>
        <w:tc>
          <w:tcPr>
            <w:tcW w:w="1247" w:type="dxa"/>
            <w:tcBorders>
              <w:top w:val="single" w:sz="6" w:space="0" w:color="000000"/>
              <w:left w:val="nil"/>
              <w:bottom w:val="single" w:sz="6" w:space="0" w:color="000000"/>
              <w:right w:val="single" w:sz="6" w:space="0" w:color="000000"/>
            </w:tcBorders>
          </w:tcPr>
          <w:p w14:paraId="27A68DCC"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3B9A8A59"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single" w:sz="6" w:space="0" w:color="000000"/>
              <w:bottom w:val="single" w:sz="6" w:space="0" w:color="000000"/>
              <w:right w:val="single" w:sz="6" w:space="0" w:color="000000"/>
            </w:tcBorders>
          </w:tcPr>
          <w:p w14:paraId="32BA5DDC"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single" w:sz="6" w:space="0" w:color="000000"/>
              <w:left w:val="nil"/>
              <w:bottom w:val="single" w:sz="6" w:space="0" w:color="000000"/>
              <w:right w:val="double" w:sz="6" w:space="0" w:color="auto"/>
            </w:tcBorders>
          </w:tcPr>
          <w:p w14:paraId="32AF9F7C" w14:textId="77777777" w:rsidR="001D2587" w:rsidRPr="00C92B1B" w:rsidRDefault="001D2587" w:rsidP="005C7955">
            <w:pPr>
              <w:pStyle w:val="Table"/>
              <w:spacing w:line="240" w:lineRule="atLeast"/>
              <w:jc w:val="center"/>
              <w:rPr>
                <w:rFonts w:ascii="Open Sans" w:hAnsi="Open Sans" w:cs="Open Sans"/>
                <w:b/>
                <w:snapToGrid w:val="0"/>
                <w:sz w:val="16"/>
                <w:szCs w:val="16"/>
                <w:lang w:val="en-GB" w:eastAsia="en-US"/>
              </w:rPr>
            </w:pPr>
          </w:p>
        </w:tc>
      </w:tr>
      <w:tr w:rsidR="001D2587" w:rsidRPr="000855B2" w14:paraId="48759A8F"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30C81618"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Conventional</w:t>
            </w:r>
          </w:p>
        </w:tc>
        <w:tc>
          <w:tcPr>
            <w:tcW w:w="1247" w:type="dxa"/>
            <w:tcBorders>
              <w:top w:val="single" w:sz="6" w:space="0" w:color="000000"/>
              <w:left w:val="nil"/>
              <w:bottom w:val="single" w:sz="6" w:space="0" w:color="000000"/>
              <w:right w:val="single" w:sz="6" w:space="0" w:color="000000"/>
            </w:tcBorders>
          </w:tcPr>
          <w:p w14:paraId="07045630"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4C6B1D25"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single" w:sz="6" w:space="0" w:color="000000"/>
              <w:bottom w:val="single" w:sz="6" w:space="0" w:color="000000"/>
              <w:right w:val="single" w:sz="6" w:space="0" w:color="000000"/>
            </w:tcBorders>
          </w:tcPr>
          <w:p w14:paraId="4449E6A3"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c>
          <w:tcPr>
            <w:tcW w:w="1247" w:type="dxa"/>
            <w:tcBorders>
              <w:top w:val="single" w:sz="6" w:space="0" w:color="000000"/>
              <w:left w:val="nil"/>
              <w:bottom w:val="single" w:sz="6" w:space="0" w:color="000000"/>
              <w:right w:val="double" w:sz="6" w:space="0" w:color="auto"/>
            </w:tcBorders>
          </w:tcPr>
          <w:p w14:paraId="6221DF04"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w:t>
            </w:r>
          </w:p>
        </w:tc>
      </w:tr>
      <w:tr w:rsidR="001D2587" w:rsidRPr="000855B2" w14:paraId="1B9AD054"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62B72E53"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1</w:t>
            </w:r>
          </w:p>
        </w:tc>
        <w:tc>
          <w:tcPr>
            <w:tcW w:w="1247" w:type="dxa"/>
            <w:tcBorders>
              <w:top w:val="single" w:sz="6" w:space="0" w:color="000000"/>
              <w:left w:val="nil"/>
              <w:bottom w:val="single" w:sz="6" w:space="0" w:color="000000"/>
              <w:right w:val="single" w:sz="6" w:space="0" w:color="000000"/>
            </w:tcBorders>
          </w:tcPr>
          <w:p w14:paraId="2878FFD8"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38</w:t>
            </w:r>
          </w:p>
        </w:tc>
        <w:tc>
          <w:tcPr>
            <w:tcW w:w="1247" w:type="dxa"/>
            <w:tcBorders>
              <w:top w:val="single" w:sz="6" w:space="0" w:color="000000"/>
              <w:left w:val="single" w:sz="6" w:space="0" w:color="000000"/>
              <w:bottom w:val="single" w:sz="6" w:space="0" w:color="000000"/>
              <w:right w:val="single" w:sz="6" w:space="0" w:color="000000"/>
            </w:tcBorders>
          </w:tcPr>
          <w:p w14:paraId="44FBC534"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21</w:t>
            </w:r>
          </w:p>
        </w:tc>
        <w:tc>
          <w:tcPr>
            <w:tcW w:w="1247" w:type="dxa"/>
            <w:tcBorders>
              <w:top w:val="single" w:sz="6" w:space="0" w:color="000000"/>
              <w:left w:val="single" w:sz="6" w:space="0" w:color="000000"/>
              <w:bottom w:val="single" w:sz="6" w:space="0" w:color="000000"/>
              <w:right w:val="single" w:sz="6" w:space="0" w:color="000000"/>
            </w:tcBorders>
          </w:tcPr>
          <w:p w14:paraId="09C93D87"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13</w:t>
            </w:r>
          </w:p>
        </w:tc>
        <w:tc>
          <w:tcPr>
            <w:tcW w:w="1247" w:type="dxa"/>
            <w:tcBorders>
              <w:top w:val="single" w:sz="6" w:space="0" w:color="000000"/>
              <w:left w:val="nil"/>
              <w:bottom w:val="single" w:sz="6" w:space="0" w:color="000000"/>
              <w:right w:val="double" w:sz="6" w:space="0" w:color="auto"/>
            </w:tcBorders>
          </w:tcPr>
          <w:p w14:paraId="084A0B29"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8</w:t>
            </w:r>
          </w:p>
        </w:tc>
      </w:tr>
      <w:tr w:rsidR="001D2587" w:rsidRPr="000855B2" w14:paraId="13ABB202"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1D36F558"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2</w:t>
            </w:r>
          </w:p>
        </w:tc>
        <w:tc>
          <w:tcPr>
            <w:tcW w:w="1247" w:type="dxa"/>
            <w:tcBorders>
              <w:top w:val="single" w:sz="6" w:space="0" w:color="000000"/>
              <w:left w:val="nil"/>
              <w:bottom w:val="single" w:sz="6" w:space="0" w:color="000000"/>
              <w:right w:val="single" w:sz="6" w:space="0" w:color="000000"/>
            </w:tcBorders>
          </w:tcPr>
          <w:p w14:paraId="606EE7BD"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23</w:t>
            </w:r>
          </w:p>
        </w:tc>
        <w:tc>
          <w:tcPr>
            <w:tcW w:w="1247" w:type="dxa"/>
            <w:tcBorders>
              <w:top w:val="single" w:sz="6" w:space="0" w:color="000000"/>
              <w:left w:val="single" w:sz="6" w:space="0" w:color="000000"/>
              <w:bottom w:val="single" w:sz="6" w:space="0" w:color="000000"/>
              <w:right w:val="single" w:sz="6" w:space="0" w:color="000000"/>
            </w:tcBorders>
          </w:tcPr>
          <w:p w14:paraId="19BD3566"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13</w:t>
            </w:r>
          </w:p>
        </w:tc>
        <w:tc>
          <w:tcPr>
            <w:tcW w:w="1247" w:type="dxa"/>
            <w:tcBorders>
              <w:top w:val="single" w:sz="6" w:space="0" w:color="000000"/>
              <w:left w:val="single" w:sz="6" w:space="0" w:color="000000"/>
              <w:bottom w:val="single" w:sz="6" w:space="0" w:color="000000"/>
              <w:right w:val="single" w:sz="6" w:space="0" w:color="000000"/>
            </w:tcBorders>
          </w:tcPr>
          <w:p w14:paraId="0AB64793"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3</w:t>
            </w:r>
          </w:p>
        </w:tc>
        <w:tc>
          <w:tcPr>
            <w:tcW w:w="1247" w:type="dxa"/>
            <w:tcBorders>
              <w:top w:val="single" w:sz="6" w:space="0" w:color="000000"/>
              <w:left w:val="nil"/>
              <w:bottom w:val="single" w:sz="6" w:space="0" w:color="000000"/>
              <w:right w:val="double" w:sz="6" w:space="0" w:color="auto"/>
            </w:tcBorders>
          </w:tcPr>
          <w:p w14:paraId="0DE48AC0"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r>
      <w:tr w:rsidR="001D2587" w:rsidRPr="000855B2" w14:paraId="0B7A7FDE"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3CD8AA6D"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3</w:t>
            </w:r>
          </w:p>
        </w:tc>
        <w:tc>
          <w:tcPr>
            <w:tcW w:w="1247" w:type="dxa"/>
            <w:tcBorders>
              <w:top w:val="single" w:sz="6" w:space="0" w:color="000000"/>
              <w:left w:val="nil"/>
              <w:bottom w:val="single" w:sz="6" w:space="0" w:color="000000"/>
              <w:right w:val="single" w:sz="6" w:space="0" w:color="000000"/>
            </w:tcBorders>
          </w:tcPr>
          <w:p w14:paraId="5F0EFE2C"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5D39D15F"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5</w:t>
            </w:r>
          </w:p>
        </w:tc>
        <w:tc>
          <w:tcPr>
            <w:tcW w:w="1247" w:type="dxa"/>
            <w:tcBorders>
              <w:top w:val="single" w:sz="6" w:space="0" w:color="000000"/>
              <w:left w:val="single" w:sz="6" w:space="0" w:color="000000"/>
              <w:bottom w:val="single" w:sz="6" w:space="0" w:color="000000"/>
              <w:right w:val="single" w:sz="6" w:space="0" w:color="000000"/>
            </w:tcBorders>
          </w:tcPr>
          <w:p w14:paraId="0E221F3A"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single" w:sz="6" w:space="0" w:color="000000"/>
              <w:right w:val="double" w:sz="6" w:space="0" w:color="auto"/>
            </w:tcBorders>
          </w:tcPr>
          <w:p w14:paraId="4E14B542"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1D2587" w:rsidRPr="000855B2" w14:paraId="7ED70D18"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758827C9" w14:textId="77777777" w:rsidR="001D2587" w:rsidRPr="00C92B1B" w:rsidRDefault="001D2587"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4</w:t>
            </w:r>
          </w:p>
        </w:tc>
        <w:tc>
          <w:tcPr>
            <w:tcW w:w="1247" w:type="dxa"/>
            <w:tcBorders>
              <w:top w:val="single" w:sz="6" w:space="0" w:color="000000"/>
              <w:left w:val="nil"/>
              <w:bottom w:val="single" w:sz="6" w:space="0" w:color="000000"/>
              <w:right w:val="single" w:sz="6" w:space="0" w:color="000000"/>
            </w:tcBorders>
          </w:tcPr>
          <w:p w14:paraId="036B3672"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9</w:t>
            </w:r>
          </w:p>
        </w:tc>
        <w:tc>
          <w:tcPr>
            <w:tcW w:w="1247" w:type="dxa"/>
            <w:tcBorders>
              <w:top w:val="single" w:sz="6" w:space="0" w:color="000000"/>
              <w:left w:val="single" w:sz="6" w:space="0" w:color="000000"/>
              <w:bottom w:val="single" w:sz="6" w:space="0" w:color="000000"/>
              <w:right w:val="single" w:sz="6" w:space="0" w:color="000000"/>
            </w:tcBorders>
          </w:tcPr>
          <w:p w14:paraId="43146099"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5</w:t>
            </w:r>
          </w:p>
        </w:tc>
        <w:tc>
          <w:tcPr>
            <w:tcW w:w="1247" w:type="dxa"/>
            <w:tcBorders>
              <w:top w:val="single" w:sz="6" w:space="0" w:color="000000"/>
              <w:left w:val="single" w:sz="6" w:space="0" w:color="000000"/>
              <w:bottom w:val="single" w:sz="6" w:space="0" w:color="000000"/>
              <w:right w:val="single" w:sz="6" w:space="0" w:color="000000"/>
            </w:tcBorders>
          </w:tcPr>
          <w:p w14:paraId="7FCA955C"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single" w:sz="6" w:space="0" w:color="000000"/>
              <w:right w:val="double" w:sz="6" w:space="0" w:color="auto"/>
            </w:tcBorders>
          </w:tcPr>
          <w:p w14:paraId="19D0EB14" w14:textId="77777777" w:rsidR="001D2587" w:rsidRPr="00C92B1B" w:rsidRDefault="001D2587"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7A7A6E01"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1B1E3FB7"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5</w:t>
            </w:r>
          </w:p>
        </w:tc>
        <w:tc>
          <w:tcPr>
            <w:tcW w:w="1247" w:type="dxa"/>
            <w:tcBorders>
              <w:top w:val="single" w:sz="6" w:space="0" w:color="000000"/>
              <w:left w:val="nil"/>
              <w:bottom w:val="single" w:sz="6" w:space="0" w:color="000000"/>
              <w:right w:val="single" w:sz="6" w:space="0" w:color="000000"/>
            </w:tcBorders>
          </w:tcPr>
          <w:p w14:paraId="727F1BD4"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1.8</w:t>
            </w:r>
          </w:p>
        </w:tc>
        <w:tc>
          <w:tcPr>
            <w:tcW w:w="1247" w:type="dxa"/>
            <w:tcBorders>
              <w:top w:val="single" w:sz="6" w:space="0" w:color="000000"/>
              <w:left w:val="single" w:sz="6" w:space="0" w:color="000000"/>
              <w:bottom w:val="single" w:sz="6" w:space="0" w:color="000000"/>
              <w:right w:val="single" w:sz="6" w:space="0" w:color="000000"/>
            </w:tcBorders>
          </w:tcPr>
          <w:p w14:paraId="115B97BE"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2.1</w:t>
            </w:r>
          </w:p>
        </w:tc>
        <w:tc>
          <w:tcPr>
            <w:tcW w:w="1247" w:type="dxa"/>
            <w:tcBorders>
              <w:top w:val="single" w:sz="6" w:space="0" w:color="000000"/>
              <w:left w:val="single" w:sz="6" w:space="0" w:color="000000"/>
              <w:bottom w:val="single" w:sz="6" w:space="0" w:color="000000"/>
              <w:right w:val="single" w:sz="6" w:space="0" w:color="000000"/>
            </w:tcBorders>
          </w:tcPr>
          <w:p w14:paraId="01D91417"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0.2</w:t>
            </w:r>
          </w:p>
        </w:tc>
        <w:tc>
          <w:tcPr>
            <w:tcW w:w="1247" w:type="dxa"/>
            <w:tcBorders>
              <w:top w:val="single" w:sz="6" w:space="0" w:color="000000"/>
              <w:left w:val="nil"/>
              <w:bottom w:val="single" w:sz="6" w:space="0" w:color="000000"/>
              <w:right w:val="double" w:sz="6" w:space="0" w:color="auto"/>
            </w:tcBorders>
          </w:tcPr>
          <w:p w14:paraId="7FE47571"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294E29D2"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45DB1A2B"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Euro 6</w:t>
            </w:r>
          </w:p>
        </w:tc>
        <w:tc>
          <w:tcPr>
            <w:tcW w:w="1247" w:type="dxa"/>
            <w:tcBorders>
              <w:top w:val="single" w:sz="6" w:space="0" w:color="000000"/>
              <w:left w:val="nil"/>
              <w:bottom w:val="single" w:sz="6" w:space="0" w:color="000000"/>
              <w:right w:val="single" w:sz="6" w:space="0" w:color="000000"/>
            </w:tcBorders>
          </w:tcPr>
          <w:p w14:paraId="0187BC91"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1.8</w:t>
            </w:r>
          </w:p>
        </w:tc>
        <w:tc>
          <w:tcPr>
            <w:tcW w:w="1247" w:type="dxa"/>
            <w:tcBorders>
              <w:top w:val="single" w:sz="6" w:space="0" w:color="000000"/>
              <w:left w:val="single" w:sz="6" w:space="0" w:color="000000"/>
              <w:bottom w:val="single" w:sz="6" w:space="0" w:color="000000"/>
              <w:right w:val="single" w:sz="6" w:space="0" w:color="000000"/>
            </w:tcBorders>
          </w:tcPr>
          <w:p w14:paraId="4F59AB17"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2.1</w:t>
            </w:r>
          </w:p>
        </w:tc>
        <w:tc>
          <w:tcPr>
            <w:tcW w:w="1247" w:type="dxa"/>
            <w:tcBorders>
              <w:top w:val="single" w:sz="6" w:space="0" w:color="000000"/>
              <w:left w:val="single" w:sz="6" w:space="0" w:color="000000"/>
              <w:bottom w:val="single" w:sz="6" w:space="0" w:color="000000"/>
              <w:right w:val="single" w:sz="6" w:space="0" w:color="000000"/>
            </w:tcBorders>
          </w:tcPr>
          <w:p w14:paraId="3E0575D6"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0.2</w:t>
            </w:r>
          </w:p>
        </w:tc>
        <w:tc>
          <w:tcPr>
            <w:tcW w:w="1247" w:type="dxa"/>
            <w:tcBorders>
              <w:top w:val="single" w:sz="6" w:space="0" w:color="000000"/>
              <w:left w:val="nil"/>
              <w:bottom w:val="single" w:sz="6" w:space="0" w:color="000000"/>
              <w:right w:val="double" w:sz="6" w:space="0" w:color="auto"/>
            </w:tcBorders>
          </w:tcPr>
          <w:p w14:paraId="728667EF"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698F2938" w14:textId="77777777" w:rsidTr="00887829">
        <w:trPr>
          <w:trHeight w:val="240"/>
        </w:trPr>
        <w:tc>
          <w:tcPr>
            <w:tcW w:w="3315" w:type="dxa"/>
            <w:tcBorders>
              <w:top w:val="nil"/>
              <w:left w:val="double" w:sz="6" w:space="0" w:color="auto"/>
              <w:bottom w:val="single" w:sz="6" w:space="0" w:color="000000"/>
              <w:right w:val="single" w:sz="6" w:space="0" w:color="000000"/>
            </w:tcBorders>
          </w:tcPr>
          <w:p w14:paraId="36A729A4" w14:textId="77777777" w:rsidR="00EB183F" w:rsidRPr="00C92B1B" w:rsidRDefault="00EB183F" w:rsidP="005C7955">
            <w:pPr>
              <w:pStyle w:val="Table"/>
              <w:spacing w:line="240" w:lineRule="atLeast"/>
              <w:rPr>
                <w:rFonts w:ascii="Open Sans" w:hAnsi="Open Sans" w:cs="Open Sans"/>
                <w:b/>
                <w:snapToGrid w:val="0"/>
                <w:sz w:val="16"/>
                <w:szCs w:val="16"/>
                <w:lang w:val="en-GB" w:eastAsia="en-US"/>
              </w:rPr>
            </w:pPr>
            <w:r w:rsidRPr="00C92B1B">
              <w:rPr>
                <w:rFonts w:ascii="Open Sans" w:hAnsi="Open Sans" w:cs="Open Sans"/>
                <w:b/>
                <w:snapToGrid w:val="0"/>
                <w:sz w:val="16"/>
                <w:szCs w:val="16"/>
                <w:lang w:val="en-GB" w:eastAsia="en-US"/>
              </w:rPr>
              <w:t>Mopeds and motorcycles</w:t>
            </w:r>
          </w:p>
        </w:tc>
        <w:tc>
          <w:tcPr>
            <w:tcW w:w="2494" w:type="dxa"/>
            <w:gridSpan w:val="2"/>
            <w:tcBorders>
              <w:top w:val="nil"/>
              <w:left w:val="nil"/>
              <w:bottom w:val="single" w:sz="6" w:space="0" w:color="000000"/>
              <w:right w:val="single" w:sz="6" w:space="0" w:color="000000"/>
            </w:tcBorders>
          </w:tcPr>
          <w:p w14:paraId="45F555F0" w14:textId="77777777" w:rsidR="00EB183F" w:rsidRPr="00C92B1B" w:rsidRDefault="00EB183F"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nil"/>
              <w:left w:val="single" w:sz="6" w:space="0" w:color="000000"/>
              <w:bottom w:val="single" w:sz="6" w:space="0" w:color="000000"/>
              <w:right w:val="single" w:sz="6" w:space="0" w:color="000000"/>
            </w:tcBorders>
          </w:tcPr>
          <w:p w14:paraId="6FEEBE76" w14:textId="77777777" w:rsidR="00EB183F" w:rsidRPr="00C92B1B" w:rsidRDefault="00EB183F" w:rsidP="005C7955">
            <w:pPr>
              <w:pStyle w:val="Table"/>
              <w:spacing w:line="240" w:lineRule="atLeast"/>
              <w:jc w:val="center"/>
              <w:rPr>
                <w:rFonts w:ascii="Open Sans" w:hAnsi="Open Sans" w:cs="Open Sans"/>
                <w:b/>
                <w:snapToGrid w:val="0"/>
                <w:sz w:val="16"/>
                <w:szCs w:val="16"/>
                <w:lang w:val="en-GB" w:eastAsia="en-US"/>
              </w:rPr>
            </w:pPr>
          </w:p>
        </w:tc>
        <w:tc>
          <w:tcPr>
            <w:tcW w:w="1247" w:type="dxa"/>
            <w:tcBorders>
              <w:top w:val="nil"/>
              <w:left w:val="nil"/>
              <w:bottom w:val="single" w:sz="6" w:space="0" w:color="000000"/>
              <w:right w:val="double" w:sz="6" w:space="0" w:color="auto"/>
            </w:tcBorders>
          </w:tcPr>
          <w:p w14:paraId="350DB2BF" w14:textId="77777777" w:rsidR="00EB183F" w:rsidRPr="00C92B1B" w:rsidRDefault="00EB183F" w:rsidP="005C7955">
            <w:pPr>
              <w:pStyle w:val="Table"/>
              <w:spacing w:line="240" w:lineRule="atLeast"/>
              <w:jc w:val="center"/>
              <w:rPr>
                <w:rFonts w:ascii="Open Sans" w:hAnsi="Open Sans" w:cs="Open Sans"/>
                <w:b/>
                <w:snapToGrid w:val="0"/>
                <w:sz w:val="16"/>
                <w:szCs w:val="16"/>
                <w:lang w:val="en-GB" w:eastAsia="en-US"/>
              </w:rPr>
            </w:pPr>
          </w:p>
        </w:tc>
      </w:tr>
      <w:tr w:rsidR="00EB183F" w:rsidRPr="000855B2" w14:paraId="001F1239"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342D2F66"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&lt; 50 cm³</w:t>
            </w:r>
          </w:p>
        </w:tc>
        <w:tc>
          <w:tcPr>
            <w:tcW w:w="2494" w:type="dxa"/>
            <w:gridSpan w:val="2"/>
            <w:tcBorders>
              <w:top w:val="single" w:sz="6" w:space="0" w:color="000000"/>
              <w:left w:val="nil"/>
              <w:bottom w:val="single" w:sz="6" w:space="0" w:color="000000"/>
              <w:right w:val="single" w:sz="6" w:space="0" w:color="000000"/>
            </w:tcBorders>
          </w:tcPr>
          <w:p w14:paraId="44801EAA"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c>
          <w:tcPr>
            <w:tcW w:w="1247" w:type="dxa"/>
            <w:tcBorders>
              <w:top w:val="single" w:sz="6" w:space="0" w:color="000000"/>
              <w:left w:val="single" w:sz="6" w:space="0" w:color="000000"/>
              <w:bottom w:val="single" w:sz="6" w:space="0" w:color="000000"/>
              <w:right w:val="single" w:sz="6" w:space="0" w:color="000000"/>
            </w:tcBorders>
          </w:tcPr>
          <w:p w14:paraId="02254BF5"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c>
          <w:tcPr>
            <w:tcW w:w="1247" w:type="dxa"/>
            <w:tcBorders>
              <w:top w:val="single" w:sz="6" w:space="0" w:color="000000"/>
              <w:left w:val="nil"/>
              <w:bottom w:val="single" w:sz="6" w:space="0" w:color="000000"/>
              <w:right w:val="double" w:sz="6" w:space="0" w:color="auto"/>
            </w:tcBorders>
          </w:tcPr>
          <w:p w14:paraId="6BDFB491"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1</w:t>
            </w:r>
          </w:p>
        </w:tc>
      </w:tr>
      <w:tr w:rsidR="00EB183F" w:rsidRPr="000855B2" w14:paraId="559724C6" w14:textId="77777777" w:rsidTr="00887829">
        <w:trPr>
          <w:trHeight w:val="240"/>
        </w:trPr>
        <w:tc>
          <w:tcPr>
            <w:tcW w:w="3315" w:type="dxa"/>
            <w:tcBorders>
              <w:top w:val="single" w:sz="6" w:space="0" w:color="000000"/>
              <w:left w:val="double" w:sz="6" w:space="0" w:color="auto"/>
              <w:bottom w:val="single" w:sz="6" w:space="0" w:color="000000"/>
              <w:right w:val="single" w:sz="6" w:space="0" w:color="000000"/>
            </w:tcBorders>
          </w:tcPr>
          <w:p w14:paraId="430ABC58"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&gt; 50 cm³ 2-stroke</w:t>
            </w:r>
          </w:p>
        </w:tc>
        <w:tc>
          <w:tcPr>
            <w:tcW w:w="2494" w:type="dxa"/>
            <w:gridSpan w:val="2"/>
            <w:tcBorders>
              <w:top w:val="single" w:sz="6" w:space="0" w:color="000000"/>
              <w:left w:val="nil"/>
              <w:bottom w:val="single" w:sz="6" w:space="0" w:color="000000"/>
              <w:right w:val="single" w:sz="6" w:space="0" w:color="000000"/>
            </w:tcBorders>
          </w:tcPr>
          <w:p w14:paraId="0DE8592F"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single" w:sz="6" w:space="0" w:color="000000"/>
              <w:bottom w:val="single" w:sz="6" w:space="0" w:color="000000"/>
              <w:right w:val="single" w:sz="6" w:space="0" w:color="000000"/>
            </w:tcBorders>
          </w:tcPr>
          <w:p w14:paraId="25B22071"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single" w:sz="6" w:space="0" w:color="000000"/>
              <w:right w:val="double" w:sz="6" w:space="0" w:color="auto"/>
            </w:tcBorders>
          </w:tcPr>
          <w:p w14:paraId="3D9343A7"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r>
      <w:tr w:rsidR="00EB183F" w:rsidRPr="000855B2" w14:paraId="2FA2397D" w14:textId="77777777" w:rsidTr="00887829">
        <w:trPr>
          <w:trHeight w:val="240"/>
        </w:trPr>
        <w:tc>
          <w:tcPr>
            <w:tcW w:w="3315" w:type="dxa"/>
            <w:tcBorders>
              <w:top w:val="single" w:sz="6" w:space="0" w:color="000000"/>
              <w:left w:val="double" w:sz="6" w:space="0" w:color="auto"/>
              <w:bottom w:val="double" w:sz="6" w:space="0" w:color="auto"/>
              <w:right w:val="single" w:sz="6" w:space="0" w:color="000000"/>
            </w:tcBorders>
          </w:tcPr>
          <w:p w14:paraId="226AA83B" w14:textId="77777777" w:rsidR="00EB183F" w:rsidRPr="00C92B1B" w:rsidRDefault="00EB183F" w:rsidP="005C7955">
            <w:pPr>
              <w:pStyle w:val="Table"/>
              <w:spacing w:line="240" w:lineRule="atLeast"/>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&gt; 50 cm³ 4-stroke</w:t>
            </w:r>
          </w:p>
        </w:tc>
        <w:tc>
          <w:tcPr>
            <w:tcW w:w="2494" w:type="dxa"/>
            <w:gridSpan w:val="2"/>
            <w:tcBorders>
              <w:top w:val="single" w:sz="6" w:space="0" w:color="000000"/>
              <w:left w:val="nil"/>
              <w:bottom w:val="double" w:sz="6" w:space="0" w:color="auto"/>
              <w:right w:val="single" w:sz="6" w:space="0" w:color="000000"/>
            </w:tcBorders>
          </w:tcPr>
          <w:p w14:paraId="70C4B347"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single" w:sz="6" w:space="0" w:color="000000"/>
              <w:bottom w:val="double" w:sz="6" w:space="0" w:color="auto"/>
              <w:right w:val="single" w:sz="6" w:space="0" w:color="000000"/>
            </w:tcBorders>
          </w:tcPr>
          <w:p w14:paraId="451E8E73"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c>
          <w:tcPr>
            <w:tcW w:w="1247" w:type="dxa"/>
            <w:tcBorders>
              <w:top w:val="single" w:sz="6" w:space="0" w:color="000000"/>
              <w:left w:val="nil"/>
              <w:bottom w:val="double" w:sz="6" w:space="0" w:color="auto"/>
              <w:right w:val="double" w:sz="6" w:space="0" w:color="auto"/>
            </w:tcBorders>
          </w:tcPr>
          <w:p w14:paraId="404B9BBB" w14:textId="77777777" w:rsidR="00EB183F" w:rsidRPr="00C92B1B" w:rsidRDefault="00EB183F" w:rsidP="005C7955">
            <w:pPr>
              <w:pStyle w:val="Table"/>
              <w:spacing w:line="240" w:lineRule="atLeast"/>
              <w:jc w:val="center"/>
              <w:rPr>
                <w:rFonts w:ascii="Open Sans" w:hAnsi="Open Sans" w:cs="Open Sans"/>
                <w:snapToGrid w:val="0"/>
                <w:sz w:val="16"/>
                <w:szCs w:val="16"/>
                <w:lang w:val="en-GB" w:eastAsia="en-US"/>
              </w:rPr>
            </w:pPr>
            <w:r w:rsidRPr="00C92B1B">
              <w:rPr>
                <w:rFonts w:ascii="Open Sans" w:hAnsi="Open Sans" w:cs="Open Sans"/>
                <w:snapToGrid w:val="0"/>
                <w:sz w:val="16"/>
                <w:szCs w:val="16"/>
                <w:lang w:val="en-GB" w:eastAsia="en-US"/>
              </w:rPr>
              <w:t>2</w:t>
            </w:r>
          </w:p>
        </w:tc>
      </w:tr>
    </w:tbl>
    <w:p w14:paraId="7D84411B" w14:textId="62718C7C" w:rsidR="00714F0C" w:rsidRPr="000855B2" w:rsidRDefault="00A040D1" w:rsidP="00C92B1B">
      <w:pPr>
        <w:pStyle w:val="Caption"/>
      </w:pPr>
      <w:bookmarkStart w:id="254" w:name="_Ref201774855"/>
      <w:bookmarkStart w:id="255" w:name="_Ref202071529"/>
      <w:bookmarkStart w:id="256" w:name="_Ref201774756"/>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64</w:t>
      </w:r>
      <w:r w:rsidR="00FB454C">
        <w:rPr>
          <w:noProof/>
        </w:rPr>
        <w:fldChar w:fldCharType="end"/>
      </w:r>
      <w:bookmarkEnd w:id="254"/>
      <w:bookmarkEnd w:id="255"/>
      <w:r w:rsidR="00714F0C" w:rsidRPr="000855B2">
        <w:t xml:space="preserve">: </w:t>
      </w:r>
      <w:r w:rsidR="00505C7C" w:rsidRPr="000855B2">
        <w:t>N</w:t>
      </w:r>
      <w:r w:rsidR="00505C7C" w:rsidRPr="000855B2">
        <w:rPr>
          <w:vertAlign w:val="subscript"/>
        </w:rPr>
        <w:t>2</w:t>
      </w:r>
      <w:r w:rsidR="00505C7C" w:rsidRPr="000855B2">
        <w:t xml:space="preserve">O </w:t>
      </w:r>
      <w:r w:rsidR="00714F0C" w:rsidRPr="000855B2">
        <w:t>emission factors (mg/km) for heavy duty vehicles</w:t>
      </w:r>
      <w:bookmarkEnd w:id="256"/>
    </w:p>
    <w:tbl>
      <w:tblPr>
        <w:tblW w:w="6681" w:type="dxa"/>
        <w:tblLook w:val="0000" w:firstRow="0" w:lastRow="0" w:firstColumn="0" w:lastColumn="0" w:noHBand="0" w:noVBand="0"/>
      </w:tblPr>
      <w:tblGrid>
        <w:gridCol w:w="2142"/>
        <w:gridCol w:w="1239"/>
        <w:gridCol w:w="1120"/>
        <w:gridCol w:w="1100"/>
        <w:gridCol w:w="1080"/>
      </w:tblGrid>
      <w:tr w:rsidR="00714F0C" w:rsidRPr="000855B2" w14:paraId="556EB5A7" w14:textId="77777777" w:rsidTr="00B5546B">
        <w:trPr>
          <w:trHeight w:val="390"/>
        </w:trPr>
        <w:tc>
          <w:tcPr>
            <w:tcW w:w="2142" w:type="dxa"/>
            <w:tcBorders>
              <w:top w:val="double" w:sz="4" w:space="0" w:color="auto"/>
              <w:left w:val="double" w:sz="4" w:space="0" w:color="auto"/>
              <w:bottom w:val="single" w:sz="12" w:space="0" w:color="auto"/>
              <w:right w:val="single" w:sz="4" w:space="0" w:color="auto"/>
            </w:tcBorders>
            <w:shd w:val="clear" w:color="auto" w:fill="auto"/>
            <w:vAlign w:val="center"/>
          </w:tcPr>
          <w:p w14:paraId="55C29AB3" w14:textId="77777777" w:rsidR="00714F0C" w:rsidRPr="00C92B1B" w:rsidRDefault="00505C7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lastRenderedPageBreak/>
              <w:t xml:space="preserve">HDV </w:t>
            </w:r>
            <w:r w:rsidR="00714F0C" w:rsidRPr="00C92B1B">
              <w:rPr>
                <w:b/>
                <w:bCs/>
                <w:sz w:val="16"/>
                <w:szCs w:val="16"/>
                <w:lang w:val="en-GB" w:eastAsia="el-GR"/>
              </w:rPr>
              <w:t>Category</w:t>
            </w:r>
          </w:p>
        </w:tc>
        <w:tc>
          <w:tcPr>
            <w:tcW w:w="1239" w:type="dxa"/>
            <w:tcBorders>
              <w:top w:val="double" w:sz="4" w:space="0" w:color="auto"/>
              <w:left w:val="nil"/>
              <w:bottom w:val="single" w:sz="12" w:space="0" w:color="auto"/>
              <w:right w:val="single" w:sz="4" w:space="0" w:color="auto"/>
            </w:tcBorders>
            <w:shd w:val="clear" w:color="auto" w:fill="auto"/>
            <w:vAlign w:val="center"/>
          </w:tcPr>
          <w:p w14:paraId="25B5A277"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Technology</w:t>
            </w:r>
          </w:p>
        </w:tc>
        <w:tc>
          <w:tcPr>
            <w:tcW w:w="1120" w:type="dxa"/>
            <w:tcBorders>
              <w:top w:val="double" w:sz="4" w:space="0" w:color="auto"/>
              <w:left w:val="nil"/>
              <w:bottom w:val="single" w:sz="12" w:space="0" w:color="auto"/>
              <w:right w:val="single" w:sz="4" w:space="0" w:color="auto"/>
            </w:tcBorders>
            <w:shd w:val="clear" w:color="auto" w:fill="auto"/>
            <w:vAlign w:val="center"/>
          </w:tcPr>
          <w:p w14:paraId="4426761D"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Urban (g/km)</w:t>
            </w:r>
          </w:p>
        </w:tc>
        <w:tc>
          <w:tcPr>
            <w:tcW w:w="1100" w:type="dxa"/>
            <w:tcBorders>
              <w:top w:val="double" w:sz="4" w:space="0" w:color="auto"/>
              <w:left w:val="single" w:sz="4" w:space="0" w:color="auto"/>
              <w:bottom w:val="single" w:sz="12" w:space="0" w:color="auto"/>
              <w:right w:val="single" w:sz="4" w:space="0" w:color="auto"/>
            </w:tcBorders>
            <w:shd w:val="clear" w:color="auto" w:fill="auto"/>
            <w:vAlign w:val="center"/>
          </w:tcPr>
          <w:p w14:paraId="128E09EF"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Rural (g/km)</w:t>
            </w:r>
          </w:p>
        </w:tc>
        <w:tc>
          <w:tcPr>
            <w:tcW w:w="1080" w:type="dxa"/>
            <w:tcBorders>
              <w:top w:val="double" w:sz="4" w:space="0" w:color="auto"/>
              <w:left w:val="single" w:sz="4" w:space="0" w:color="auto"/>
              <w:bottom w:val="single" w:sz="12" w:space="0" w:color="auto"/>
              <w:right w:val="double" w:sz="4" w:space="0" w:color="auto"/>
            </w:tcBorders>
            <w:shd w:val="clear" w:color="auto" w:fill="auto"/>
            <w:vAlign w:val="center"/>
          </w:tcPr>
          <w:p w14:paraId="6E1FCFAB" w14:textId="77777777" w:rsidR="00714F0C" w:rsidRPr="00C92B1B" w:rsidRDefault="00714F0C" w:rsidP="005C7955">
            <w:pPr>
              <w:keepNext/>
              <w:keepLines/>
              <w:suppressAutoHyphens/>
              <w:spacing w:line="240" w:lineRule="atLeast"/>
              <w:jc w:val="center"/>
              <w:rPr>
                <w:b/>
                <w:bCs/>
                <w:sz w:val="16"/>
                <w:szCs w:val="16"/>
                <w:lang w:val="en-GB" w:eastAsia="el-GR"/>
              </w:rPr>
            </w:pPr>
            <w:r w:rsidRPr="00C92B1B">
              <w:rPr>
                <w:b/>
                <w:bCs/>
                <w:sz w:val="16"/>
                <w:szCs w:val="16"/>
                <w:lang w:val="en-GB" w:eastAsia="el-GR"/>
              </w:rPr>
              <w:t>Highway (g/km)</w:t>
            </w:r>
          </w:p>
        </w:tc>
      </w:tr>
      <w:tr w:rsidR="00714F0C" w:rsidRPr="000855B2" w14:paraId="500E6ADA" w14:textId="77777777" w:rsidTr="00B5546B">
        <w:trPr>
          <w:trHeight w:val="240"/>
        </w:trPr>
        <w:tc>
          <w:tcPr>
            <w:tcW w:w="2142" w:type="dxa"/>
            <w:tcBorders>
              <w:top w:val="single" w:sz="12" w:space="0" w:color="auto"/>
              <w:left w:val="double" w:sz="4" w:space="0" w:color="auto"/>
              <w:bottom w:val="single" w:sz="4" w:space="0" w:color="auto"/>
              <w:right w:val="single" w:sz="4" w:space="0" w:color="auto"/>
            </w:tcBorders>
            <w:shd w:val="clear" w:color="auto" w:fill="auto"/>
            <w:vAlign w:val="center"/>
          </w:tcPr>
          <w:p w14:paraId="133B9C1D" w14:textId="77777777" w:rsidR="00714F0C" w:rsidRPr="00C92B1B" w:rsidRDefault="004E1503" w:rsidP="005C7955">
            <w:pPr>
              <w:keepNext/>
              <w:keepLines/>
              <w:suppressAutoHyphens/>
              <w:spacing w:line="240" w:lineRule="atLeast"/>
              <w:rPr>
                <w:sz w:val="16"/>
                <w:szCs w:val="16"/>
                <w:lang w:val="en-GB" w:eastAsia="el-GR"/>
              </w:rPr>
            </w:pPr>
            <w:r>
              <w:rPr>
                <w:sz w:val="16"/>
                <w:szCs w:val="16"/>
                <w:lang w:val="en-GB" w:eastAsia="el-GR"/>
              </w:rPr>
              <w:t>Petrol</w:t>
            </w:r>
            <w:r w:rsidR="00505C7C" w:rsidRPr="00C92B1B">
              <w:rPr>
                <w:sz w:val="16"/>
                <w:szCs w:val="16"/>
                <w:lang w:val="en-GB" w:eastAsia="el-GR"/>
              </w:rPr>
              <w:t xml:space="preserve"> </w:t>
            </w:r>
            <w:r w:rsidR="00972A38" w:rsidRPr="00C92B1B">
              <w:rPr>
                <w:sz w:val="16"/>
                <w:szCs w:val="16"/>
                <w:lang w:val="en-GB" w:eastAsia="el-GR"/>
              </w:rPr>
              <w:t>&gt; </w:t>
            </w:r>
            <w:r w:rsidR="00505C7C" w:rsidRPr="00C92B1B">
              <w:rPr>
                <w:sz w:val="16"/>
                <w:szCs w:val="16"/>
                <w:lang w:val="en-GB" w:eastAsia="el-GR"/>
              </w:rPr>
              <w:t>3.</w:t>
            </w:r>
            <w:r w:rsidR="00714F0C" w:rsidRPr="00C92B1B">
              <w:rPr>
                <w:sz w:val="16"/>
                <w:szCs w:val="16"/>
                <w:lang w:val="en-GB" w:eastAsia="el-GR"/>
              </w:rPr>
              <w:t>5</w:t>
            </w:r>
            <w:r w:rsidR="003424C3" w:rsidRPr="00C92B1B">
              <w:rPr>
                <w:sz w:val="16"/>
                <w:szCs w:val="16"/>
                <w:lang w:val="en-GB" w:eastAsia="el-GR"/>
              </w:rPr>
              <w:t> </w:t>
            </w:r>
            <w:r w:rsidR="00714F0C" w:rsidRPr="00C92B1B">
              <w:rPr>
                <w:sz w:val="16"/>
                <w:szCs w:val="16"/>
                <w:lang w:val="en-GB" w:eastAsia="el-GR"/>
              </w:rPr>
              <w:t>t</w:t>
            </w:r>
          </w:p>
        </w:tc>
        <w:tc>
          <w:tcPr>
            <w:tcW w:w="1239" w:type="dxa"/>
            <w:tcBorders>
              <w:top w:val="single" w:sz="12" w:space="0" w:color="auto"/>
              <w:left w:val="nil"/>
              <w:bottom w:val="single" w:sz="4" w:space="0" w:color="auto"/>
              <w:right w:val="single" w:sz="4" w:space="0" w:color="auto"/>
            </w:tcBorders>
            <w:shd w:val="clear" w:color="auto" w:fill="auto"/>
            <w:noWrap/>
            <w:vAlign w:val="center"/>
          </w:tcPr>
          <w:p w14:paraId="70E0D335"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12" w:space="0" w:color="auto"/>
              <w:left w:val="nil"/>
              <w:bottom w:val="single" w:sz="4" w:space="0" w:color="auto"/>
              <w:right w:val="single" w:sz="4" w:space="0" w:color="auto"/>
            </w:tcBorders>
            <w:shd w:val="clear" w:color="auto" w:fill="auto"/>
            <w:noWrap/>
            <w:vAlign w:val="center"/>
          </w:tcPr>
          <w:p w14:paraId="7C138DD0"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534649E"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080" w:type="dxa"/>
            <w:tcBorders>
              <w:top w:val="single" w:sz="12" w:space="0" w:color="auto"/>
              <w:left w:val="single" w:sz="4" w:space="0" w:color="auto"/>
              <w:bottom w:val="single" w:sz="4" w:space="0" w:color="auto"/>
              <w:right w:val="double" w:sz="4" w:space="0" w:color="auto"/>
            </w:tcBorders>
            <w:shd w:val="clear" w:color="auto" w:fill="auto"/>
            <w:noWrap/>
            <w:vAlign w:val="center"/>
          </w:tcPr>
          <w:p w14:paraId="1604C536"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r>
      <w:tr w:rsidR="00714F0C" w:rsidRPr="000855B2" w14:paraId="577D6504"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54261CEA" w14:textId="77777777" w:rsidR="00714F0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Rigid 7.</w:t>
            </w:r>
            <w:r w:rsidR="00714F0C" w:rsidRPr="00C92B1B">
              <w:rPr>
                <w:sz w:val="16"/>
                <w:szCs w:val="16"/>
                <w:lang w:val="en-GB" w:eastAsia="el-GR"/>
              </w:rPr>
              <w:t>5</w:t>
            </w:r>
            <w:r w:rsidR="003424C3" w:rsidRPr="00C92B1B">
              <w:rPr>
                <w:sz w:val="16"/>
                <w:szCs w:val="16"/>
                <w:lang w:val="en-GB"/>
              </w:rPr>
              <w:t>–</w:t>
            </w:r>
            <w:r w:rsidR="00714F0C" w:rsidRPr="00C92B1B">
              <w:rPr>
                <w:sz w:val="16"/>
                <w:szCs w:val="16"/>
                <w:lang w:val="en-GB" w:eastAsia="el-GR"/>
              </w:rPr>
              <w:t>12</w:t>
            </w:r>
            <w:r w:rsidR="003424C3" w:rsidRPr="00C92B1B">
              <w:rPr>
                <w:sz w:val="16"/>
                <w:szCs w:val="16"/>
                <w:lang w:val="en-GB" w:eastAsia="el-GR"/>
              </w:rPr>
              <w:t> </w:t>
            </w:r>
            <w:r w:rsidR="00714F0C" w:rsidRPr="00C92B1B">
              <w:rPr>
                <w:sz w:val="16"/>
                <w:szCs w:val="16"/>
                <w:lang w:val="en-GB" w:eastAsia="el-GR"/>
              </w:rPr>
              <w:t>t</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530102D"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FE98004"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0E1F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D4A53C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714F0C" w:rsidRPr="000855B2" w14:paraId="320FB75D"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00993561"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0A1856F"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F88B9D6"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E02C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ACE293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r>
      <w:tr w:rsidR="00714F0C" w:rsidRPr="000855B2" w14:paraId="0DC38993"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1FFA2DD9"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BBDA71C"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5C0CFBD"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E5516"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242F52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r>
      <w:tr w:rsidR="00714F0C" w:rsidRPr="000855B2" w14:paraId="51D70C23"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21818D11"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20D95A7"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E32DE4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6A6AF"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8B56456"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2</w:t>
            </w:r>
          </w:p>
        </w:tc>
      </w:tr>
      <w:tr w:rsidR="00714F0C" w:rsidRPr="000855B2" w14:paraId="4844391A"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41F96CD6"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8D12A95"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B5B4BA1"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12D7D"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7.2</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8EAF19F"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5.8</w:t>
            </w:r>
          </w:p>
        </w:tc>
      </w:tr>
      <w:tr w:rsidR="00714F0C" w:rsidRPr="000855B2" w14:paraId="39C92E66"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7C4F7A33"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00FFBFA"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0426CA0"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E28EB"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19.8</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4847D57"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17.2</w:t>
            </w:r>
          </w:p>
        </w:tc>
      </w:tr>
      <w:tr w:rsidR="00714F0C" w:rsidRPr="000855B2" w14:paraId="22512171"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7605D6F1"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913DE39"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A412884"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18.5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C3ACD"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028A510"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r>
      <w:tr w:rsidR="00714F0C" w:rsidRPr="000855B2" w14:paraId="3E971933"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1D7CC298"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 xml:space="preserve">Rigid and </w:t>
            </w:r>
            <w:r w:rsidR="003424C3" w:rsidRPr="00C92B1B">
              <w:rPr>
                <w:sz w:val="16"/>
                <w:szCs w:val="16"/>
                <w:lang w:val="en-GB" w:eastAsia="el-GR"/>
              </w:rPr>
              <w:t>a</w:t>
            </w:r>
            <w:r w:rsidRPr="00C92B1B">
              <w:rPr>
                <w:sz w:val="16"/>
                <w:szCs w:val="16"/>
                <w:lang w:val="en-GB" w:eastAsia="el-GR"/>
              </w:rPr>
              <w:t>rticulated 12</w:t>
            </w:r>
            <w:r w:rsidR="00505C7C" w:rsidRPr="00C92B1B">
              <w:rPr>
                <w:sz w:val="16"/>
                <w:szCs w:val="16"/>
                <w:lang w:val="en-GB" w:eastAsia="el-GR"/>
              </w:rPr>
              <w:t>–</w:t>
            </w:r>
            <w:r w:rsidRPr="00C92B1B">
              <w:rPr>
                <w:sz w:val="16"/>
                <w:szCs w:val="16"/>
                <w:lang w:val="en-GB" w:eastAsia="el-GR"/>
              </w:rPr>
              <w:t>28</w:t>
            </w:r>
            <w:r w:rsidR="003424C3" w:rsidRPr="00C92B1B">
              <w:rPr>
                <w:sz w:val="16"/>
                <w:szCs w:val="16"/>
                <w:lang w:val="en-GB" w:eastAsia="el-GR"/>
              </w:rPr>
              <w:t> </w:t>
            </w:r>
            <w:r w:rsidRPr="00C92B1B">
              <w:rPr>
                <w:sz w:val="16"/>
                <w:szCs w:val="16"/>
                <w:lang w:val="en-GB" w:eastAsia="el-GR"/>
              </w:rPr>
              <w:t xml:space="preserve">t and </w:t>
            </w:r>
            <w:r w:rsidR="003424C3" w:rsidRPr="00C92B1B">
              <w:rPr>
                <w:sz w:val="16"/>
                <w:szCs w:val="16"/>
                <w:lang w:val="en-GB" w:eastAsia="el-GR"/>
              </w:rPr>
              <w:t>c</w:t>
            </w:r>
            <w:r w:rsidRPr="00C92B1B">
              <w:rPr>
                <w:sz w:val="16"/>
                <w:szCs w:val="16"/>
                <w:lang w:val="en-GB" w:eastAsia="el-GR"/>
              </w:rPr>
              <w:t>oaches (all types)</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6421330"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FE70DB3"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57022"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1AB959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714F0C" w:rsidRPr="000855B2" w14:paraId="334DDF16"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45AE94B7"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58C0C7E"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8C819B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F3016"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334953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7</w:t>
            </w:r>
          </w:p>
        </w:tc>
      </w:tr>
      <w:tr w:rsidR="00714F0C" w:rsidRPr="000855B2" w14:paraId="14C91542"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4D7422FC"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B6F0F23"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EA499A3"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70005"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0B898C2"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r>
      <w:tr w:rsidR="00714F0C" w:rsidRPr="000855B2" w14:paraId="4FD8CE61"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01414319"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FB7B973"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652406E"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7E20"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BB95403"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4</w:t>
            </w:r>
          </w:p>
        </w:tc>
      </w:tr>
      <w:tr w:rsidR="00714F0C" w:rsidRPr="000855B2" w14:paraId="59321E04"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4B725088"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B883D75"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4AA995B"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A089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13.8</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4B90643"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11.4</w:t>
            </w:r>
          </w:p>
        </w:tc>
      </w:tr>
      <w:tr w:rsidR="00714F0C" w:rsidRPr="000855B2" w14:paraId="247D1759"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72B66BF2"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B5823B7"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F5F069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29.8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D746C"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40.2</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CB846B3"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33.6</w:t>
            </w:r>
          </w:p>
        </w:tc>
      </w:tr>
      <w:tr w:rsidR="00714F0C" w:rsidRPr="000855B2" w14:paraId="1B44CAF7"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6DF56E65" w14:textId="77777777" w:rsidR="00714F0C" w:rsidRPr="00C92B1B" w:rsidRDefault="00714F0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B991A50" w14:textId="77777777" w:rsidR="00714F0C" w:rsidRPr="00C92B1B" w:rsidRDefault="00714F0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B93788E"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4C56A"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39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7964794" w14:textId="77777777" w:rsidR="00714F0C" w:rsidRPr="00C92B1B" w:rsidRDefault="00714F0C" w:rsidP="005C7955">
            <w:pPr>
              <w:keepNext/>
              <w:keepLines/>
              <w:suppressAutoHyphens/>
              <w:spacing w:line="240" w:lineRule="atLeast"/>
              <w:jc w:val="center"/>
              <w:rPr>
                <w:sz w:val="16"/>
                <w:szCs w:val="16"/>
                <w:lang w:val="en-GB" w:eastAsia="el-GR"/>
              </w:rPr>
            </w:pPr>
            <w:r w:rsidRPr="00C92B1B">
              <w:rPr>
                <w:sz w:val="16"/>
                <w:szCs w:val="16"/>
                <w:lang w:val="en-GB" w:eastAsia="el-GR"/>
              </w:rPr>
              <w:t>29</w:t>
            </w:r>
          </w:p>
        </w:tc>
      </w:tr>
      <w:tr w:rsidR="00505C7C" w:rsidRPr="000855B2" w14:paraId="24EBF9A1"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392B232C"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Rigid and </w:t>
            </w:r>
            <w:r w:rsidR="003424C3" w:rsidRPr="00C92B1B">
              <w:rPr>
                <w:sz w:val="16"/>
                <w:szCs w:val="16"/>
                <w:lang w:val="en-GB" w:eastAsia="el-GR"/>
              </w:rPr>
              <w:t>a</w:t>
            </w:r>
            <w:r w:rsidRPr="00C92B1B">
              <w:rPr>
                <w:sz w:val="16"/>
                <w:szCs w:val="16"/>
                <w:lang w:val="en-GB" w:eastAsia="el-GR"/>
              </w:rPr>
              <w:t>rticulated  28–34</w:t>
            </w:r>
            <w:r w:rsidR="003424C3" w:rsidRPr="00C92B1B">
              <w:rPr>
                <w:sz w:val="16"/>
                <w:szCs w:val="16"/>
                <w:lang w:val="en-GB" w:eastAsia="el-GR"/>
              </w:rPr>
              <w:t> </w:t>
            </w:r>
            <w:r w:rsidRPr="00C92B1B">
              <w:rPr>
                <w:sz w:val="16"/>
                <w:szCs w:val="16"/>
                <w:lang w:val="en-GB" w:eastAsia="el-GR"/>
              </w:rPr>
              <w:t>t</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6F126BA"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C677BF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ACC9B"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E581A0B"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505C7C" w:rsidRPr="000855B2" w14:paraId="27F79636"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0BD462F8"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DE57086"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61AB9DF"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56C9"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0632E64"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10</w:t>
            </w:r>
          </w:p>
        </w:tc>
      </w:tr>
      <w:tr w:rsidR="00505C7C" w:rsidRPr="000855B2" w14:paraId="007C8021"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604A4E09"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DA0A6DC"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72DF58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0167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4DA29A5"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10</w:t>
            </w:r>
          </w:p>
        </w:tc>
      </w:tr>
      <w:tr w:rsidR="00505C7C" w:rsidRPr="000855B2" w14:paraId="1092D1F1"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434C15A7"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8E79331"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70696D7"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5A05A"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8</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8758C44"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r>
      <w:tr w:rsidR="00505C7C" w:rsidRPr="000855B2" w14:paraId="7F01B1BF"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6B8CB7BB"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0716F15"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ABF2CB4"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D87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21.4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AD66C3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17.4</w:t>
            </w:r>
          </w:p>
        </w:tc>
      </w:tr>
      <w:tr w:rsidR="00505C7C" w:rsidRPr="000855B2" w14:paraId="74DB713B"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7F0CE8B0"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D47B554"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304281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45.6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1D1C4"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61.6</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C5931E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51.6</w:t>
            </w:r>
          </w:p>
        </w:tc>
      </w:tr>
      <w:tr w:rsidR="00505C7C" w:rsidRPr="000855B2" w14:paraId="22CB4288"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2193E53D"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1CE11ED"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99296DA"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56.5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1F64C"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59.5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14297ED"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44.5</w:t>
            </w:r>
          </w:p>
        </w:tc>
      </w:tr>
      <w:tr w:rsidR="00505C7C" w:rsidRPr="000855B2" w14:paraId="45AB5840" w14:textId="77777777" w:rsidTr="00B5546B">
        <w:trPr>
          <w:trHeight w:val="240"/>
        </w:trPr>
        <w:tc>
          <w:tcPr>
            <w:tcW w:w="2142" w:type="dxa"/>
            <w:vMerge w:val="restart"/>
            <w:tcBorders>
              <w:top w:val="nil"/>
              <w:left w:val="double" w:sz="4" w:space="0" w:color="auto"/>
              <w:bottom w:val="single" w:sz="4" w:space="0" w:color="000000"/>
              <w:right w:val="single" w:sz="4" w:space="0" w:color="auto"/>
            </w:tcBorders>
            <w:shd w:val="clear" w:color="auto" w:fill="auto"/>
            <w:vAlign w:val="center"/>
          </w:tcPr>
          <w:p w14:paraId="6AC41061"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Articulated </w:t>
            </w:r>
            <w:r w:rsidR="00972A38" w:rsidRPr="00C92B1B">
              <w:rPr>
                <w:sz w:val="16"/>
                <w:szCs w:val="16"/>
                <w:lang w:val="en-GB" w:eastAsia="el-GR"/>
              </w:rPr>
              <w:t>&gt; </w:t>
            </w:r>
            <w:r w:rsidRPr="00C92B1B">
              <w:rPr>
                <w:sz w:val="16"/>
                <w:szCs w:val="16"/>
                <w:lang w:val="en-GB" w:eastAsia="el-GR"/>
              </w:rPr>
              <w:t>34</w:t>
            </w:r>
            <w:r w:rsidR="003424C3" w:rsidRPr="00C92B1B">
              <w:rPr>
                <w:sz w:val="16"/>
                <w:szCs w:val="16"/>
                <w:lang w:val="en-GB" w:eastAsia="el-GR"/>
              </w:rPr>
              <w:t> </w:t>
            </w:r>
            <w:r w:rsidRPr="00C92B1B">
              <w:rPr>
                <w:sz w:val="16"/>
                <w:szCs w:val="16"/>
                <w:lang w:val="en-GB" w:eastAsia="el-GR"/>
              </w:rPr>
              <w:t>t</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EB5432F"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ADF5C2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E5A25"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E351675"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r>
      <w:tr w:rsidR="00505C7C" w:rsidRPr="000855B2" w14:paraId="78CDE028"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59656F9B"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3777DC7"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A21076C"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682B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0708C95"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11</w:t>
            </w:r>
          </w:p>
        </w:tc>
      </w:tr>
      <w:tr w:rsidR="00505C7C" w:rsidRPr="000855B2" w14:paraId="636A3A1A"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0D1D48EF"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783B524"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2C9086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37D6F"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15</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EFFB907"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10</w:t>
            </w:r>
          </w:p>
        </w:tc>
      </w:tr>
      <w:tr w:rsidR="00505C7C" w:rsidRPr="000855B2" w14:paraId="50FB570D"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7D43DB52"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F41DDDD"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CE9318B"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E5532"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9</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BB745BE"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7</w:t>
            </w:r>
          </w:p>
        </w:tc>
      </w:tr>
      <w:tr w:rsidR="00505C7C" w:rsidRPr="000855B2" w14:paraId="1C77FE6B"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55475D12"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DCA6317"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848443E"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EE507"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23.4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455039B"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19.2</w:t>
            </w:r>
          </w:p>
        </w:tc>
      </w:tr>
      <w:tr w:rsidR="00505C7C" w:rsidRPr="000855B2" w14:paraId="41FDC27D"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42680FAF"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D2E8AFC"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D96BA4A"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5936E"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66.6</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BA5C83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55.8</w:t>
            </w:r>
          </w:p>
        </w:tc>
      </w:tr>
      <w:tr w:rsidR="00505C7C" w:rsidRPr="000855B2" w14:paraId="109A998A" w14:textId="77777777" w:rsidTr="00B5546B">
        <w:trPr>
          <w:trHeight w:val="240"/>
        </w:trPr>
        <w:tc>
          <w:tcPr>
            <w:tcW w:w="2142" w:type="dxa"/>
            <w:vMerge/>
            <w:tcBorders>
              <w:top w:val="nil"/>
              <w:left w:val="double" w:sz="4" w:space="0" w:color="auto"/>
              <w:bottom w:val="single" w:sz="4" w:space="0" w:color="000000"/>
              <w:right w:val="single" w:sz="4" w:space="0" w:color="auto"/>
            </w:tcBorders>
            <w:vAlign w:val="center"/>
          </w:tcPr>
          <w:p w14:paraId="3F1B0236" w14:textId="77777777" w:rsidR="00505C7C" w:rsidRPr="00C92B1B" w:rsidRDefault="00505C7C" w:rsidP="005C7955">
            <w:pPr>
              <w:keepNext/>
              <w:keepLines/>
              <w:suppressAutoHyphens/>
              <w:spacing w:line="240" w:lineRule="atLeast"/>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A30B26E"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939CD27"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0493"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64</w:t>
            </w: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F3C1FBF"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48</w:t>
            </w:r>
          </w:p>
        </w:tc>
      </w:tr>
      <w:tr w:rsidR="00505C7C" w:rsidRPr="000855B2" w14:paraId="6B790265" w14:textId="77777777" w:rsidTr="00B5546B">
        <w:trPr>
          <w:trHeight w:val="240"/>
        </w:trPr>
        <w:tc>
          <w:tcPr>
            <w:tcW w:w="2142" w:type="dxa"/>
            <w:vMerge w:val="restart"/>
            <w:tcBorders>
              <w:top w:val="nil"/>
              <w:left w:val="double" w:sz="4" w:space="0" w:color="auto"/>
              <w:bottom w:val="single" w:sz="8" w:space="0" w:color="000000"/>
              <w:right w:val="single" w:sz="4" w:space="0" w:color="auto"/>
            </w:tcBorders>
            <w:shd w:val="clear" w:color="auto" w:fill="auto"/>
            <w:vAlign w:val="center"/>
          </w:tcPr>
          <w:p w14:paraId="1600EA9F" w14:textId="77777777" w:rsidR="00505C7C" w:rsidRPr="00A54B80" w:rsidRDefault="00505C7C" w:rsidP="005C7955">
            <w:pPr>
              <w:keepNext/>
              <w:keepLines/>
              <w:suppressAutoHyphens/>
              <w:spacing w:line="240" w:lineRule="atLeast"/>
              <w:rPr>
                <w:sz w:val="16"/>
                <w:szCs w:val="16"/>
                <w:lang w:val="en-GB" w:eastAsia="el-GR"/>
              </w:rPr>
            </w:pPr>
            <w:r w:rsidRPr="00A54B80">
              <w:rPr>
                <w:sz w:val="16"/>
                <w:szCs w:val="16"/>
                <w:lang w:val="en-GB" w:eastAsia="el-GR"/>
              </w:rPr>
              <w:t>Diesel urban busses (all types)</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C35A509"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Conventional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1092AD9"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DCC35"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74FCD05"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4D233060"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1C5DC4C5"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4527895"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AE8BCC0"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DFCAC"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0F3341E"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2B6EAD38"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5A03A5AB"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8F7864F"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AE861D6"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E201E"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322DC6A"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6331FCDE"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4FF80799"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94852A5"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 xml:space="preserve">HD Euro </w:t>
            </w:r>
            <w:smartTag w:uri="urn:schemas-microsoft-com:office:smarttags" w:element="stockticker">
              <w:r w:rsidRPr="00C92B1B">
                <w:rPr>
                  <w:sz w:val="16"/>
                  <w:szCs w:val="16"/>
                  <w:lang w:val="en-GB" w:eastAsia="el-GR"/>
                </w:rPr>
                <w:t>III</w:t>
              </w:r>
            </w:smartTag>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6976A84"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E3D6B"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DE70830"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73A08DF2"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0FBEABEA"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0D5ECA1"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IV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9E38DF1"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12.8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92BE5"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75A5C5C2"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11B821ED" w14:textId="77777777" w:rsidTr="00B5546B">
        <w:trPr>
          <w:trHeight w:val="240"/>
        </w:trPr>
        <w:tc>
          <w:tcPr>
            <w:tcW w:w="2142" w:type="dxa"/>
            <w:vMerge/>
            <w:tcBorders>
              <w:top w:val="nil"/>
              <w:left w:val="double" w:sz="4" w:space="0" w:color="auto"/>
              <w:bottom w:val="single" w:sz="8" w:space="0" w:color="000000"/>
              <w:right w:val="single" w:sz="4" w:space="0" w:color="auto"/>
            </w:tcBorders>
            <w:vAlign w:val="center"/>
          </w:tcPr>
          <w:p w14:paraId="71728176"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0DD7225"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A70CD08"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33.2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692B5"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3E70BAF" w14:textId="77777777" w:rsidR="00505C7C" w:rsidRPr="00C92B1B" w:rsidRDefault="00505C7C" w:rsidP="005C7955">
            <w:pPr>
              <w:keepNext/>
              <w:keepLines/>
              <w:suppressAutoHyphens/>
              <w:spacing w:line="240" w:lineRule="atLeast"/>
              <w:jc w:val="center"/>
              <w:rPr>
                <w:sz w:val="16"/>
                <w:szCs w:val="16"/>
                <w:lang w:val="en-GB" w:eastAsia="el-GR"/>
              </w:rPr>
            </w:pPr>
          </w:p>
        </w:tc>
      </w:tr>
      <w:tr w:rsidR="00505C7C" w:rsidRPr="000855B2" w14:paraId="049C54A6" w14:textId="77777777" w:rsidTr="00B5546B">
        <w:trPr>
          <w:trHeight w:val="240"/>
        </w:trPr>
        <w:tc>
          <w:tcPr>
            <w:tcW w:w="2142" w:type="dxa"/>
            <w:vMerge/>
            <w:tcBorders>
              <w:top w:val="nil"/>
              <w:left w:val="double" w:sz="4" w:space="0" w:color="auto"/>
              <w:bottom w:val="double" w:sz="4" w:space="0" w:color="auto"/>
              <w:right w:val="single" w:sz="4" w:space="0" w:color="auto"/>
            </w:tcBorders>
            <w:vAlign w:val="center"/>
          </w:tcPr>
          <w:p w14:paraId="5FFA4368" w14:textId="77777777" w:rsidR="00505C7C" w:rsidRPr="00C92B1B" w:rsidRDefault="00505C7C" w:rsidP="005C7955">
            <w:pPr>
              <w:keepNext/>
              <w:keepLines/>
              <w:suppressAutoHyphens/>
              <w:spacing w:line="240" w:lineRule="atLeast"/>
              <w:jc w:val="center"/>
              <w:rPr>
                <w:sz w:val="16"/>
                <w:szCs w:val="16"/>
                <w:lang w:val="en-GB" w:eastAsia="el-GR"/>
              </w:rPr>
            </w:pPr>
          </w:p>
        </w:tc>
        <w:tc>
          <w:tcPr>
            <w:tcW w:w="1239" w:type="dxa"/>
            <w:tcBorders>
              <w:top w:val="single" w:sz="4" w:space="0" w:color="auto"/>
              <w:left w:val="nil"/>
              <w:bottom w:val="double" w:sz="4" w:space="0" w:color="auto"/>
              <w:right w:val="single" w:sz="4" w:space="0" w:color="auto"/>
            </w:tcBorders>
            <w:shd w:val="clear" w:color="auto" w:fill="auto"/>
            <w:noWrap/>
            <w:vAlign w:val="center"/>
          </w:tcPr>
          <w:p w14:paraId="1EF8E378" w14:textId="77777777" w:rsidR="00505C7C" w:rsidRPr="00C92B1B" w:rsidRDefault="00505C7C" w:rsidP="005C7955">
            <w:pPr>
              <w:keepNext/>
              <w:keepLines/>
              <w:suppressAutoHyphens/>
              <w:spacing w:line="240" w:lineRule="atLeast"/>
              <w:rPr>
                <w:sz w:val="16"/>
                <w:szCs w:val="16"/>
                <w:lang w:val="en-GB" w:eastAsia="el-GR"/>
              </w:rPr>
            </w:pPr>
            <w:r w:rsidRPr="00C92B1B">
              <w:rPr>
                <w:sz w:val="16"/>
                <w:szCs w:val="16"/>
                <w:lang w:val="en-GB" w:eastAsia="el-GR"/>
              </w:rPr>
              <w:t>HD Euro VI</w:t>
            </w:r>
          </w:p>
        </w:tc>
        <w:tc>
          <w:tcPr>
            <w:tcW w:w="1120" w:type="dxa"/>
            <w:tcBorders>
              <w:top w:val="single" w:sz="4" w:space="0" w:color="auto"/>
              <w:left w:val="nil"/>
              <w:bottom w:val="double" w:sz="4" w:space="0" w:color="auto"/>
              <w:right w:val="single" w:sz="4" w:space="0" w:color="auto"/>
            </w:tcBorders>
            <w:shd w:val="clear" w:color="auto" w:fill="auto"/>
            <w:noWrap/>
            <w:vAlign w:val="center"/>
          </w:tcPr>
          <w:p w14:paraId="4D3B41A5" w14:textId="77777777" w:rsidR="00505C7C" w:rsidRPr="00C92B1B" w:rsidRDefault="00505C7C" w:rsidP="005C7955">
            <w:pPr>
              <w:keepNext/>
              <w:keepLines/>
              <w:suppressAutoHyphens/>
              <w:spacing w:line="240" w:lineRule="atLeast"/>
              <w:jc w:val="center"/>
              <w:rPr>
                <w:sz w:val="16"/>
                <w:szCs w:val="16"/>
                <w:lang w:val="en-GB" w:eastAsia="el-GR"/>
              </w:rPr>
            </w:pPr>
            <w:r w:rsidRPr="00C92B1B">
              <w:rPr>
                <w:sz w:val="16"/>
                <w:szCs w:val="16"/>
                <w:lang w:val="en-GB" w:eastAsia="el-GR"/>
              </w:rPr>
              <w:t>41.5</w:t>
            </w:r>
          </w:p>
        </w:tc>
        <w:tc>
          <w:tcPr>
            <w:tcW w:w="110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52229E" w14:textId="77777777" w:rsidR="00505C7C" w:rsidRPr="00C92B1B" w:rsidRDefault="00505C7C" w:rsidP="005C7955">
            <w:pPr>
              <w:keepNext/>
              <w:keepLines/>
              <w:suppressAutoHyphens/>
              <w:spacing w:line="240" w:lineRule="atLeast"/>
              <w:jc w:val="center"/>
              <w:rPr>
                <w:sz w:val="16"/>
                <w:szCs w:val="16"/>
                <w:lang w:val="en-GB" w:eastAsia="el-GR"/>
              </w:rPr>
            </w:pPr>
          </w:p>
        </w:tc>
        <w:tc>
          <w:tcPr>
            <w:tcW w:w="1080" w:type="dxa"/>
            <w:tcBorders>
              <w:top w:val="single" w:sz="4" w:space="0" w:color="auto"/>
              <w:left w:val="single" w:sz="4" w:space="0" w:color="auto"/>
              <w:bottom w:val="double" w:sz="4" w:space="0" w:color="auto"/>
              <w:right w:val="double" w:sz="4" w:space="0" w:color="auto"/>
            </w:tcBorders>
            <w:shd w:val="clear" w:color="auto" w:fill="auto"/>
            <w:noWrap/>
            <w:vAlign w:val="center"/>
          </w:tcPr>
          <w:p w14:paraId="6B06F2C5" w14:textId="77777777" w:rsidR="00505C7C" w:rsidRPr="00C92B1B" w:rsidRDefault="00505C7C" w:rsidP="005C7955">
            <w:pPr>
              <w:keepNext/>
              <w:keepLines/>
              <w:suppressAutoHyphens/>
              <w:spacing w:line="240" w:lineRule="atLeast"/>
              <w:jc w:val="center"/>
              <w:rPr>
                <w:sz w:val="16"/>
                <w:szCs w:val="16"/>
                <w:lang w:val="en-GB" w:eastAsia="el-GR"/>
              </w:rPr>
            </w:pPr>
          </w:p>
        </w:tc>
      </w:tr>
    </w:tbl>
    <w:p w14:paraId="7C681920" w14:textId="3297B9F1" w:rsidR="006E520F" w:rsidRPr="000855B2" w:rsidRDefault="005B074A" w:rsidP="003F36D2">
      <w:pPr>
        <w:pStyle w:val="BodyText"/>
      </w:pPr>
      <w:r w:rsidRPr="000855B2">
        <w:t xml:space="preserve">Values in </w:t>
      </w:r>
      <w:r w:rsidR="00FB454C">
        <w:fldChar w:fldCharType="begin"/>
      </w:r>
      <w:r w:rsidR="00FB454C">
        <w:instrText xml:space="preserve"> REF _Ref202071529 \h  \* MERGEFORMAT </w:instrText>
      </w:r>
      <w:r w:rsidR="00FB454C">
        <w:fldChar w:fldCharType="separate"/>
      </w:r>
      <w:r w:rsidR="0071604C" w:rsidRPr="000855B2">
        <w:t>Table </w:t>
      </w:r>
      <w:r w:rsidR="0071604C">
        <w:t>3.64</w:t>
      </w:r>
      <w:r w:rsidR="00FB454C">
        <w:fldChar w:fldCharType="end"/>
      </w:r>
      <w:r w:rsidRPr="000855B2">
        <w:t xml:space="preserve"> already designate that N</w:t>
      </w:r>
      <w:r w:rsidRPr="000855B2">
        <w:rPr>
          <w:vertAlign w:val="subscript"/>
        </w:rPr>
        <w:t>2</w:t>
      </w:r>
      <w:r w:rsidRPr="000855B2">
        <w:t>O emissions from diesel vehicles equipped with deNOx aftertreatment, such Euro V and Euro VI ones</w:t>
      </w:r>
      <w:r w:rsidR="00010321" w:rsidRPr="000855B2">
        <w:t>,</w:t>
      </w:r>
      <w:r w:rsidRPr="000855B2">
        <w:t xml:space="preserve"> may be substantially higher than vehicles without aftertreatment. Most of the Euro V/VI trucks achieve low NO</w:t>
      </w:r>
      <w:r w:rsidRPr="000855B2">
        <w:rPr>
          <w:vertAlign w:val="subscript"/>
        </w:rPr>
        <w:t>x</w:t>
      </w:r>
      <w:r w:rsidRPr="000855B2">
        <w:t xml:space="preserve"> emission with use of selective catalytic reduction (</w:t>
      </w:r>
      <w:smartTag w:uri="urn:schemas-microsoft-com:office:smarttags" w:element="stockticker">
        <w:r w:rsidRPr="000855B2">
          <w:t>SCR</w:t>
        </w:r>
      </w:smartTag>
      <w:r w:rsidRPr="000855B2">
        <w:t>) systems.</w:t>
      </w:r>
      <w:r w:rsidR="00010321" w:rsidRPr="000855B2">
        <w:t xml:space="preserve"> In these, NO</w:t>
      </w:r>
      <w:r w:rsidR="00010321" w:rsidRPr="000855B2">
        <w:rPr>
          <w:vertAlign w:val="subscript"/>
        </w:rPr>
        <w:t>x</w:t>
      </w:r>
      <w:r w:rsidR="00010321" w:rsidRPr="000855B2">
        <w:t xml:space="preserve"> are reduced to N</w:t>
      </w:r>
      <w:r w:rsidR="00010321" w:rsidRPr="000855B2">
        <w:rPr>
          <w:vertAlign w:val="subscript"/>
        </w:rPr>
        <w:t>2</w:t>
      </w:r>
      <w:r w:rsidR="00010321" w:rsidRPr="000855B2">
        <w:t xml:space="preserve"> by means of an ammonia carrier (urea) which acts as the reducing agent</w:t>
      </w:r>
      <w:r w:rsidR="008145BD" w:rsidRPr="000855B2">
        <w:t xml:space="preserve"> over an appropriate catalyst</w:t>
      </w:r>
      <w:r w:rsidR="00010321" w:rsidRPr="000855B2">
        <w:t xml:space="preserve">. In normal operation, </w:t>
      </w:r>
      <w:smartTag w:uri="urn:schemas-microsoft-com:office:smarttags" w:element="stockticker">
        <w:r w:rsidR="00010321" w:rsidRPr="000855B2">
          <w:t>SCR</w:t>
        </w:r>
      </w:smartTag>
      <w:r w:rsidR="00010321" w:rsidRPr="000855B2">
        <w:t xml:space="preserve"> should lead to minimal N</w:t>
      </w:r>
      <w:r w:rsidR="00010321" w:rsidRPr="000855B2">
        <w:rPr>
          <w:vertAlign w:val="subscript"/>
        </w:rPr>
        <w:t>2</w:t>
      </w:r>
      <w:r w:rsidR="00010321" w:rsidRPr="000855B2">
        <w:t>O production, as NO</w:t>
      </w:r>
      <w:r w:rsidR="00010321" w:rsidRPr="000855B2">
        <w:rPr>
          <w:vertAlign w:val="subscript"/>
        </w:rPr>
        <w:t>x</w:t>
      </w:r>
      <w:r w:rsidR="00010321" w:rsidRPr="000855B2">
        <w:t xml:space="preserve"> are effectively converted to N</w:t>
      </w:r>
      <w:r w:rsidR="00010321" w:rsidRPr="000855B2">
        <w:rPr>
          <w:vertAlign w:val="subscript"/>
        </w:rPr>
        <w:t>2</w:t>
      </w:r>
      <w:r w:rsidR="00010321" w:rsidRPr="000855B2">
        <w:t xml:space="preserve">. However, there are </w:t>
      </w:r>
      <w:r w:rsidR="00BE0B8F" w:rsidRPr="000855B2">
        <w:t xml:space="preserve">at least </w:t>
      </w:r>
      <w:r w:rsidR="00010321" w:rsidRPr="000855B2">
        <w:t>two cases which can lead to excess N</w:t>
      </w:r>
      <w:r w:rsidR="00010321" w:rsidRPr="000855B2">
        <w:rPr>
          <w:vertAlign w:val="subscript"/>
        </w:rPr>
        <w:t>2</w:t>
      </w:r>
      <w:r w:rsidR="00010321" w:rsidRPr="000855B2">
        <w:t>O emission</w:t>
      </w:r>
      <w:r w:rsidR="00613A1A" w:rsidRPr="000855B2">
        <w:t xml:space="preserve">. The </w:t>
      </w:r>
      <w:smartTag w:uri="urn:schemas-microsoft-com:office:smarttags" w:element="stockticker">
        <w:r w:rsidR="00613A1A" w:rsidRPr="000855B2">
          <w:t>SCR</w:t>
        </w:r>
      </w:smartTag>
      <w:r w:rsidR="00613A1A" w:rsidRPr="000855B2">
        <w:t xml:space="preserve"> chemical mechanism forms N</w:t>
      </w:r>
      <w:r w:rsidR="00613A1A" w:rsidRPr="000855B2">
        <w:rPr>
          <w:vertAlign w:val="subscript"/>
        </w:rPr>
        <w:t>2</w:t>
      </w:r>
      <w:r w:rsidR="00613A1A" w:rsidRPr="000855B2">
        <w:t>O as a byproduct of the N</w:t>
      </w:r>
      <w:r w:rsidR="00613A1A" w:rsidRPr="000855B2">
        <w:rPr>
          <w:vertAlign w:val="subscript"/>
        </w:rPr>
        <w:t>2</w:t>
      </w:r>
      <w:r w:rsidR="00613A1A" w:rsidRPr="000855B2">
        <w:t xml:space="preserve"> conversion. This can be stored under low-to-medium temperature conditions and can be later released when the temperature increases. </w:t>
      </w:r>
      <w:r w:rsidR="00BE0B8F" w:rsidRPr="000855B2">
        <w:t>The second, most important mechanism of N</w:t>
      </w:r>
      <w:r w:rsidR="00BE0B8F" w:rsidRPr="000855B2">
        <w:rPr>
          <w:vertAlign w:val="subscript"/>
        </w:rPr>
        <w:t>2</w:t>
      </w:r>
      <w:r w:rsidR="00BE0B8F" w:rsidRPr="000855B2">
        <w:t xml:space="preserve">O formation in </w:t>
      </w:r>
      <w:smartTag w:uri="urn:schemas-microsoft-com:office:smarttags" w:element="stockticker">
        <w:r w:rsidR="00BE0B8F" w:rsidRPr="000855B2">
          <w:t>SCR</w:t>
        </w:r>
      </w:smartTag>
      <w:r w:rsidR="00BE0B8F" w:rsidRPr="000855B2">
        <w:t xml:space="preserve"> systems is </w:t>
      </w:r>
      <w:r w:rsidR="008145BD" w:rsidRPr="000855B2">
        <w:t xml:space="preserve">by oxidation of the ammonia introduced into the system. Several </w:t>
      </w:r>
      <w:smartTag w:uri="urn:schemas-microsoft-com:office:smarttags" w:element="stockticker">
        <w:r w:rsidR="008145BD" w:rsidRPr="000855B2">
          <w:t>SCR</w:t>
        </w:r>
      </w:smartTag>
      <w:r w:rsidR="008145BD" w:rsidRPr="000855B2">
        <w:t xml:space="preserve"> configurations include a secondary oxidation catalyst, downstream of the primary </w:t>
      </w:r>
      <w:smartTag w:uri="urn:schemas-microsoft-com:office:smarttags" w:element="stockticker">
        <w:r w:rsidR="008145BD" w:rsidRPr="000855B2">
          <w:t>SCR</w:t>
        </w:r>
      </w:smartTag>
      <w:r w:rsidR="008145BD" w:rsidRPr="000855B2">
        <w:t xml:space="preserve"> one, which aims at oxidizing ammonia that has “slipped” the main catalyst. This ammonia slip may occur when more ammonia is injected than what is </w:t>
      </w:r>
      <w:r w:rsidR="0092734E" w:rsidRPr="000855B2">
        <w:t xml:space="preserve">at </w:t>
      </w:r>
      <w:r w:rsidR="008145BD" w:rsidRPr="000855B2">
        <w:t>minimum required to reduce NO</w:t>
      </w:r>
      <w:r w:rsidR="008145BD" w:rsidRPr="000855B2">
        <w:rPr>
          <w:vertAlign w:val="subscript"/>
        </w:rPr>
        <w:t>x</w:t>
      </w:r>
      <w:r w:rsidR="008145BD" w:rsidRPr="000855B2">
        <w:t xml:space="preserve">. This is often the result of a miscalculation in the injected quantity or overshooting </w:t>
      </w:r>
      <w:r w:rsidR="008145BD" w:rsidRPr="000855B2">
        <w:lastRenderedPageBreak/>
        <w:t>in urea injection, in an effort to make sure than no NO</w:t>
      </w:r>
      <w:r w:rsidR="008145BD" w:rsidRPr="000855B2">
        <w:rPr>
          <w:vertAlign w:val="subscript"/>
        </w:rPr>
        <w:t>x</w:t>
      </w:r>
      <w:r w:rsidR="008145BD" w:rsidRPr="000855B2">
        <w:t xml:space="preserve"> is emitted</w:t>
      </w:r>
      <w:r w:rsidR="0092734E" w:rsidRPr="000855B2">
        <w:t xml:space="preserve"> downstream of the </w:t>
      </w:r>
      <w:smartTag w:uri="urn:schemas-microsoft-com:office:smarttags" w:element="stockticker">
        <w:r w:rsidR="0092734E" w:rsidRPr="000855B2">
          <w:t>SCR</w:t>
        </w:r>
      </w:smartTag>
      <w:r w:rsidR="0092734E" w:rsidRPr="000855B2">
        <w:t xml:space="preserve"> system</w:t>
      </w:r>
      <w:r w:rsidR="008145BD" w:rsidRPr="000855B2">
        <w:t>.</w:t>
      </w:r>
      <w:r w:rsidR="0092734E" w:rsidRPr="000855B2">
        <w:t xml:space="preserve"> This slipped ammonia can not be fully oxidized into N</w:t>
      </w:r>
      <w:r w:rsidR="0092734E" w:rsidRPr="000855B2">
        <w:rPr>
          <w:vertAlign w:val="subscript"/>
        </w:rPr>
        <w:t>2</w:t>
      </w:r>
      <w:r w:rsidR="0092734E" w:rsidRPr="000855B2">
        <w:t xml:space="preserve"> in the oxidation catalyst and often is emitted as N</w:t>
      </w:r>
      <w:r w:rsidR="0092734E" w:rsidRPr="000855B2">
        <w:rPr>
          <w:vertAlign w:val="subscript"/>
        </w:rPr>
        <w:t>2</w:t>
      </w:r>
      <w:r w:rsidR="0092734E" w:rsidRPr="000855B2">
        <w:t>O.</w:t>
      </w:r>
    </w:p>
    <w:p w14:paraId="4098E300" w14:textId="5F9377F8" w:rsidR="006E520F" w:rsidRPr="000855B2" w:rsidRDefault="0092734E" w:rsidP="003F36D2">
      <w:pPr>
        <w:pStyle w:val="BodyText"/>
      </w:pPr>
      <w:r w:rsidRPr="000855B2">
        <w:t xml:space="preserve">The values in </w:t>
      </w:r>
      <w:r w:rsidR="00FB454C">
        <w:fldChar w:fldCharType="begin"/>
      </w:r>
      <w:r w:rsidR="00FB454C">
        <w:instrText xml:space="preserve"> REF _Ref202071529 \h  \* MERGEFORMAT </w:instrText>
      </w:r>
      <w:r w:rsidR="00FB454C">
        <w:fldChar w:fldCharType="separate"/>
      </w:r>
      <w:r w:rsidR="0071604C" w:rsidRPr="000855B2">
        <w:t>Table </w:t>
      </w:r>
      <w:r w:rsidR="0071604C">
        <w:t>3.64</w:t>
      </w:r>
      <w:r w:rsidR="00FB454C">
        <w:fldChar w:fldCharType="end"/>
      </w:r>
      <w:r w:rsidRPr="000855B2">
        <w:t xml:space="preserve"> should be representative of well-operating </w:t>
      </w:r>
      <w:smartTag w:uri="urn:schemas-microsoft-com:office:smarttags" w:element="stockticker">
        <w:r w:rsidRPr="000855B2">
          <w:t>SCR</w:t>
        </w:r>
      </w:smartTag>
      <w:r w:rsidRPr="000855B2">
        <w:t xml:space="preserve"> systems, i.e. without (excessive) ammonia slip. In case this occurs, N</w:t>
      </w:r>
      <w:r w:rsidRPr="000855B2">
        <w:rPr>
          <w:vertAlign w:val="subscript"/>
        </w:rPr>
        <w:t>2</w:t>
      </w:r>
      <w:r w:rsidRPr="000855B2">
        <w:t>O emissions may increase disproportionally. High v</w:t>
      </w:r>
      <w:r w:rsidR="00855F0B" w:rsidRPr="000855B2">
        <w:t>alues of ammonia slip may occur for an aged system or due to malfunctions. One such study in Japan identified N</w:t>
      </w:r>
      <w:r w:rsidR="00855F0B" w:rsidRPr="000855B2">
        <w:rPr>
          <w:vertAlign w:val="subscript"/>
        </w:rPr>
        <w:t>2</w:t>
      </w:r>
      <w:r w:rsidR="00855F0B" w:rsidRPr="000855B2">
        <w:t>O emissions to amount to up to 20% of CO</w:t>
      </w:r>
      <w:r w:rsidR="00855F0B" w:rsidRPr="000855B2">
        <w:rPr>
          <w:vertAlign w:val="subscript"/>
        </w:rPr>
        <w:t>2</w:t>
      </w:r>
      <w:r w:rsidR="00855F0B" w:rsidRPr="000855B2">
        <w:t xml:space="preserve"> equivalent in the exhaust of an </w:t>
      </w:r>
      <w:smartTag w:uri="urn:schemas-microsoft-com:office:smarttags" w:element="stockticker">
        <w:r w:rsidR="00855F0B" w:rsidRPr="000855B2">
          <w:t>SCR</w:t>
        </w:r>
      </w:smartTag>
      <w:r w:rsidR="00855F0B" w:rsidRPr="000855B2">
        <w:t xml:space="preserve"> equipped vehicle (Suzuki et al., 2008). N</w:t>
      </w:r>
      <w:r w:rsidR="00855F0B" w:rsidRPr="000855B2">
        <w:rPr>
          <w:vertAlign w:val="subscript"/>
        </w:rPr>
        <w:t>2</w:t>
      </w:r>
      <w:r w:rsidR="00855F0B" w:rsidRPr="000855B2">
        <w:t xml:space="preserve">O emissions from </w:t>
      </w:r>
      <w:smartTag w:uri="urn:schemas-microsoft-com:office:smarttags" w:element="stockticker">
        <w:r w:rsidR="00855F0B" w:rsidRPr="000855B2">
          <w:t>SCR</w:t>
        </w:r>
      </w:smartTag>
      <w:r w:rsidR="00855F0B" w:rsidRPr="000855B2">
        <w:t xml:space="preserve"> vehicles need to me monitored to reveal how much this is a problem in real-world conditions.</w:t>
      </w:r>
    </w:p>
    <w:p w14:paraId="444952F0" w14:textId="77777777" w:rsidR="000855B2" w:rsidRPr="000855B2" w:rsidRDefault="00855F0B" w:rsidP="003F36D2">
      <w:pPr>
        <w:pStyle w:val="BodyText"/>
      </w:pPr>
      <w:smartTag w:uri="urn:schemas-microsoft-com:office:smarttags" w:element="stockticker">
        <w:r w:rsidRPr="000855B2">
          <w:t>SCR</w:t>
        </w:r>
      </w:smartTag>
      <w:r w:rsidRPr="000855B2">
        <w:t xml:space="preserve"> systems will expand to diesel passenger cars as well, starting in Euro 6. It can not currently be predicted how these systems will behave. First, passenger cars are expected to utilize </w:t>
      </w:r>
      <w:smartTag w:uri="urn:schemas-microsoft-com:office:smarttags" w:element="stockticker">
        <w:r w:rsidRPr="000855B2">
          <w:t>SCR</w:t>
        </w:r>
      </w:smartTag>
      <w:r w:rsidRPr="000855B2">
        <w:t xml:space="preserve"> at a lower relative r</w:t>
      </w:r>
      <w:r w:rsidR="00070DA3" w:rsidRPr="000855B2">
        <w:t>a</w:t>
      </w:r>
      <w:r w:rsidRPr="000855B2">
        <w:t xml:space="preserve">te than diesel trucks do. Second, it is not determined yet whether </w:t>
      </w:r>
      <w:smartTag w:uri="urn:schemas-microsoft-com:office:smarttags" w:element="stockticker">
        <w:r w:rsidRPr="000855B2">
          <w:t>SCR</w:t>
        </w:r>
      </w:smartTag>
      <w:r w:rsidRPr="000855B2">
        <w:t xml:space="preserve"> will precede DPFs in the exhaust line, or vice versa. N</w:t>
      </w:r>
      <w:r w:rsidRPr="000855B2">
        <w:rPr>
          <w:vertAlign w:val="subscript"/>
        </w:rPr>
        <w:t>2</w:t>
      </w:r>
      <w:r w:rsidRPr="000855B2">
        <w:t>O emissions may be drastically different in the two cases.</w:t>
      </w:r>
      <w:r w:rsidR="00070DA3" w:rsidRPr="000855B2">
        <w:t xml:space="preserve"> Because of these unknowns, predicting the level and the trend of N</w:t>
      </w:r>
      <w:r w:rsidR="00070DA3" w:rsidRPr="000855B2">
        <w:rPr>
          <w:vertAlign w:val="subscript"/>
        </w:rPr>
        <w:t>2</w:t>
      </w:r>
      <w:r w:rsidR="00070DA3" w:rsidRPr="000855B2">
        <w:t xml:space="preserve">O emission from </w:t>
      </w:r>
      <w:smartTag w:uri="urn:schemas-microsoft-com:office:smarttags" w:element="stockticker">
        <w:r w:rsidR="00070DA3" w:rsidRPr="000855B2">
          <w:t>SCR</w:t>
        </w:r>
      </w:smartTag>
      <w:r w:rsidR="00070DA3" w:rsidRPr="000855B2">
        <w:t xml:space="preserve"> equipped passenger cars is currently not possible.</w:t>
      </w:r>
      <w:r w:rsidRPr="000855B2">
        <w:t xml:space="preserve">  </w:t>
      </w:r>
    </w:p>
    <w:p w14:paraId="4BFF9628" w14:textId="77777777" w:rsidR="000855B2" w:rsidRPr="000855B2" w:rsidRDefault="000855B2" w:rsidP="000855B2">
      <w:pPr>
        <w:pStyle w:val="Heading5"/>
      </w:pPr>
      <w:r w:rsidRPr="000855B2">
        <w:br w:type="page"/>
      </w:r>
      <w:r w:rsidRPr="000855B2">
        <w:lastRenderedPageBreak/>
        <w:t>Ammonia (NH</w:t>
      </w:r>
      <w:r w:rsidRPr="000855B2">
        <w:rPr>
          <w:vertAlign w:val="subscript"/>
        </w:rPr>
        <w:t>3</w:t>
      </w:r>
      <w:r w:rsidRPr="000855B2">
        <w:t>) emissions</w:t>
      </w:r>
    </w:p>
    <w:p w14:paraId="2730559F" w14:textId="032D28C0" w:rsidR="001D2587" w:rsidRPr="000855B2" w:rsidRDefault="001D2587" w:rsidP="00ED27AC">
      <w:pPr>
        <w:pStyle w:val="BodyText"/>
      </w:pPr>
      <w:r w:rsidRPr="000855B2">
        <w:t xml:space="preserve">Ammonia emissions from passenger cars and </w:t>
      </w:r>
      <w:r w:rsidR="00CF67A4" w:rsidRPr="000855B2">
        <w:t>light commercial</w:t>
      </w:r>
      <w:r w:rsidRPr="000855B2">
        <w:t xml:space="preserve"> vehicles are estimated </w:t>
      </w:r>
      <w:r w:rsidR="00861120" w:rsidRPr="000855B2">
        <w:t>i</w:t>
      </w:r>
      <w:r w:rsidRPr="000855B2">
        <w:t>n a similar manner to N</w:t>
      </w:r>
      <w:r w:rsidRPr="000855B2">
        <w:rPr>
          <w:vertAlign w:val="subscript"/>
        </w:rPr>
        <w:t>2</w:t>
      </w:r>
      <w:r w:rsidRPr="000855B2">
        <w:t xml:space="preserve">O emissions. </w:t>
      </w:r>
      <w:r w:rsidR="00861120" w:rsidRPr="000855B2">
        <w:t xml:space="preserve">The </w:t>
      </w:r>
      <w:r w:rsidRPr="000855B2">
        <w:t>NH</w:t>
      </w:r>
      <w:r w:rsidRPr="000855B2">
        <w:rPr>
          <w:vertAlign w:val="subscript"/>
        </w:rPr>
        <w:t>3</w:t>
      </w:r>
      <w:r w:rsidRPr="000855B2">
        <w:t xml:space="preserve"> emission factors are calculated according to </w:t>
      </w:r>
      <w:r w:rsidR="003C2DC5" w:rsidRPr="000855B2">
        <w:t>equation</w:t>
      </w:r>
      <w:r w:rsidRPr="000855B2">
        <w:t xml:space="preserve"> </w:t>
      </w:r>
      <w:r w:rsidR="00E17971" w:rsidRPr="000855B2">
        <w:fldChar w:fldCharType="begin"/>
      </w:r>
      <w:r w:rsidRPr="000855B2">
        <w:instrText xml:space="preserve"> REF _Ref172048822 \h </w:instrText>
      </w:r>
      <w:r w:rsidR="00E17971" w:rsidRPr="000855B2">
        <w:fldChar w:fldCharType="separate"/>
      </w:r>
      <w:r w:rsidR="0071604C" w:rsidRPr="00C52E37">
        <w:t>(</w:t>
      </w:r>
      <w:r w:rsidR="0071604C">
        <w:rPr>
          <w:noProof/>
        </w:rPr>
        <w:t>28</w:t>
      </w:r>
      <w:r w:rsidR="00E17971" w:rsidRPr="000855B2">
        <w:fldChar w:fldCharType="end"/>
      </w:r>
      <w:r w:rsidRPr="000855B2">
        <w:t>)</w:t>
      </w:r>
      <w:r w:rsidR="00861120" w:rsidRPr="000855B2">
        <w:t xml:space="preserve"> and the coefficients in</w:t>
      </w:r>
      <w:r w:rsidRPr="000855B2">
        <w:t xml:space="preserve"> </w:t>
      </w:r>
      <w:r w:rsidR="00E17971" w:rsidRPr="000855B2">
        <w:fldChar w:fldCharType="begin"/>
      </w:r>
      <w:r w:rsidRPr="000855B2">
        <w:instrText xml:space="preserve"> REF _Ref140571971 \h </w:instrText>
      </w:r>
      <w:r w:rsidR="00E17971" w:rsidRPr="000855B2">
        <w:fldChar w:fldCharType="separate"/>
      </w:r>
      <w:r w:rsidR="0071604C" w:rsidRPr="000855B2">
        <w:t>Table </w:t>
      </w:r>
      <w:r w:rsidR="0071604C">
        <w:rPr>
          <w:noProof/>
        </w:rPr>
        <w:t>3</w:t>
      </w:r>
      <w:r w:rsidR="0071604C">
        <w:t>.</w:t>
      </w:r>
      <w:r w:rsidR="0071604C">
        <w:rPr>
          <w:noProof/>
        </w:rPr>
        <w:t>65</w:t>
      </w:r>
      <w:r w:rsidR="00E17971" w:rsidRPr="000855B2">
        <w:fldChar w:fldCharType="end"/>
      </w:r>
      <w:r w:rsidRPr="000855B2">
        <w:t xml:space="preserve"> to </w:t>
      </w:r>
      <w:r w:rsidR="00E17971" w:rsidRPr="000855B2">
        <w:fldChar w:fldCharType="begin"/>
      </w:r>
      <w:r w:rsidRPr="000855B2">
        <w:instrText xml:space="preserve"> REF _Ref140571976 \h </w:instrText>
      </w:r>
      <w:r w:rsidR="00E17971" w:rsidRPr="000855B2">
        <w:fldChar w:fldCharType="separate"/>
      </w:r>
      <w:r w:rsidR="0071604C" w:rsidRPr="000855B2">
        <w:t>Table </w:t>
      </w:r>
      <w:r w:rsidR="0071604C">
        <w:rPr>
          <w:noProof/>
        </w:rPr>
        <w:t>3</w:t>
      </w:r>
      <w:r w:rsidR="0071604C">
        <w:t>.</w:t>
      </w:r>
      <w:r w:rsidR="0071604C">
        <w:rPr>
          <w:noProof/>
        </w:rPr>
        <w:t>72</w:t>
      </w:r>
      <w:r w:rsidR="00E17971" w:rsidRPr="000855B2">
        <w:fldChar w:fldCharType="end"/>
      </w:r>
      <w:r w:rsidRPr="000855B2">
        <w:t>. As already mentioned, these values differ according to the fuel sulphur level and the driving conditions (urban, rural, highway).</w:t>
      </w:r>
      <w:r w:rsidR="00521469" w:rsidRPr="000855B2">
        <w:t xml:space="preserve"> </w:t>
      </w:r>
      <w:r w:rsidR="00A31B80" w:rsidRPr="000855B2">
        <w:t>With regard to Euro 5</w:t>
      </w:r>
      <w:r w:rsidR="00542D5B">
        <w:t xml:space="preserve"> and on</w:t>
      </w:r>
      <w:r w:rsidR="00A31B80" w:rsidRPr="000855B2">
        <w:t xml:space="preserve"> </w:t>
      </w:r>
      <w:r w:rsidR="00521469" w:rsidRPr="000855B2">
        <w:t xml:space="preserve">emission standards, only one category of sulphur level is given, </w:t>
      </w:r>
      <w:r w:rsidR="00F73BA1" w:rsidRPr="000855B2">
        <w:t>as for</w:t>
      </w:r>
      <w:r w:rsidR="00521469" w:rsidRPr="000855B2">
        <w:t xml:space="preserve"> N</w:t>
      </w:r>
      <w:r w:rsidR="00521469" w:rsidRPr="000855B2">
        <w:rPr>
          <w:vertAlign w:val="subscript"/>
        </w:rPr>
        <w:t>2</w:t>
      </w:r>
      <w:r w:rsidR="00521469" w:rsidRPr="000855B2">
        <w:t>O</w:t>
      </w:r>
      <w:r w:rsidR="00F73BA1" w:rsidRPr="000855B2">
        <w:t>.</w:t>
      </w:r>
    </w:p>
    <w:p w14:paraId="04518D7B" w14:textId="58915143" w:rsidR="001D2587" w:rsidRPr="000855B2" w:rsidRDefault="00A040D1" w:rsidP="00C92B1B">
      <w:pPr>
        <w:pStyle w:val="Caption"/>
      </w:pPr>
      <w:bookmarkStart w:id="257" w:name="_Ref140571971"/>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65</w:t>
      </w:r>
      <w:r w:rsidR="00FB454C">
        <w:rPr>
          <w:noProof/>
        </w:rPr>
        <w:fldChar w:fldCharType="end"/>
      </w:r>
      <w:bookmarkEnd w:id="257"/>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6D60AF" w:rsidRPr="000855B2">
        <w:t>, CNG and E85</w:t>
      </w:r>
      <w:r w:rsidR="001D2587" w:rsidRPr="000855B2">
        <w:t xml:space="preserve"> passenger cars under cold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7371D2F7" w14:textId="77777777" w:rsidTr="00B5546B">
        <w:trPr>
          <w:trHeight w:val="286"/>
        </w:trPr>
        <w:tc>
          <w:tcPr>
            <w:tcW w:w="2036" w:type="dxa"/>
            <w:tcBorders>
              <w:bottom w:val="single" w:sz="12" w:space="0" w:color="auto"/>
            </w:tcBorders>
            <w:noWrap/>
          </w:tcPr>
          <w:p w14:paraId="47AD5D8F" w14:textId="77777777" w:rsidR="001D2587" w:rsidRPr="00C92B1B" w:rsidRDefault="001D2587" w:rsidP="007B57FD">
            <w:pPr>
              <w:spacing w:line="240" w:lineRule="atLeast"/>
              <w:jc w:val="center"/>
              <w:rPr>
                <w:lang w:val="en-GB" w:eastAsia="en-GB"/>
              </w:rPr>
            </w:pPr>
            <w:r w:rsidRPr="00C92B1B">
              <w:rPr>
                <w:lang w:val="en-GB" w:eastAsia="en-GB"/>
              </w:rPr>
              <w:t xml:space="preserve">Emission </w:t>
            </w:r>
            <w:r w:rsidR="00861120" w:rsidRPr="00C92B1B">
              <w:rPr>
                <w:lang w:val="en-GB" w:eastAsia="en-GB"/>
              </w:rPr>
              <w:t>s</w:t>
            </w:r>
            <w:r w:rsidRPr="00C92B1B">
              <w:rPr>
                <w:lang w:val="en-GB" w:eastAsia="en-GB"/>
              </w:rPr>
              <w:t>tandard</w:t>
            </w:r>
          </w:p>
        </w:tc>
        <w:tc>
          <w:tcPr>
            <w:tcW w:w="2336" w:type="dxa"/>
            <w:tcBorders>
              <w:bottom w:val="single" w:sz="12" w:space="0" w:color="auto"/>
            </w:tcBorders>
            <w:noWrap/>
          </w:tcPr>
          <w:p w14:paraId="60EB016D" w14:textId="77777777" w:rsidR="001D2587" w:rsidRPr="00C92B1B" w:rsidRDefault="001D2587" w:rsidP="007B57FD">
            <w:pPr>
              <w:spacing w:line="240" w:lineRule="atLeast"/>
              <w:jc w:val="center"/>
              <w:rPr>
                <w:lang w:val="en-GB" w:eastAsia="en-GB"/>
              </w:rPr>
            </w:pPr>
            <w:r w:rsidRPr="00C92B1B">
              <w:rPr>
                <w:lang w:val="en-GB" w:eastAsia="en-GB"/>
              </w:rPr>
              <w:t>Sulphur content (ppm)</w:t>
            </w:r>
          </w:p>
        </w:tc>
        <w:tc>
          <w:tcPr>
            <w:tcW w:w="1836" w:type="dxa"/>
            <w:tcBorders>
              <w:bottom w:val="single" w:sz="12" w:space="0" w:color="auto"/>
            </w:tcBorders>
            <w:noWrap/>
          </w:tcPr>
          <w:p w14:paraId="32A2A191" w14:textId="77777777" w:rsidR="001D2587" w:rsidRPr="00C92B1B" w:rsidRDefault="001D2587" w:rsidP="007B57FD">
            <w:pPr>
              <w:spacing w:line="240" w:lineRule="atLeast"/>
              <w:jc w:val="center"/>
              <w:rPr>
                <w:lang w:val="en-GB" w:eastAsia="en-GB"/>
              </w:rPr>
            </w:pPr>
            <w:r w:rsidRPr="00C92B1B">
              <w:rPr>
                <w:lang w:val="en-GB" w:eastAsia="en-GB"/>
              </w:rPr>
              <w:t>Base EF (mg/km)</w:t>
            </w:r>
          </w:p>
        </w:tc>
        <w:tc>
          <w:tcPr>
            <w:tcW w:w="1146" w:type="dxa"/>
            <w:tcBorders>
              <w:bottom w:val="single" w:sz="12" w:space="0" w:color="auto"/>
            </w:tcBorders>
            <w:noWrap/>
          </w:tcPr>
          <w:p w14:paraId="241D11E4" w14:textId="77777777" w:rsidR="001D2587" w:rsidRPr="00C92B1B" w:rsidRDefault="001D2587" w:rsidP="007B57FD">
            <w:pPr>
              <w:spacing w:line="240" w:lineRule="atLeast"/>
              <w:jc w:val="center"/>
              <w:rPr>
                <w:lang w:val="en-GB" w:eastAsia="en-GB"/>
              </w:rPr>
            </w:pPr>
            <w:r w:rsidRPr="00C92B1B">
              <w:rPr>
                <w:lang w:val="en-GB" w:eastAsia="en-GB"/>
              </w:rPr>
              <w:t>a</w:t>
            </w:r>
          </w:p>
        </w:tc>
        <w:tc>
          <w:tcPr>
            <w:tcW w:w="1146" w:type="dxa"/>
            <w:tcBorders>
              <w:bottom w:val="single" w:sz="12" w:space="0" w:color="auto"/>
            </w:tcBorders>
            <w:noWrap/>
          </w:tcPr>
          <w:p w14:paraId="0A4425FB" w14:textId="77777777" w:rsidR="001D2587" w:rsidRPr="00C92B1B" w:rsidRDefault="001D2587" w:rsidP="007B57FD">
            <w:pPr>
              <w:spacing w:line="240" w:lineRule="atLeast"/>
              <w:jc w:val="center"/>
              <w:rPr>
                <w:lang w:val="en-GB" w:eastAsia="en-GB"/>
              </w:rPr>
            </w:pPr>
            <w:r w:rsidRPr="00C92B1B">
              <w:rPr>
                <w:lang w:val="en-GB" w:eastAsia="en-GB"/>
              </w:rPr>
              <w:t>b</w:t>
            </w:r>
          </w:p>
        </w:tc>
      </w:tr>
      <w:tr w:rsidR="001D2587" w:rsidRPr="000855B2" w14:paraId="41BBCD13" w14:textId="77777777" w:rsidTr="00B5546B">
        <w:trPr>
          <w:trHeight w:val="255"/>
        </w:trPr>
        <w:tc>
          <w:tcPr>
            <w:tcW w:w="2036" w:type="dxa"/>
            <w:tcBorders>
              <w:top w:val="single" w:sz="12" w:space="0" w:color="auto"/>
            </w:tcBorders>
            <w:noWrap/>
          </w:tcPr>
          <w:p w14:paraId="70B74431" w14:textId="77777777" w:rsidR="001D2587" w:rsidRPr="00C92B1B" w:rsidRDefault="001D2587" w:rsidP="007B57FD">
            <w:pPr>
              <w:spacing w:line="240" w:lineRule="atLeast"/>
              <w:jc w:val="left"/>
              <w:rPr>
                <w:lang w:val="en-GB" w:eastAsia="en-GB"/>
              </w:rPr>
            </w:pPr>
            <w:r w:rsidRPr="00C92B1B">
              <w:rPr>
                <w:lang w:val="en-GB" w:eastAsia="en-GB"/>
              </w:rPr>
              <w:t>pre-Euro</w:t>
            </w:r>
          </w:p>
        </w:tc>
        <w:tc>
          <w:tcPr>
            <w:tcW w:w="2336" w:type="dxa"/>
            <w:tcBorders>
              <w:top w:val="single" w:sz="12" w:space="0" w:color="auto"/>
            </w:tcBorders>
            <w:noWrap/>
          </w:tcPr>
          <w:p w14:paraId="41BFEC62" w14:textId="77777777" w:rsidR="00957E20"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7ADC4AAF" w14:textId="77777777" w:rsidR="001D2587" w:rsidRPr="00C92B1B" w:rsidRDefault="001D2587" w:rsidP="007B57FD">
            <w:pPr>
              <w:spacing w:line="240" w:lineRule="atLeast"/>
              <w:jc w:val="center"/>
              <w:rPr>
                <w:lang w:val="en-GB" w:eastAsia="en-GB"/>
              </w:rPr>
            </w:pPr>
            <w:r w:rsidRPr="00C92B1B">
              <w:rPr>
                <w:lang w:val="en-GB" w:eastAsia="en-GB"/>
              </w:rPr>
              <w:t>2</w:t>
            </w:r>
          </w:p>
        </w:tc>
        <w:tc>
          <w:tcPr>
            <w:tcW w:w="1146" w:type="dxa"/>
            <w:tcBorders>
              <w:top w:val="single" w:sz="12" w:space="0" w:color="auto"/>
            </w:tcBorders>
            <w:noWrap/>
          </w:tcPr>
          <w:p w14:paraId="702A08AB" w14:textId="77777777" w:rsidR="001D2587" w:rsidRPr="00C92B1B" w:rsidRDefault="001D2587" w:rsidP="00631228">
            <w:pPr>
              <w:spacing w:line="240" w:lineRule="atLeast"/>
              <w:jc w:val="center"/>
              <w:rPr>
                <w:lang w:val="en-GB" w:eastAsia="en-GB"/>
              </w:rPr>
            </w:pPr>
            <w:r w:rsidRPr="00C92B1B">
              <w:rPr>
                <w:lang w:val="en-GB" w:eastAsia="en-GB"/>
              </w:rPr>
              <w:t>0</w:t>
            </w:r>
          </w:p>
        </w:tc>
        <w:tc>
          <w:tcPr>
            <w:tcW w:w="1146" w:type="dxa"/>
            <w:tcBorders>
              <w:top w:val="single" w:sz="12" w:space="0" w:color="auto"/>
            </w:tcBorders>
            <w:noWrap/>
          </w:tcPr>
          <w:p w14:paraId="179B73F2" w14:textId="77777777" w:rsidR="001D2587" w:rsidRPr="00C92B1B" w:rsidRDefault="001D2587" w:rsidP="007B57FD">
            <w:pPr>
              <w:spacing w:line="240" w:lineRule="atLeast"/>
              <w:jc w:val="center"/>
              <w:rPr>
                <w:lang w:val="en-GB" w:eastAsia="en-GB"/>
              </w:rPr>
            </w:pPr>
            <w:r w:rsidRPr="00C92B1B">
              <w:rPr>
                <w:lang w:val="en-GB" w:eastAsia="en-GB"/>
              </w:rPr>
              <w:t>1</w:t>
            </w:r>
          </w:p>
        </w:tc>
      </w:tr>
      <w:tr w:rsidR="001D2587" w:rsidRPr="000855B2" w14:paraId="77B3DE27" w14:textId="77777777" w:rsidTr="00B5546B">
        <w:trPr>
          <w:trHeight w:val="255"/>
        </w:trPr>
        <w:tc>
          <w:tcPr>
            <w:tcW w:w="2036" w:type="dxa"/>
            <w:noWrap/>
          </w:tcPr>
          <w:p w14:paraId="5CB73AA7" w14:textId="77777777" w:rsidR="001D2587" w:rsidRPr="00C92B1B" w:rsidRDefault="001D2587" w:rsidP="007B57FD">
            <w:pPr>
              <w:spacing w:line="240" w:lineRule="atLeast"/>
              <w:jc w:val="left"/>
              <w:rPr>
                <w:lang w:val="en-GB" w:eastAsia="en-GB"/>
              </w:rPr>
            </w:pPr>
            <w:r w:rsidRPr="00C92B1B">
              <w:rPr>
                <w:lang w:val="en-GB" w:eastAsia="en-GB"/>
              </w:rPr>
              <w:t>Euro 1</w:t>
            </w:r>
          </w:p>
        </w:tc>
        <w:tc>
          <w:tcPr>
            <w:tcW w:w="2336" w:type="dxa"/>
            <w:noWrap/>
          </w:tcPr>
          <w:p w14:paraId="7C51EFF5" w14:textId="77777777" w:rsidR="001D2587" w:rsidRPr="00C92B1B" w:rsidRDefault="001D2587" w:rsidP="007B57FD">
            <w:pPr>
              <w:spacing w:line="240" w:lineRule="atLeast"/>
              <w:jc w:val="center"/>
              <w:rPr>
                <w:lang w:val="en-GB" w:eastAsia="en-GB"/>
              </w:rPr>
            </w:pPr>
            <w:r w:rsidRPr="00C92B1B">
              <w:rPr>
                <w:lang w:val="en-GB" w:eastAsia="en-GB"/>
              </w:rPr>
              <w:t>0</w:t>
            </w:r>
            <w:r w:rsidR="003424C3" w:rsidRPr="00C92B1B">
              <w:rPr>
                <w:lang w:val="en-GB"/>
              </w:rPr>
              <w:t>–</w:t>
            </w:r>
            <w:r w:rsidRPr="00C92B1B">
              <w:rPr>
                <w:lang w:val="en-GB" w:eastAsia="en-GB"/>
              </w:rPr>
              <w:t>150</w:t>
            </w:r>
          </w:p>
        </w:tc>
        <w:tc>
          <w:tcPr>
            <w:tcW w:w="1836" w:type="dxa"/>
            <w:noWrap/>
          </w:tcPr>
          <w:p w14:paraId="6E6F7B4B" w14:textId="77777777" w:rsidR="001D2587" w:rsidRPr="00C92B1B" w:rsidRDefault="001D2587" w:rsidP="007B57FD">
            <w:pPr>
              <w:spacing w:line="240" w:lineRule="atLeast"/>
              <w:jc w:val="center"/>
              <w:rPr>
                <w:lang w:val="en-GB" w:eastAsia="en-GB"/>
              </w:rPr>
            </w:pPr>
            <w:r w:rsidRPr="00C92B1B">
              <w:rPr>
                <w:lang w:val="en-GB" w:eastAsia="en-GB"/>
              </w:rPr>
              <w:t>50</w:t>
            </w:r>
          </w:p>
        </w:tc>
        <w:tc>
          <w:tcPr>
            <w:tcW w:w="1146" w:type="dxa"/>
            <w:noWrap/>
          </w:tcPr>
          <w:p w14:paraId="45D9DEA9" w14:textId="77777777" w:rsidR="001D2587" w:rsidRPr="00C92B1B" w:rsidRDefault="001D2587" w:rsidP="007B57FD">
            <w:pPr>
              <w:spacing w:line="240" w:lineRule="atLeast"/>
              <w:jc w:val="center"/>
              <w:rPr>
                <w:lang w:val="en-GB" w:eastAsia="en-GB"/>
              </w:rPr>
            </w:pPr>
            <w:r w:rsidRPr="00C92B1B">
              <w:rPr>
                <w:lang w:val="en-GB" w:eastAsia="en-GB"/>
              </w:rPr>
              <w:t>1.52E-06</w:t>
            </w:r>
          </w:p>
        </w:tc>
        <w:tc>
          <w:tcPr>
            <w:tcW w:w="1146" w:type="dxa"/>
            <w:noWrap/>
          </w:tcPr>
          <w:p w14:paraId="523FE152" w14:textId="77777777" w:rsidR="001D2587" w:rsidRPr="00C92B1B" w:rsidRDefault="001D2587" w:rsidP="007B57FD">
            <w:pPr>
              <w:spacing w:line="240" w:lineRule="atLeast"/>
              <w:jc w:val="center"/>
              <w:rPr>
                <w:lang w:val="en-GB" w:eastAsia="en-GB"/>
              </w:rPr>
            </w:pPr>
            <w:r w:rsidRPr="00C92B1B">
              <w:rPr>
                <w:lang w:val="en-GB" w:eastAsia="en-GB"/>
              </w:rPr>
              <w:t>0.765</w:t>
            </w:r>
          </w:p>
        </w:tc>
      </w:tr>
      <w:tr w:rsidR="001D2587" w:rsidRPr="000855B2" w14:paraId="2B82BA1D" w14:textId="77777777" w:rsidTr="00B5546B">
        <w:trPr>
          <w:trHeight w:val="255"/>
        </w:trPr>
        <w:tc>
          <w:tcPr>
            <w:tcW w:w="2036" w:type="dxa"/>
            <w:noWrap/>
          </w:tcPr>
          <w:p w14:paraId="4A5E766D" w14:textId="77777777" w:rsidR="001D2587" w:rsidRPr="00C92B1B" w:rsidRDefault="001D2587" w:rsidP="007B57FD">
            <w:pPr>
              <w:spacing w:line="240" w:lineRule="atLeast"/>
              <w:jc w:val="left"/>
              <w:rPr>
                <w:lang w:val="en-GB" w:eastAsia="en-GB"/>
              </w:rPr>
            </w:pPr>
            <w:r w:rsidRPr="00C92B1B">
              <w:rPr>
                <w:lang w:val="en-GB" w:eastAsia="en-GB"/>
              </w:rPr>
              <w:t>Euro 1</w:t>
            </w:r>
          </w:p>
        </w:tc>
        <w:tc>
          <w:tcPr>
            <w:tcW w:w="2336" w:type="dxa"/>
            <w:noWrap/>
          </w:tcPr>
          <w:p w14:paraId="24F221F8"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150</w:t>
            </w:r>
          </w:p>
        </w:tc>
        <w:tc>
          <w:tcPr>
            <w:tcW w:w="1836" w:type="dxa"/>
            <w:noWrap/>
          </w:tcPr>
          <w:p w14:paraId="780DEFEC" w14:textId="77777777" w:rsidR="001D2587" w:rsidRPr="00C92B1B" w:rsidRDefault="001D2587" w:rsidP="007B57FD">
            <w:pPr>
              <w:spacing w:line="240" w:lineRule="atLeast"/>
              <w:jc w:val="center"/>
              <w:rPr>
                <w:lang w:val="en-GB" w:eastAsia="en-GB"/>
              </w:rPr>
            </w:pPr>
            <w:r w:rsidRPr="00C92B1B">
              <w:rPr>
                <w:lang w:val="en-GB" w:eastAsia="en-GB"/>
              </w:rPr>
              <w:t>11.7</w:t>
            </w:r>
          </w:p>
        </w:tc>
        <w:tc>
          <w:tcPr>
            <w:tcW w:w="1146" w:type="dxa"/>
            <w:noWrap/>
          </w:tcPr>
          <w:p w14:paraId="49BA1FDA" w14:textId="77777777" w:rsidR="001D2587" w:rsidRPr="00C92B1B" w:rsidRDefault="001D2587" w:rsidP="007B57FD">
            <w:pPr>
              <w:spacing w:line="240" w:lineRule="atLeast"/>
              <w:jc w:val="center"/>
              <w:rPr>
                <w:lang w:val="en-GB" w:eastAsia="en-GB"/>
              </w:rPr>
            </w:pPr>
            <w:r w:rsidRPr="00C92B1B">
              <w:rPr>
                <w:lang w:val="en-GB" w:eastAsia="en-GB"/>
              </w:rPr>
              <w:t>2.92E-06</w:t>
            </w:r>
          </w:p>
        </w:tc>
        <w:tc>
          <w:tcPr>
            <w:tcW w:w="1146" w:type="dxa"/>
            <w:noWrap/>
          </w:tcPr>
          <w:p w14:paraId="0464D66D" w14:textId="77777777" w:rsidR="001D2587" w:rsidRPr="00C92B1B" w:rsidRDefault="001D2587" w:rsidP="007B57FD">
            <w:pPr>
              <w:spacing w:line="240" w:lineRule="atLeast"/>
              <w:jc w:val="center"/>
              <w:rPr>
                <w:lang w:val="en-GB" w:eastAsia="en-GB"/>
              </w:rPr>
            </w:pPr>
            <w:r w:rsidRPr="00C92B1B">
              <w:rPr>
                <w:lang w:val="en-GB" w:eastAsia="en-GB"/>
              </w:rPr>
              <w:t>0.351</w:t>
            </w:r>
          </w:p>
        </w:tc>
      </w:tr>
      <w:tr w:rsidR="001D2587" w:rsidRPr="000855B2" w14:paraId="7F77786B" w14:textId="77777777" w:rsidTr="00B5546B">
        <w:trPr>
          <w:trHeight w:val="255"/>
        </w:trPr>
        <w:tc>
          <w:tcPr>
            <w:tcW w:w="2036" w:type="dxa"/>
            <w:noWrap/>
          </w:tcPr>
          <w:p w14:paraId="512AABF2" w14:textId="77777777" w:rsidR="001D2587" w:rsidRPr="00C92B1B" w:rsidRDefault="001D2587" w:rsidP="007B57FD">
            <w:pPr>
              <w:spacing w:line="240" w:lineRule="atLeast"/>
              <w:jc w:val="left"/>
              <w:rPr>
                <w:lang w:val="en-GB" w:eastAsia="en-GB"/>
              </w:rPr>
            </w:pPr>
            <w:r w:rsidRPr="00C92B1B">
              <w:rPr>
                <w:lang w:val="en-GB" w:eastAsia="en-GB"/>
              </w:rPr>
              <w:t>Euro 2</w:t>
            </w:r>
          </w:p>
        </w:tc>
        <w:tc>
          <w:tcPr>
            <w:tcW w:w="2336" w:type="dxa"/>
            <w:noWrap/>
          </w:tcPr>
          <w:p w14:paraId="6D1352B4" w14:textId="77777777" w:rsidR="001D2587" w:rsidRPr="00C92B1B" w:rsidRDefault="001D2587" w:rsidP="007B57FD">
            <w:pPr>
              <w:spacing w:line="240" w:lineRule="atLeast"/>
              <w:jc w:val="center"/>
              <w:rPr>
                <w:lang w:val="en-GB" w:eastAsia="en-GB"/>
              </w:rPr>
            </w:pPr>
            <w:r w:rsidRPr="00C92B1B">
              <w:rPr>
                <w:lang w:val="en-GB" w:eastAsia="en-GB"/>
              </w:rPr>
              <w:t>0-150</w:t>
            </w:r>
          </w:p>
        </w:tc>
        <w:tc>
          <w:tcPr>
            <w:tcW w:w="1836" w:type="dxa"/>
            <w:noWrap/>
          </w:tcPr>
          <w:p w14:paraId="1958C3E5" w14:textId="77777777" w:rsidR="001D2587" w:rsidRPr="00C92B1B" w:rsidRDefault="001D2587" w:rsidP="007B57FD">
            <w:pPr>
              <w:spacing w:line="240" w:lineRule="atLeast"/>
              <w:jc w:val="center"/>
              <w:rPr>
                <w:lang w:val="en-GB" w:eastAsia="en-GB"/>
              </w:rPr>
            </w:pPr>
            <w:r w:rsidRPr="00C92B1B">
              <w:rPr>
                <w:lang w:val="en-GB" w:eastAsia="en-GB"/>
              </w:rPr>
              <w:t>51</w:t>
            </w:r>
          </w:p>
        </w:tc>
        <w:tc>
          <w:tcPr>
            <w:tcW w:w="1146" w:type="dxa"/>
            <w:noWrap/>
          </w:tcPr>
          <w:p w14:paraId="7D5FEF72" w14:textId="77777777" w:rsidR="001D2587" w:rsidRPr="00C92B1B" w:rsidRDefault="001D2587" w:rsidP="007B57FD">
            <w:pPr>
              <w:spacing w:line="240" w:lineRule="atLeast"/>
              <w:jc w:val="center"/>
              <w:rPr>
                <w:lang w:val="en-GB" w:eastAsia="en-GB"/>
              </w:rPr>
            </w:pPr>
            <w:r w:rsidRPr="00C92B1B">
              <w:rPr>
                <w:lang w:val="en-GB" w:eastAsia="en-GB"/>
              </w:rPr>
              <w:t>1.70E-06</w:t>
            </w:r>
          </w:p>
        </w:tc>
        <w:tc>
          <w:tcPr>
            <w:tcW w:w="1146" w:type="dxa"/>
            <w:noWrap/>
          </w:tcPr>
          <w:p w14:paraId="6471DEA6" w14:textId="77777777" w:rsidR="001D2587" w:rsidRPr="00C92B1B" w:rsidRDefault="001D2587" w:rsidP="007B57FD">
            <w:pPr>
              <w:spacing w:line="240" w:lineRule="atLeast"/>
              <w:jc w:val="center"/>
              <w:rPr>
                <w:lang w:val="en-GB" w:eastAsia="en-GB"/>
              </w:rPr>
            </w:pPr>
            <w:r w:rsidRPr="00C92B1B">
              <w:rPr>
                <w:lang w:val="en-GB" w:eastAsia="en-GB"/>
              </w:rPr>
              <w:t>0.853</w:t>
            </w:r>
          </w:p>
        </w:tc>
      </w:tr>
      <w:tr w:rsidR="001D2587" w:rsidRPr="000855B2" w14:paraId="5F575CA4" w14:textId="77777777" w:rsidTr="00F25CF1">
        <w:trPr>
          <w:trHeight w:val="255"/>
        </w:trPr>
        <w:tc>
          <w:tcPr>
            <w:tcW w:w="2036" w:type="dxa"/>
            <w:noWrap/>
            <w:vAlign w:val="center"/>
          </w:tcPr>
          <w:p w14:paraId="25539337" w14:textId="77777777" w:rsidR="001D2587" w:rsidRPr="00C92B1B" w:rsidRDefault="001D2587" w:rsidP="007B57FD">
            <w:pPr>
              <w:spacing w:line="240" w:lineRule="atLeast"/>
              <w:jc w:val="left"/>
              <w:rPr>
                <w:lang w:val="en-GB" w:eastAsia="en-GB"/>
              </w:rPr>
            </w:pPr>
            <w:r w:rsidRPr="00C92B1B">
              <w:rPr>
                <w:lang w:val="en-GB" w:eastAsia="en-GB"/>
              </w:rPr>
              <w:t>Euro 2</w:t>
            </w:r>
          </w:p>
        </w:tc>
        <w:tc>
          <w:tcPr>
            <w:tcW w:w="2336" w:type="dxa"/>
            <w:noWrap/>
          </w:tcPr>
          <w:p w14:paraId="12435FA7"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150</w:t>
            </w:r>
          </w:p>
        </w:tc>
        <w:tc>
          <w:tcPr>
            <w:tcW w:w="1836" w:type="dxa"/>
            <w:noWrap/>
          </w:tcPr>
          <w:p w14:paraId="3DB945C3" w14:textId="77777777" w:rsidR="001D2587" w:rsidRPr="00C92B1B" w:rsidRDefault="001D2587" w:rsidP="007B57FD">
            <w:pPr>
              <w:spacing w:line="240" w:lineRule="atLeast"/>
              <w:jc w:val="center"/>
              <w:rPr>
                <w:lang w:val="en-GB" w:eastAsia="en-GB"/>
              </w:rPr>
            </w:pPr>
            <w:r w:rsidRPr="00C92B1B">
              <w:rPr>
                <w:lang w:val="en-GB" w:eastAsia="en-GB"/>
              </w:rPr>
              <w:t>14.6</w:t>
            </w:r>
          </w:p>
        </w:tc>
        <w:tc>
          <w:tcPr>
            <w:tcW w:w="1146" w:type="dxa"/>
            <w:noWrap/>
          </w:tcPr>
          <w:p w14:paraId="07B6173F" w14:textId="77777777" w:rsidR="001D2587" w:rsidRPr="00C92B1B" w:rsidRDefault="001D2587" w:rsidP="007B57FD">
            <w:pPr>
              <w:spacing w:line="240" w:lineRule="atLeast"/>
              <w:jc w:val="center"/>
              <w:rPr>
                <w:lang w:val="en-GB" w:eastAsia="en-GB"/>
              </w:rPr>
            </w:pPr>
            <w:r w:rsidRPr="00C92B1B">
              <w:rPr>
                <w:lang w:val="en-GB" w:eastAsia="en-GB"/>
              </w:rPr>
              <w:t>3.89E-06</w:t>
            </w:r>
          </w:p>
        </w:tc>
        <w:tc>
          <w:tcPr>
            <w:tcW w:w="1146" w:type="dxa"/>
            <w:noWrap/>
          </w:tcPr>
          <w:p w14:paraId="6FA67159" w14:textId="77777777" w:rsidR="001D2587" w:rsidRPr="00C92B1B" w:rsidRDefault="001D2587" w:rsidP="007B57FD">
            <w:pPr>
              <w:spacing w:line="240" w:lineRule="atLeast"/>
              <w:jc w:val="center"/>
              <w:rPr>
                <w:lang w:val="en-GB" w:eastAsia="en-GB"/>
              </w:rPr>
            </w:pPr>
            <w:r w:rsidRPr="00C92B1B">
              <w:rPr>
                <w:lang w:val="en-GB" w:eastAsia="en-GB"/>
              </w:rPr>
              <w:t>0.468</w:t>
            </w:r>
          </w:p>
        </w:tc>
      </w:tr>
      <w:tr w:rsidR="001D2587" w:rsidRPr="000855B2" w14:paraId="6B594552" w14:textId="77777777" w:rsidTr="00B5546B">
        <w:trPr>
          <w:trHeight w:val="255"/>
        </w:trPr>
        <w:tc>
          <w:tcPr>
            <w:tcW w:w="2036" w:type="dxa"/>
            <w:noWrap/>
          </w:tcPr>
          <w:p w14:paraId="3589DC6A" w14:textId="77777777" w:rsidR="001D2587" w:rsidRPr="00C92B1B" w:rsidRDefault="001D2587" w:rsidP="007B57FD">
            <w:pPr>
              <w:spacing w:line="240" w:lineRule="atLeast"/>
              <w:jc w:val="left"/>
              <w:rPr>
                <w:lang w:val="en-GB" w:eastAsia="en-GB"/>
              </w:rPr>
            </w:pPr>
            <w:r w:rsidRPr="00C92B1B">
              <w:rPr>
                <w:lang w:val="en-GB" w:eastAsia="en-GB"/>
              </w:rPr>
              <w:t>Euro 3</w:t>
            </w:r>
          </w:p>
        </w:tc>
        <w:tc>
          <w:tcPr>
            <w:tcW w:w="2336" w:type="dxa"/>
            <w:noWrap/>
          </w:tcPr>
          <w:p w14:paraId="04D9AA60" w14:textId="77777777" w:rsidR="001D2587" w:rsidRPr="00C92B1B" w:rsidRDefault="001D2587" w:rsidP="007B57FD">
            <w:pPr>
              <w:spacing w:line="240" w:lineRule="atLeast"/>
              <w:jc w:val="center"/>
              <w:rPr>
                <w:lang w:val="en-GB" w:eastAsia="en-GB"/>
              </w:rPr>
            </w:pPr>
            <w:r w:rsidRPr="00C92B1B">
              <w:rPr>
                <w:lang w:val="en-GB" w:eastAsia="en-GB"/>
              </w:rPr>
              <w:t>0</w:t>
            </w:r>
            <w:r w:rsidR="003424C3" w:rsidRPr="00C92B1B">
              <w:rPr>
                <w:lang w:val="en-GB"/>
              </w:rPr>
              <w:t>–</w:t>
            </w:r>
            <w:r w:rsidRPr="00C92B1B">
              <w:rPr>
                <w:lang w:val="en-GB" w:eastAsia="en-GB"/>
              </w:rPr>
              <w:t>30</w:t>
            </w:r>
          </w:p>
        </w:tc>
        <w:tc>
          <w:tcPr>
            <w:tcW w:w="1836" w:type="dxa"/>
            <w:noWrap/>
          </w:tcPr>
          <w:p w14:paraId="2D69CC83" w14:textId="77777777" w:rsidR="001D2587" w:rsidRPr="00C92B1B" w:rsidRDefault="001D2587" w:rsidP="007B57FD">
            <w:pPr>
              <w:spacing w:line="240" w:lineRule="atLeast"/>
              <w:jc w:val="center"/>
              <w:rPr>
                <w:lang w:val="en-GB" w:eastAsia="en-GB"/>
              </w:rPr>
            </w:pPr>
            <w:r w:rsidRPr="00C92B1B">
              <w:rPr>
                <w:lang w:val="en-GB" w:eastAsia="en-GB"/>
              </w:rPr>
              <w:t>5.4</w:t>
            </w:r>
          </w:p>
        </w:tc>
        <w:tc>
          <w:tcPr>
            <w:tcW w:w="1146" w:type="dxa"/>
            <w:noWrap/>
          </w:tcPr>
          <w:p w14:paraId="4ED79ACD" w14:textId="77777777" w:rsidR="001D2587" w:rsidRPr="00C92B1B" w:rsidRDefault="001D2587" w:rsidP="007B57FD">
            <w:pPr>
              <w:spacing w:line="240" w:lineRule="atLeast"/>
              <w:jc w:val="center"/>
              <w:rPr>
                <w:lang w:val="en-GB" w:eastAsia="en-GB"/>
              </w:rPr>
            </w:pPr>
            <w:r w:rsidRPr="00C92B1B">
              <w:rPr>
                <w:lang w:val="en-GB" w:eastAsia="en-GB"/>
              </w:rPr>
              <w:t>1.77E-06</w:t>
            </w:r>
          </w:p>
        </w:tc>
        <w:tc>
          <w:tcPr>
            <w:tcW w:w="1146" w:type="dxa"/>
            <w:noWrap/>
          </w:tcPr>
          <w:p w14:paraId="405A82D0" w14:textId="77777777" w:rsidR="001D2587" w:rsidRPr="00C92B1B" w:rsidRDefault="001D2587" w:rsidP="007B57FD">
            <w:pPr>
              <w:spacing w:line="240" w:lineRule="atLeast"/>
              <w:jc w:val="center"/>
              <w:rPr>
                <w:lang w:val="en-GB" w:eastAsia="en-GB"/>
              </w:rPr>
            </w:pPr>
            <w:r w:rsidRPr="00C92B1B">
              <w:rPr>
                <w:lang w:val="en-GB" w:eastAsia="en-GB"/>
              </w:rPr>
              <w:t>0.819</w:t>
            </w:r>
          </w:p>
        </w:tc>
      </w:tr>
      <w:tr w:rsidR="001D2587" w:rsidRPr="000855B2" w14:paraId="31990D07" w14:textId="77777777" w:rsidTr="00B5546B">
        <w:trPr>
          <w:trHeight w:val="255"/>
        </w:trPr>
        <w:tc>
          <w:tcPr>
            <w:tcW w:w="2036" w:type="dxa"/>
            <w:noWrap/>
          </w:tcPr>
          <w:p w14:paraId="5AC539DF" w14:textId="77777777" w:rsidR="001D2587" w:rsidRPr="00C92B1B" w:rsidRDefault="001D2587" w:rsidP="007B57FD">
            <w:pPr>
              <w:spacing w:line="240" w:lineRule="atLeast"/>
              <w:jc w:val="left"/>
              <w:rPr>
                <w:lang w:val="en-GB" w:eastAsia="en-GB"/>
              </w:rPr>
            </w:pPr>
            <w:r w:rsidRPr="00C92B1B">
              <w:rPr>
                <w:lang w:val="en-GB" w:eastAsia="en-GB"/>
              </w:rPr>
              <w:t>Euro 3</w:t>
            </w:r>
          </w:p>
        </w:tc>
        <w:tc>
          <w:tcPr>
            <w:tcW w:w="2336" w:type="dxa"/>
            <w:noWrap/>
          </w:tcPr>
          <w:p w14:paraId="5B4A0D2E"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30</w:t>
            </w:r>
          </w:p>
        </w:tc>
        <w:tc>
          <w:tcPr>
            <w:tcW w:w="1836" w:type="dxa"/>
            <w:noWrap/>
          </w:tcPr>
          <w:p w14:paraId="42E89080" w14:textId="77777777" w:rsidR="001D2587" w:rsidRPr="00C92B1B" w:rsidRDefault="001D2587" w:rsidP="007B57FD">
            <w:pPr>
              <w:spacing w:line="240" w:lineRule="atLeast"/>
              <w:jc w:val="center"/>
              <w:rPr>
                <w:lang w:val="en-GB" w:eastAsia="en-GB"/>
              </w:rPr>
            </w:pPr>
            <w:r w:rsidRPr="00C92B1B">
              <w:rPr>
                <w:lang w:val="en-GB" w:eastAsia="en-GB"/>
              </w:rPr>
              <w:t>4.8</w:t>
            </w:r>
          </w:p>
        </w:tc>
        <w:tc>
          <w:tcPr>
            <w:tcW w:w="1146" w:type="dxa"/>
            <w:noWrap/>
          </w:tcPr>
          <w:p w14:paraId="6EFC62D4" w14:textId="77777777" w:rsidR="001D2587" w:rsidRPr="00C92B1B" w:rsidRDefault="001D2587" w:rsidP="007B57FD">
            <w:pPr>
              <w:spacing w:line="240" w:lineRule="atLeast"/>
              <w:jc w:val="center"/>
              <w:rPr>
                <w:lang w:val="en-GB" w:eastAsia="en-GB"/>
              </w:rPr>
            </w:pPr>
            <w:r w:rsidRPr="00C92B1B">
              <w:rPr>
                <w:lang w:val="en-GB" w:eastAsia="en-GB"/>
              </w:rPr>
              <w:t>4.33E-06</w:t>
            </w:r>
          </w:p>
        </w:tc>
        <w:tc>
          <w:tcPr>
            <w:tcW w:w="1146" w:type="dxa"/>
            <w:noWrap/>
          </w:tcPr>
          <w:p w14:paraId="6368412B" w14:textId="77777777" w:rsidR="001D2587" w:rsidRPr="00C92B1B" w:rsidRDefault="001D2587" w:rsidP="007B57FD">
            <w:pPr>
              <w:spacing w:line="240" w:lineRule="atLeast"/>
              <w:jc w:val="center"/>
              <w:rPr>
                <w:lang w:val="en-GB" w:eastAsia="en-GB"/>
              </w:rPr>
            </w:pPr>
            <w:r w:rsidRPr="00C92B1B">
              <w:rPr>
                <w:lang w:val="en-GB" w:eastAsia="en-GB"/>
              </w:rPr>
              <w:t>0.521</w:t>
            </w:r>
          </w:p>
        </w:tc>
      </w:tr>
      <w:tr w:rsidR="001D2587" w:rsidRPr="000855B2" w14:paraId="2D7DE725" w14:textId="77777777" w:rsidTr="00B5546B">
        <w:trPr>
          <w:trHeight w:val="255"/>
        </w:trPr>
        <w:tc>
          <w:tcPr>
            <w:tcW w:w="2036" w:type="dxa"/>
            <w:noWrap/>
          </w:tcPr>
          <w:p w14:paraId="5795896D" w14:textId="77777777" w:rsidR="001D2587" w:rsidRPr="00C92B1B" w:rsidRDefault="001D2587" w:rsidP="007B57FD">
            <w:pPr>
              <w:spacing w:line="240" w:lineRule="atLeast"/>
              <w:jc w:val="left"/>
              <w:rPr>
                <w:lang w:val="en-GB" w:eastAsia="en-GB"/>
              </w:rPr>
            </w:pPr>
            <w:r w:rsidRPr="00C92B1B">
              <w:rPr>
                <w:lang w:val="en-GB" w:eastAsia="en-GB"/>
              </w:rPr>
              <w:t>Euro 4</w:t>
            </w:r>
          </w:p>
        </w:tc>
        <w:tc>
          <w:tcPr>
            <w:tcW w:w="2336" w:type="dxa"/>
            <w:noWrap/>
          </w:tcPr>
          <w:p w14:paraId="1EC60A2B" w14:textId="77777777" w:rsidR="001D2587" w:rsidRPr="00C92B1B" w:rsidRDefault="001D2587" w:rsidP="007B57FD">
            <w:pPr>
              <w:spacing w:line="240" w:lineRule="atLeast"/>
              <w:jc w:val="center"/>
              <w:rPr>
                <w:lang w:val="en-GB" w:eastAsia="en-GB"/>
              </w:rPr>
            </w:pPr>
            <w:r w:rsidRPr="00C92B1B">
              <w:rPr>
                <w:lang w:val="en-GB" w:eastAsia="en-GB"/>
              </w:rPr>
              <w:t>0</w:t>
            </w:r>
            <w:r w:rsidR="003424C3" w:rsidRPr="00C92B1B">
              <w:rPr>
                <w:lang w:val="en-GB"/>
              </w:rPr>
              <w:t>–</w:t>
            </w:r>
            <w:r w:rsidRPr="00C92B1B">
              <w:rPr>
                <w:lang w:val="en-GB" w:eastAsia="en-GB"/>
              </w:rPr>
              <w:t>30</w:t>
            </w:r>
          </w:p>
        </w:tc>
        <w:tc>
          <w:tcPr>
            <w:tcW w:w="1836" w:type="dxa"/>
            <w:noWrap/>
          </w:tcPr>
          <w:p w14:paraId="2E80D8DB" w14:textId="77777777" w:rsidR="001D2587" w:rsidRPr="00C92B1B" w:rsidRDefault="001D2587" w:rsidP="007B57FD">
            <w:pPr>
              <w:spacing w:line="240" w:lineRule="atLeast"/>
              <w:jc w:val="center"/>
              <w:rPr>
                <w:lang w:val="en-GB" w:eastAsia="en-GB"/>
              </w:rPr>
            </w:pPr>
            <w:r w:rsidRPr="00C92B1B">
              <w:rPr>
                <w:lang w:val="en-GB" w:eastAsia="en-GB"/>
              </w:rPr>
              <w:t>5.4</w:t>
            </w:r>
          </w:p>
        </w:tc>
        <w:tc>
          <w:tcPr>
            <w:tcW w:w="1146" w:type="dxa"/>
            <w:noWrap/>
          </w:tcPr>
          <w:p w14:paraId="200C1D1B" w14:textId="77777777" w:rsidR="001D2587" w:rsidRPr="00C92B1B" w:rsidRDefault="001D2587" w:rsidP="007B57FD">
            <w:pPr>
              <w:spacing w:line="240" w:lineRule="atLeast"/>
              <w:jc w:val="center"/>
              <w:rPr>
                <w:lang w:val="en-GB" w:eastAsia="en-GB"/>
              </w:rPr>
            </w:pPr>
            <w:r w:rsidRPr="00C92B1B">
              <w:rPr>
                <w:lang w:val="en-GB" w:eastAsia="en-GB"/>
              </w:rPr>
              <w:t>1.77E-06</w:t>
            </w:r>
          </w:p>
        </w:tc>
        <w:tc>
          <w:tcPr>
            <w:tcW w:w="1146" w:type="dxa"/>
            <w:noWrap/>
          </w:tcPr>
          <w:p w14:paraId="0BC55C98" w14:textId="77777777" w:rsidR="001D2587" w:rsidRPr="00C92B1B" w:rsidRDefault="001D2587" w:rsidP="007B57FD">
            <w:pPr>
              <w:spacing w:line="240" w:lineRule="atLeast"/>
              <w:jc w:val="center"/>
              <w:rPr>
                <w:lang w:val="en-GB" w:eastAsia="en-GB"/>
              </w:rPr>
            </w:pPr>
            <w:r w:rsidRPr="00C92B1B">
              <w:rPr>
                <w:lang w:val="en-GB" w:eastAsia="en-GB"/>
              </w:rPr>
              <w:t>0.819</w:t>
            </w:r>
          </w:p>
        </w:tc>
      </w:tr>
      <w:tr w:rsidR="001D2587" w:rsidRPr="000855B2" w14:paraId="7D85B08D" w14:textId="77777777" w:rsidTr="00B5546B">
        <w:trPr>
          <w:trHeight w:val="255"/>
        </w:trPr>
        <w:tc>
          <w:tcPr>
            <w:tcW w:w="2036" w:type="dxa"/>
            <w:noWrap/>
          </w:tcPr>
          <w:p w14:paraId="52194B8F" w14:textId="77777777" w:rsidR="001D2587" w:rsidRPr="00C92B1B" w:rsidRDefault="001D2587" w:rsidP="007B57FD">
            <w:pPr>
              <w:spacing w:line="240" w:lineRule="atLeast"/>
              <w:jc w:val="left"/>
              <w:rPr>
                <w:lang w:val="en-GB" w:eastAsia="en-GB"/>
              </w:rPr>
            </w:pPr>
            <w:r w:rsidRPr="00C92B1B">
              <w:rPr>
                <w:lang w:val="en-GB" w:eastAsia="en-GB"/>
              </w:rPr>
              <w:t>Euro 4</w:t>
            </w:r>
          </w:p>
        </w:tc>
        <w:tc>
          <w:tcPr>
            <w:tcW w:w="2336" w:type="dxa"/>
            <w:noWrap/>
          </w:tcPr>
          <w:p w14:paraId="2F7493FA" w14:textId="77777777" w:rsidR="001D2587" w:rsidRPr="00C92B1B" w:rsidRDefault="00972A38" w:rsidP="007B57FD">
            <w:pPr>
              <w:spacing w:line="240" w:lineRule="atLeast"/>
              <w:jc w:val="center"/>
              <w:rPr>
                <w:lang w:val="en-GB" w:eastAsia="en-GB"/>
              </w:rPr>
            </w:pPr>
            <w:r w:rsidRPr="00C92B1B">
              <w:rPr>
                <w:lang w:val="en-GB" w:eastAsia="en-GB"/>
              </w:rPr>
              <w:t>&gt; </w:t>
            </w:r>
            <w:r w:rsidR="001D2587" w:rsidRPr="00C92B1B">
              <w:rPr>
                <w:lang w:val="en-GB" w:eastAsia="en-GB"/>
              </w:rPr>
              <w:t>30</w:t>
            </w:r>
          </w:p>
        </w:tc>
        <w:tc>
          <w:tcPr>
            <w:tcW w:w="1836" w:type="dxa"/>
            <w:noWrap/>
          </w:tcPr>
          <w:p w14:paraId="265DAE4C" w14:textId="77777777" w:rsidR="001D2587" w:rsidRPr="00C92B1B" w:rsidRDefault="001D2587" w:rsidP="007B57FD">
            <w:pPr>
              <w:spacing w:line="240" w:lineRule="atLeast"/>
              <w:jc w:val="center"/>
              <w:rPr>
                <w:lang w:val="en-GB" w:eastAsia="en-GB"/>
              </w:rPr>
            </w:pPr>
            <w:r w:rsidRPr="00C92B1B">
              <w:rPr>
                <w:lang w:val="en-GB" w:eastAsia="en-GB"/>
              </w:rPr>
              <w:t>4.8</w:t>
            </w:r>
          </w:p>
        </w:tc>
        <w:tc>
          <w:tcPr>
            <w:tcW w:w="1146" w:type="dxa"/>
            <w:noWrap/>
          </w:tcPr>
          <w:p w14:paraId="72F4503B" w14:textId="77777777" w:rsidR="001D2587" w:rsidRPr="00C92B1B" w:rsidRDefault="001D2587" w:rsidP="007B57FD">
            <w:pPr>
              <w:spacing w:line="240" w:lineRule="atLeast"/>
              <w:jc w:val="center"/>
              <w:rPr>
                <w:lang w:val="en-GB" w:eastAsia="en-GB"/>
              </w:rPr>
            </w:pPr>
            <w:r w:rsidRPr="00C92B1B">
              <w:rPr>
                <w:lang w:val="en-GB" w:eastAsia="en-GB"/>
              </w:rPr>
              <w:t>4.33E-06</w:t>
            </w:r>
          </w:p>
        </w:tc>
        <w:tc>
          <w:tcPr>
            <w:tcW w:w="1146" w:type="dxa"/>
            <w:noWrap/>
          </w:tcPr>
          <w:p w14:paraId="21B6D13C" w14:textId="77777777" w:rsidR="001D2587" w:rsidRPr="00C92B1B" w:rsidRDefault="001D2587" w:rsidP="007B57FD">
            <w:pPr>
              <w:spacing w:line="240" w:lineRule="atLeast"/>
              <w:jc w:val="center"/>
              <w:rPr>
                <w:lang w:val="en-GB" w:eastAsia="en-GB"/>
              </w:rPr>
            </w:pPr>
            <w:r w:rsidRPr="00C92B1B">
              <w:rPr>
                <w:lang w:val="en-GB" w:eastAsia="en-GB"/>
              </w:rPr>
              <w:t>0.521</w:t>
            </w:r>
          </w:p>
        </w:tc>
      </w:tr>
      <w:tr w:rsidR="00521469" w:rsidRPr="000855B2" w14:paraId="5DDF3181" w14:textId="77777777" w:rsidTr="00B5546B">
        <w:trPr>
          <w:trHeight w:val="255"/>
        </w:trPr>
        <w:tc>
          <w:tcPr>
            <w:tcW w:w="2036" w:type="dxa"/>
            <w:noWrap/>
          </w:tcPr>
          <w:p w14:paraId="0CD3158D" w14:textId="77777777" w:rsidR="00521469" w:rsidRPr="00C92B1B" w:rsidRDefault="00521469" w:rsidP="007B57FD">
            <w:pPr>
              <w:spacing w:line="240" w:lineRule="atLeast"/>
              <w:jc w:val="left"/>
              <w:rPr>
                <w:lang w:val="en-GB" w:eastAsia="en-GB"/>
              </w:rPr>
            </w:pPr>
            <w:r w:rsidRPr="00C92B1B">
              <w:rPr>
                <w:lang w:val="en-GB" w:eastAsia="en-GB"/>
              </w:rPr>
              <w:t>Euro 5</w:t>
            </w:r>
            <w:r w:rsidR="00542D5B">
              <w:rPr>
                <w:lang w:val="en-GB" w:eastAsia="en-GB"/>
              </w:rPr>
              <w:t xml:space="preserve"> and on</w:t>
            </w:r>
          </w:p>
        </w:tc>
        <w:tc>
          <w:tcPr>
            <w:tcW w:w="2336" w:type="dxa"/>
            <w:noWrap/>
          </w:tcPr>
          <w:p w14:paraId="18EE6D4F" w14:textId="77777777" w:rsidR="00521469" w:rsidRPr="00C92B1B" w:rsidRDefault="00542D5B" w:rsidP="007B57FD">
            <w:pPr>
              <w:spacing w:line="240" w:lineRule="atLeast"/>
              <w:jc w:val="center"/>
              <w:rPr>
                <w:lang w:val="en-GB" w:eastAsia="en-GB"/>
              </w:rPr>
            </w:pPr>
            <w:r>
              <w:rPr>
                <w:lang w:val="en-GB" w:eastAsia="en-GB"/>
              </w:rPr>
              <w:t>&gt; 0</w:t>
            </w:r>
          </w:p>
        </w:tc>
        <w:tc>
          <w:tcPr>
            <w:tcW w:w="1836" w:type="dxa"/>
            <w:noWrap/>
          </w:tcPr>
          <w:p w14:paraId="0DE43430" w14:textId="77777777" w:rsidR="00521469" w:rsidRPr="00C92B1B" w:rsidRDefault="00521469" w:rsidP="007B57FD">
            <w:pPr>
              <w:spacing w:line="240" w:lineRule="atLeast"/>
              <w:jc w:val="center"/>
              <w:rPr>
                <w:lang w:val="en-GB" w:eastAsia="en-GB"/>
              </w:rPr>
            </w:pPr>
            <w:r w:rsidRPr="00C92B1B">
              <w:rPr>
                <w:lang w:val="en-GB" w:eastAsia="en-GB"/>
              </w:rPr>
              <w:t>13.8</w:t>
            </w:r>
          </w:p>
        </w:tc>
        <w:tc>
          <w:tcPr>
            <w:tcW w:w="1146" w:type="dxa"/>
            <w:noWrap/>
          </w:tcPr>
          <w:p w14:paraId="06B2C9AB" w14:textId="77777777" w:rsidR="00521469" w:rsidRPr="00C92B1B" w:rsidRDefault="00521469" w:rsidP="007B57FD">
            <w:pPr>
              <w:spacing w:line="240" w:lineRule="atLeast"/>
              <w:jc w:val="center"/>
              <w:rPr>
                <w:lang w:val="en-GB" w:eastAsia="en-GB"/>
              </w:rPr>
            </w:pPr>
            <w:r w:rsidRPr="00C92B1B">
              <w:rPr>
                <w:color w:val="000000"/>
                <w:lang w:val="en-GB"/>
              </w:rPr>
              <w:t>3.23E-06</w:t>
            </w:r>
          </w:p>
        </w:tc>
        <w:tc>
          <w:tcPr>
            <w:tcW w:w="1146" w:type="dxa"/>
            <w:noWrap/>
          </w:tcPr>
          <w:p w14:paraId="13EF4964" w14:textId="77777777" w:rsidR="00521469" w:rsidRPr="00C92B1B" w:rsidRDefault="00521469" w:rsidP="007B57FD">
            <w:pPr>
              <w:spacing w:line="240" w:lineRule="atLeast"/>
              <w:jc w:val="center"/>
              <w:rPr>
                <w:lang w:val="en-GB" w:eastAsia="en-GB"/>
              </w:rPr>
            </w:pPr>
            <w:r w:rsidRPr="00C92B1B">
              <w:rPr>
                <w:lang w:val="en-GB" w:eastAsia="en-GB"/>
              </w:rPr>
              <w:t>0.917</w:t>
            </w:r>
          </w:p>
        </w:tc>
      </w:tr>
    </w:tbl>
    <w:p w14:paraId="567B1A32" w14:textId="68676940" w:rsidR="001D2587" w:rsidRPr="000855B2" w:rsidRDefault="00A040D1" w:rsidP="00C92B1B">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66</w:t>
      </w:r>
      <w:r w:rsidR="00FB454C">
        <w:rPr>
          <w:noProof/>
        </w:rPr>
        <w:fldChar w:fldCharType="end"/>
      </w:r>
      <w:r w:rsidR="001D2587" w:rsidRPr="000855B2">
        <w:t xml:space="preserve">: </w:t>
      </w:r>
      <w:r w:rsidR="001D2587" w:rsidRPr="000855B2">
        <w:rPr>
          <w:szCs w:val="24"/>
        </w:rPr>
        <w:t xml:space="preserve">Parameters for </w:t>
      </w:r>
      <w:r w:rsidR="003C2DC5" w:rsidRPr="000855B2">
        <w:rPr>
          <w:szCs w:val="24"/>
        </w:rPr>
        <w:t>equation</w:t>
      </w:r>
      <w:r w:rsidR="001D2587" w:rsidRPr="000855B2">
        <w:rPr>
          <w:szCs w:val="24"/>
        </w:rPr>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rPr>
          <w:szCs w:val="24"/>
        </w:rPr>
        <w:t xml:space="preserve"> to calculate NH</w:t>
      </w:r>
      <w:r w:rsidR="001D2587" w:rsidRPr="000855B2">
        <w:rPr>
          <w:szCs w:val="24"/>
          <w:vertAlign w:val="subscript"/>
        </w:rPr>
        <w:t>3</w:t>
      </w:r>
      <w:r w:rsidR="001D2587" w:rsidRPr="000855B2">
        <w:rPr>
          <w:szCs w:val="24"/>
        </w:rPr>
        <w:t xml:space="preserve"> emission factors</w:t>
      </w:r>
      <w:r w:rsidR="001D2587" w:rsidRPr="000855B2">
        <w:t xml:space="preserve"> for </w:t>
      </w:r>
      <w:r w:rsidR="005E4DC4">
        <w:t>petrol</w:t>
      </w:r>
      <w:r w:rsidR="006D60AF" w:rsidRPr="000855B2">
        <w:t>, CNG and E85</w:t>
      </w:r>
      <w:r w:rsidR="001D2587" w:rsidRPr="000855B2">
        <w:t xml:space="preserve"> passenger cars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6CD95BC3" w14:textId="77777777" w:rsidTr="00B5546B">
        <w:trPr>
          <w:trHeight w:val="226"/>
        </w:trPr>
        <w:tc>
          <w:tcPr>
            <w:tcW w:w="2036" w:type="dxa"/>
            <w:tcBorders>
              <w:bottom w:val="single" w:sz="12" w:space="0" w:color="auto"/>
            </w:tcBorders>
            <w:noWrap/>
          </w:tcPr>
          <w:p w14:paraId="4BA8E56D" w14:textId="77777777" w:rsidR="001D2587" w:rsidRPr="003A3685" w:rsidRDefault="001D2587" w:rsidP="007B57FD">
            <w:pPr>
              <w:spacing w:line="240" w:lineRule="atLeast"/>
              <w:jc w:val="center"/>
              <w:rPr>
                <w:lang w:val="en-GB" w:eastAsia="en-GB"/>
              </w:rPr>
            </w:pPr>
            <w:r w:rsidRPr="003A3685">
              <w:rPr>
                <w:lang w:val="en-GB" w:eastAsia="en-GB"/>
              </w:rPr>
              <w:t xml:space="preserve">Emission </w:t>
            </w:r>
            <w:r w:rsidR="00861120" w:rsidRPr="003A3685">
              <w:rPr>
                <w:lang w:val="en-GB" w:eastAsia="en-GB"/>
              </w:rPr>
              <w:t>s</w:t>
            </w:r>
            <w:r w:rsidRPr="003A3685">
              <w:rPr>
                <w:lang w:val="en-GB" w:eastAsia="en-GB"/>
              </w:rPr>
              <w:t>tandard</w:t>
            </w:r>
          </w:p>
        </w:tc>
        <w:tc>
          <w:tcPr>
            <w:tcW w:w="2336" w:type="dxa"/>
            <w:tcBorders>
              <w:bottom w:val="single" w:sz="12" w:space="0" w:color="auto"/>
            </w:tcBorders>
            <w:noWrap/>
          </w:tcPr>
          <w:p w14:paraId="29766AB4" w14:textId="77777777" w:rsidR="001D2587" w:rsidRPr="003A3685" w:rsidRDefault="001D2587" w:rsidP="007B57FD">
            <w:pPr>
              <w:spacing w:line="240" w:lineRule="atLeast"/>
              <w:jc w:val="center"/>
              <w:rPr>
                <w:lang w:val="en-GB" w:eastAsia="en-GB"/>
              </w:rPr>
            </w:pPr>
            <w:r w:rsidRPr="003A3685">
              <w:rPr>
                <w:lang w:val="en-GB" w:eastAsia="en-GB"/>
              </w:rPr>
              <w:t>Sulphur content (ppm)</w:t>
            </w:r>
          </w:p>
        </w:tc>
        <w:tc>
          <w:tcPr>
            <w:tcW w:w="1836" w:type="dxa"/>
            <w:tcBorders>
              <w:bottom w:val="single" w:sz="12" w:space="0" w:color="auto"/>
            </w:tcBorders>
            <w:noWrap/>
          </w:tcPr>
          <w:p w14:paraId="3EE848A4" w14:textId="77777777" w:rsidR="001D2587" w:rsidRPr="003A3685" w:rsidRDefault="001D2587" w:rsidP="007B57FD">
            <w:pPr>
              <w:spacing w:line="240" w:lineRule="atLeast"/>
              <w:jc w:val="center"/>
              <w:rPr>
                <w:lang w:val="en-GB" w:eastAsia="en-GB"/>
              </w:rPr>
            </w:pPr>
            <w:r w:rsidRPr="003A3685">
              <w:rPr>
                <w:lang w:val="en-GB" w:eastAsia="en-GB"/>
              </w:rPr>
              <w:t>Base EF (mg/km)</w:t>
            </w:r>
          </w:p>
        </w:tc>
        <w:tc>
          <w:tcPr>
            <w:tcW w:w="1146" w:type="dxa"/>
            <w:tcBorders>
              <w:bottom w:val="single" w:sz="12" w:space="0" w:color="auto"/>
            </w:tcBorders>
            <w:noWrap/>
          </w:tcPr>
          <w:p w14:paraId="70379FD4" w14:textId="77777777" w:rsidR="001D2587" w:rsidRPr="003A3685" w:rsidRDefault="001D2587" w:rsidP="007B57FD">
            <w:pPr>
              <w:spacing w:line="240" w:lineRule="atLeast"/>
              <w:jc w:val="center"/>
              <w:rPr>
                <w:lang w:val="en-GB" w:eastAsia="en-GB"/>
              </w:rPr>
            </w:pPr>
            <w:r w:rsidRPr="003A3685">
              <w:rPr>
                <w:lang w:val="en-GB" w:eastAsia="en-GB"/>
              </w:rPr>
              <w:t>a</w:t>
            </w:r>
          </w:p>
        </w:tc>
        <w:tc>
          <w:tcPr>
            <w:tcW w:w="1146" w:type="dxa"/>
            <w:tcBorders>
              <w:bottom w:val="single" w:sz="12" w:space="0" w:color="auto"/>
            </w:tcBorders>
            <w:noWrap/>
          </w:tcPr>
          <w:p w14:paraId="20FB8992" w14:textId="77777777" w:rsidR="001D2587" w:rsidRPr="003A3685" w:rsidRDefault="001D2587" w:rsidP="007B57FD">
            <w:pPr>
              <w:spacing w:line="240" w:lineRule="atLeast"/>
              <w:jc w:val="center"/>
              <w:rPr>
                <w:lang w:val="en-GB" w:eastAsia="en-GB"/>
              </w:rPr>
            </w:pPr>
            <w:r w:rsidRPr="003A3685">
              <w:rPr>
                <w:lang w:val="en-GB" w:eastAsia="en-GB"/>
              </w:rPr>
              <w:t>b</w:t>
            </w:r>
          </w:p>
        </w:tc>
      </w:tr>
      <w:tr w:rsidR="001D2587" w:rsidRPr="000855B2" w14:paraId="03CA8AC6" w14:textId="77777777" w:rsidTr="00B5546B">
        <w:trPr>
          <w:trHeight w:val="255"/>
        </w:trPr>
        <w:tc>
          <w:tcPr>
            <w:tcW w:w="2036" w:type="dxa"/>
            <w:tcBorders>
              <w:top w:val="single" w:sz="12" w:space="0" w:color="auto"/>
            </w:tcBorders>
            <w:noWrap/>
          </w:tcPr>
          <w:p w14:paraId="69A22ABE" w14:textId="77777777" w:rsidR="001D2587" w:rsidRPr="003A3685" w:rsidRDefault="001D2587" w:rsidP="007B57FD">
            <w:pPr>
              <w:spacing w:line="240" w:lineRule="atLeast"/>
              <w:jc w:val="left"/>
              <w:rPr>
                <w:lang w:val="en-GB" w:eastAsia="en-GB"/>
              </w:rPr>
            </w:pPr>
            <w:r w:rsidRPr="003A3685">
              <w:rPr>
                <w:lang w:val="en-GB" w:eastAsia="en-GB"/>
              </w:rPr>
              <w:t>pre-Euro</w:t>
            </w:r>
          </w:p>
        </w:tc>
        <w:tc>
          <w:tcPr>
            <w:tcW w:w="2336" w:type="dxa"/>
            <w:tcBorders>
              <w:top w:val="single" w:sz="12" w:space="0" w:color="auto"/>
            </w:tcBorders>
            <w:noWrap/>
          </w:tcPr>
          <w:p w14:paraId="0D4EB23D" w14:textId="77777777" w:rsidR="001D2587" w:rsidRPr="003A3685"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1F188143" w14:textId="77777777" w:rsidR="001D2587" w:rsidRPr="003A3685" w:rsidRDefault="001D2587" w:rsidP="007B57FD">
            <w:pPr>
              <w:spacing w:line="240" w:lineRule="atLeast"/>
              <w:jc w:val="center"/>
              <w:rPr>
                <w:lang w:val="en-GB" w:eastAsia="en-GB"/>
              </w:rPr>
            </w:pPr>
            <w:r w:rsidRPr="003A3685">
              <w:rPr>
                <w:lang w:val="en-GB" w:eastAsia="en-GB"/>
              </w:rPr>
              <w:t>2</w:t>
            </w:r>
          </w:p>
        </w:tc>
        <w:tc>
          <w:tcPr>
            <w:tcW w:w="1146" w:type="dxa"/>
            <w:tcBorders>
              <w:top w:val="single" w:sz="12" w:space="0" w:color="auto"/>
            </w:tcBorders>
            <w:noWrap/>
          </w:tcPr>
          <w:p w14:paraId="0A23BC89" w14:textId="77777777" w:rsidR="001D2587" w:rsidRPr="003A3685" w:rsidRDefault="001D2587" w:rsidP="00631228">
            <w:pPr>
              <w:spacing w:line="240" w:lineRule="atLeast"/>
              <w:jc w:val="center"/>
              <w:rPr>
                <w:lang w:val="en-GB" w:eastAsia="en-GB"/>
              </w:rPr>
            </w:pPr>
            <w:r w:rsidRPr="003A3685">
              <w:rPr>
                <w:lang w:val="en-GB" w:eastAsia="en-GB"/>
              </w:rPr>
              <w:t>0</w:t>
            </w:r>
          </w:p>
        </w:tc>
        <w:tc>
          <w:tcPr>
            <w:tcW w:w="1146" w:type="dxa"/>
            <w:tcBorders>
              <w:top w:val="single" w:sz="12" w:space="0" w:color="auto"/>
            </w:tcBorders>
            <w:noWrap/>
          </w:tcPr>
          <w:p w14:paraId="18049B67" w14:textId="77777777" w:rsidR="001D2587" w:rsidRPr="003A3685" w:rsidRDefault="001D2587" w:rsidP="007B57FD">
            <w:pPr>
              <w:spacing w:line="240" w:lineRule="atLeast"/>
              <w:jc w:val="center"/>
              <w:rPr>
                <w:lang w:val="en-GB" w:eastAsia="en-GB"/>
              </w:rPr>
            </w:pPr>
            <w:r w:rsidRPr="003A3685">
              <w:rPr>
                <w:lang w:val="en-GB" w:eastAsia="en-GB"/>
              </w:rPr>
              <w:t>1</w:t>
            </w:r>
          </w:p>
        </w:tc>
      </w:tr>
      <w:tr w:rsidR="001D2587" w:rsidRPr="000855B2" w14:paraId="4E074AD5" w14:textId="77777777" w:rsidTr="00B5546B">
        <w:trPr>
          <w:trHeight w:val="255"/>
        </w:trPr>
        <w:tc>
          <w:tcPr>
            <w:tcW w:w="2036" w:type="dxa"/>
            <w:noWrap/>
          </w:tcPr>
          <w:p w14:paraId="0C3A84EE" w14:textId="77777777" w:rsidR="001D2587" w:rsidRPr="003A3685" w:rsidRDefault="001D2587" w:rsidP="007B57FD">
            <w:pPr>
              <w:spacing w:line="240" w:lineRule="atLeast"/>
              <w:jc w:val="left"/>
              <w:rPr>
                <w:lang w:val="en-GB" w:eastAsia="en-GB"/>
              </w:rPr>
            </w:pPr>
            <w:r w:rsidRPr="003A3685">
              <w:rPr>
                <w:lang w:val="en-GB" w:eastAsia="en-GB"/>
              </w:rPr>
              <w:t>Euro 1</w:t>
            </w:r>
          </w:p>
        </w:tc>
        <w:tc>
          <w:tcPr>
            <w:tcW w:w="2336" w:type="dxa"/>
            <w:noWrap/>
          </w:tcPr>
          <w:p w14:paraId="3C0A5E60" w14:textId="77777777" w:rsidR="001D2587" w:rsidRPr="003A3685" w:rsidRDefault="00542D5B" w:rsidP="007B57FD">
            <w:pPr>
              <w:spacing w:line="240" w:lineRule="atLeast"/>
              <w:jc w:val="center"/>
              <w:rPr>
                <w:lang w:val="en-GB" w:eastAsia="en-GB"/>
              </w:rPr>
            </w:pPr>
            <w:r>
              <w:rPr>
                <w:lang w:val="en-GB" w:eastAsia="en-GB"/>
              </w:rPr>
              <w:t>&gt; 0</w:t>
            </w:r>
          </w:p>
        </w:tc>
        <w:tc>
          <w:tcPr>
            <w:tcW w:w="1836" w:type="dxa"/>
            <w:noWrap/>
          </w:tcPr>
          <w:p w14:paraId="74D36063" w14:textId="77777777" w:rsidR="001D2587" w:rsidRPr="003A3685" w:rsidRDefault="001D2587" w:rsidP="007B57FD">
            <w:pPr>
              <w:spacing w:line="240" w:lineRule="atLeast"/>
              <w:jc w:val="center"/>
              <w:rPr>
                <w:lang w:val="en-GB" w:eastAsia="en-GB"/>
              </w:rPr>
            </w:pPr>
            <w:r w:rsidRPr="003A3685">
              <w:rPr>
                <w:lang w:val="en-GB" w:eastAsia="en-GB"/>
              </w:rPr>
              <w:t>70</w:t>
            </w:r>
          </w:p>
        </w:tc>
        <w:tc>
          <w:tcPr>
            <w:tcW w:w="1146" w:type="dxa"/>
            <w:noWrap/>
          </w:tcPr>
          <w:p w14:paraId="6C25BC29" w14:textId="77777777" w:rsidR="001D2587" w:rsidRPr="003A3685" w:rsidRDefault="001D2587" w:rsidP="00631228">
            <w:pPr>
              <w:spacing w:line="240" w:lineRule="atLeast"/>
              <w:jc w:val="center"/>
              <w:rPr>
                <w:lang w:val="en-GB" w:eastAsia="en-GB"/>
              </w:rPr>
            </w:pPr>
            <w:r w:rsidRPr="003A3685">
              <w:rPr>
                <w:lang w:val="en-GB" w:eastAsia="en-GB"/>
              </w:rPr>
              <w:t>0</w:t>
            </w:r>
          </w:p>
        </w:tc>
        <w:tc>
          <w:tcPr>
            <w:tcW w:w="1146" w:type="dxa"/>
            <w:noWrap/>
          </w:tcPr>
          <w:p w14:paraId="7EB05705" w14:textId="77777777" w:rsidR="001D2587" w:rsidRPr="003A3685" w:rsidRDefault="001D2587" w:rsidP="007B57FD">
            <w:pPr>
              <w:spacing w:line="240" w:lineRule="atLeast"/>
              <w:jc w:val="center"/>
              <w:rPr>
                <w:lang w:val="en-GB" w:eastAsia="en-GB"/>
              </w:rPr>
            </w:pPr>
            <w:r w:rsidRPr="003A3685">
              <w:rPr>
                <w:lang w:val="en-GB" w:eastAsia="en-GB"/>
              </w:rPr>
              <w:t>1</w:t>
            </w:r>
          </w:p>
        </w:tc>
      </w:tr>
      <w:tr w:rsidR="001D2587" w:rsidRPr="000855B2" w14:paraId="67429E2B" w14:textId="77777777" w:rsidTr="00B5546B">
        <w:trPr>
          <w:trHeight w:val="255"/>
        </w:trPr>
        <w:tc>
          <w:tcPr>
            <w:tcW w:w="2036" w:type="dxa"/>
            <w:noWrap/>
          </w:tcPr>
          <w:p w14:paraId="08CEBC80" w14:textId="77777777" w:rsidR="001D2587" w:rsidRPr="003A3685" w:rsidRDefault="001D2587" w:rsidP="007B57FD">
            <w:pPr>
              <w:spacing w:line="240" w:lineRule="atLeast"/>
              <w:jc w:val="left"/>
              <w:rPr>
                <w:lang w:val="en-GB" w:eastAsia="en-GB"/>
              </w:rPr>
            </w:pPr>
            <w:r w:rsidRPr="003A3685">
              <w:rPr>
                <w:lang w:val="en-GB" w:eastAsia="en-GB"/>
              </w:rPr>
              <w:t>Euro 2</w:t>
            </w:r>
          </w:p>
        </w:tc>
        <w:tc>
          <w:tcPr>
            <w:tcW w:w="2336" w:type="dxa"/>
            <w:noWrap/>
          </w:tcPr>
          <w:p w14:paraId="7E223C49" w14:textId="77777777" w:rsidR="001D2587" w:rsidRPr="003A3685" w:rsidRDefault="00542D5B" w:rsidP="007B57FD">
            <w:pPr>
              <w:spacing w:line="240" w:lineRule="atLeast"/>
              <w:jc w:val="center"/>
              <w:rPr>
                <w:lang w:val="en-GB" w:eastAsia="en-GB"/>
              </w:rPr>
            </w:pPr>
            <w:r>
              <w:rPr>
                <w:lang w:val="en-GB" w:eastAsia="en-GB"/>
              </w:rPr>
              <w:t>&gt; 0</w:t>
            </w:r>
          </w:p>
        </w:tc>
        <w:tc>
          <w:tcPr>
            <w:tcW w:w="1836" w:type="dxa"/>
            <w:noWrap/>
          </w:tcPr>
          <w:p w14:paraId="026FA8CC" w14:textId="77777777" w:rsidR="001D2587" w:rsidRPr="003A3685" w:rsidRDefault="001D2587" w:rsidP="007B57FD">
            <w:pPr>
              <w:spacing w:line="240" w:lineRule="atLeast"/>
              <w:jc w:val="center"/>
              <w:rPr>
                <w:lang w:val="en-GB" w:eastAsia="en-GB"/>
              </w:rPr>
            </w:pPr>
            <w:r w:rsidRPr="003A3685">
              <w:rPr>
                <w:lang w:val="en-GB" w:eastAsia="en-GB"/>
              </w:rPr>
              <w:t>143</w:t>
            </w:r>
          </w:p>
        </w:tc>
        <w:tc>
          <w:tcPr>
            <w:tcW w:w="1146" w:type="dxa"/>
            <w:noWrap/>
          </w:tcPr>
          <w:p w14:paraId="10AB395C" w14:textId="77777777" w:rsidR="001D2587" w:rsidRPr="003A3685" w:rsidRDefault="001D2587" w:rsidP="007B57FD">
            <w:pPr>
              <w:spacing w:line="240" w:lineRule="atLeast"/>
              <w:jc w:val="center"/>
              <w:rPr>
                <w:lang w:val="en-GB" w:eastAsia="en-GB"/>
              </w:rPr>
            </w:pPr>
            <w:r w:rsidRPr="003A3685">
              <w:rPr>
                <w:lang w:val="en-GB" w:eastAsia="en-GB"/>
              </w:rPr>
              <w:t>1.47E-06</w:t>
            </w:r>
          </w:p>
        </w:tc>
        <w:tc>
          <w:tcPr>
            <w:tcW w:w="1146" w:type="dxa"/>
            <w:noWrap/>
          </w:tcPr>
          <w:p w14:paraId="13C42816" w14:textId="77777777" w:rsidR="001D2587" w:rsidRPr="003A3685" w:rsidRDefault="001D2587" w:rsidP="007B57FD">
            <w:pPr>
              <w:spacing w:line="240" w:lineRule="atLeast"/>
              <w:jc w:val="center"/>
              <w:rPr>
                <w:lang w:val="en-GB" w:eastAsia="en-GB"/>
              </w:rPr>
            </w:pPr>
            <w:r w:rsidRPr="003A3685">
              <w:rPr>
                <w:lang w:val="en-GB" w:eastAsia="en-GB"/>
              </w:rPr>
              <w:t>0.964</w:t>
            </w:r>
          </w:p>
        </w:tc>
      </w:tr>
      <w:tr w:rsidR="001D2587" w:rsidRPr="000855B2" w14:paraId="3CBC2E33" w14:textId="77777777" w:rsidTr="00B5546B">
        <w:trPr>
          <w:trHeight w:val="255"/>
        </w:trPr>
        <w:tc>
          <w:tcPr>
            <w:tcW w:w="2036" w:type="dxa"/>
            <w:noWrap/>
          </w:tcPr>
          <w:p w14:paraId="01BAD115" w14:textId="77777777" w:rsidR="001D2587" w:rsidRPr="003A3685" w:rsidRDefault="001D2587" w:rsidP="007B57FD">
            <w:pPr>
              <w:spacing w:line="240" w:lineRule="atLeast"/>
              <w:jc w:val="left"/>
              <w:rPr>
                <w:lang w:val="en-GB" w:eastAsia="en-GB"/>
              </w:rPr>
            </w:pPr>
            <w:r w:rsidRPr="003A3685">
              <w:rPr>
                <w:lang w:val="en-GB" w:eastAsia="en-GB"/>
              </w:rPr>
              <w:t>Euro 3</w:t>
            </w:r>
          </w:p>
        </w:tc>
        <w:tc>
          <w:tcPr>
            <w:tcW w:w="2336" w:type="dxa"/>
            <w:noWrap/>
          </w:tcPr>
          <w:p w14:paraId="76F3D6F6" w14:textId="77777777" w:rsidR="001D2587" w:rsidRPr="003A3685" w:rsidRDefault="001D2587" w:rsidP="007B57FD">
            <w:pPr>
              <w:spacing w:line="240" w:lineRule="atLeast"/>
              <w:jc w:val="center"/>
              <w:rPr>
                <w:lang w:val="en-GB" w:eastAsia="en-GB"/>
              </w:rPr>
            </w:pPr>
            <w:r w:rsidRPr="003A3685">
              <w:rPr>
                <w:lang w:val="en-GB" w:eastAsia="en-GB"/>
              </w:rPr>
              <w:t>0</w:t>
            </w:r>
            <w:r w:rsidR="003424C3" w:rsidRPr="003A3685">
              <w:rPr>
                <w:lang w:val="en-GB"/>
              </w:rPr>
              <w:t>–</w:t>
            </w:r>
            <w:r w:rsidRPr="003A3685">
              <w:rPr>
                <w:lang w:val="en-GB" w:eastAsia="en-GB"/>
              </w:rPr>
              <w:t>30</w:t>
            </w:r>
          </w:p>
        </w:tc>
        <w:tc>
          <w:tcPr>
            <w:tcW w:w="1836" w:type="dxa"/>
            <w:noWrap/>
          </w:tcPr>
          <w:p w14:paraId="038A8E63" w14:textId="77777777" w:rsidR="001D2587" w:rsidRPr="003A3685" w:rsidRDefault="001D2587" w:rsidP="007B57FD">
            <w:pPr>
              <w:spacing w:line="240" w:lineRule="atLeast"/>
              <w:jc w:val="center"/>
              <w:rPr>
                <w:lang w:val="en-GB" w:eastAsia="en-GB"/>
              </w:rPr>
            </w:pPr>
            <w:r w:rsidRPr="003A3685">
              <w:rPr>
                <w:lang w:val="en-GB" w:eastAsia="en-GB"/>
              </w:rPr>
              <w:t>1.9</w:t>
            </w:r>
          </w:p>
        </w:tc>
        <w:tc>
          <w:tcPr>
            <w:tcW w:w="1146" w:type="dxa"/>
            <w:noWrap/>
          </w:tcPr>
          <w:p w14:paraId="75852F79" w14:textId="77777777" w:rsidR="001D2587" w:rsidRPr="003A3685" w:rsidRDefault="001D2587" w:rsidP="007B57FD">
            <w:pPr>
              <w:spacing w:line="240" w:lineRule="atLeast"/>
              <w:jc w:val="center"/>
              <w:rPr>
                <w:lang w:val="en-GB" w:eastAsia="en-GB"/>
              </w:rPr>
            </w:pPr>
            <w:r w:rsidRPr="003A3685">
              <w:rPr>
                <w:lang w:val="en-GB" w:eastAsia="en-GB"/>
              </w:rPr>
              <w:t>1.31E-06</w:t>
            </w:r>
          </w:p>
        </w:tc>
        <w:tc>
          <w:tcPr>
            <w:tcW w:w="1146" w:type="dxa"/>
            <w:noWrap/>
          </w:tcPr>
          <w:p w14:paraId="117B280D" w14:textId="77777777" w:rsidR="001D2587" w:rsidRPr="003A3685" w:rsidRDefault="001D2587" w:rsidP="007B57FD">
            <w:pPr>
              <w:spacing w:line="240" w:lineRule="atLeast"/>
              <w:jc w:val="center"/>
              <w:rPr>
                <w:lang w:val="en-GB" w:eastAsia="en-GB"/>
              </w:rPr>
            </w:pPr>
            <w:r w:rsidRPr="003A3685">
              <w:rPr>
                <w:lang w:val="en-GB" w:eastAsia="en-GB"/>
              </w:rPr>
              <w:t>0.862</w:t>
            </w:r>
          </w:p>
        </w:tc>
      </w:tr>
      <w:tr w:rsidR="001D2587" w:rsidRPr="000855B2" w14:paraId="243C123B" w14:textId="77777777" w:rsidTr="00B5546B">
        <w:trPr>
          <w:trHeight w:val="255"/>
        </w:trPr>
        <w:tc>
          <w:tcPr>
            <w:tcW w:w="2036" w:type="dxa"/>
            <w:noWrap/>
          </w:tcPr>
          <w:p w14:paraId="1A452C34" w14:textId="77777777" w:rsidR="001D2587" w:rsidRPr="003A3685" w:rsidRDefault="001D2587" w:rsidP="007B57FD">
            <w:pPr>
              <w:spacing w:line="240" w:lineRule="atLeast"/>
              <w:jc w:val="left"/>
              <w:rPr>
                <w:lang w:val="en-GB" w:eastAsia="en-GB"/>
              </w:rPr>
            </w:pPr>
            <w:r w:rsidRPr="003A3685">
              <w:rPr>
                <w:lang w:val="en-GB" w:eastAsia="en-GB"/>
              </w:rPr>
              <w:t>Euro 3</w:t>
            </w:r>
          </w:p>
        </w:tc>
        <w:tc>
          <w:tcPr>
            <w:tcW w:w="2336" w:type="dxa"/>
            <w:noWrap/>
          </w:tcPr>
          <w:p w14:paraId="6ABD79EA" w14:textId="77777777" w:rsidR="001D2587" w:rsidRPr="003A3685" w:rsidRDefault="00972A38" w:rsidP="007B57FD">
            <w:pPr>
              <w:spacing w:line="240" w:lineRule="atLeast"/>
              <w:jc w:val="center"/>
              <w:rPr>
                <w:lang w:val="en-GB" w:eastAsia="en-GB"/>
              </w:rPr>
            </w:pPr>
            <w:r w:rsidRPr="003A3685">
              <w:rPr>
                <w:lang w:val="en-GB" w:eastAsia="en-GB"/>
              </w:rPr>
              <w:t>&gt; </w:t>
            </w:r>
            <w:r w:rsidR="001D2587" w:rsidRPr="003A3685">
              <w:rPr>
                <w:lang w:val="en-GB" w:eastAsia="en-GB"/>
              </w:rPr>
              <w:t>30</w:t>
            </w:r>
          </w:p>
        </w:tc>
        <w:tc>
          <w:tcPr>
            <w:tcW w:w="1836" w:type="dxa"/>
            <w:noWrap/>
          </w:tcPr>
          <w:p w14:paraId="01FAFA9A" w14:textId="77777777" w:rsidR="001D2587" w:rsidRPr="003A3685" w:rsidRDefault="001D2587" w:rsidP="007B57FD">
            <w:pPr>
              <w:spacing w:line="240" w:lineRule="atLeast"/>
              <w:jc w:val="center"/>
              <w:rPr>
                <w:lang w:val="en-GB" w:eastAsia="en-GB"/>
              </w:rPr>
            </w:pPr>
            <w:r w:rsidRPr="003A3685">
              <w:rPr>
                <w:lang w:val="en-GB" w:eastAsia="en-GB"/>
              </w:rPr>
              <w:t>1.6</w:t>
            </w:r>
          </w:p>
        </w:tc>
        <w:tc>
          <w:tcPr>
            <w:tcW w:w="1146" w:type="dxa"/>
            <w:noWrap/>
          </w:tcPr>
          <w:p w14:paraId="146C8B56" w14:textId="77777777" w:rsidR="001D2587" w:rsidRPr="003A3685" w:rsidRDefault="001D2587" w:rsidP="007B57FD">
            <w:pPr>
              <w:spacing w:line="240" w:lineRule="atLeast"/>
              <w:jc w:val="center"/>
              <w:rPr>
                <w:lang w:val="en-GB" w:eastAsia="en-GB"/>
              </w:rPr>
            </w:pPr>
            <w:r w:rsidRPr="003A3685">
              <w:rPr>
                <w:lang w:val="en-GB" w:eastAsia="en-GB"/>
              </w:rPr>
              <w:t>4.18E-06</w:t>
            </w:r>
          </w:p>
        </w:tc>
        <w:tc>
          <w:tcPr>
            <w:tcW w:w="1146" w:type="dxa"/>
            <w:noWrap/>
          </w:tcPr>
          <w:p w14:paraId="232A2E39" w14:textId="77777777" w:rsidR="001D2587" w:rsidRPr="003A3685" w:rsidRDefault="001D2587" w:rsidP="007B57FD">
            <w:pPr>
              <w:spacing w:line="240" w:lineRule="atLeast"/>
              <w:jc w:val="center"/>
              <w:rPr>
                <w:lang w:val="en-GB" w:eastAsia="en-GB"/>
              </w:rPr>
            </w:pPr>
            <w:r w:rsidRPr="003A3685">
              <w:rPr>
                <w:lang w:val="en-GB" w:eastAsia="en-GB"/>
              </w:rPr>
              <w:t>0.526</w:t>
            </w:r>
          </w:p>
        </w:tc>
      </w:tr>
      <w:tr w:rsidR="001D2587" w:rsidRPr="000855B2" w14:paraId="08000EC7" w14:textId="77777777" w:rsidTr="00B5546B">
        <w:trPr>
          <w:trHeight w:val="255"/>
        </w:trPr>
        <w:tc>
          <w:tcPr>
            <w:tcW w:w="2036" w:type="dxa"/>
            <w:noWrap/>
          </w:tcPr>
          <w:p w14:paraId="2F942CE3" w14:textId="77777777" w:rsidR="001D2587" w:rsidRPr="003A3685" w:rsidRDefault="001D2587" w:rsidP="007B57FD">
            <w:pPr>
              <w:spacing w:line="240" w:lineRule="atLeast"/>
              <w:jc w:val="left"/>
              <w:rPr>
                <w:lang w:val="en-GB" w:eastAsia="en-GB"/>
              </w:rPr>
            </w:pPr>
            <w:r w:rsidRPr="003A3685">
              <w:rPr>
                <w:lang w:val="en-GB" w:eastAsia="en-GB"/>
              </w:rPr>
              <w:t>Euro 4</w:t>
            </w:r>
          </w:p>
        </w:tc>
        <w:tc>
          <w:tcPr>
            <w:tcW w:w="2336" w:type="dxa"/>
            <w:noWrap/>
          </w:tcPr>
          <w:p w14:paraId="628AD6EE" w14:textId="77777777" w:rsidR="001D2587" w:rsidRPr="003A3685" w:rsidRDefault="001D2587" w:rsidP="007B57FD">
            <w:pPr>
              <w:spacing w:line="240" w:lineRule="atLeast"/>
              <w:jc w:val="center"/>
              <w:rPr>
                <w:lang w:val="en-GB" w:eastAsia="en-GB"/>
              </w:rPr>
            </w:pPr>
            <w:r w:rsidRPr="003A3685">
              <w:rPr>
                <w:lang w:val="en-GB" w:eastAsia="en-GB"/>
              </w:rPr>
              <w:t>0</w:t>
            </w:r>
            <w:r w:rsidR="003424C3" w:rsidRPr="003A3685">
              <w:rPr>
                <w:lang w:val="en-GB"/>
              </w:rPr>
              <w:t>–</w:t>
            </w:r>
            <w:r w:rsidRPr="003A3685">
              <w:rPr>
                <w:lang w:val="en-GB" w:eastAsia="en-GB"/>
              </w:rPr>
              <w:t>30</w:t>
            </w:r>
          </w:p>
        </w:tc>
        <w:tc>
          <w:tcPr>
            <w:tcW w:w="1836" w:type="dxa"/>
            <w:noWrap/>
          </w:tcPr>
          <w:p w14:paraId="036459D5" w14:textId="77777777" w:rsidR="001D2587" w:rsidRPr="003A3685" w:rsidRDefault="001D2587" w:rsidP="007B57FD">
            <w:pPr>
              <w:spacing w:line="240" w:lineRule="atLeast"/>
              <w:jc w:val="center"/>
              <w:rPr>
                <w:lang w:val="en-GB" w:eastAsia="en-GB"/>
              </w:rPr>
            </w:pPr>
            <w:r w:rsidRPr="003A3685">
              <w:rPr>
                <w:lang w:val="en-GB" w:eastAsia="en-GB"/>
              </w:rPr>
              <w:t>1.9</w:t>
            </w:r>
          </w:p>
        </w:tc>
        <w:tc>
          <w:tcPr>
            <w:tcW w:w="1146" w:type="dxa"/>
            <w:noWrap/>
          </w:tcPr>
          <w:p w14:paraId="3BD6ED09" w14:textId="77777777" w:rsidR="001D2587" w:rsidRPr="003A3685" w:rsidRDefault="001D2587" w:rsidP="007B57FD">
            <w:pPr>
              <w:spacing w:line="240" w:lineRule="atLeast"/>
              <w:jc w:val="center"/>
              <w:rPr>
                <w:lang w:val="en-GB" w:eastAsia="en-GB"/>
              </w:rPr>
            </w:pPr>
            <w:r w:rsidRPr="003A3685">
              <w:rPr>
                <w:lang w:val="en-GB" w:eastAsia="en-GB"/>
              </w:rPr>
              <w:t>1.31E-06</w:t>
            </w:r>
          </w:p>
        </w:tc>
        <w:tc>
          <w:tcPr>
            <w:tcW w:w="1146" w:type="dxa"/>
            <w:noWrap/>
          </w:tcPr>
          <w:p w14:paraId="3F505600" w14:textId="77777777" w:rsidR="001D2587" w:rsidRPr="003A3685" w:rsidRDefault="001D2587" w:rsidP="007B57FD">
            <w:pPr>
              <w:spacing w:line="240" w:lineRule="atLeast"/>
              <w:jc w:val="center"/>
              <w:rPr>
                <w:lang w:val="en-GB" w:eastAsia="en-GB"/>
              </w:rPr>
            </w:pPr>
            <w:r w:rsidRPr="003A3685">
              <w:rPr>
                <w:lang w:val="en-GB" w:eastAsia="en-GB"/>
              </w:rPr>
              <w:t>0.862</w:t>
            </w:r>
          </w:p>
        </w:tc>
      </w:tr>
      <w:tr w:rsidR="001D2587" w:rsidRPr="000855B2" w14:paraId="1118398E" w14:textId="77777777" w:rsidTr="00B5546B">
        <w:trPr>
          <w:trHeight w:val="255"/>
        </w:trPr>
        <w:tc>
          <w:tcPr>
            <w:tcW w:w="2036" w:type="dxa"/>
            <w:noWrap/>
          </w:tcPr>
          <w:p w14:paraId="0543946E" w14:textId="77777777" w:rsidR="001D2587" w:rsidRPr="003A3685" w:rsidRDefault="001D2587" w:rsidP="007B57FD">
            <w:pPr>
              <w:spacing w:line="240" w:lineRule="atLeast"/>
              <w:jc w:val="left"/>
              <w:rPr>
                <w:lang w:val="en-GB" w:eastAsia="en-GB"/>
              </w:rPr>
            </w:pPr>
            <w:r w:rsidRPr="003A3685">
              <w:rPr>
                <w:lang w:val="en-GB" w:eastAsia="en-GB"/>
              </w:rPr>
              <w:t>Euro 4</w:t>
            </w:r>
          </w:p>
        </w:tc>
        <w:tc>
          <w:tcPr>
            <w:tcW w:w="2336" w:type="dxa"/>
            <w:noWrap/>
          </w:tcPr>
          <w:p w14:paraId="0CA1F2EA" w14:textId="77777777" w:rsidR="001D2587" w:rsidRPr="003A3685" w:rsidRDefault="00972A38" w:rsidP="007B57FD">
            <w:pPr>
              <w:spacing w:line="240" w:lineRule="atLeast"/>
              <w:jc w:val="center"/>
              <w:rPr>
                <w:lang w:val="en-GB" w:eastAsia="en-GB"/>
              </w:rPr>
            </w:pPr>
            <w:r w:rsidRPr="003A3685">
              <w:rPr>
                <w:lang w:val="en-GB" w:eastAsia="en-GB"/>
              </w:rPr>
              <w:t>&gt; </w:t>
            </w:r>
            <w:r w:rsidR="001D2587" w:rsidRPr="003A3685">
              <w:rPr>
                <w:lang w:val="en-GB" w:eastAsia="en-GB"/>
              </w:rPr>
              <w:t>30</w:t>
            </w:r>
          </w:p>
        </w:tc>
        <w:tc>
          <w:tcPr>
            <w:tcW w:w="1836" w:type="dxa"/>
            <w:noWrap/>
          </w:tcPr>
          <w:p w14:paraId="3BF0C244" w14:textId="77777777" w:rsidR="001D2587" w:rsidRPr="003A3685" w:rsidRDefault="001D2587" w:rsidP="007B57FD">
            <w:pPr>
              <w:spacing w:line="240" w:lineRule="atLeast"/>
              <w:jc w:val="center"/>
              <w:rPr>
                <w:lang w:val="en-GB" w:eastAsia="en-GB"/>
              </w:rPr>
            </w:pPr>
            <w:r w:rsidRPr="003A3685">
              <w:rPr>
                <w:lang w:val="en-GB" w:eastAsia="en-GB"/>
              </w:rPr>
              <w:t>1.6</w:t>
            </w:r>
          </w:p>
        </w:tc>
        <w:tc>
          <w:tcPr>
            <w:tcW w:w="1146" w:type="dxa"/>
            <w:noWrap/>
          </w:tcPr>
          <w:p w14:paraId="1E597A94" w14:textId="77777777" w:rsidR="001D2587" w:rsidRPr="003A3685" w:rsidRDefault="001D2587" w:rsidP="007B57FD">
            <w:pPr>
              <w:spacing w:line="240" w:lineRule="atLeast"/>
              <w:jc w:val="center"/>
              <w:rPr>
                <w:lang w:val="en-GB" w:eastAsia="en-GB"/>
              </w:rPr>
            </w:pPr>
            <w:r w:rsidRPr="003A3685">
              <w:rPr>
                <w:lang w:val="en-GB" w:eastAsia="en-GB"/>
              </w:rPr>
              <w:t>4.18E-06</w:t>
            </w:r>
          </w:p>
        </w:tc>
        <w:tc>
          <w:tcPr>
            <w:tcW w:w="1146" w:type="dxa"/>
            <w:noWrap/>
          </w:tcPr>
          <w:p w14:paraId="69C04B5E" w14:textId="77777777" w:rsidR="001D2587" w:rsidRPr="003A3685" w:rsidRDefault="001D2587" w:rsidP="007B57FD">
            <w:pPr>
              <w:spacing w:line="240" w:lineRule="atLeast"/>
              <w:jc w:val="center"/>
              <w:rPr>
                <w:lang w:val="en-GB" w:eastAsia="en-GB"/>
              </w:rPr>
            </w:pPr>
            <w:r w:rsidRPr="003A3685">
              <w:rPr>
                <w:lang w:val="en-GB" w:eastAsia="en-GB"/>
              </w:rPr>
              <w:t>0.526</w:t>
            </w:r>
          </w:p>
        </w:tc>
      </w:tr>
      <w:tr w:rsidR="00521469" w:rsidRPr="000855B2" w14:paraId="4D3C04BB" w14:textId="77777777" w:rsidTr="00B5546B">
        <w:trPr>
          <w:trHeight w:val="255"/>
        </w:trPr>
        <w:tc>
          <w:tcPr>
            <w:tcW w:w="2036" w:type="dxa"/>
            <w:noWrap/>
          </w:tcPr>
          <w:p w14:paraId="6964BF58" w14:textId="77777777" w:rsidR="00521469" w:rsidRPr="003A3685" w:rsidRDefault="00521469" w:rsidP="007B57FD">
            <w:pPr>
              <w:spacing w:line="240" w:lineRule="atLeast"/>
              <w:jc w:val="left"/>
              <w:rPr>
                <w:lang w:val="en-GB" w:eastAsia="en-GB"/>
              </w:rPr>
            </w:pPr>
            <w:r w:rsidRPr="003A3685">
              <w:rPr>
                <w:lang w:val="en-GB" w:eastAsia="en-GB"/>
              </w:rPr>
              <w:t>Euro 5</w:t>
            </w:r>
            <w:r w:rsidR="00542D5B">
              <w:rPr>
                <w:lang w:val="en-GB" w:eastAsia="en-GB"/>
              </w:rPr>
              <w:t xml:space="preserve"> and on</w:t>
            </w:r>
          </w:p>
        </w:tc>
        <w:tc>
          <w:tcPr>
            <w:tcW w:w="2336" w:type="dxa"/>
            <w:noWrap/>
          </w:tcPr>
          <w:p w14:paraId="590D8D1A" w14:textId="77777777" w:rsidR="00521469" w:rsidRPr="003A3685" w:rsidRDefault="00542D5B" w:rsidP="007B57FD">
            <w:pPr>
              <w:spacing w:line="240" w:lineRule="atLeast"/>
              <w:jc w:val="center"/>
              <w:rPr>
                <w:lang w:val="en-GB" w:eastAsia="en-GB"/>
              </w:rPr>
            </w:pPr>
            <w:r>
              <w:rPr>
                <w:lang w:val="en-GB" w:eastAsia="en-GB"/>
              </w:rPr>
              <w:t>&gt; 0</w:t>
            </w:r>
          </w:p>
        </w:tc>
        <w:tc>
          <w:tcPr>
            <w:tcW w:w="1836" w:type="dxa"/>
            <w:noWrap/>
          </w:tcPr>
          <w:p w14:paraId="77EAFB21" w14:textId="77777777" w:rsidR="00521469" w:rsidRPr="003A3685" w:rsidRDefault="00521469" w:rsidP="007B57FD">
            <w:pPr>
              <w:spacing w:line="240" w:lineRule="atLeast"/>
              <w:jc w:val="center"/>
              <w:rPr>
                <w:lang w:val="en-GB" w:eastAsia="en-GB"/>
              </w:rPr>
            </w:pPr>
            <w:r w:rsidRPr="003A3685">
              <w:rPr>
                <w:lang w:val="en-GB" w:eastAsia="en-GB"/>
              </w:rPr>
              <w:t>4.1</w:t>
            </w:r>
          </w:p>
        </w:tc>
        <w:tc>
          <w:tcPr>
            <w:tcW w:w="1146" w:type="dxa"/>
            <w:noWrap/>
          </w:tcPr>
          <w:p w14:paraId="0CB11548" w14:textId="77777777" w:rsidR="00521469" w:rsidRPr="003A3685" w:rsidRDefault="00521469" w:rsidP="007B57FD">
            <w:pPr>
              <w:spacing w:line="240" w:lineRule="atLeast"/>
              <w:jc w:val="center"/>
              <w:rPr>
                <w:lang w:val="en-GB" w:eastAsia="en-GB"/>
              </w:rPr>
            </w:pPr>
            <w:r w:rsidRPr="003A3685">
              <w:rPr>
                <w:color w:val="000000"/>
                <w:lang w:val="en-GB"/>
              </w:rPr>
              <w:t>1.73E-06</w:t>
            </w:r>
          </w:p>
        </w:tc>
        <w:tc>
          <w:tcPr>
            <w:tcW w:w="1146" w:type="dxa"/>
            <w:noWrap/>
          </w:tcPr>
          <w:p w14:paraId="008A1B0A" w14:textId="77777777" w:rsidR="00521469" w:rsidRPr="003A3685" w:rsidRDefault="00521469" w:rsidP="007B57FD">
            <w:pPr>
              <w:spacing w:line="240" w:lineRule="atLeast"/>
              <w:jc w:val="center"/>
              <w:rPr>
                <w:lang w:val="en-GB" w:eastAsia="en-GB"/>
              </w:rPr>
            </w:pPr>
            <w:r w:rsidRPr="003A3685">
              <w:rPr>
                <w:lang w:val="en-GB" w:eastAsia="en-GB"/>
              </w:rPr>
              <w:t>0.955</w:t>
            </w:r>
          </w:p>
        </w:tc>
      </w:tr>
    </w:tbl>
    <w:p w14:paraId="128E5952" w14:textId="77777777" w:rsidR="00BA4F27" w:rsidRPr="000855B2" w:rsidRDefault="00BA4F27" w:rsidP="00BA4F27">
      <w:pPr>
        <w:rPr>
          <w:lang w:val="en-GB"/>
        </w:rPr>
      </w:pPr>
    </w:p>
    <w:p w14:paraId="7A05667E" w14:textId="77777777" w:rsidR="00BA4F27" w:rsidRPr="000855B2" w:rsidRDefault="000855B2" w:rsidP="00BA4F27">
      <w:pPr>
        <w:rPr>
          <w:lang w:val="en-GB"/>
        </w:rPr>
      </w:pPr>
      <w:r w:rsidRPr="000855B2">
        <w:rPr>
          <w:lang w:val="en-GB"/>
        </w:rPr>
        <w:br w:type="page"/>
      </w:r>
    </w:p>
    <w:p w14:paraId="3C39E975" w14:textId="388C7DA6" w:rsidR="001D2587" w:rsidRPr="000855B2" w:rsidRDefault="00A040D1" w:rsidP="008D1A83">
      <w:pPr>
        <w:pStyle w:val="Caption"/>
      </w:pPr>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67</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6D60AF" w:rsidRPr="000855B2">
        <w:t>, CNG and E85</w:t>
      </w:r>
      <w:r w:rsidR="001D2587" w:rsidRPr="000855B2">
        <w:t xml:space="preserve"> passenger cars under hot rural conditions</w:t>
      </w:r>
    </w:p>
    <w:tbl>
      <w:tblPr>
        <w:tblW w:w="85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60"/>
        <w:gridCol w:w="1160"/>
      </w:tblGrid>
      <w:tr w:rsidR="001D2587" w:rsidRPr="000855B2" w14:paraId="314B4A39" w14:textId="77777777" w:rsidTr="00B5546B">
        <w:trPr>
          <w:trHeight w:val="251"/>
        </w:trPr>
        <w:tc>
          <w:tcPr>
            <w:tcW w:w="2036" w:type="dxa"/>
            <w:tcBorders>
              <w:bottom w:val="single" w:sz="12" w:space="0" w:color="auto"/>
            </w:tcBorders>
            <w:noWrap/>
            <w:vAlign w:val="center"/>
          </w:tcPr>
          <w:p w14:paraId="14BE06BF"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vAlign w:val="center"/>
          </w:tcPr>
          <w:p w14:paraId="59158DAD"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vAlign w:val="center"/>
          </w:tcPr>
          <w:p w14:paraId="2AE8F9D8"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60" w:type="dxa"/>
            <w:tcBorders>
              <w:bottom w:val="single" w:sz="12" w:space="0" w:color="auto"/>
            </w:tcBorders>
            <w:noWrap/>
            <w:vAlign w:val="center"/>
          </w:tcPr>
          <w:p w14:paraId="46C59EB2"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60" w:type="dxa"/>
            <w:tcBorders>
              <w:bottom w:val="single" w:sz="12" w:space="0" w:color="auto"/>
            </w:tcBorders>
            <w:noWrap/>
            <w:vAlign w:val="center"/>
          </w:tcPr>
          <w:p w14:paraId="2665FA97"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7D4B609A" w14:textId="77777777" w:rsidTr="00B5546B">
        <w:trPr>
          <w:trHeight w:val="255"/>
        </w:trPr>
        <w:tc>
          <w:tcPr>
            <w:tcW w:w="2036" w:type="dxa"/>
            <w:tcBorders>
              <w:top w:val="single" w:sz="12" w:space="0" w:color="auto"/>
            </w:tcBorders>
            <w:noWrap/>
            <w:vAlign w:val="center"/>
          </w:tcPr>
          <w:p w14:paraId="306B3E9B"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vAlign w:val="center"/>
          </w:tcPr>
          <w:p w14:paraId="1D4D883E" w14:textId="77777777" w:rsidR="001D2587" w:rsidRPr="008D1A83"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vAlign w:val="center"/>
          </w:tcPr>
          <w:p w14:paraId="42707463"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60" w:type="dxa"/>
            <w:tcBorders>
              <w:top w:val="single" w:sz="12" w:space="0" w:color="auto"/>
            </w:tcBorders>
            <w:noWrap/>
            <w:vAlign w:val="center"/>
          </w:tcPr>
          <w:p w14:paraId="6F2DC6D7" w14:textId="77777777" w:rsidR="001D2587" w:rsidRPr="005B3D90" w:rsidRDefault="005B3D90" w:rsidP="007B57FD">
            <w:pPr>
              <w:spacing w:line="240" w:lineRule="atLeast"/>
              <w:jc w:val="center"/>
              <w:rPr>
                <w:lang w:val="el-GR" w:eastAsia="en-GB"/>
              </w:rPr>
            </w:pPr>
            <w:r>
              <w:rPr>
                <w:lang w:val="el-GR" w:eastAsia="en-GB"/>
              </w:rPr>
              <w:t>0</w:t>
            </w:r>
          </w:p>
        </w:tc>
        <w:tc>
          <w:tcPr>
            <w:tcW w:w="1160" w:type="dxa"/>
            <w:tcBorders>
              <w:top w:val="single" w:sz="12" w:space="0" w:color="auto"/>
            </w:tcBorders>
            <w:noWrap/>
            <w:vAlign w:val="center"/>
          </w:tcPr>
          <w:p w14:paraId="4A320DE2"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7A0B11E3" w14:textId="77777777" w:rsidTr="00B5546B">
        <w:trPr>
          <w:trHeight w:val="255"/>
        </w:trPr>
        <w:tc>
          <w:tcPr>
            <w:tcW w:w="2036" w:type="dxa"/>
            <w:noWrap/>
            <w:vAlign w:val="center"/>
          </w:tcPr>
          <w:p w14:paraId="4FC5FB6A"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794AFAEE"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4C896C1B" w14:textId="77777777" w:rsidR="001D2587" w:rsidRPr="008D1A83" w:rsidRDefault="001D2587" w:rsidP="007B57FD">
            <w:pPr>
              <w:spacing w:line="240" w:lineRule="atLeast"/>
              <w:jc w:val="center"/>
              <w:rPr>
                <w:lang w:val="en-GB" w:eastAsia="en-GB"/>
              </w:rPr>
            </w:pPr>
            <w:r w:rsidRPr="008D1A83">
              <w:rPr>
                <w:lang w:val="en-GB" w:eastAsia="en-GB"/>
              </w:rPr>
              <w:t>131</w:t>
            </w:r>
          </w:p>
        </w:tc>
        <w:tc>
          <w:tcPr>
            <w:tcW w:w="1160" w:type="dxa"/>
            <w:noWrap/>
            <w:vAlign w:val="center"/>
          </w:tcPr>
          <w:p w14:paraId="4F051429"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60" w:type="dxa"/>
            <w:noWrap/>
            <w:vAlign w:val="center"/>
          </w:tcPr>
          <w:p w14:paraId="10E34642"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200D6A37" w14:textId="77777777" w:rsidTr="00B5546B">
        <w:trPr>
          <w:trHeight w:val="255"/>
        </w:trPr>
        <w:tc>
          <w:tcPr>
            <w:tcW w:w="2036" w:type="dxa"/>
            <w:noWrap/>
            <w:vAlign w:val="center"/>
          </w:tcPr>
          <w:p w14:paraId="15BA2F59"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22B722CE"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66BEF886" w14:textId="77777777" w:rsidR="001D2587" w:rsidRPr="008D1A83" w:rsidRDefault="001D2587" w:rsidP="007B57FD">
            <w:pPr>
              <w:spacing w:line="240" w:lineRule="atLeast"/>
              <w:jc w:val="center"/>
              <w:rPr>
                <w:lang w:val="en-GB" w:eastAsia="en-GB"/>
              </w:rPr>
            </w:pPr>
            <w:r w:rsidRPr="008D1A83">
              <w:rPr>
                <w:lang w:val="en-GB" w:eastAsia="en-GB"/>
              </w:rPr>
              <w:t>100</w:t>
            </w:r>
          </w:p>
        </w:tc>
        <w:tc>
          <w:tcPr>
            <w:tcW w:w="1160" w:type="dxa"/>
            <w:noWrap/>
            <w:vAlign w:val="center"/>
          </w:tcPr>
          <w:p w14:paraId="475115A7" w14:textId="77777777" w:rsidR="001D2587" w:rsidRPr="008D1A83" w:rsidRDefault="001D2587" w:rsidP="007B57FD">
            <w:pPr>
              <w:spacing w:line="240" w:lineRule="atLeast"/>
              <w:jc w:val="center"/>
              <w:rPr>
                <w:lang w:val="en-GB" w:eastAsia="en-GB"/>
              </w:rPr>
            </w:pPr>
            <w:r w:rsidRPr="008D1A83">
              <w:rPr>
                <w:lang w:val="en-GB" w:eastAsia="en-GB"/>
              </w:rPr>
              <w:t>8.95E-07</w:t>
            </w:r>
          </w:p>
        </w:tc>
        <w:tc>
          <w:tcPr>
            <w:tcW w:w="1160" w:type="dxa"/>
            <w:noWrap/>
            <w:vAlign w:val="center"/>
          </w:tcPr>
          <w:p w14:paraId="0CB893DE" w14:textId="77777777" w:rsidR="001D2587" w:rsidRPr="008D1A83" w:rsidRDefault="001D2587" w:rsidP="007B57FD">
            <w:pPr>
              <w:spacing w:line="240" w:lineRule="atLeast"/>
              <w:jc w:val="center"/>
              <w:rPr>
                <w:lang w:val="en-GB" w:eastAsia="en-GB"/>
              </w:rPr>
            </w:pPr>
            <w:r w:rsidRPr="008D1A83">
              <w:rPr>
                <w:lang w:val="en-GB" w:eastAsia="en-GB"/>
              </w:rPr>
              <w:t>0.978</w:t>
            </w:r>
          </w:p>
        </w:tc>
      </w:tr>
      <w:tr w:rsidR="001D2587" w:rsidRPr="000855B2" w14:paraId="3E0A6961" w14:textId="77777777" w:rsidTr="00B5546B">
        <w:trPr>
          <w:trHeight w:val="255"/>
        </w:trPr>
        <w:tc>
          <w:tcPr>
            <w:tcW w:w="2036" w:type="dxa"/>
            <w:noWrap/>
            <w:vAlign w:val="center"/>
          </w:tcPr>
          <w:p w14:paraId="3DB08D28"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392414D1"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383F753C" w14:textId="77777777" w:rsidR="001D2587" w:rsidRPr="008D1A83" w:rsidRDefault="001D2587" w:rsidP="007B57FD">
            <w:pPr>
              <w:spacing w:line="240" w:lineRule="atLeast"/>
              <w:jc w:val="center"/>
              <w:rPr>
                <w:lang w:val="en-GB" w:eastAsia="en-GB"/>
              </w:rPr>
            </w:pPr>
            <w:r w:rsidRPr="008D1A83">
              <w:rPr>
                <w:lang w:val="en-GB" w:eastAsia="en-GB"/>
              </w:rPr>
              <w:t>148</w:t>
            </w:r>
          </w:p>
        </w:tc>
        <w:tc>
          <w:tcPr>
            <w:tcW w:w="1160" w:type="dxa"/>
            <w:noWrap/>
            <w:vAlign w:val="center"/>
          </w:tcPr>
          <w:p w14:paraId="75815A6E"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60" w:type="dxa"/>
            <w:noWrap/>
            <w:vAlign w:val="center"/>
          </w:tcPr>
          <w:p w14:paraId="7E7733C8"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0C1D594E" w14:textId="77777777" w:rsidTr="00B5546B">
        <w:trPr>
          <w:trHeight w:val="255"/>
        </w:trPr>
        <w:tc>
          <w:tcPr>
            <w:tcW w:w="2036" w:type="dxa"/>
            <w:noWrap/>
            <w:vAlign w:val="center"/>
          </w:tcPr>
          <w:p w14:paraId="30799378"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431B2548"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037207F6" w14:textId="77777777" w:rsidR="001D2587" w:rsidRPr="008D1A83" w:rsidRDefault="001D2587" w:rsidP="007B57FD">
            <w:pPr>
              <w:spacing w:line="240" w:lineRule="atLeast"/>
              <w:jc w:val="center"/>
              <w:rPr>
                <w:lang w:val="en-GB" w:eastAsia="en-GB"/>
              </w:rPr>
            </w:pPr>
            <w:r w:rsidRPr="008D1A83">
              <w:rPr>
                <w:lang w:val="en-GB" w:eastAsia="en-GB"/>
              </w:rPr>
              <w:t>90.7</w:t>
            </w:r>
          </w:p>
        </w:tc>
        <w:tc>
          <w:tcPr>
            <w:tcW w:w="1160" w:type="dxa"/>
            <w:noWrap/>
            <w:vAlign w:val="center"/>
          </w:tcPr>
          <w:p w14:paraId="48A822D0" w14:textId="77777777" w:rsidR="001D2587" w:rsidRPr="008D1A83" w:rsidRDefault="001D2587" w:rsidP="007B57FD">
            <w:pPr>
              <w:spacing w:line="240" w:lineRule="atLeast"/>
              <w:jc w:val="center"/>
              <w:rPr>
                <w:lang w:val="en-GB" w:eastAsia="en-GB"/>
              </w:rPr>
            </w:pPr>
            <w:r w:rsidRPr="008D1A83">
              <w:rPr>
                <w:lang w:val="en-GB" w:eastAsia="en-GB"/>
              </w:rPr>
              <w:t>9.08E-07</w:t>
            </w:r>
          </w:p>
        </w:tc>
        <w:tc>
          <w:tcPr>
            <w:tcW w:w="1160" w:type="dxa"/>
            <w:noWrap/>
            <w:vAlign w:val="center"/>
          </w:tcPr>
          <w:p w14:paraId="754C531C" w14:textId="77777777" w:rsidR="001D2587" w:rsidRPr="008D1A83" w:rsidRDefault="001D2587" w:rsidP="007B57FD">
            <w:pPr>
              <w:spacing w:line="240" w:lineRule="atLeast"/>
              <w:jc w:val="center"/>
              <w:rPr>
                <w:lang w:val="en-GB" w:eastAsia="en-GB"/>
              </w:rPr>
            </w:pPr>
            <w:r w:rsidRPr="008D1A83">
              <w:rPr>
                <w:lang w:val="en-GB" w:eastAsia="en-GB"/>
              </w:rPr>
              <w:t>0.992</w:t>
            </w:r>
          </w:p>
        </w:tc>
      </w:tr>
      <w:tr w:rsidR="001D2587" w:rsidRPr="000855B2" w14:paraId="37E68848" w14:textId="77777777" w:rsidTr="00B5546B">
        <w:trPr>
          <w:trHeight w:val="255"/>
        </w:trPr>
        <w:tc>
          <w:tcPr>
            <w:tcW w:w="2036" w:type="dxa"/>
            <w:noWrap/>
            <w:vAlign w:val="center"/>
          </w:tcPr>
          <w:p w14:paraId="5CF7A9D3"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243AEF1A"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03F37E0F"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60" w:type="dxa"/>
            <w:noWrap/>
            <w:vAlign w:val="center"/>
          </w:tcPr>
          <w:p w14:paraId="2F37AF1C"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60" w:type="dxa"/>
            <w:noWrap/>
            <w:vAlign w:val="center"/>
          </w:tcPr>
          <w:p w14:paraId="06459EB7"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2C049A6D" w14:textId="77777777" w:rsidTr="00B5546B">
        <w:trPr>
          <w:trHeight w:val="255"/>
        </w:trPr>
        <w:tc>
          <w:tcPr>
            <w:tcW w:w="2036" w:type="dxa"/>
            <w:noWrap/>
            <w:vAlign w:val="center"/>
          </w:tcPr>
          <w:p w14:paraId="2206F5AB"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000B6DDA"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5181F7AC"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60" w:type="dxa"/>
            <w:noWrap/>
            <w:vAlign w:val="center"/>
          </w:tcPr>
          <w:p w14:paraId="02075329"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60" w:type="dxa"/>
            <w:noWrap/>
            <w:vAlign w:val="center"/>
          </w:tcPr>
          <w:p w14:paraId="6E0E0C8E"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1D2587" w:rsidRPr="000855B2" w14:paraId="4F33D2EC" w14:textId="77777777" w:rsidTr="00B5546B">
        <w:trPr>
          <w:trHeight w:val="255"/>
        </w:trPr>
        <w:tc>
          <w:tcPr>
            <w:tcW w:w="2036" w:type="dxa"/>
            <w:noWrap/>
            <w:vAlign w:val="center"/>
          </w:tcPr>
          <w:p w14:paraId="47A5154C"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232EEC50"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5A2C7B86"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60" w:type="dxa"/>
            <w:noWrap/>
            <w:vAlign w:val="center"/>
          </w:tcPr>
          <w:p w14:paraId="778BA1F0"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60" w:type="dxa"/>
            <w:noWrap/>
            <w:vAlign w:val="center"/>
          </w:tcPr>
          <w:p w14:paraId="42D0615C"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607BC34B" w14:textId="77777777" w:rsidTr="00B5546B">
        <w:trPr>
          <w:trHeight w:val="255"/>
        </w:trPr>
        <w:tc>
          <w:tcPr>
            <w:tcW w:w="2036" w:type="dxa"/>
            <w:noWrap/>
            <w:vAlign w:val="center"/>
          </w:tcPr>
          <w:p w14:paraId="122F9309"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462877F1"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198E30D2"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60" w:type="dxa"/>
            <w:noWrap/>
            <w:vAlign w:val="center"/>
          </w:tcPr>
          <w:p w14:paraId="7EF39AB6"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60" w:type="dxa"/>
            <w:noWrap/>
            <w:vAlign w:val="center"/>
          </w:tcPr>
          <w:p w14:paraId="628341AF"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521469" w:rsidRPr="000855B2" w14:paraId="5EBF6964" w14:textId="77777777" w:rsidTr="00B5546B">
        <w:trPr>
          <w:trHeight w:val="255"/>
        </w:trPr>
        <w:tc>
          <w:tcPr>
            <w:tcW w:w="2036" w:type="dxa"/>
            <w:noWrap/>
            <w:vAlign w:val="center"/>
          </w:tcPr>
          <w:p w14:paraId="07000398" w14:textId="77777777" w:rsidR="00521469" w:rsidRPr="008D1A83" w:rsidRDefault="00521469"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vAlign w:val="center"/>
          </w:tcPr>
          <w:p w14:paraId="26968E8D" w14:textId="77777777" w:rsidR="00521469" w:rsidRPr="008D1A83" w:rsidRDefault="00542D5B" w:rsidP="007B57FD">
            <w:pPr>
              <w:spacing w:line="240" w:lineRule="atLeast"/>
              <w:jc w:val="center"/>
              <w:rPr>
                <w:lang w:val="en-GB" w:eastAsia="en-GB"/>
              </w:rPr>
            </w:pPr>
            <w:r>
              <w:rPr>
                <w:lang w:val="en-GB" w:eastAsia="en-GB"/>
              </w:rPr>
              <w:t>&gt; 0</w:t>
            </w:r>
          </w:p>
        </w:tc>
        <w:tc>
          <w:tcPr>
            <w:tcW w:w="1836" w:type="dxa"/>
            <w:noWrap/>
            <w:vAlign w:val="center"/>
          </w:tcPr>
          <w:p w14:paraId="78E770C4" w14:textId="77777777" w:rsidR="00521469" w:rsidRPr="008D1A83" w:rsidRDefault="00521469" w:rsidP="007B57FD">
            <w:pPr>
              <w:spacing w:line="240" w:lineRule="atLeast"/>
              <w:jc w:val="center"/>
              <w:rPr>
                <w:lang w:val="en-GB" w:eastAsia="en-GB"/>
              </w:rPr>
            </w:pPr>
            <w:r w:rsidRPr="008D1A83">
              <w:rPr>
                <w:lang w:val="en-GB" w:eastAsia="en-GB"/>
              </w:rPr>
              <w:t>8</w:t>
            </w:r>
          </w:p>
        </w:tc>
        <w:tc>
          <w:tcPr>
            <w:tcW w:w="1160" w:type="dxa"/>
            <w:noWrap/>
            <w:vAlign w:val="center"/>
          </w:tcPr>
          <w:p w14:paraId="61DDFC39" w14:textId="77777777" w:rsidR="00521469" w:rsidRPr="008D1A83" w:rsidRDefault="00521469" w:rsidP="007B57FD">
            <w:pPr>
              <w:spacing w:line="240" w:lineRule="atLeast"/>
              <w:jc w:val="center"/>
              <w:rPr>
                <w:lang w:val="en-GB" w:eastAsia="en-GB"/>
              </w:rPr>
            </w:pPr>
            <w:r w:rsidRPr="008D1A83">
              <w:rPr>
                <w:color w:val="000000"/>
                <w:lang w:val="en-GB"/>
              </w:rPr>
              <w:t>9.04E-07</w:t>
            </w:r>
          </w:p>
        </w:tc>
        <w:tc>
          <w:tcPr>
            <w:tcW w:w="1160" w:type="dxa"/>
            <w:noWrap/>
            <w:vAlign w:val="center"/>
          </w:tcPr>
          <w:p w14:paraId="1C21FBA3" w14:textId="77777777" w:rsidR="00521469" w:rsidRPr="008D1A83" w:rsidRDefault="00521469" w:rsidP="007B57FD">
            <w:pPr>
              <w:spacing w:line="240" w:lineRule="atLeast"/>
              <w:jc w:val="center"/>
              <w:rPr>
                <w:lang w:val="en-GB" w:eastAsia="en-GB"/>
              </w:rPr>
            </w:pPr>
            <w:r w:rsidRPr="008D1A83">
              <w:rPr>
                <w:lang w:val="en-GB" w:eastAsia="en-GB"/>
              </w:rPr>
              <w:t>0.977</w:t>
            </w:r>
          </w:p>
        </w:tc>
      </w:tr>
    </w:tbl>
    <w:p w14:paraId="703AFE9C" w14:textId="1140BF7C" w:rsidR="001D2587" w:rsidRPr="000855B2" w:rsidRDefault="00A040D1" w:rsidP="008D1A83">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68</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6D60AF" w:rsidRPr="000855B2">
        <w:t>, CNG and E85</w:t>
      </w:r>
      <w:r w:rsidR="001D2587" w:rsidRPr="000855B2">
        <w:t xml:space="preserve"> passenger cars under hot highway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6CBA068C" w14:textId="77777777" w:rsidTr="00B5546B">
        <w:trPr>
          <w:trHeight w:hRule="exact" w:val="397"/>
        </w:trPr>
        <w:tc>
          <w:tcPr>
            <w:tcW w:w="2036" w:type="dxa"/>
            <w:tcBorders>
              <w:bottom w:val="single" w:sz="12" w:space="0" w:color="auto"/>
            </w:tcBorders>
            <w:noWrap/>
          </w:tcPr>
          <w:p w14:paraId="2246AC59"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0C4E879C"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3BB524C5"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2F505CC7"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39041583"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17D5B0A1" w14:textId="77777777" w:rsidTr="00B5546B">
        <w:trPr>
          <w:trHeight w:val="255"/>
        </w:trPr>
        <w:tc>
          <w:tcPr>
            <w:tcW w:w="2036" w:type="dxa"/>
            <w:tcBorders>
              <w:top w:val="single" w:sz="12" w:space="0" w:color="auto"/>
            </w:tcBorders>
            <w:noWrap/>
          </w:tcPr>
          <w:p w14:paraId="379A1F66"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2EB34D52" w14:textId="77777777" w:rsidR="001D2587" w:rsidRPr="008D1A83" w:rsidRDefault="00542D5B"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2FA9FE49"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278CF28A"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65415E90"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4A6ABAF3" w14:textId="77777777" w:rsidTr="00B5546B">
        <w:trPr>
          <w:trHeight w:val="255"/>
        </w:trPr>
        <w:tc>
          <w:tcPr>
            <w:tcW w:w="2036" w:type="dxa"/>
            <w:noWrap/>
          </w:tcPr>
          <w:p w14:paraId="7BE5BCB1"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3784D8F3"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7E83A57C" w14:textId="77777777" w:rsidR="001D2587" w:rsidRPr="008D1A83" w:rsidRDefault="001D2587" w:rsidP="007B57FD">
            <w:pPr>
              <w:spacing w:line="240" w:lineRule="atLeast"/>
              <w:jc w:val="center"/>
              <w:rPr>
                <w:lang w:val="en-GB" w:eastAsia="en-GB"/>
              </w:rPr>
            </w:pPr>
            <w:r w:rsidRPr="008D1A83">
              <w:rPr>
                <w:lang w:val="en-GB" w:eastAsia="en-GB"/>
              </w:rPr>
              <w:t>73.3</w:t>
            </w:r>
          </w:p>
        </w:tc>
        <w:tc>
          <w:tcPr>
            <w:tcW w:w="1146" w:type="dxa"/>
            <w:noWrap/>
          </w:tcPr>
          <w:p w14:paraId="1B7083A1"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46767B73" w14:textId="77777777" w:rsidR="001D2587" w:rsidRPr="008D1A83" w:rsidRDefault="001D2587" w:rsidP="007B57FD">
            <w:pPr>
              <w:spacing w:line="240" w:lineRule="atLeast"/>
              <w:jc w:val="center"/>
              <w:rPr>
                <w:lang w:val="en-GB" w:eastAsia="en-GB"/>
              </w:rPr>
            </w:pPr>
            <w:r w:rsidRPr="008D1A83">
              <w:rPr>
                <w:lang w:val="en-GB" w:eastAsia="en-GB"/>
              </w:rPr>
              <w:t>0.998</w:t>
            </w:r>
          </w:p>
        </w:tc>
      </w:tr>
      <w:tr w:rsidR="001D2587" w:rsidRPr="000855B2" w14:paraId="38A1D341" w14:textId="77777777" w:rsidTr="00B5546B">
        <w:trPr>
          <w:trHeight w:val="255"/>
        </w:trPr>
        <w:tc>
          <w:tcPr>
            <w:tcW w:w="2036" w:type="dxa"/>
            <w:noWrap/>
          </w:tcPr>
          <w:p w14:paraId="7B92E3C0"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4D383708"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00A41889" w14:textId="77777777" w:rsidR="001D2587" w:rsidRPr="008D1A83" w:rsidRDefault="001D2587" w:rsidP="007B57FD">
            <w:pPr>
              <w:spacing w:line="240" w:lineRule="atLeast"/>
              <w:jc w:val="center"/>
              <w:rPr>
                <w:lang w:val="en-GB" w:eastAsia="en-GB"/>
              </w:rPr>
            </w:pPr>
            <w:r w:rsidRPr="008D1A83">
              <w:rPr>
                <w:lang w:val="en-GB" w:eastAsia="en-GB"/>
              </w:rPr>
              <w:t>56.2</w:t>
            </w:r>
          </w:p>
        </w:tc>
        <w:tc>
          <w:tcPr>
            <w:tcW w:w="1146" w:type="dxa"/>
            <w:noWrap/>
          </w:tcPr>
          <w:p w14:paraId="324DDF17" w14:textId="77777777" w:rsidR="001D2587" w:rsidRPr="008D1A83" w:rsidRDefault="001D2587" w:rsidP="007B57FD">
            <w:pPr>
              <w:spacing w:line="240" w:lineRule="atLeast"/>
              <w:jc w:val="center"/>
              <w:rPr>
                <w:lang w:val="en-GB" w:eastAsia="en-GB"/>
              </w:rPr>
            </w:pPr>
            <w:r w:rsidRPr="008D1A83">
              <w:rPr>
                <w:lang w:val="en-GB" w:eastAsia="en-GB"/>
              </w:rPr>
              <w:t>8.86E-07</w:t>
            </w:r>
          </w:p>
        </w:tc>
        <w:tc>
          <w:tcPr>
            <w:tcW w:w="1146" w:type="dxa"/>
            <w:noWrap/>
          </w:tcPr>
          <w:p w14:paraId="70744C59" w14:textId="77777777" w:rsidR="001D2587" w:rsidRPr="008D1A83" w:rsidRDefault="001D2587" w:rsidP="007B57FD">
            <w:pPr>
              <w:spacing w:line="240" w:lineRule="atLeast"/>
              <w:jc w:val="center"/>
              <w:rPr>
                <w:lang w:val="en-GB" w:eastAsia="en-GB"/>
              </w:rPr>
            </w:pPr>
            <w:r w:rsidRPr="008D1A83">
              <w:rPr>
                <w:lang w:val="en-GB" w:eastAsia="en-GB"/>
              </w:rPr>
              <w:t>0.968</w:t>
            </w:r>
          </w:p>
        </w:tc>
      </w:tr>
      <w:tr w:rsidR="001D2587" w:rsidRPr="000855B2" w14:paraId="5FBBC897" w14:textId="77777777" w:rsidTr="00B5546B">
        <w:trPr>
          <w:trHeight w:val="255"/>
        </w:trPr>
        <w:tc>
          <w:tcPr>
            <w:tcW w:w="2036" w:type="dxa"/>
            <w:noWrap/>
          </w:tcPr>
          <w:p w14:paraId="33322979"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266DDE07"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5FEB6891" w14:textId="77777777" w:rsidR="001D2587" w:rsidRPr="008D1A83" w:rsidRDefault="001D2587" w:rsidP="007B57FD">
            <w:pPr>
              <w:spacing w:line="240" w:lineRule="atLeast"/>
              <w:jc w:val="center"/>
              <w:rPr>
                <w:lang w:val="en-GB" w:eastAsia="en-GB"/>
              </w:rPr>
            </w:pPr>
            <w:r w:rsidRPr="008D1A83">
              <w:rPr>
                <w:lang w:val="en-GB" w:eastAsia="en-GB"/>
              </w:rPr>
              <w:t>83.3</w:t>
            </w:r>
          </w:p>
        </w:tc>
        <w:tc>
          <w:tcPr>
            <w:tcW w:w="1146" w:type="dxa"/>
            <w:noWrap/>
          </w:tcPr>
          <w:p w14:paraId="65175B17"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4C0E6815"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0ECA4549" w14:textId="77777777" w:rsidTr="00B5546B">
        <w:trPr>
          <w:trHeight w:val="255"/>
        </w:trPr>
        <w:tc>
          <w:tcPr>
            <w:tcW w:w="2036" w:type="dxa"/>
            <w:noWrap/>
          </w:tcPr>
          <w:p w14:paraId="420B3653"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432FF674"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220E93FD" w14:textId="77777777" w:rsidR="001D2587" w:rsidRPr="008D1A83" w:rsidRDefault="001D2587" w:rsidP="007B57FD">
            <w:pPr>
              <w:spacing w:line="240" w:lineRule="atLeast"/>
              <w:jc w:val="center"/>
              <w:rPr>
                <w:lang w:val="en-GB" w:eastAsia="en-GB"/>
              </w:rPr>
            </w:pPr>
            <w:r w:rsidRPr="008D1A83">
              <w:rPr>
                <w:lang w:val="en-GB" w:eastAsia="en-GB"/>
              </w:rPr>
              <w:t>51</w:t>
            </w:r>
          </w:p>
        </w:tc>
        <w:tc>
          <w:tcPr>
            <w:tcW w:w="1146" w:type="dxa"/>
            <w:noWrap/>
          </w:tcPr>
          <w:p w14:paraId="24500E34" w14:textId="77777777" w:rsidR="001D2587" w:rsidRPr="008D1A83" w:rsidRDefault="001D2587" w:rsidP="007B57FD">
            <w:pPr>
              <w:spacing w:line="240" w:lineRule="atLeast"/>
              <w:jc w:val="center"/>
              <w:rPr>
                <w:lang w:val="en-GB" w:eastAsia="en-GB"/>
              </w:rPr>
            </w:pPr>
            <w:r w:rsidRPr="008D1A83">
              <w:rPr>
                <w:lang w:val="en-GB" w:eastAsia="en-GB"/>
              </w:rPr>
              <w:t>9.05E-07</w:t>
            </w:r>
          </w:p>
        </w:tc>
        <w:tc>
          <w:tcPr>
            <w:tcW w:w="1146" w:type="dxa"/>
            <w:noWrap/>
          </w:tcPr>
          <w:p w14:paraId="2E3DAAB2" w14:textId="77777777" w:rsidR="001D2587" w:rsidRPr="008D1A83" w:rsidRDefault="001D2587" w:rsidP="007B57FD">
            <w:pPr>
              <w:spacing w:line="240" w:lineRule="atLeast"/>
              <w:jc w:val="center"/>
              <w:rPr>
                <w:lang w:val="en-GB" w:eastAsia="en-GB"/>
              </w:rPr>
            </w:pPr>
            <w:r w:rsidRPr="008D1A83">
              <w:rPr>
                <w:lang w:val="en-GB" w:eastAsia="en-GB"/>
              </w:rPr>
              <w:t>0.988</w:t>
            </w:r>
          </w:p>
        </w:tc>
      </w:tr>
      <w:tr w:rsidR="001D2587" w:rsidRPr="000855B2" w14:paraId="2B1AEF7A" w14:textId="77777777" w:rsidTr="00B5546B">
        <w:trPr>
          <w:trHeight w:val="255"/>
        </w:trPr>
        <w:tc>
          <w:tcPr>
            <w:tcW w:w="2036" w:type="dxa"/>
            <w:noWrap/>
          </w:tcPr>
          <w:p w14:paraId="00D0B41A"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6199EDDC"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6946F566"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6241459C"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7D185FAA"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009AC361" w14:textId="77777777" w:rsidTr="00B5546B">
        <w:trPr>
          <w:trHeight w:val="255"/>
        </w:trPr>
        <w:tc>
          <w:tcPr>
            <w:tcW w:w="2036" w:type="dxa"/>
            <w:noWrap/>
          </w:tcPr>
          <w:p w14:paraId="4361D265"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1AD13393"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66B461CC"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3118AF52"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1B0A98F6"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1D2587" w:rsidRPr="000855B2" w14:paraId="560C28F5" w14:textId="77777777" w:rsidTr="00B5546B">
        <w:trPr>
          <w:trHeight w:val="255"/>
        </w:trPr>
        <w:tc>
          <w:tcPr>
            <w:tcW w:w="2036" w:type="dxa"/>
            <w:noWrap/>
          </w:tcPr>
          <w:p w14:paraId="4C460195"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34B78474"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7F61147A"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4A5B9151"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35E2BA27"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670E54AE" w14:textId="77777777" w:rsidTr="00B5546B">
        <w:trPr>
          <w:trHeight w:val="255"/>
        </w:trPr>
        <w:tc>
          <w:tcPr>
            <w:tcW w:w="2036" w:type="dxa"/>
            <w:noWrap/>
          </w:tcPr>
          <w:p w14:paraId="2B8C2116"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39DE19EA"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18950671"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2824EE20"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2BD009A2"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B119D9" w:rsidRPr="000855B2" w14:paraId="1AAFCD5D" w14:textId="77777777" w:rsidTr="00B5546B">
        <w:trPr>
          <w:trHeight w:val="255"/>
        </w:trPr>
        <w:tc>
          <w:tcPr>
            <w:tcW w:w="2036" w:type="dxa"/>
            <w:noWrap/>
          </w:tcPr>
          <w:p w14:paraId="2BD38655" w14:textId="77777777" w:rsidR="00B119D9" w:rsidRPr="008D1A83" w:rsidRDefault="00B119D9"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6CD52CAA" w14:textId="77777777" w:rsidR="00B119D9" w:rsidRPr="008D1A83" w:rsidRDefault="00542D5B" w:rsidP="007B57FD">
            <w:pPr>
              <w:spacing w:line="240" w:lineRule="atLeast"/>
              <w:jc w:val="center"/>
              <w:rPr>
                <w:lang w:val="en-GB" w:eastAsia="en-GB"/>
              </w:rPr>
            </w:pPr>
            <w:r>
              <w:rPr>
                <w:lang w:val="en-GB" w:eastAsia="en-GB"/>
              </w:rPr>
              <w:t>&gt; 0</w:t>
            </w:r>
          </w:p>
        </w:tc>
        <w:tc>
          <w:tcPr>
            <w:tcW w:w="1836" w:type="dxa"/>
            <w:noWrap/>
          </w:tcPr>
          <w:p w14:paraId="491F6207" w14:textId="77777777" w:rsidR="00B119D9" w:rsidRPr="008D1A83" w:rsidRDefault="00B119D9" w:rsidP="007B57FD">
            <w:pPr>
              <w:spacing w:line="240" w:lineRule="atLeast"/>
              <w:jc w:val="center"/>
              <w:rPr>
                <w:lang w:val="en-GB" w:eastAsia="en-GB"/>
              </w:rPr>
            </w:pPr>
            <w:r w:rsidRPr="008D1A83">
              <w:rPr>
                <w:lang w:val="en-GB" w:eastAsia="en-GB"/>
              </w:rPr>
              <w:t>21.8</w:t>
            </w:r>
          </w:p>
        </w:tc>
        <w:tc>
          <w:tcPr>
            <w:tcW w:w="1146" w:type="dxa"/>
            <w:noWrap/>
          </w:tcPr>
          <w:p w14:paraId="54009284" w14:textId="77777777" w:rsidR="00B119D9" w:rsidRPr="008D1A83" w:rsidRDefault="00B119D9" w:rsidP="007B57FD">
            <w:pPr>
              <w:spacing w:line="240" w:lineRule="atLeast"/>
              <w:jc w:val="center"/>
              <w:rPr>
                <w:lang w:val="en-GB" w:eastAsia="en-GB"/>
              </w:rPr>
            </w:pPr>
            <w:r w:rsidRPr="008D1A83">
              <w:rPr>
                <w:lang w:val="en-GB" w:eastAsia="en-GB"/>
              </w:rPr>
              <w:t>5.95E-08</w:t>
            </w:r>
          </w:p>
        </w:tc>
        <w:tc>
          <w:tcPr>
            <w:tcW w:w="1146" w:type="dxa"/>
            <w:noWrap/>
          </w:tcPr>
          <w:p w14:paraId="3501A1FA" w14:textId="77777777" w:rsidR="00B119D9" w:rsidRPr="008D1A83" w:rsidRDefault="00B119D9" w:rsidP="007B57FD">
            <w:pPr>
              <w:spacing w:line="240" w:lineRule="atLeast"/>
              <w:jc w:val="center"/>
              <w:rPr>
                <w:lang w:val="en-GB" w:eastAsia="en-GB"/>
              </w:rPr>
            </w:pPr>
            <w:r w:rsidRPr="008D1A83">
              <w:rPr>
                <w:lang w:val="en-GB" w:eastAsia="en-GB"/>
              </w:rPr>
              <w:t>0.999</w:t>
            </w:r>
          </w:p>
        </w:tc>
      </w:tr>
    </w:tbl>
    <w:p w14:paraId="65661E95" w14:textId="04FBB6ED" w:rsidR="001D2587" w:rsidRPr="008D1A83" w:rsidRDefault="00A040D1" w:rsidP="008D1A83">
      <w:pPr>
        <w:pStyle w:val="Caption"/>
      </w:pPr>
      <w:r w:rsidRPr="008D1A83">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69</w:t>
      </w:r>
      <w:r w:rsidR="00FB454C">
        <w:rPr>
          <w:noProof/>
        </w:rPr>
        <w:fldChar w:fldCharType="end"/>
      </w:r>
      <w:r w:rsidR="001D2587" w:rsidRPr="008D1A83">
        <w:t xml:space="preserve">: Parameters for </w:t>
      </w:r>
      <w:r w:rsidR="003C2DC5" w:rsidRPr="008D1A83">
        <w:t>equation</w:t>
      </w:r>
      <w:r w:rsidR="001D2587" w:rsidRPr="008D1A83">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8D1A83">
        <w:t xml:space="preserve"> to calculate NH3 emission factors for </w:t>
      </w:r>
      <w:r w:rsidR="005E4DC4">
        <w:t>petrol</w:t>
      </w:r>
      <w:r w:rsidR="001D2587" w:rsidRPr="008D1A83">
        <w:t xml:space="preserve"> </w:t>
      </w:r>
      <w:r w:rsidR="00757EE1" w:rsidRPr="008D1A83">
        <w:t>LCV</w:t>
      </w:r>
      <w:r w:rsidR="001D2587" w:rsidRPr="008D1A83">
        <w:t>s under cold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041A3F52" w14:textId="77777777" w:rsidTr="00B5546B">
        <w:trPr>
          <w:trHeight w:hRule="exact" w:val="397"/>
        </w:trPr>
        <w:tc>
          <w:tcPr>
            <w:tcW w:w="2036" w:type="dxa"/>
            <w:tcBorders>
              <w:bottom w:val="single" w:sz="12" w:space="0" w:color="auto"/>
            </w:tcBorders>
            <w:noWrap/>
            <w:vAlign w:val="center"/>
          </w:tcPr>
          <w:p w14:paraId="19B02401"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vAlign w:val="center"/>
          </w:tcPr>
          <w:p w14:paraId="15620718"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vAlign w:val="center"/>
          </w:tcPr>
          <w:p w14:paraId="6CB6D731"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vAlign w:val="center"/>
          </w:tcPr>
          <w:p w14:paraId="3D6A6AD6"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vAlign w:val="center"/>
          </w:tcPr>
          <w:p w14:paraId="36916D48"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2FF071F0" w14:textId="77777777" w:rsidTr="00B5546B">
        <w:trPr>
          <w:trHeight w:val="255"/>
        </w:trPr>
        <w:tc>
          <w:tcPr>
            <w:tcW w:w="2036" w:type="dxa"/>
            <w:tcBorders>
              <w:top w:val="single" w:sz="12" w:space="0" w:color="auto"/>
            </w:tcBorders>
            <w:noWrap/>
            <w:vAlign w:val="center"/>
          </w:tcPr>
          <w:p w14:paraId="7DFBF04C"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vAlign w:val="center"/>
          </w:tcPr>
          <w:p w14:paraId="453E86B3"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tcBorders>
              <w:top w:val="single" w:sz="12" w:space="0" w:color="auto"/>
            </w:tcBorders>
            <w:noWrap/>
            <w:vAlign w:val="center"/>
          </w:tcPr>
          <w:p w14:paraId="0AC25ADF"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vAlign w:val="center"/>
          </w:tcPr>
          <w:p w14:paraId="5D24C852"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vAlign w:val="center"/>
          </w:tcPr>
          <w:p w14:paraId="6725CB2D"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51028313" w14:textId="77777777" w:rsidTr="00B5546B">
        <w:trPr>
          <w:trHeight w:val="255"/>
        </w:trPr>
        <w:tc>
          <w:tcPr>
            <w:tcW w:w="2036" w:type="dxa"/>
            <w:noWrap/>
            <w:vAlign w:val="center"/>
          </w:tcPr>
          <w:p w14:paraId="364FCFF1"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2EE91C88"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3FF847ED" w14:textId="77777777" w:rsidR="001D2587" w:rsidRPr="008D1A83" w:rsidRDefault="001D2587" w:rsidP="007B57FD">
            <w:pPr>
              <w:spacing w:line="240" w:lineRule="atLeast"/>
              <w:jc w:val="center"/>
              <w:rPr>
                <w:lang w:val="en-GB" w:eastAsia="en-GB"/>
              </w:rPr>
            </w:pPr>
            <w:r w:rsidRPr="008D1A83">
              <w:rPr>
                <w:lang w:val="en-GB" w:eastAsia="en-GB"/>
              </w:rPr>
              <w:t>50</w:t>
            </w:r>
          </w:p>
        </w:tc>
        <w:tc>
          <w:tcPr>
            <w:tcW w:w="1146" w:type="dxa"/>
            <w:noWrap/>
            <w:vAlign w:val="center"/>
          </w:tcPr>
          <w:p w14:paraId="32EC239E" w14:textId="77777777" w:rsidR="001D2587" w:rsidRPr="008D1A83" w:rsidRDefault="001D2587" w:rsidP="007B57FD">
            <w:pPr>
              <w:spacing w:line="240" w:lineRule="atLeast"/>
              <w:jc w:val="center"/>
              <w:rPr>
                <w:lang w:val="en-GB" w:eastAsia="en-GB"/>
              </w:rPr>
            </w:pPr>
            <w:r w:rsidRPr="008D1A83">
              <w:rPr>
                <w:lang w:val="en-GB" w:eastAsia="en-GB"/>
              </w:rPr>
              <w:t>1.52E-06</w:t>
            </w:r>
          </w:p>
        </w:tc>
        <w:tc>
          <w:tcPr>
            <w:tcW w:w="1146" w:type="dxa"/>
            <w:noWrap/>
            <w:vAlign w:val="center"/>
          </w:tcPr>
          <w:p w14:paraId="281F3A0B" w14:textId="77777777" w:rsidR="001D2587" w:rsidRPr="008D1A83" w:rsidRDefault="001D2587" w:rsidP="007B57FD">
            <w:pPr>
              <w:spacing w:line="240" w:lineRule="atLeast"/>
              <w:jc w:val="center"/>
              <w:rPr>
                <w:lang w:val="en-GB" w:eastAsia="en-GB"/>
              </w:rPr>
            </w:pPr>
            <w:r w:rsidRPr="008D1A83">
              <w:rPr>
                <w:lang w:val="en-GB" w:eastAsia="en-GB"/>
              </w:rPr>
              <w:t>0.765</w:t>
            </w:r>
          </w:p>
        </w:tc>
      </w:tr>
      <w:tr w:rsidR="001D2587" w:rsidRPr="000855B2" w14:paraId="2F0DB19C" w14:textId="77777777" w:rsidTr="00B5546B">
        <w:trPr>
          <w:trHeight w:val="255"/>
        </w:trPr>
        <w:tc>
          <w:tcPr>
            <w:tcW w:w="2036" w:type="dxa"/>
            <w:noWrap/>
            <w:vAlign w:val="center"/>
          </w:tcPr>
          <w:p w14:paraId="686B49E4"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vAlign w:val="center"/>
          </w:tcPr>
          <w:p w14:paraId="76FE8F6F"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1ED18CD6" w14:textId="77777777" w:rsidR="001D2587" w:rsidRPr="008D1A83" w:rsidRDefault="001D2587" w:rsidP="007B57FD">
            <w:pPr>
              <w:spacing w:line="240" w:lineRule="atLeast"/>
              <w:jc w:val="center"/>
              <w:rPr>
                <w:lang w:val="en-GB" w:eastAsia="en-GB"/>
              </w:rPr>
            </w:pPr>
            <w:r w:rsidRPr="008D1A83">
              <w:rPr>
                <w:lang w:val="en-GB" w:eastAsia="en-GB"/>
              </w:rPr>
              <w:t>11.7</w:t>
            </w:r>
          </w:p>
        </w:tc>
        <w:tc>
          <w:tcPr>
            <w:tcW w:w="1146" w:type="dxa"/>
            <w:noWrap/>
            <w:vAlign w:val="center"/>
          </w:tcPr>
          <w:p w14:paraId="6814BCCA" w14:textId="77777777" w:rsidR="001D2587" w:rsidRPr="008D1A83" w:rsidRDefault="001D2587" w:rsidP="007B57FD">
            <w:pPr>
              <w:spacing w:line="240" w:lineRule="atLeast"/>
              <w:jc w:val="center"/>
              <w:rPr>
                <w:lang w:val="en-GB" w:eastAsia="en-GB"/>
              </w:rPr>
            </w:pPr>
            <w:r w:rsidRPr="008D1A83">
              <w:rPr>
                <w:lang w:val="en-GB" w:eastAsia="en-GB"/>
              </w:rPr>
              <w:t>2.92E-06</w:t>
            </w:r>
          </w:p>
        </w:tc>
        <w:tc>
          <w:tcPr>
            <w:tcW w:w="1146" w:type="dxa"/>
            <w:noWrap/>
            <w:vAlign w:val="center"/>
          </w:tcPr>
          <w:p w14:paraId="7E9B836C" w14:textId="77777777" w:rsidR="001D2587" w:rsidRPr="008D1A83" w:rsidRDefault="001D2587" w:rsidP="007B57FD">
            <w:pPr>
              <w:spacing w:line="240" w:lineRule="atLeast"/>
              <w:jc w:val="center"/>
              <w:rPr>
                <w:lang w:val="en-GB" w:eastAsia="en-GB"/>
              </w:rPr>
            </w:pPr>
            <w:r w:rsidRPr="008D1A83">
              <w:rPr>
                <w:lang w:val="en-GB" w:eastAsia="en-GB"/>
              </w:rPr>
              <w:t>0.351</w:t>
            </w:r>
          </w:p>
        </w:tc>
      </w:tr>
      <w:tr w:rsidR="001D2587" w:rsidRPr="000855B2" w14:paraId="5BBA6B31" w14:textId="77777777" w:rsidTr="00B5546B">
        <w:trPr>
          <w:trHeight w:val="255"/>
        </w:trPr>
        <w:tc>
          <w:tcPr>
            <w:tcW w:w="2036" w:type="dxa"/>
            <w:noWrap/>
            <w:vAlign w:val="center"/>
          </w:tcPr>
          <w:p w14:paraId="3B636C63"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7041ED13"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vAlign w:val="center"/>
          </w:tcPr>
          <w:p w14:paraId="2C30ED50" w14:textId="77777777" w:rsidR="001D2587" w:rsidRPr="008D1A83" w:rsidRDefault="001D2587" w:rsidP="007B57FD">
            <w:pPr>
              <w:spacing w:line="240" w:lineRule="atLeast"/>
              <w:jc w:val="center"/>
              <w:rPr>
                <w:lang w:val="en-GB" w:eastAsia="en-GB"/>
              </w:rPr>
            </w:pPr>
            <w:r w:rsidRPr="008D1A83">
              <w:rPr>
                <w:lang w:val="en-GB" w:eastAsia="en-GB"/>
              </w:rPr>
              <w:t>51</w:t>
            </w:r>
          </w:p>
        </w:tc>
        <w:tc>
          <w:tcPr>
            <w:tcW w:w="1146" w:type="dxa"/>
            <w:noWrap/>
            <w:vAlign w:val="center"/>
          </w:tcPr>
          <w:p w14:paraId="6C0CCFD4" w14:textId="77777777" w:rsidR="001D2587" w:rsidRPr="008D1A83" w:rsidRDefault="001D2587" w:rsidP="007B57FD">
            <w:pPr>
              <w:spacing w:line="240" w:lineRule="atLeast"/>
              <w:jc w:val="center"/>
              <w:rPr>
                <w:lang w:val="en-GB" w:eastAsia="en-GB"/>
              </w:rPr>
            </w:pPr>
            <w:r w:rsidRPr="008D1A83">
              <w:rPr>
                <w:lang w:val="en-GB" w:eastAsia="en-GB"/>
              </w:rPr>
              <w:t>1.70E-06</w:t>
            </w:r>
          </w:p>
        </w:tc>
        <w:tc>
          <w:tcPr>
            <w:tcW w:w="1146" w:type="dxa"/>
            <w:noWrap/>
            <w:vAlign w:val="center"/>
          </w:tcPr>
          <w:p w14:paraId="428DF9F1" w14:textId="77777777" w:rsidR="001D2587" w:rsidRPr="008D1A83" w:rsidRDefault="001D2587" w:rsidP="007B57FD">
            <w:pPr>
              <w:spacing w:line="240" w:lineRule="atLeast"/>
              <w:jc w:val="center"/>
              <w:rPr>
                <w:lang w:val="en-GB" w:eastAsia="en-GB"/>
              </w:rPr>
            </w:pPr>
            <w:r w:rsidRPr="008D1A83">
              <w:rPr>
                <w:lang w:val="en-GB" w:eastAsia="en-GB"/>
              </w:rPr>
              <w:t>0.853</w:t>
            </w:r>
          </w:p>
        </w:tc>
      </w:tr>
      <w:tr w:rsidR="001D2587" w:rsidRPr="000855B2" w14:paraId="67C0DB8A" w14:textId="77777777" w:rsidTr="00B5546B">
        <w:trPr>
          <w:trHeight w:val="255"/>
        </w:trPr>
        <w:tc>
          <w:tcPr>
            <w:tcW w:w="2036" w:type="dxa"/>
            <w:noWrap/>
            <w:vAlign w:val="center"/>
          </w:tcPr>
          <w:p w14:paraId="19AF0C12"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vAlign w:val="center"/>
          </w:tcPr>
          <w:p w14:paraId="6B6EDD23"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vAlign w:val="center"/>
          </w:tcPr>
          <w:p w14:paraId="17267650" w14:textId="77777777" w:rsidR="001D2587" w:rsidRPr="008D1A83" w:rsidRDefault="001D2587" w:rsidP="007B57FD">
            <w:pPr>
              <w:spacing w:line="240" w:lineRule="atLeast"/>
              <w:jc w:val="center"/>
              <w:rPr>
                <w:lang w:val="en-GB" w:eastAsia="en-GB"/>
              </w:rPr>
            </w:pPr>
            <w:r w:rsidRPr="008D1A83">
              <w:rPr>
                <w:lang w:val="en-GB" w:eastAsia="en-GB"/>
              </w:rPr>
              <w:t>14.6</w:t>
            </w:r>
          </w:p>
        </w:tc>
        <w:tc>
          <w:tcPr>
            <w:tcW w:w="1146" w:type="dxa"/>
            <w:noWrap/>
            <w:vAlign w:val="center"/>
          </w:tcPr>
          <w:p w14:paraId="3995926F" w14:textId="77777777" w:rsidR="001D2587" w:rsidRPr="008D1A83" w:rsidRDefault="001D2587" w:rsidP="007B57FD">
            <w:pPr>
              <w:spacing w:line="240" w:lineRule="atLeast"/>
              <w:jc w:val="center"/>
              <w:rPr>
                <w:lang w:val="en-GB" w:eastAsia="en-GB"/>
              </w:rPr>
            </w:pPr>
            <w:r w:rsidRPr="008D1A83">
              <w:rPr>
                <w:lang w:val="en-GB" w:eastAsia="en-GB"/>
              </w:rPr>
              <w:t>3.89E-06</w:t>
            </w:r>
          </w:p>
        </w:tc>
        <w:tc>
          <w:tcPr>
            <w:tcW w:w="1146" w:type="dxa"/>
            <w:noWrap/>
            <w:vAlign w:val="center"/>
          </w:tcPr>
          <w:p w14:paraId="3A1F8F15" w14:textId="77777777" w:rsidR="001D2587" w:rsidRPr="008D1A83" w:rsidRDefault="001D2587" w:rsidP="007B57FD">
            <w:pPr>
              <w:spacing w:line="240" w:lineRule="atLeast"/>
              <w:jc w:val="center"/>
              <w:rPr>
                <w:lang w:val="en-GB" w:eastAsia="en-GB"/>
              </w:rPr>
            </w:pPr>
            <w:r w:rsidRPr="008D1A83">
              <w:rPr>
                <w:lang w:val="en-GB" w:eastAsia="en-GB"/>
              </w:rPr>
              <w:t>0.468</w:t>
            </w:r>
          </w:p>
        </w:tc>
      </w:tr>
      <w:tr w:rsidR="001D2587" w:rsidRPr="000855B2" w14:paraId="0F82D6E8" w14:textId="77777777" w:rsidTr="00B5546B">
        <w:trPr>
          <w:trHeight w:val="255"/>
        </w:trPr>
        <w:tc>
          <w:tcPr>
            <w:tcW w:w="2036" w:type="dxa"/>
            <w:noWrap/>
            <w:vAlign w:val="center"/>
          </w:tcPr>
          <w:p w14:paraId="6CB31ED6"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2EB2F28D"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220FD9F9" w14:textId="77777777" w:rsidR="001D2587" w:rsidRPr="008D1A83" w:rsidRDefault="001D2587" w:rsidP="007B57FD">
            <w:pPr>
              <w:spacing w:line="240" w:lineRule="atLeast"/>
              <w:jc w:val="center"/>
              <w:rPr>
                <w:lang w:val="en-GB" w:eastAsia="en-GB"/>
              </w:rPr>
            </w:pPr>
            <w:r w:rsidRPr="008D1A83">
              <w:rPr>
                <w:lang w:val="en-GB" w:eastAsia="en-GB"/>
              </w:rPr>
              <w:t>5.4</w:t>
            </w:r>
          </w:p>
        </w:tc>
        <w:tc>
          <w:tcPr>
            <w:tcW w:w="1146" w:type="dxa"/>
            <w:noWrap/>
            <w:vAlign w:val="center"/>
          </w:tcPr>
          <w:p w14:paraId="5529FBA0" w14:textId="77777777" w:rsidR="001D2587" w:rsidRPr="008D1A83" w:rsidRDefault="001D2587" w:rsidP="007B57FD">
            <w:pPr>
              <w:spacing w:line="240" w:lineRule="atLeast"/>
              <w:jc w:val="center"/>
              <w:rPr>
                <w:lang w:val="en-GB" w:eastAsia="en-GB"/>
              </w:rPr>
            </w:pPr>
            <w:r w:rsidRPr="008D1A83">
              <w:rPr>
                <w:lang w:val="en-GB" w:eastAsia="en-GB"/>
              </w:rPr>
              <w:t>1.77E-06</w:t>
            </w:r>
          </w:p>
        </w:tc>
        <w:tc>
          <w:tcPr>
            <w:tcW w:w="1146" w:type="dxa"/>
            <w:noWrap/>
            <w:vAlign w:val="center"/>
          </w:tcPr>
          <w:p w14:paraId="46A6FE9E" w14:textId="77777777" w:rsidR="001D2587" w:rsidRPr="008D1A83" w:rsidRDefault="001D2587" w:rsidP="007B57FD">
            <w:pPr>
              <w:spacing w:line="240" w:lineRule="atLeast"/>
              <w:jc w:val="center"/>
              <w:rPr>
                <w:lang w:val="en-GB" w:eastAsia="en-GB"/>
              </w:rPr>
            </w:pPr>
            <w:r w:rsidRPr="008D1A83">
              <w:rPr>
                <w:lang w:val="en-GB" w:eastAsia="en-GB"/>
              </w:rPr>
              <w:t>0.819</w:t>
            </w:r>
          </w:p>
        </w:tc>
      </w:tr>
      <w:tr w:rsidR="001D2587" w:rsidRPr="000855B2" w14:paraId="26C6F806" w14:textId="77777777" w:rsidTr="00B5546B">
        <w:trPr>
          <w:trHeight w:val="255"/>
        </w:trPr>
        <w:tc>
          <w:tcPr>
            <w:tcW w:w="2036" w:type="dxa"/>
            <w:noWrap/>
            <w:vAlign w:val="center"/>
          </w:tcPr>
          <w:p w14:paraId="297B3E27"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vAlign w:val="center"/>
          </w:tcPr>
          <w:p w14:paraId="780C16A9"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02CE4FF4" w14:textId="77777777" w:rsidR="001D2587" w:rsidRPr="008D1A83" w:rsidRDefault="001D2587" w:rsidP="007B57FD">
            <w:pPr>
              <w:spacing w:line="240" w:lineRule="atLeast"/>
              <w:jc w:val="center"/>
              <w:rPr>
                <w:lang w:val="en-GB" w:eastAsia="en-GB"/>
              </w:rPr>
            </w:pPr>
            <w:r w:rsidRPr="008D1A83">
              <w:rPr>
                <w:lang w:val="en-GB" w:eastAsia="en-GB"/>
              </w:rPr>
              <w:t>4.8</w:t>
            </w:r>
          </w:p>
        </w:tc>
        <w:tc>
          <w:tcPr>
            <w:tcW w:w="1146" w:type="dxa"/>
            <w:noWrap/>
            <w:vAlign w:val="center"/>
          </w:tcPr>
          <w:p w14:paraId="3FDDEF2D" w14:textId="77777777" w:rsidR="001D2587" w:rsidRPr="008D1A83" w:rsidRDefault="001D2587" w:rsidP="007B57FD">
            <w:pPr>
              <w:spacing w:line="240" w:lineRule="atLeast"/>
              <w:jc w:val="center"/>
              <w:rPr>
                <w:lang w:val="en-GB" w:eastAsia="en-GB"/>
              </w:rPr>
            </w:pPr>
            <w:r w:rsidRPr="008D1A83">
              <w:rPr>
                <w:lang w:val="en-GB" w:eastAsia="en-GB"/>
              </w:rPr>
              <w:t>4.33E-06</w:t>
            </w:r>
          </w:p>
        </w:tc>
        <w:tc>
          <w:tcPr>
            <w:tcW w:w="1146" w:type="dxa"/>
            <w:noWrap/>
            <w:vAlign w:val="center"/>
          </w:tcPr>
          <w:p w14:paraId="402D5948" w14:textId="77777777" w:rsidR="001D2587" w:rsidRPr="008D1A83" w:rsidRDefault="001D2587" w:rsidP="007B57FD">
            <w:pPr>
              <w:spacing w:line="240" w:lineRule="atLeast"/>
              <w:jc w:val="center"/>
              <w:rPr>
                <w:lang w:val="en-GB" w:eastAsia="en-GB"/>
              </w:rPr>
            </w:pPr>
            <w:r w:rsidRPr="008D1A83">
              <w:rPr>
                <w:lang w:val="en-GB" w:eastAsia="en-GB"/>
              </w:rPr>
              <w:t>0.521</w:t>
            </w:r>
          </w:p>
        </w:tc>
      </w:tr>
      <w:tr w:rsidR="001D2587" w:rsidRPr="000855B2" w14:paraId="6FFDC723" w14:textId="77777777" w:rsidTr="00B5546B">
        <w:trPr>
          <w:trHeight w:val="255"/>
        </w:trPr>
        <w:tc>
          <w:tcPr>
            <w:tcW w:w="2036" w:type="dxa"/>
            <w:noWrap/>
            <w:vAlign w:val="center"/>
          </w:tcPr>
          <w:p w14:paraId="3A25C1FE"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558FEF82"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vAlign w:val="center"/>
          </w:tcPr>
          <w:p w14:paraId="0DE43DF3" w14:textId="77777777" w:rsidR="001D2587" w:rsidRPr="008D1A83" w:rsidRDefault="001D2587" w:rsidP="007B57FD">
            <w:pPr>
              <w:spacing w:line="240" w:lineRule="atLeast"/>
              <w:jc w:val="center"/>
              <w:rPr>
                <w:lang w:val="en-GB" w:eastAsia="en-GB"/>
              </w:rPr>
            </w:pPr>
            <w:r w:rsidRPr="008D1A83">
              <w:rPr>
                <w:lang w:val="en-GB" w:eastAsia="en-GB"/>
              </w:rPr>
              <w:t>5.4</w:t>
            </w:r>
          </w:p>
        </w:tc>
        <w:tc>
          <w:tcPr>
            <w:tcW w:w="1146" w:type="dxa"/>
            <w:noWrap/>
            <w:vAlign w:val="center"/>
          </w:tcPr>
          <w:p w14:paraId="08294017" w14:textId="77777777" w:rsidR="001D2587" w:rsidRPr="008D1A83" w:rsidRDefault="001D2587" w:rsidP="007B57FD">
            <w:pPr>
              <w:spacing w:line="240" w:lineRule="atLeast"/>
              <w:jc w:val="center"/>
              <w:rPr>
                <w:lang w:val="en-GB" w:eastAsia="en-GB"/>
              </w:rPr>
            </w:pPr>
            <w:r w:rsidRPr="008D1A83">
              <w:rPr>
                <w:lang w:val="en-GB" w:eastAsia="en-GB"/>
              </w:rPr>
              <w:t>1.77E-06</w:t>
            </w:r>
          </w:p>
        </w:tc>
        <w:tc>
          <w:tcPr>
            <w:tcW w:w="1146" w:type="dxa"/>
            <w:noWrap/>
            <w:vAlign w:val="center"/>
          </w:tcPr>
          <w:p w14:paraId="318C574C" w14:textId="77777777" w:rsidR="001D2587" w:rsidRPr="008D1A83" w:rsidRDefault="001D2587" w:rsidP="007B57FD">
            <w:pPr>
              <w:spacing w:line="240" w:lineRule="atLeast"/>
              <w:jc w:val="center"/>
              <w:rPr>
                <w:lang w:val="en-GB" w:eastAsia="en-GB"/>
              </w:rPr>
            </w:pPr>
            <w:r w:rsidRPr="008D1A83">
              <w:rPr>
                <w:lang w:val="en-GB" w:eastAsia="en-GB"/>
              </w:rPr>
              <w:t>0.819</w:t>
            </w:r>
          </w:p>
        </w:tc>
      </w:tr>
      <w:tr w:rsidR="001D2587" w:rsidRPr="000855B2" w14:paraId="6D6D5F5E" w14:textId="77777777" w:rsidTr="00B5546B">
        <w:trPr>
          <w:trHeight w:val="255"/>
        </w:trPr>
        <w:tc>
          <w:tcPr>
            <w:tcW w:w="2036" w:type="dxa"/>
            <w:noWrap/>
            <w:vAlign w:val="center"/>
          </w:tcPr>
          <w:p w14:paraId="75CD8352"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vAlign w:val="center"/>
          </w:tcPr>
          <w:p w14:paraId="6833D97F"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vAlign w:val="center"/>
          </w:tcPr>
          <w:p w14:paraId="282BCEF4" w14:textId="77777777" w:rsidR="001D2587" w:rsidRPr="008D1A83" w:rsidRDefault="001D2587" w:rsidP="007B57FD">
            <w:pPr>
              <w:spacing w:line="240" w:lineRule="atLeast"/>
              <w:jc w:val="center"/>
              <w:rPr>
                <w:lang w:val="en-GB" w:eastAsia="en-GB"/>
              </w:rPr>
            </w:pPr>
            <w:r w:rsidRPr="008D1A83">
              <w:rPr>
                <w:lang w:val="en-GB" w:eastAsia="en-GB"/>
              </w:rPr>
              <w:t>4.8</w:t>
            </w:r>
          </w:p>
        </w:tc>
        <w:tc>
          <w:tcPr>
            <w:tcW w:w="1146" w:type="dxa"/>
            <w:noWrap/>
            <w:vAlign w:val="center"/>
          </w:tcPr>
          <w:p w14:paraId="33AF3D1C" w14:textId="77777777" w:rsidR="001D2587" w:rsidRPr="008D1A83" w:rsidRDefault="001D2587" w:rsidP="007B57FD">
            <w:pPr>
              <w:spacing w:line="240" w:lineRule="atLeast"/>
              <w:jc w:val="center"/>
              <w:rPr>
                <w:lang w:val="en-GB" w:eastAsia="en-GB"/>
              </w:rPr>
            </w:pPr>
            <w:r w:rsidRPr="008D1A83">
              <w:rPr>
                <w:lang w:val="en-GB" w:eastAsia="en-GB"/>
              </w:rPr>
              <w:t>4.33E-06</w:t>
            </w:r>
          </w:p>
        </w:tc>
        <w:tc>
          <w:tcPr>
            <w:tcW w:w="1146" w:type="dxa"/>
            <w:noWrap/>
            <w:vAlign w:val="center"/>
          </w:tcPr>
          <w:p w14:paraId="64C8262C" w14:textId="77777777" w:rsidR="001D2587" w:rsidRPr="008D1A83" w:rsidRDefault="001D2587" w:rsidP="007B57FD">
            <w:pPr>
              <w:spacing w:line="240" w:lineRule="atLeast"/>
              <w:jc w:val="center"/>
              <w:rPr>
                <w:lang w:val="en-GB" w:eastAsia="en-GB"/>
              </w:rPr>
            </w:pPr>
            <w:r w:rsidRPr="008D1A83">
              <w:rPr>
                <w:lang w:val="en-GB" w:eastAsia="en-GB"/>
              </w:rPr>
              <w:t>0.521</w:t>
            </w:r>
          </w:p>
        </w:tc>
      </w:tr>
      <w:tr w:rsidR="006F0005" w:rsidRPr="000855B2" w14:paraId="3846602E" w14:textId="77777777" w:rsidTr="00B5546B">
        <w:trPr>
          <w:trHeight w:val="255"/>
        </w:trPr>
        <w:tc>
          <w:tcPr>
            <w:tcW w:w="2036" w:type="dxa"/>
            <w:noWrap/>
            <w:vAlign w:val="center"/>
          </w:tcPr>
          <w:p w14:paraId="17F07CE1" w14:textId="77777777" w:rsidR="006F0005" w:rsidRPr="008D1A83" w:rsidRDefault="006F0005"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vAlign w:val="center"/>
          </w:tcPr>
          <w:p w14:paraId="7FF39495" w14:textId="77777777" w:rsidR="006F0005" w:rsidRPr="008D1A83" w:rsidRDefault="00542D5B" w:rsidP="007B57FD">
            <w:pPr>
              <w:spacing w:line="240" w:lineRule="atLeast"/>
              <w:jc w:val="center"/>
              <w:rPr>
                <w:lang w:val="en-GB" w:eastAsia="en-GB"/>
              </w:rPr>
            </w:pPr>
            <w:r>
              <w:rPr>
                <w:lang w:val="en-GB" w:eastAsia="en-GB"/>
              </w:rPr>
              <w:t>&gt; 0</w:t>
            </w:r>
          </w:p>
        </w:tc>
        <w:tc>
          <w:tcPr>
            <w:tcW w:w="1836" w:type="dxa"/>
            <w:noWrap/>
            <w:vAlign w:val="center"/>
          </w:tcPr>
          <w:p w14:paraId="3E9817F5" w14:textId="77777777" w:rsidR="006F0005" w:rsidRPr="008D1A83" w:rsidRDefault="006F0005" w:rsidP="007B57FD">
            <w:pPr>
              <w:spacing w:line="240" w:lineRule="atLeast"/>
              <w:jc w:val="center"/>
              <w:rPr>
                <w:lang w:val="en-GB" w:eastAsia="en-GB"/>
              </w:rPr>
            </w:pPr>
            <w:r w:rsidRPr="008D1A83">
              <w:rPr>
                <w:lang w:val="en-GB" w:eastAsia="en-GB"/>
              </w:rPr>
              <w:t>13.8</w:t>
            </w:r>
          </w:p>
        </w:tc>
        <w:tc>
          <w:tcPr>
            <w:tcW w:w="1146" w:type="dxa"/>
            <w:noWrap/>
            <w:vAlign w:val="center"/>
          </w:tcPr>
          <w:p w14:paraId="6BDBE758" w14:textId="77777777" w:rsidR="006F0005" w:rsidRPr="008D1A83" w:rsidRDefault="006F0005" w:rsidP="007B57FD">
            <w:pPr>
              <w:spacing w:line="240" w:lineRule="atLeast"/>
              <w:jc w:val="center"/>
              <w:rPr>
                <w:lang w:val="en-GB" w:eastAsia="en-GB"/>
              </w:rPr>
            </w:pPr>
            <w:r w:rsidRPr="008D1A83">
              <w:rPr>
                <w:color w:val="000000"/>
                <w:lang w:val="en-GB"/>
              </w:rPr>
              <w:t>3.23E-06</w:t>
            </w:r>
          </w:p>
        </w:tc>
        <w:tc>
          <w:tcPr>
            <w:tcW w:w="1146" w:type="dxa"/>
            <w:noWrap/>
            <w:vAlign w:val="center"/>
          </w:tcPr>
          <w:p w14:paraId="6E4716E6" w14:textId="77777777" w:rsidR="006F0005" w:rsidRPr="008D1A83" w:rsidRDefault="006F0005" w:rsidP="007B57FD">
            <w:pPr>
              <w:spacing w:line="240" w:lineRule="atLeast"/>
              <w:jc w:val="center"/>
              <w:rPr>
                <w:lang w:val="en-GB" w:eastAsia="en-GB"/>
              </w:rPr>
            </w:pPr>
            <w:r w:rsidRPr="008D1A83">
              <w:rPr>
                <w:lang w:val="en-GB" w:eastAsia="en-GB"/>
              </w:rPr>
              <w:t>0.917</w:t>
            </w:r>
          </w:p>
        </w:tc>
      </w:tr>
    </w:tbl>
    <w:p w14:paraId="7EE48A77" w14:textId="433B8EC6" w:rsidR="001D2587" w:rsidRPr="000855B2" w:rsidRDefault="00A040D1" w:rsidP="007B57FD">
      <w:pPr>
        <w:pStyle w:val="Caption"/>
        <w:jc w:val="center"/>
      </w:pPr>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70</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1D2587" w:rsidRPr="000855B2">
        <w:t xml:space="preserve"> </w:t>
      </w:r>
      <w:r w:rsidR="00757EE1" w:rsidRPr="000855B2">
        <w:t>LCV</w:t>
      </w:r>
      <w:r w:rsidR="001D2587" w:rsidRPr="000855B2">
        <w:t>s under hot urban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3FC2995C" w14:textId="77777777" w:rsidTr="00B5546B">
        <w:trPr>
          <w:trHeight w:hRule="exact" w:val="397"/>
        </w:trPr>
        <w:tc>
          <w:tcPr>
            <w:tcW w:w="2036" w:type="dxa"/>
            <w:tcBorders>
              <w:bottom w:val="single" w:sz="12" w:space="0" w:color="auto"/>
            </w:tcBorders>
            <w:noWrap/>
          </w:tcPr>
          <w:p w14:paraId="20A0FB8E"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5ADF4808"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42DB45C1"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710FD7B3"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07D2DF06"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20D3CDDC" w14:textId="77777777" w:rsidTr="00B5546B">
        <w:trPr>
          <w:trHeight w:val="255"/>
        </w:trPr>
        <w:tc>
          <w:tcPr>
            <w:tcW w:w="2036" w:type="dxa"/>
            <w:tcBorders>
              <w:top w:val="single" w:sz="12" w:space="0" w:color="auto"/>
            </w:tcBorders>
            <w:noWrap/>
          </w:tcPr>
          <w:p w14:paraId="27823065"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48876197"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tcBorders>
              <w:top w:val="single" w:sz="12" w:space="0" w:color="auto"/>
            </w:tcBorders>
            <w:noWrap/>
          </w:tcPr>
          <w:p w14:paraId="0CB7C1F7"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0098C79F"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002EDCA8"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71E8BF6E" w14:textId="77777777" w:rsidTr="00B5546B">
        <w:trPr>
          <w:trHeight w:val="255"/>
        </w:trPr>
        <w:tc>
          <w:tcPr>
            <w:tcW w:w="2036" w:type="dxa"/>
            <w:noWrap/>
          </w:tcPr>
          <w:p w14:paraId="788D3211"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5BC6B301"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noWrap/>
          </w:tcPr>
          <w:p w14:paraId="70CE1EE1" w14:textId="77777777" w:rsidR="001D2587" w:rsidRPr="008D1A83" w:rsidRDefault="001D2587" w:rsidP="007B57FD">
            <w:pPr>
              <w:spacing w:line="240" w:lineRule="atLeast"/>
              <w:jc w:val="center"/>
              <w:rPr>
                <w:lang w:val="en-GB" w:eastAsia="en-GB"/>
              </w:rPr>
            </w:pPr>
            <w:r w:rsidRPr="008D1A83">
              <w:rPr>
                <w:lang w:val="en-GB" w:eastAsia="en-GB"/>
              </w:rPr>
              <w:t>70</w:t>
            </w:r>
          </w:p>
        </w:tc>
        <w:tc>
          <w:tcPr>
            <w:tcW w:w="1146" w:type="dxa"/>
            <w:noWrap/>
          </w:tcPr>
          <w:p w14:paraId="2E837EB2" w14:textId="77777777" w:rsidR="001D2587" w:rsidRPr="005B3D90" w:rsidRDefault="005B3D90" w:rsidP="007B57FD">
            <w:pPr>
              <w:spacing w:line="240" w:lineRule="atLeast"/>
              <w:jc w:val="center"/>
              <w:rPr>
                <w:lang w:val="el-GR" w:eastAsia="en-GB"/>
              </w:rPr>
            </w:pPr>
            <w:r>
              <w:rPr>
                <w:lang w:val="el-GR" w:eastAsia="en-GB"/>
              </w:rPr>
              <w:t>0</w:t>
            </w:r>
          </w:p>
        </w:tc>
        <w:tc>
          <w:tcPr>
            <w:tcW w:w="1146" w:type="dxa"/>
            <w:noWrap/>
          </w:tcPr>
          <w:p w14:paraId="05A04E4E"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414B5083" w14:textId="77777777" w:rsidTr="00B5546B">
        <w:trPr>
          <w:trHeight w:val="255"/>
        </w:trPr>
        <w:tc>
          <w:tcPr>
            <w:tcW w:w="2036" w:type="dxa"/>
            <w:noWrap/>
          </w:tcPr>
          <w:p w14:paraId="0904C88A"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178E0710"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noWrap/>
          </w:tcPr>
          <w:p w14:paraId="3EB1BBBE" w14:textId="77777777" w:rsidR="001D2587" w:rsidRPr="008D1A83" w:rsidRDefault="001D2587" w:rsidP="007B57FD">
            <w:pPr>
              <w:spacing w:line="240" w:lineRule="atLeast"/>
              <w:jc w:val="center"/>
              <w:rPr>
                <w:lang w:val="en-GB" w:eastAsia="en-GB"/>
              </w:rPr>
            </w:pPr>
            <w:r w:rsidRPr="008D1A83">
              <w:rPr>
                <w:lang w:val="en-GB" w:eastAsia="en-GB"/>
              </w:rPr>
              <w:t>143</w:t>
            </w:r>
          </w:p>
        </w:tc>
        <w:tc>
          <w:tcPr>
            <w:tcW w:w="1146" w:type="dxa"/>
            <w:noWrap/>
          </w:tcPr>
          <w:p w14:paraId="437C3413" w14:textId="77777777" w:rsidR="001D2587" w:rsidRPr="008D1A83" w:rsidRDefault="001D2587" w:rsidP="007B57FD">
            <w:pPr>
              <w:spacing w:line="240" w:lineRule="atLeast"/>
              <w:jc w:val="center"/>
              <w:rPr>
                <w:lang w:val="en-GB" w:eastAsia="en-GB"/>
              </w:rPr>
            </w:pPr>
            <w:r w:rsidRPr="008D1A83">
              <w:rPr>
                <w:lang w:val="en-GB" w:eastAsia="en-GB"/>
              </w:rPr>
              <w:t>1.47E-06</w:t>
            </w:r>
          </w:p>
        </w:tc>
        <w:tc>
          <w:tcPr>
            <w:tcW w:w="1146" w:type="dxa"/>
            <w:noWrap/>
          </w:tcPr>
          <w:p w14:paraId="0EE6A4C2" w14:textId="77777777" w:rsidR="001D2587" w:rsidRPr="008D1A83" w:rsidRDefault="001D2587" w:rsidP="007B57FD">
            <w:pPr>
              <w:spacing w:line="240" w:lineRule="atLeast"/>
              <w:jc w:val="center"/>
              <w:rPr>
                <w:lang w:val="en-GB" w:eastAsia="en-GB"/>
              </w:rPr>
            </w:pPr>
            <w:r w:rsidRPr="008D1A83">
              <w:rPr>
                <w:lang w:val="en-GB" w:eastAsia="en-GB"/>
              </w:rPr>
              <w:t>0.964</w:t>
            </w:r>
          </w:p>
        </w:tc>
      </w:tr>
      <w:tr w:rsidR="001D2587" w:rsidRPr="000855B2" w14:paraId="44ED86A0" w14:textId="77777777" w:rsidTr="00B5546B">
        <w:trPr>
          <w:trHeight w:val="255"/>
        </w:trPr>
        <w:tc>
          <w:tcPr>
            <w:tcW w:w="2036" w:type="dxa"/>
            <w:noWrap/>
          </w:tcPr>
          <w:p w14:paraId="015C879D"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55CB333A"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6F7923D1" w14:textId="77777777" w:rsidR="001D2587" w:rsidRPr="008D1A83" w:rsidRDefault="001D2587" w:rsidP="007B57FD">
            <w:pPr>
              <w:spacing w:line="240" w:lineRule="atLeast"/>
              <w:jc w:val="center"/>
              <w:rPr>
                <w:lang w:val="en-GB" w:eastAsia="en-GB"/>
              </w:rPr>
            </w:pPr>
            <w:r w:rsidRPr="008D1A83">
              <w:rPr>
                <w:lang w:val="en-GB" w:eastAsia="en-GB"/>
              </w:rPr>
              <w:t>1.9</w:t>
            </w:r>
          </w:p>
        </w:tc>
        <w:tc>
          <w:tcPr>
            <w:tcW w:w="1146" w:type="dxa"/>
            <w:noWrap/>
          </w:tcPr>
          <w:p w14:paraId="155FF5E0" w14:textId="77777777" w:rsidR="001D2587" w:rsidRPr="008D1A83" w:rsidRDefault="001D2587" w:rsidP="007B57FD">
            <w:pPr>
              <w:spacing w:line="240" w:lineRule="atLeast"/>
              <w:jc w:val="center"/>
              <w:rPr>
                <w:lang w:val="en-GB" w:eastAsia="en-GB"/>
              </w:rPr>
            </w:pPr>
            <w:r w:rsidRPr="008D1A83">
              <w:rPr>
                <w:lang w:val="en-GB" w:eastAsia="en-GB"/>
              </w:rPr>
              <w:t>1.31E-06</w:t>
            </w:r>
          </w:p>
        </w:tc>
        <w:tc>
          <w:tcPr>
            <w:tcW w:w="1146" w:type="dxa"/>
            <w:noWrap/>
          </w:tcPr>
          <w:p w14:paraId="1D684A0D" w14:textId="77777777" w:rsidR="001D2587" w:rsidRPr="008D1A83" w:rsidRDefault="001D2587" w:rsidP="007B57FD">
            <w:pPr>
              <w:spacing w:line="240" w:lineRule="atLeast"/>
              <w:jc w:val="center"/>
              <w:rPr>
                <w:lang w:val="en-GB" w:eastAsia="en-GB"/>
              </w:rPr>
            </w:pPr>
            <w:r w:rsidRPr="008D1A83">
              <w:rPr>
                <w:lang w:val="en-GB" w:eastAsia="en-GB"/>
              </w:rPr>
              <w:t>0.862</w:t>
            </w:r>
          </w:p>
        </w:tc>
      </w:tr>
      <w:tr w:rsidR="001D2587" w:rsidRPr="000855B2" w14:paraId="337A01FC" w14:textId="77777777" w:rsidTr="00B5546B">
        <w:trPr>
          <w:trHeight w:val="255"/>
        </w:trPr>
        <w:tc>
          <w:tcPr>
            <w:tcW w:w="2036" w:type="dxa"/>
            <w:noWrap/>
          </w:tcPr>
          <w:p w14:paraId="675280EA"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63287436"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21FF2857" w14:textId="77777777" w:rsidR="001D2587" w:rsidRPr="008D1A83" w:rsidRDefault="001D2587" w:rsidP="007B57FD">
            <w:pPr>
              <w:spacing w:line="240" w:lineRule="atLeast"/>
              <w:jc w:val="center"/>
              <w:rPr>
                <w:lang w:val="en-GB" w:eastAsia="en-GB"/>
              </w:rPr>
            </w:pPr>
            <w:r w:rsidRPr="008D1A83">
              <w:rPr>
                <w:lang w:val="en-GB" w:eastAsia="en-GB"/>
              </w:rPr>
              <w:t>1.6</w:t>
            </w:r>
          </w:p>
        </w:tc>
        <w:tc>
          <w:tcPr>
            <w:tcW w:w="1146" w:type="dxa"/>
            <w:noWrap/>
          </w:tcPr>
          <w:p w14:paraId="54BB5A96" w14:textId="77777777" w:rsidR="001D2587" w:rsidRPr="008D1A83" w:rsidRDefault="001D2587" w:rsidP="007B57FD">
            <w:pPr>
              <w:spacing w:line="240" w:lineRule="atLeast"/>
              <w:jc w:val="center"/>
              <w:rPr>
                <w:lang w:val="en-GB" w:eastAsia="en-GB"/>
              </w:rPr>
            </w:pPr>
            <w:r w:rsidRPr="008D1A83">
              <w:rPr>
                <w:lang w:val="en-GB" w:eastAsia="en-GB"/>
              </w:rPr>
              <w:t>4.18E-06</w:t>
            </w:r>
          </w:p>
        </w:tc>
        <w:tc>
          <w:tcPr>
            <w:tcW w:w="1146" w:type="dxa"/>
            <w:noWrap/>
          </w:tcPr>
          <w:p w14:paraId="328F032F" w14:textId="77777777" w:rsidR="001D2587" w:rsidRPr="008D1A83" w:rsidRDefault="001D2587" w:rsidP="007B57FD">
            <w:pPr>
              <w:spacing w:line="240" w:lineRule="atLeast"/>
              <w:jc w:val="center"/>
              <w:rPr>
                <w:lang w:val="en-GB" w:eastAsia="en-GB"/>
              </w:rPr>
            </w:pPr>
            <w:r w:rsidRPr="008D1A83">
              <w:rPr>
                <w:lang w:val="en-GB" w:eastAsia="en-GB"/>
              </w:rPr>
              <w:t>0.526</w:t>
            </w:r>
          </w:p>
        </w:tc>
      </w:tr>
      <w:tr w:rsidR="001D2587" w:rsidRPr="000855B2" w14:paraId="198D8E9C" w14:textId="77777777" w:rsidTr="00B5546B">
        <w:trPr>
          <w:trHeight w:val="255"/>
        </w:trPr>
        <w:tc>
          <w:tcPr>
            <w:tcW w:w="2036" w:type="dxa"/>
            <w:noWrap/>
          </w:tcPr>
          <w:p w14:paraId="6AAAE734"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39749ABF"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49615798" w14:textId="77777777" w:rsidR="001D2587" w:rsidRPr="008D1A83" w:rsidRDefault="001D2587" w:rsidP="007B57FD">
            <w:pPr>
              <w:spacing w:line="240" w:lineRule="atLeast"/>
              <w:jc w:val="center"/>
              <w:rPr>
                <w:lang w:val="en-GB" w:eastAsia="en-GB"/>
              </w:rPr>
            </w:pPr>
            <w:r w:rsidRPr="008D1A83">
              <w:rPr>
                <w:lang w:val="en-GB" w:eastAsia="en-GB"/>
              </w:rPr>
              <w:t>1.9</w:t>
            </w:r>
          </w:p>
        </w:tc>
        <w:tc>
          <w:tcPr>
            <w:tcW w:w="1146" w:type="dxa"/>
            <w:noWrap/>
          </w:tcPr>
          <w:p w14:paraId="366A43A0" w14:textId="77777777" w:rsidR="001D2587" w:rsidRPr="008D1A83" w:rsidRDefault="001D2587" w:rsidP="007B57FD">
            <w:pPr>
              <w:spacing w:line="240" w:lineRule="atLeast"/>
              <w:jc w:val="center"/>
              <w:rPr>
                <w:lang w:val="en-GB" w:eastAsia="en-GB"/>
              </w:rPr>
            </w:pPr>
            <w:r w:rsidRPr="008D1A83">
              <w:rPr>
                <w:lang w:val="en-GB" w:eastAsia="en-GB"/>
              </w:rPr>
              <w:t>1.31E-06</w:t>
            </w:r>
          </w:p>
        </w:tc>
        <w:tc>
          <w:tcPr>
            <w:tcW w:w="1146" w:type="dxa"/>
            <w:noWrap/>
          </w:tcPr>
          <w:p w14:paraId="25B13010" w14:textId="77777777" w:rsidR="001D2587" w:rsidRPr="008D1A83" w:rsidRDefault="001D2587" w:rsidP="007B57FD">
            <w:pPr>
              <w:spacing w:line="240" w:lineRule="atLeast"/>
              <w:jc w:val="center"/>
              <w:rPr>
                <w:lang w:val="en-GB" w:eastAsia="en-GB"/>
              </w:rPr>
            </w:pPr>
            <w:r w:rsidRPr="008D1A83">
              <w:rPr>
                <w:lang w:val="en-GB" w:eastAsia="en-GB"/>
              </w:rPr>
              <w:t>0.862</w:t>
            </w:r>
          </w:p>
        </w:tc>
      </w:tr>
      <w:tr w:rsidR="001D2587" w:rsidRPr="000855B2" w14:paraId="186A9B2F" w14:textId="77777777" w:rsidTr="00B5546B">
        <w:trPr>
          <w:trHeight w:val="255"/>
        </w:trPr>
        <w:tc>
          <w:tcPr>
            <w:tcW w:w="2036" w:type="dxa"/>
            <w:noWrap/>
          </w:tcPr>
          <w:p w14:paraId="66A4C45F"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5A0E5836"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735AF870" w14:textId="77777777" w:rsidR="001D2587" w:rsidRPr="008D1A83" w:rsidRDefault="001D2587" w:rsidP="007B57FD">
            <w:pPr>
              <w:spacing w:line="240" w:lineRule="atLeast"/>
              <w:jc w:val="center"/>
              <w:rPr>
                <w:lang w:val="en-GB" w:eastAsia="en-GB"/>
              </w:rPr>
            </w:pPr>
            <w:r w:rsidRPr="008D1A83">
              <w:rPr>
                <w:lang w:val="en-GB" w:eastAsia="en-GB"/>
              </w:rPr>
              <w:t>1.6</w:t>
            </w:r>
          </w:p>
        </w:tc>
        <w:tc>
          <w:tcPr>
            <w:tcW w:w="1146" w:type="dxa"/>
            <w:noWrap/>
          </w:tcPr>
          <w:p w14:paraId="03F9E551" w14:textId="77777777" w:rsidR="001D2587" w:rsidRPr="008D1A83" w:rsidRDefault="001D2587" w:rsidP="007B57FD">
            <w:pPr>
              <w:spacing w:line="240" w:lineRule="atLeast"/>
              <w:jc w:val="center"/>
              <w:rPr>
                <w:lang w:val="en-GB" w:eastAsia="en-GB"/>
              </w:rPr>
            </w:pPr>
            <w:r w:rsidRPr="008D1A83">
              <w:rPr>
                <w:lang w:val="en-GB" w:eastAsia="en-GB"/>
              </w:rPr>
              <w:t>4.18E-06</w:t>
            </w:r>
          </w:p>
        </w:tc>
        <w:tc>
          <w:tcPr>
            <w:tcW w:w="1146" w:type="dxa"/>
            <w:noWrap/>
          </w:tcPr>
          <w:p w14:paraId="24DEF506" w14:textId="77777777" w:rsidR="001D2587" w:rsidRPr="008D1A83" w:rsidRDefault="001D2587" w:rsidP="007B57FD">
            <w:pPr>
              <w:spacing w:line="240" w:lineRule="atLeast"/>
              <w:jc w:val="center"/>
              <w:rPr>
                <w:lang w:val="en-GB" w:eastAsia="en-GB"/>
              </w:rPr>
            </w:pPr>
            <w:r w:rsidRPr="008D1A83">
              <w:rPr>
                <w:lang w:val="en-GB" w:eastAsia="en-GB"/>
              </w:rPr>
              <w:t>0.526</w:t>
            </w:r>
          </w:p>
        </w:tc>
      </w:tr>
      <w:tr w:rsidR="006F0005" w:rsidRPr="000855B2" w14:paraId="42BDE3BC" w14:textId="77777777" w:rsidTr="00B5546B">
        <w:trPr>
          <w:trHeight w:val="255"/>
        </w:trPr>
        <w:tc>
          <w:tcPr>
            <w:tcW w:w="2036" w:type="dxa"/>
            <w:noWrap/>
          </w:tcPr>
          <w:p w14:paraId="4CD00FCC" w14:textId="77777777" w:rsidR="006F0005" w:rsidRPr="008D1A83" w:rsidRDefault="006F0005"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64FAE803" w14:textId="77777777" w:rsidR="006F0005" w:rsidRPr="008D1A83" w:rsidRDefault="001E26D6" w:rsidP="007B57FD">
            <w:pPr>
              <w:spacing w:line="240" w:lineRule="atLeast"/>
              <w:jc w:val="center"/>
              <w:rPr>
                <w:lang w:val="en-GB" w:eastAsia="en-GB"/>
              </w:rPr>
            </w:pPr>
            <w:r>
              <w:rPr>
                <w:lang w:val="en-GB" w:eastAsia="en-GB"/>
              </w:rPr>
              <w:t>&gt; 0</w:t>
            </w:r>
          </w:p>
        </w:tc>
        <w:tc>
          <w:tcPr>
            <w:tcW w:w="1836" w:type="dxa"/>
            <w:noWrap/>
          </w:tcPr>
          <w:p w14:paraId="08A3B24E" w14:textId="77777777" w:rsidR="006F0005" w:rsidRPr="008D1A83" w:rsidRDefault="006F0005" w:rsidP="007B57FD">
            <w:pPr>
              <w:spacing w:line="240" w:lineRule="atLeast"/>
              <w:jc w:val="center"/>
              <w:rPr>
                <w:lang w:val="en-GB" w:eastAsia="en-GB"/>
              </w:rPr>
            </w:pPr>
            <w:r w:rsidRPr="008D1A83">
              <w:rPr>
                <w:lang w:val="en-GB" w:eastAsia="en-GB"/>
              </w:rPr>
              <w:t>4.1</w:t>
            </w:r>
          </w:p>
        </w:tc>
        <w:tc>
          <w:tcPr>
            <w:tcW w:w="1146" w:type="dxa"/>
            <w:noWrap/>
          </w:tcPr>
          <w:p w14:paraId="0AFC0D71" w14:textId="77777777" w:rsidR="006F0005" w:rsidRPr="008D1A83" w:rsidRDefault="006F0005" w:rsidP="007B57FD">
            <w:pPr>
              <w:spacing w:line="240" w:lineRule="atLeast"/>
              <w:jc w:val="center"/>
              <w:rPr>
                <w:lang w:val="en-GB" w:eastAsia="en-GB"/>
              </w:rPr>
            </w:pPr>
            <w:r w:rsidRPr="008D1A83">
              <w:rPr>
                <w:color w:val="000000"/>
                <w:lang w:val="en-GB"/>
              </w:rPr>
              <w:t>1.73E-06</w:t>
            </w:r>
          </w:p>
        </w:tc>
        <w:tc>
          <w:tcPr>
            <w:tcW w:w="1146" w:type="dxa"/>
            <w:noWrap/>
          </w:tcPr>
          <w:p w14:paraId="029C56E3" w14:textId="77777777" w:rsidR="006F0005" w:rsidRPr="008D1A83" w:rsidRDefault="006F0005" w:rsidP="007B57FD">
            <w:pPr>
              <w:spacing w:line="240" w:lineRule="atLeast"/>
              <w:jc w:val="center"/>
              <w:rPr>
                <w:lang w:val="en-GB" w:eastAsia="en-GB"/>
              </w:rPr>
            </w:pPr>
            <w:r w:rsidRPr="008D1A83">
              <w:rPr>
                <w:lang w:val="en-GB" w:eastAsia="en-GB"/>
              </w:rPr>
              <w:t>0.955</w:t>
            </w:r>
          </w:p>
        </w:tc>
      </w:tr>
    </w:tbl>
    <w:p w14:paraId="09D66FA8" w14:textId="56184E57" w:rsidR="001D2587" w:rsidRPr="000855B2" w:rsidRDefault="00A040D1" w:rsidP="008D1A83">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71</w:t>
      </w:r>
      <w:r w:rsidR="00FB454C">
        <w:rPr>
          <w:noProof/>
        </w:rPr>
        <w:fldChar w:fldCharType="end"/>
      </w:r>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1D2587" w:rsidRPr="000855B2">
        <w:t xml:space="preserve"> </w:t>
      </w:r>
      <w:r w:rsidR="00757EE1" w:rsidRPr="000855B2">
        <w:t>LCV</w:t>
      </w:r>
      <w:r w:rsidR="001D2587" w:rsidRPr="000855B2">
        <w:t>s under hot rural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551CCD92" w14:textId="77777777" w:rsidTr="00B5546B">
        <w:trPr>
          <w:trHeight w:hRule="exact" w:val="397"/>
        </w:trPr>
        <w:tc>
          <w:tcPr>
            <w:tcW w:w="2036" w:type="dxa"/>
            <w:tcBorders>
              <w:bottom w:val="single" w:sz="12" w:space="0" w:color="auto"/>
            </w:tcBorders>
            <w:noWrap/>
          </w:tcPr>
          <w:p w14:paraId="028627AC"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6FACA854"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4DC29D39"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3E16641B"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7C0B35D3"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3AECF1DA" w14:textId="77777777" w:rsidTr="00B5546B">
        <w:trPr>
          <w:trHeight w:val="255"/>
        </w:trPr>
        <w:tc>
          <w:tcPr>
            <w:tcW w:w="2036" w:type="dxa"/>
            <w:tcBorders>
              <w:top w:val="single" w:sz="12" w:space="0" w:color="auto"/>
            </w:tcBorders>
            <w:noWrap/>
          </w:tcPr>
          <w:p w14:paraId="4D0745DC"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2B0FF160"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0</w:t>
            </w:r>
          </w:p>
        </w:tc>
        <w:tc>
          <w:tcPr>
            <w:tcW w:w="1836" w:type="dxa"/>
            <w:tcBorders>
              <w:top w:val="single" w:sz="12" w:space="0" w:color="auto"/>
            </w:tcBorders>
            <w:noWrap/>
          </w:tcPr>
          <w:p w14:paraId="1DABAB4C"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5DD737A8"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247F18F3"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7F4B3216" w14:textId="77777777" w:rsidTr="00B5546B">
        <w:trPr>
          <w:trHeight w:val="255"/>
        </w:trPr>
        <w:tc>
          <w:tcPr>
            <w:tcW w:w="2036" w:type="dxa"/>
            <w:noWrap/>
          </w:tcPr>
          <w:p w14:paraId="2F070E4A"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3CBBFB68"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12A8AC69" w14:textId="77777777" w:rsidR="001D2587" w:rsidRPr="008D1A83" w:rsidRDefault="001D2587" w:rsidP="007B57FD">
            <w:pPr>
              <w:spacing w:line="240" w:lineRule="atLeast"/>
              <w:jc w:val="center"/>
              <w:rPr>
                <w:lang w:val="en-GB" w:eastAsia="en-GB"/>
              </w:rPr>
            </w:pPr>
            <w:r w:rsidRPr="008D1A83">
              <w:rPr>
                <w:lang w:val="en-GB" w:eastAsia="en-GB"/>
              </w:rPr>
              <w:t>131</w:t>
            </w:r>
          </w:p>
        </w:tc>
        <w:tc>
          <w:tcPr>
            <w:tcW w:w="1146" w:type="dxa"/>
            <w:noWrap/>
          </w:tcPr>
          <w:p w14:paraId="6BEAF3A3"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2F919699"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1737E461" w14:textId="77777777" w:rsidTr="00B5546B">
        <w:trPr>
          <w:trHeight w:val="255"/>
        </w:trPr>
        <w:tc>
          <w:tcPr>
            <w:tcW w:w="2036" w:type="dxa"/>
            <w:noWrap/>
          </w:tcPr>
          <w:p w14:paraId="02CD7347"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1ECC12E2"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15FD2267" w14:textId="77777777" w:rsidR="001D2587" w:rsidRPr="008D1A83" w:rsidRDefault="001D2587" w:rsidP="007B57FD">
            <w:pPr>
              <w:spacing w:line="240" w:lineRule="atLeast"/>
              <w:jc w:val="center"/>
              <w:rPr>
                <w:lang w:val="en-GB" w:eastAsia="en-GB"/>
              </w:rPr>
            </w:pPr>
            <w:r w:rsidRPr="008D1A83">
              <w:rPr>
                <w:lang w:val="en-GB" w:eastAsia="en-GB"/>
              </w:rPr>
              <w:t>100</w:t>
            </w:r>
          </w:p>
        </w:tc>
        <w:tc>
          <w:tcPr>
            <w:tcW w:w="1146" w:type="dxa"/>
            <w:noWrap/>
          </w:tcPr>
          <w:p w14:paraId="2B1D79AC" w14:textId="77777777" w:rsidR="001D2587" w:rsidRPr="008D1A83" w:rsidRDefault="001D2587" w:rsidP="007B57FD">
            <w:pPr>
              <w:spacing w:line="240" w:lineRule="atLeast"/>
              <w:jc w:val="center"/>
              <w:rPr>
                <w:lang w:val="en-GB" w:eastAsia="en-GB"/>
              </w:rPr>
            </w:pPr>
            <w:r w:rsidRPr="008D1A83">
              <w:rPr>
                <w:lang w:val="en-GB" w:eastAsia="en-GB"/>
              </w:rPr>
              <w:t>8.95E-07</w:t>
            </w:r>
          </w:p>
        </w:tc>
        <w:tc>
          <w:tcPr>
            <w:tcW w:w="1146" w:type="dxa"/>
            <w:noWrap/>
          </w:tcPr>
          <w:p w14:paraId="24D1946D" w14:textId="77777777" w:rsidR="001D2587" w:rsidRPr="008D1A83" w:rsidRDefault="001D2587" w:rsidP="007B57FD">
            <w:pPr>
              <w:spacing w:line="240" w:lineRule="atLeast"/>
              <w:jc w:val="center"/>
              <w:rPr>
                <w:lang w:val="en-GB" w:eastAsia="en-GB"/>
              </w:rPr>
            </w:pPr>
            <w:r w:rsidRPr="008D1A83">
              <w:rPr>
                <w:lang w:val="en-GB" w:eastAsia="en-GB"/>
              </w:rPr>
              <w:t>0.978</w:t>
            </w:r>
          </w:p>
        </w:tc>
      </w:tr>
      <w:tr w:rsidR="001D2587" w:rsidRPr="000855B2" w14:paraId="7BF9EF22" w14:textId="77777777" w:rsidTr="00B5546B">
        <w:trPr>
          <w:trHeight w:val="255"/>
        </w:trPr>
        <w:tc>
          <w:tcPr>
            <w:tcW w:w="2036" w:type="dxa"/>
            <w:noWrap/>
          </w:tcPr>
          <w:p w14:paraId="56411B5A"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1AC33BCA"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4ED98408" w14:textId="77777777" w:rsidR="001D2587" w:rsidRPr="008D1A83" w:rsidRDefault="001D2587" w:rsidP="007B57FD">
            <w:pPr>
              <w:spacing w:line="240" w:lineRule="atLeast"/>
              <w:jc w:val="center"/>
              <w:rPr>
                <w:lang w:val="en-GB" w:eastAsia="en-GB"/>
              </w:rPr>
            </w:pPr>
            <w:r w:rsidRPr="008D1A83">
              <w:rPr>
                <w:lang w:val="en-GB" w:eastAsia="en-GB"/>
              </w:rPr>
              <w:t>148</w:t>
            </w:r>
          </w:p>
        </w:tc>
        <w:tc>
          <w:tcPr>
            <w:tcW w:w="1146" w:type="dxa"/>
            <w:noWrap/>
          </w:tcPr>
          <w:p w14:paraId="09AB03F9"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00C40B80"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499B640C" w14:textId="77777777" w:rsidTr="00B5546B">
        <w:trPr>
          <w:trHeight w:val="255"/>
        </w:trPr>
        <w:tc>
          <w:tcPr>
            <w:tcW w:w="2036" w:type="dxa"/>
            <w:noWrap/>
          </w:tcPr>
          <w:p w14:paraId="3E57F00D"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4EA0FC1D"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10F4B2C3" w14:textId="77777777" w:rsidR="001D2587" w:rsidRPr="008D1A83" w:rsidRDefault="001D2587" w:rsidP="007B57FD">
            <w:pPr>
              <w:spacing w:line="240" w:lineRule="atLeast"/>
              <w:jc w:val="center"/>
              <w:rPr>
                <w:lang w:val="en-GB" w:eastAsia="en-GB"/>
              </w:rPr>
            </w:pPr>
            <w:r w:rsidRPr="008D1A83">
              <w:rPr>
                <w:lang w:val="en-GB" w:eastAsia="en-GB"/>
              </w:rPr>
              <w:t>90.7</w:t>
            </w:r>
          </w:p>
        </w:tc>
        <w:tc>
          <w:tcPr>
            <w:tcW w:w="1146" w:type="dxa"/>
            <w:noWrap/>
          </w:tcPr>
          <w:p w14:paraId="167AAE98" w14:textId="77777777" w:rsidR="001D2587" w:rsidRPr="008D1A83" w:rsidRDefault="001D2587" w:rsidP="007B57FD">
            <w:pPr>
              <w:spacing w:line="240" w:lineRule="atLeast"/>
              <w:jc w:val="center"/>
              <w:rPr>
                <w:lang w:val="en-GB" w:eastAsia="en-GB"/>
              </w:rPr>
            </w:pPr>
            <w:r w:rsidRPr="008D1A83">
              <w:rPr>
                <w:lang w:val="en-GB" w:eastAsia="en-GB"/>
              </w:rPr>
              <w:t>9.08E-07</w:t>
            </w:r>
          </w:p>
        </w:tc>
        <w:tc>
          <w:tcPr>
            <w:tcW w:w="1146" w:type="dxa"/>
            <w:noWrap/>
          </w:tcPr>
          <w:p w14:paraId="7B88C931" w14:textId="77777777" w:rsidR="001D2587" w:rsidRPr="008D1A83" w:rsidRDefault="001D2587" w:rsidP="007B57FD">
            <w:pPr>
              <w:spacing w:line="240" w:lineRule="atLeast"/>
              <w:jc w:val="center"/>
              <w:rPr>
                <w:lang w:val="en-GB" w:eastAsia="en-GB"/>
              </w:rPr>
            </w:pPr>
            <w:r w:rsidRPr="008D1A83">
              <w:rPr>
                <w:lang w:val="en-GB" w:eastAsia="en-GB"/>
              </w:rPr>
              <w:t>0.992</w:t>
            </w:r>
          </w:p>
        </w:tc>
      </w:tr>
      <w:tr w:rsidR="001D2587" w:rsidRPr="000855B2" w14:paraId="2F1F7E83" w14:textId="77777777" w:rsidTr="00B5546B">
        <w:trPr>
          <w:trHeight w:val="255"/>
        </w:trPr>
        <w:tc>
          <w:tcPr>
            <w:tcW w:w="2036" w:type="dxa"/>
            <w:noWrap/>
          </w:tcPr>
          <w:p w14:paraId="6959F4F4"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3B171141"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7EFDB191"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46" w:type="dxa"/>
            <w:noWrap/>
          </w:tcPr>
          <w:p w14:paraId="65920867"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46" w:type="dxa"/>
            <w:noWrap/>
          </w:tcPr>
          <w:p w14:paraId="2E5933A8"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426A335C" w14:textId="77777777" w:rsidTr="00B5546B">
        <w:trPr>
          <w:trHeight w:val="255"/>
        </w:trPr>
        <w:tc>
          <w:tcPr>
            <w:tcW w:w="2036" w:type="dxa"/>
            <w:noWrap/>
          </w:tcPr>
          <w:p w14:paraId="66453031"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0756C862"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2751FF64"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46" w:type="dxa"/>
            <w:noWrap/>
          </w:tcPr>
          <w:p w14:paraId="0FBF641E"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46" w:type="dxa"/>
            <w:noWrap/>
          </w:tcPr>
          <w:p w14:paraId="3C707CA2"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1D2587" w:rsidRPr="000855B2" w14:paraId="04B81BFC" w14:textId="77777777" w:rsidTr="00B5546B">
        <w:trPr>
          <w:trHeight w:val="255"/>
        </w:trPr>
        <w:tc>
          <w:tcPr>
            <w:tcW w:w="2036" w:type="dxa"/>
            <w:noWrap/>
          </w:tcPr>
          <w:p w14:paraId="7F412876"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01BA211F"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5C954540" w14:textId="77777777" w:rsidR="001D2587" w:rsidRPr="008D1A83" w:rsidRDefault="001D2587" w:rsidP="007B57FD">
            <w:pPr>
              <w:spacing w:line="240" w:lineRule="atLeast"/>
              <w:jc w:val="center"/>
              <w:rPr>
                <w:lang w:val="en-GB" w:eastAsia="en-GB"/>
              </w:rPr>
            </w:pPr>
            <w:r w:rsidRPr="008D1A83">
              <w:rPr>
                <w:lang w:val="en-GB" w:eastAsia="en-GB"/>
              </w:rPr>
              <w:t>29.5</w:t>
            </w:r>
          </w:p>
        </w:tc>
        <w:tc>
          <w:tcPr>
            <w:tcW w:w="1146" w:type="dxa"/>
            <w:noWrap/>
          </w:tcPr>
          <w:p w14:paraId="658EA1C9" w14:textId="77777777" w:rsidR="001D2587" w:rsidRPr="008D1A83" w:rsidRDefault="001D2587" w:rsidP="007B57FD">
            <w:pPr>
              <w:spacing w:line="240" w:lineRule="atLeast"/>
              <w:jc w:val="center"/>
              <w:rPr>
                <w:lang w:val="en-GB" w:eastAsia="en-GB"/>
              </w:rPr>
            </w:pPr>
            <w:r w:rsidRPr="008D1A83">
              <w:rPr>
                <w:lang w:val="en-GB" w:eastAsia="en-GB"/>
              </w:rPr>
              <w:t>5.90E-08</w:t>
            </w:r>
          </w:p>
        </w:tc>
        <w:tc>
          <w:tcPr>
            <w:tcW w:w="1146" w:type="dxa"/>
            <w:noWrap/>
          </w:tcPr>
          <w:p w14:paraId="2BE17E54" w14:textId="77777777" w:rsidR="001D2587" w:rsidRPr="008D1A83" w:rsidRDefault="001D2587" w:rsidP="007B57FD">
            <w:pPr>
              <w:spacing w:line="240" w:lineRule="atLeast"/>
              <w:jc w:val="center"/>
              <w:rPr>
                <w:lang w:val="en-GB" w:eastAsia="en-GB"/>
              </w:rPr>
            </w:pPr>
            <w:r w:rsidRPr="008D1A83">
              <w:rPr>
                <w:lang w:val="en-GB" w:eastAsia="en-GB"/>
              </w:rPr>
              <w:t>0.994</w:t>
            </w:r>
          </w:p>
        </w:tc>
      </w:tr>
      <w:tr w:rsidR="001D2587" w:rsidRPr="000855B2" w14:paraId="52B910EA" w14:textId="77777777" w:rsidTr="00B5546B">
        <w:trPr>
          <w:trHeight w:val="255"/>
        </w:trPr>
        <w:tc>
          <w:tcPr>
            <w:tcW w:w="2036" w:type="dxa"/>
            <w:noWrap/>
          </w:tcPr>
          <w:p w14:paraId="26164041"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3EABCFCF"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60501C01" w14:textId="77777777" w:rsidR="001D2587" w:rsidRPr="008D1A83" w:rsidRDefault="001D2587" w:rsidP="007B57FD">
            <w:pPr>
              <w:spacing w:line="240" w:lineRule="atLeast"/>
              <w:jc w:val="center"/>
              <w:rPr>
                <w:lang w:val="en-GB" w:eastAsia="en-GB"/>
              </w:rPr>
            </w:pPr>
            <w:r w:rsidRPr="008D1A83">
              <w:rPr>
                <w:lang w:val="en-GB" w:eastAsia="en-GB"/>
              </w:rPr>
              <w:t>28.9</w:t>
            </w:r>
          </w:p>
        </w:tc>
        <w:tc>
          <w:tcPr>
            <w:tcW w:w="1146" w:type="dxa"/>
            <w:noWrap/>
          </w:tcPr>
          <w:p w14:paraId="7C4F2A1A" w14:textId="77777777" w:rsidR="001D2587" w:rsidRPr="008D1A83" w:rsidRDefault="001D2587" w:rsidP="007B57FD">
            <w:pPr>
              <w:spacing w:line="240" w:lineRule="atLeast"/>
              <w:jc w:val="center"/>
              <w:rPr>
                <w:lang w:val="en-GB" w:eastAsia="en-GB"/>
              </w:rPr>
            </w:pPr>
            <w:r w:rsidRPr="008D1A83">
              <w:rPr>
                <w:lang w:val="en-GB" w:eastAsia="en-GB"/>
              </w:rPr>
              <w:t>8.31E-07</w:t>
            </w:r>
          </w:p>
        </w:tc>
        <w:tc>
          <w:tcPr>
            <w:tcW w:w="1146" w:type="dxa"/>
            <w:noWrap/>
          </w:tcPr>
          <w:p w14:paraId="040F1C30" w14:textId="77777777" w:rsidR="001D2587" w:rsidRPr="008D1A83" w:rsidRDefault="001D2587" w:rsidP="007B57FD">
            <w:pPr>
              <w:spacing w:line="240" w:lineRule="atLeast"/>
              <w:jc w:val="center"/>
              <w:rPr>
                <w:lang w:val="en-GB" w:eastAsia="en-GB"/>
              </w:rPr>
            </w:pPr>
            <w:r w:rsidRPr="008D1A83">
              <w:rPr>
                <w:lang w:val="en-GB" w:eastAsia="en-GB"/>
              </w:rPr>
              <w:t>0.908</w:t>
            </w:r>
          </w:p>
        </w:tc>
      </w:tr>
      <w:tr w:rsidR="006F0005" w:rsidRPr="000855B2" w14:paraId="5F38AEF7" w14:textId="77777777" w:rsidTr="00B5546B">
        <w:trPr>
          <w:trHeight w:val="255"/>
        </w:trPr>
        <w:tc>
          <w:tcPr>
            <w:tcW w:w="2036" w:type="dxa"/>
            <w:noWrap/>
          </w:tcPr>
          <w:p w14:paraId="20CAB2AF" w14:textId="77777777" w:rsidR="006F0005" w:rsidRPr="008D1A83" w:rsidRDefault="006F0005"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1B35969A" w14:textId="77777777" w:rsidR="006F0005" w:rsidRPr="008D1A83" w:rsidRDefault="001E26D6" w:rsidP="007B57FD">
            <w:pPr>
              <w:spacing w:line="240" w:lineRule="atLeast"/>
              <w:jc w:val="center"/>
              <w:rPr>
                <w:lang w:val="en-GB" w:eastAsia="en-GB"/>
              </w:rPr>
            </w:pPr>
            <w:r>
              <w:rPr>
                <w:lang w:val="en-GB" w:eastAsia="en-GB"/>
              </w:rPr>
              <w:t>&gt; 0</w:t>
            </w:r>
          </w:p>
        </w:tc>
        <w:tc>
          <w:tcPr>
            <w:tcW w:w="1836" w:type="dxa"/>
            <w:noWrap/>
          </w:tcPr>
          <w:p w14:paraId="71DF602B" w14:textId="77777777" w:rsidR="006F0005" w:rsidRPr="008D1A83" w:rsidRDefault="006F0005" w:rsidP="007B57FD">
            <w:pPr>
              <w:spacing w:line="240" w:lineRule="atLeast"/>
              <w:jc w:val="center"/>
              <w:rPr>
                <w:lang w:val="en-GB" w:eastAsia="en-GB"/>
              </w:rPr>
            </w:pPr>
            <w:r w:rsidRPr="008D1A83">
              <w:rPr>
                <w:lang w:val="en-GB" w:eastAsia="en-GB"/>
              </w:rPr>
              <w:t>8</w:t>
            </w:r>
          </w:p>
        </w:tc>
        <w:tc>
          <w:tcPr>
            <w:tcW w:w="1146" w:type="dxa"/>
            <w:noWrap/>
          </w:tcPr>
          <w:p w14:paraId="217943BD" w14:textId="77777777" w:rsidR="006F0005" w:rsidRPr="008D1A83" w:rsidRDefault="006F0005" w:rsidP="007B57FD">
            <w:pPr>
              <w:spacing w:line="240" w:lineRule="atLeast"/>
              <w:jc w:val="center"/>
              <w:rPr>
                <w:lang w:val="en-GB" w:eastAsia="en-GB"/>
              </w:rPr>
            </w:pPr>
            <w:r w:rsidRPr="008D1A83">
              <w:rPr>
                <w:color w:val="000000"/>
                <w:lang w:val="en-GB"/>
              </w:rPr>
              <w:t>9.04E-07</w:t>
            </w:r>
          </w:p>
        </w:tc>
        <w:tc>
          <w:tcPr>
            <w:tcW w:w="1146" w:type="dxa"/>
            <w:noWrap/>
          </w:tcPr>
          <w:p w14:paraId="442875B6" w14:textId="77777777" w:rsidR="006F0005" w:rsidRPr="008D1A83" w:rsidRDefault="006F0005" w:rsidP="007B57FD">
            <w:pPr>
              <w:spacing w:line="240" w:lineRule="atLeast"/>
              <w:jc w:val="center"/>
              <w:rPr>
                <w:lang w:val="en-GB" w:eastAsia="en-GB"/>
              </w:rPr>
            </w:pPr>
            <w:r w:rsidRPr="008D1A83">
              <w:rPr>
                <w:lang w:val="en-GB" w:eastAsia="en-GB"/>
              </w:rPr>
              <w:t>0.977</w:t>
            </w:r>
          </w:p>
        </w:tc>
      </w:tr>
    </w:tbl>
    <w:p w14:paraId="1C9D307F" w14:textId="423B914C" w:rsidR="001D2587" w:rsidRPr="000855B2" w:rsidRDefault="00A040D1" w:rsidP="008D1A83">
      <w:pPr>
        <w:pStyle w:val="Caption"/>
      </w:pPr>
      <w:bookmarkStart w:id="258" w:name="_Ref140571976"/>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72</w:t>
      </w:r>
      <w:r w:rsidR="00FB454C">
        <w:rPr>
          <w:noProof/>
        </w:rPr>
        <w:fldChar w:fldCharType="end"/>
      </w:r>
      <w:bookmarkEnd w:id="258"/>
      <w:r w:rsidR="001D2587" w:rsidRPr="000855B2">
        <w:t xml:space="preserve">: Parameters for </w:t>
      </w:r>
      <w:r w:rsidR="003C2DC5" w:rsidRPr="000855B2">
        <w:t>equation</w:t>
      </w:r>
      <w:r w:rsidR="001D2587" w:rsidRPr="000855B2">
        <w:t xml:space="preserve"> </w:t>
      </w:r>
      <w:r w:rsidR="00FB454C">
        <w:fldChar w:fldCharType="begin"/>
      </w:r>
      <w:r w:rsidR="00FB454C">
        <w:instrText xml:space="preserve"> REF _Ref140577418 \h  \* MERGEFORMAT </w:instrText>
      </w:r>
      <w:r w:rsidR="00FB454C">
        <w:fldChar w:fldCharType="separate"/>
      </w:r>
      <w:r w:rsidR="0071604C" w:rsidRPr="00C52E37">
        <w:t>(</w:t>
      </w:r>
      <w:r w:rsidR="0071604C">
        <w:t>28</w:t>
      </w:r>
      <w:r w:rsidR="0071604C" w:rsidRPr="00C52E37">
        <w:t>)</w:t>
      </w:r>
      <w:r w:rsidR="00FB454C">
        <w:fldChar w:fldCharType="end"/>
      </w:r>
      <w:r w:rsidR="001D2587" w:rsidRPr="000855B2">
        <w:t xml:space="preserve"> to calculate NH</w:t>
      </w:r>
      <w:r w:rsidR="001D2587" w:rsidRPr="000855B2">
        <w:rPr>
          <w:vertAlign w:val="subscript"/>
        </w:rPr>
        <w:t>3</w:t>
      </w:r>
      <w:r w:rsidR="001D2587" w:rsidRPr="000855B2">
        <w:t xml:space="preserve"> emission factors for </w:t>
      </w:r>
      <w:r w:rsidR="005E4DC4">
        <w:t>petrol</w:t>
      </w:r>
      <w:r w:rsidR="001D2587" w:rsidRPr="000855B2">
        <w:t xml:space="preserve"> </w:t>
      </w:r>
      <w:r w:rsidR="00757EE1" w:rsidRPr="000855B2">
        <w:t>LCV</w:t>
      </w:r>
      <w:r w:rsidR="001D2587" w:rsidRPr="000855B2">
        <w:t>s under hot highway conditions</w:t>
      </w:r>
    </w:p>
    <w:tbl>
      <w:tblPr>
        <w:tblW w:w="8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36"/>
        <w:gridCol w:w="2336"/>
        <w:gridCol w:w="1836"/>
        <w:gridCol w:w="1146"/>
        <w:gridCol w:w="1146"/>
      </w:tblGrid>
      <w:tr w:rsidR="001D2587" w:rsidRPr="000855B2" w14:paraId="0BC120E9" w14:textId="77777777" w:rsidTr="00B5546B">
        <w:trPr>
          <w:trHeight w:hRule="exact" w:val="397"/>
        </w:trPr>
        <w:tc>
          <w:tcPr>
            <w:tcW w:w="2036" w:type="dxa"/>
            <w:tcBorders>
              <w:bottom w:val="single" w:sz="12" w:space="0" w:color="auto"/>
            </w:tcBorders>
            <w:noWrap/>
          </w:tcPr>
          <w:p w14:paraId="555A27CA" w14:textId="77777777" w:rsidR="001D2587" w:rsidRPr="008D1A83" w:rsidRDefault="001D2587" w:rsidP="007B57FD">
            <w:pPr>
              <w:spacing w:line="240" w:lineRule="atLeast"/>
              <w:jc w:val="center"/>
              <w:rPr>
                <w:lang w:val="en-GB" w:eastAsia="en-GB"/>
              </w:rPr>
            </w:pPr>
            <w:r w:rsidRPr="008D1A83">
              <w:rPr>
                <w:lang w:val="en-GB" w:eastAsia="en-GB"/>
              </w:rPr>
              <w:t xml:space="preserve">Emission </w:t>
            </w:r>
            <w:r w:rsidR="00861120" w:rsidRPr="008D1A83">
              <w:rPr>
                <w:lang w:val="en-GB" w:eastAsia="en-GB"/>
              </w:rPr>
              <w:t>s</w:t>
            </w:r>
            <w:r w:rsidRPr="008D1A83">
              <w:rPr>
                <w:lang w:val="en-GB" w:eastAsia="en-GB"/>
              </w:rPr>
              <w:t>tandard</w:t>
            </w:r>
          </w:p>
        </w:tc>
        <w:tc>
          <w:tcPr>
            <w:tcW w:w="2336" w:type="dxa"/>
            <w:tcBorders>
              <w:bottom w:val="single" w:sz="12" w:space="0" w:color="auto"/>
            </w:tcBorders>
            <w:noWrap/>
          </w:tcPr>
          <w:p w14:paraId="7EB55E4D" w14:textId="77777777" w:rsidR="001D2587" w:rsidRPr="008D1A83" w:rsidRDefault="001D2587" w:rsidP="007B57FD">
            <w:pPr>
              <w:spacing w:line="240" w:lineRule="atLeast"/>
              <w:jc w:val="center"/>
              <w:rPr>
                <w:lang w:val="en-GB" w:eastAsia="en-GB"/>
              </w:rPr>
            </w:pPr>
            <w:r w:rsidRPr="008D1A83">
              <w:rPr>
                <w:lang w:val="en-GB" w:eastAsia="en-GB"/>
              </w:rPr>
              <w:t>Sulphur content (ppm)</w:t>
            </w:r>
          </w:p>
        </w:tc>
        <w:tc>
          <w:tcPr>
            <w:tcW w:w="1836" w:type="dxa"/>
            <w:tcBorders>
              <w:bottom w:val="single" w:sz="12" w:space="0" w:color="auto"/>
            </w:tcBorders>
            <w:noWrap/>
          </w:tcPr>
          <w:p w14:paraId="0EEF9BB9" w14:textId="77777777" w:rsidR="001D2587" w:rsidRPr="008D1A83" w:rsidRDefault="001D2587" w:rsidP="007B57FD">
            <w:pPr>
              <w:spacing w:line="240" w:lineRule="atLeast"/>
              <w:jc w:val="center"/>
              <w:rPr>
                <w:lang w:val="en-GB" w:eastAsia="en-GB"/>
              </w:rPr>
            </w:pPr>
            <w:r w:rsidRPr="008D1A83">
              <w:rPr>
                <w:lang w:val="en-GB" w:eastAsia="en-GB"/>
              </w:rPr>
              <w:t>Base EF (mg/km)</w:t>
            </w:r>
          </w:p>
        </w:tc>
        <w:tc>
          <w:tcPr>
            <w:tcW w:w="1146" w:type="dxa"/>
            <w:tcBorders>
              <w:bottom w:val="single" w:sz="12" w:space="0" w:color="auto"/>
            </w:tcBorders>
            <w:noWrap/>
          </w:tcPr>
          <w:p w14:paraId="1935C37A" w14:textId="77777777" w:rsidR="001D2587" w:rsidRPr="008D1A83" w:rsidRDefault="001D2587" w:rsidP="007B57FD">
            <w:pPr>
              <w:spacing w:line="240" w:lineRule="atLeast"/>
              <w:jc w:val="center"/>
              <w:rPr>
                <w:lang w:val="en-GB" w:eastAsia="en-GB"/>
              </w:rPr>
            </w:pPr>
            <w:r w:rsidRPr="008D1A83">
              <w:rPr>
                <w:lang w:val="en-GB" w:eastAsia="en-GB"/>
              </w:rPr>
              <w:t>a</w:t>
            </w:r>
          </w:p>
        </w:tc>
        <w:tc>
          <w:tcPr>
            <w:tcW w:w="1146" w:type="dxa"/>
            <w:tcBorders>
              <w:bottom w:val="single" w:sz="12" w:space="0" w:color="auto"/>
            </w:tcBorders>
            <w:noWrap/>
          </w:tcPr>
          <w:p w14:paraId="3E98ECCC" w14:textId="77777777" w:rsidR="001D2587" w:rsidRPr="008D1A83" w:rsidRDefault="001D2587" w:rsidP="007B57FD">
            <w:pPr>
              <w:spacing w:line="240" w:lineRule="atLeast"/>
              <w:jc w:val="center"/>
              <w:rPr>
                <w:lang w:val="en-GB" w:eastAsia="en-GB"/>
              </w:rPr>
            </w:pPr>
            <w:r w:rsidRPr="008D1A83">
              <w:rPr>
                <w:lang w:val="en-GB" w:eastAsia="en-GB"/>
              </w:rPr>
              <w:t>b</w:t>
            </w:r>
          </w:p>
        </w:tc>
      </w:tr>
      <w:tr w:rsidR="001D2587" w:rsidRPr="000855B2" w14:paraId="75C5D074" w14:textId="77777777" w:rsidTr="00B5546B">
        <w:trPr>
          <w:trHeight w:val="255"/>
        </w:trPr>
        <w:tc>
          <w:tcPr>
            <w:tcW w:w="2036" w:type="dxa"/>
            <w:tcBorders>
              <w:top w:val="single" w:sz="12" w:space="0" w:color="auto"/>
            </w:tcBorders>
            <w:noWrap/>
          </w:tcPr>
          <w:p w14:paraId="0B18331C" w14:textId="77777777" w:rsidR="001D2587" w:rsidRPr="008D1A83" w:rsidRDefault="001D2587" w:rsidP="007B57FD">
            <w:pPr>
              <w:spacing w:line="240" w:lineRule="atLeast"/>
              <w:jc w:val="left"/>
              <w:rPr>
                <w:lang w:val="en-GB" w:eastAsia="en-GB"/>
              </w:rPr>
            </w:pPr>
            <w:r w:rsidRPr="008D1A83">
              <w:rPr>
                <w:lang w:val="en-GB" w:eastAsia="en-GB"/>
              </w:rPr>
              <w:t>pre-Euro</w:t>
            </w:r>
          </w:p>
        </w:tc>
        <w:tc>
          <w:tcPr>
            <w:tcW w:w="2336" w:type="dxa"/>
            <w:tcBorders>
              <w:top w:val="single" w:sz="12" w:space="0" w:color="auto"/>
            </w:tcBorders>
            <w:noWrap/>
          </w:tcPr>
          <w:p w14:paraId="3A6D6FF2" w14:textId="77777777" w:rsidR="001D2587" w:rsidRPr="008D1A83" w:rsidRDefault="001E26D6" w:rsidP="007B57FD">
            <w:pPr>
              <w:spacing w:line="240" w:lineRule="atLeast"/>
              <w:jc w:val="center"/>
              <w:rPr>
                <w:lang w:val="en-GB" w:eastAsia="en-GB"/>
              </w:rPr>
            </w:pPr>
            <w:r>
              <w:rPr>
                <w:lang w:val="en-GB" w:eastAsia="en-GB"/>
              </w:rPr>
              <w:t>&gt; 0</w:t>
            </w:r>
          </w:p>
        </w:tc>
        <w:tc>
          <w:tcPr>
            <w:tcW w:w="1836" w:type="dxa"/>
            <w:tcBorders>
              <w:top w:val="single" w:sz="12" w:space="0" w:color="auto"/>
            </w:tcBorders>
            <w:noWrap/>
          </w:tcPr>
          <w:p w14:paraId="136C684A" w14:textId="77777777" w:rsidR="001D2587" w:rsidRPr="008D1A83" w:rsidRDefault="001D2587" w:rsidP="007B57FD">
            <w:pPr>
              <w:spacing w:line="240" w:lineRule="atLeast"/>
              <w:jc w:val="center"/>
              <w:rPr>
                <w:lang w:val="en-GB" w:eastAsia="en-GB"/>
              </w:rPr>
            </w:pPr>
            <w:r w:rsidRPr="008D1A83">
              <w:rPr>
                <w:lang w:val="en-GB" w:eastAsia="en-GB"/>
              </w:rPr>
              <w:t>2</w:t>
            </w:r>
          </w:p>
        </w:tc>
        <w:tc>
          <w:tcPr>
            <w:tcW w:w="1146" w:type="dxa"/>
            <w:tcBorders>
              <w:top w:val="single" w:sz="12" w:space="0" w:color="auto"/>
            </w:tcBorders>
            <w:noWrap/>
          </w:tcPr>
          <w:p w14:paraId="40E99C66" w14:textId="77777777" w:rsidR="001D2587" w:rsidRPr="005B3D90" w:rsidRDefault="005B3D90" w:rsidP="007B57FD">
            <w:pPr>
              <w:spacing w:line="240" w:lineRule="atLeast"/>
              <w:jc w:val="center"/>
              <w:rPr>
                <w:lang w:val="el-GR" w:eastAsia="en-GB"/>
              </w:rPr>
            </w:pPr>
            <w:r>
              <w:rPr>
                <w:lang w:val="el-GR" w:eastAsia="en-GB"/>
              </w:rPr>
              <w:t>0</w:t>
            </w:r>
          </w:p>
        </w:tc>
        <w:tc>
          <w:tcPr>
            <w:tcW w:w="1146" w:type="dxa"/>
            <w:tcBorders>
              <w:top w:val="single" w:sz="12" w:space="0" w:color="auto"/>
            </w:tcBorders>
            <w:noWrap/>
          </w:tcPr>
          <w:p w14:paraId="5D21D3C3" w14:textId="77777777" w:rsidR="001D2587" w:rsidRPr="008D1A83" w:rsidRDefault="001D2587" w:rsidP="007B57FD">
            <w:pPr>
              <w:spacing w:line="240" w:lineRule="atLeast"/>
              <w:jc w:val="center"/>
              <w:rPr>
                <w:lang w:val="en-GB" w:eastAsia="en-GB"/>
              </w:rPr>
            </w:pPr>
            <w:r w:rsidRPr="008D1A83">
              <w:rPr>
                <w:lang w:val="en-GB" w:eastAsia="en-GB"/>
              </w:rPr>
              <w:t>1</w:t>
            </w:r>
          </w:p>
        </w:tc>
      </w:tr>
      <w:tr w:rsidR="001D2587" w:rsidRPr="000855B2" w14:paraId="284B67EF" w14:textId="77777777" w:rsidTr="00B5546B">
        <w:trPr>
          <w:trHeight w:val="255"/>
        </w:trPr>
        <w:tc>
          <w:tcPr>
            <w:tcW w:w="2036" w:type="dxa"/>
            <w:noWrap/>
          </w:tcPr>
          <w:p w14:paraId="40DAF291"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2A988B67"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3928C962" w14:textId="77777777" w:rsidR="001D2587" w:rsidRPr="008D1A83" w:rsidRDefault="001D2587" w:rsidP="007B57FD">
            <w:pPr>
              <w:spacing w:line="240" w:lineRule="atLeast"/>
              <w:jc w:val="center"/>
              <w:rPr>
                <w:lang w:val="en-GB" w:eastAsia="en-GB"/>
              </w:rPr>
            </w:pPr>
            <w:r w:rsidRPr="008D1A83">
              <w:rPr>
                <w:lang w:val="en-GB" w:eastAsia="en-GB"/>
              </w:rPr>
              <w:t>73.3</w:t>
            </w:r>
          </w:p>
        </w:tc>
        <w:tc>
          <w:tcPr>
            <w:tcW w:w="1146" w:type="dxa"/>
            <w:noWrap/>
          </w:tcPr>
          <w:p w14:paraId="6CC27BB5"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7C10B70D" w14:textId="77777777" w:rsidR="001D2587" w:rsidRPr="008D1A83" w:rsidRDefault="001D2587" w:rsidP="007B57FD">
            <w:pPr>
              <w:spacing w:line="240" w:lineRule="atLeast"/>
              <w:jc w:val="center"/>
              <w:rPr>
                <w:lang w:val="en-GB" w:eastAsia="en-GB"/>
              </w:rPr>
            </w:pPr>
            <w:r w:rsidRPr="008D1A83">
              <w:rPr>
                <w:lang w:val="en-GB" w:eastAsia="en-GB"/>
              </w:rPr>
              <w:t>0.998</w:t>
            </w:r>
          </w:p>
        </w:tc>
      </w:tr>
      <w:tr w:rsidR="001D2587" w:rsidRPr="000855B2" w14:paraId="35252B59" w14:textId="77777777" w:rsidTr="00B5546B">
        <w:trPr>
          <w:trHeight w:val="255"/>
        </w:trPr>
        <w:tc>
          <w:tcPr>
            <w:tcW w:w="2036" w:type="dxa"/>
            <w:noWrap/>
          </w:tcPr>
          <w:p w14:paraId="6FDEF930" w14:textId="77777777" w:rsidR="001D2587" w:rsidRPr="008D1A83" w:rsidRDefault="001D2587" w:rsidP="007B57FD">
            <w:pPr>
              <w:spacing w:line="240" w:lineRule="atLeast"/>
              <w:jc w:val="left"/>
              <w:rPr>
                <w:lang w:val="en-GB" w:eastAsia="en-GB"/>
              </w:rPr>
            </w:pPr>
            <w:r w:rsidRPr="008D1A83">
              <w:rPr>
                <w:lang w:val="en-GB" w:eastAsia="en-GB"/>
              </w:rPr>
              <w:t>Euro 1</w:t>
            </w:r>
          </w:p>
        </w:tc>
        <w:tc>
          <w:tcPr>
            <w:tcW w:w="2336" w:type="dxa"/>
            <w:noWrap/>
          </w:tcPr>
          <w:p w14:paraId="580A9D93"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2A4BE30D" w14:textId="77777777" w:rsidR="001D2587" w:rsidRPr="008D1A83" w:rsidRDefault="001D2587" w:rsidP="007B57FD">
            <w:pPr>
              <w:spacing w:line="240" w:lineRule="atLeast"/>
              <w:jc w:val="center"/>
              <w:rPr>
                <w:lang w:val="en-GB" w:eastAsia="en-GB"/>
              </w:rPr>
            </w:pPr>
            <w:r w:rsidRPr="008D1A83">
              <w:rPr>
                <w:lang w:val="en-GB" w:eastAsia="en-GB"/>
              </w:rPr>
              <w:t>56.2</w:t>
            </w:r>
          </w:p>
        </w:tc>
        <w:tc>
          <w:tcPr>
            <w:tcW w:w="1146" w:type="dxa"/>
            <w:noWrap/>
          </w:tcPr>
          <w:p w14:paraId="3C522A9C" w14:textId="77777777" w:rsidR="001D2587" w:rsidRPr="008D1A83" w:rsidRDefault="001D2587" w:rsidP="007B57FD">
            <w:pPr>
              <w:spacing w:line="240" w:lineRule="atLeast"/>
              <w:jc w:val="center"/>
              <w:rPr>
                <w:lang w:val="en-GB" w:eastAsia="en-GB"/>
              </w:rPr>
            </w:pPr>
            <w:r w:rsidRPr="008D1A83">
              <w:rPr>
                <w:lang w:val="en-GB" w:eastAsia="en-GB"/>
              </w:rPr>
              <w:t>8.86E-07</w:t>
            </w:r>
          </w:p>
        </w:tc>
        <w:tc>
          <w:tcPr>
            <w:tcW w:w="1146" w:type="dxa"/>
            <w:noWrap/>
          </w:tcPr>
          <w:p w14:paraId="3739880D" w14:textId="77777777" w:rsidR="001D2587" w:rsidRPr="008D1A83" w:rsidRDefault="001D2587" w:rsidP="007B57FD">
            <w:pPr>
              <w:spacing w:line="240" w:lineRule="atLeast"/>
              <w:jc w:val="center"/>
              <w:rPr>
                <w:lang w:val="en-GB" w:eastAsia="en-GB"/>
              </w:rPr>
            </w:pPr>
            <w:r w:rsidRPr="008D1A83">
              <w:rPr>
                <w:lang w:val="en-GB" w:eastAsia="en-GB"/>
              </w:rPr>
              <w:t>0.968</w:t>
            </w:r>
          </w:p>
        </w:tc>
      </w:tr>
      <w:tr w:rsidR="001D2587" w:rsidRPr="000855B2" w14:paraId="09A03776" w14:textId="77777777" w:rsidTr="00B5546B">
        <w:trPr>
          <w:trHeight w:val="255"/>
        </w:trPr>
        <w:tc>
          <w:tcPr>
            <w:tcW w:w="2036" w:type="dxa"/>
            <w:noWrap/>
          </w:tcPr>
          <w:p w14:paraId="6DFCB9E4"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13744163"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150</w:t>
            </w:r>
          </w:p>
        </w:tc>
        <w:tc>
          <w:tcPr>
            <w:tcW w:w="1836" w:type="dxa"/>
            <w:noWrap/>
          </w:tcPr>
          <w:p w14:paraId="6DFD399F" w14:textId="77777777" w:rsidR="001D2587" w:rsidRPr="008D1A83" w:rsidRDefault="001D2587" w:rsidP="007B57FD">
            <w:pPr>
              <w:spacing w:line="240" w:lineRule="atLeast"/>
              <w:jc w:val="center"/>
              <w:rPr>
                <w:lang w:val="en-GB" w:eastAsia="en-GB"/>
              </w:rPr>
            </w:pPr>
            <w:r w:rsidRPr="008D1A83">
              <w:rPr>
                <w:lang w:val="en-GB" w:eastAsia="en-GB"/>
              </w:rPr>
              <w:t>83.3</w:t>
            </w:r>
          </w:p>
        </w:tc>
        <w:tc>
          <w:tcPr>
            <w:tcW w:w="1146" w:type="dxa"/>
            <w:noWrap/>
          </w:tcPr>
          <w:p w14:paraId="26986D9E" w14:textId="77777777" w:rsidR="001D2587" w:rsidRPr="008D1A83" w:rsidRDefault="001D2587" w:rsidP="007B57FD">
            <w:pPr>
              <w:spacing w:line="240" w:lineRule="atLeast"/>
              <w:jc w:val="center"/>
              <w:rPr>
                <w:lang w:val="en-GB" w:eastAsia="en-GB"/>
              </w:rPr>
            </w:pPr>
            <w:r w:rsidRPr="008D1A83">
              <w:rPr>
                <w:lang w:val="en-GB" w:eastAsia="en-GB"/>
              </w:rPr>
              <w:t>5.94E-08</w:t>
            </w:r>
          </w:p>
        </w:tc>
        <w:tc>
          <w:tcPr>
            <w:tcW w:w="1146" w:type="dxa"/>
            <w:noWrap/>
          </w:tcPr>
          <w:p w14:paraId="40B20CC2"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4814057A" w14:textId="77777777" w:rsidTr="00B5546B">
        <w:trPr>
          <w:trHeight w:val="255"/>
        </w:trPr>
        <w:tc>
          <w:tcPr>
            <w:tcW w:w="2036" w:type="dxa"/>
            <w:noWrap/>
          </w:tcPr>
          <w:p w14:paraId="627C5A32" w14:textId="77777777" w:rsidR="001D2587" w:rsidRPr="008D1A83" w:rsidRDefault="001D2587" w:rsidP="007B57FD">
            <w:pPr>
              <w:spacing w:line="240" w:lineRule="atLeast"/>
              <w:jc w:val="left"/>
              <w:rPr>
                <w:lang w:val="en-GB" w:eastAsia="en-GB"/>
              </w:rPr>
            </w:pPr>
            <w:r w:rsidRPr="008D1A83">
              <w:rPr>
                <w:lang w:val="en-GB" w:eastAsia="en-GB"/>
              </w:rPr>
              <w:t>Euro 2</w:t>
            </w:r>
          </w:p>
        </w:tc>
        <w:tc>
          <w:tcPr>
            <w:tcW w:w="2336" w:type="dxa"/>
            <w:noWrap/>
          </w:tcPr>
          <w:p w14:paraId="579D1012"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150</w:t>
            </w:r>
          </w:p>
        </w:tc>
        <w:tc>
          <w:tcPr>
            <w:tcW w:w="1836" w:type="dxa"/>
            <w:noWrap/>
          </w:tcPr>
          <w:p w14:paraId="3F7E6F8F" w14:textId="77777777" w:rsidR="001D2587" w:rsidRPr="008D1A83" w:rsidRDefault="001D2587" w:rsidP="007B57FD">
            <w:pPr>
              <w:spacing w:line="240" w:lineRule="atLeast"/>
              <w:jc w:val="center"/>
              <w:rPr>
                <w:lang w:val="en-GB" w:eastAsia="en-GB"/>
              </w:rPr>
            </w:pPr>
            <w:r w:rsidRPr="008D1A83">
              <w:rPr>
                <w:lang w:val="en-GB" w:eastAsia="en-GB"/>
              </w:rPr>
              <w:t>51</w:t>
            </w:r>
          </w:p>
        </w:tc>
        <w:tc>
          <w:tcPr>
            <w:tcW w:w="1146" w:type="dxa"/>
            <w:noWrap/>
          </w:tcPr>
          <w:p w14:paraId="708AA5CD" w14:textId="77777777" w:rsidR="001D2587" w:rsidRPr="008D1A83" w:rsidRDefault="001D2587" w:rsidP="007B57FD">
            <w:pPr>
              <w:spacing w:line="240" w:lineRule="atLeast"/>
              <w:jc w:val="center"/>
              <w:rPr>
                <w:lang w:val="en-GB" w:eastAsia="en-GB"/>
              </w:rPr>
            </w:pPr>
            <w:r w:rsidRPr="008D1A83">
              <w:rPr>
                <w:lang w:val="en-GB" w:eastAsia="en-GB"/>
              </w:rPr>
              <w:t>9.05E-07</w:t>
            </w:r>
          </w:p>
        </w:tc>
        <w:tc>
          <w:tcPr>
            <w:tcW w:w="1146" w:type="dxa"/>
            <w:noWrap/>
          </w:tcPr>
          <w:p w14:paraId="1207960C" w14:textId="77777777" w:rsidR="001D2587" w:rsidRPr="008D1A83" w:rsidRDefault="001D2587" w:rsidP="007B57FD">
            <w:pPr>
              <w:spacing w:line="240" w:lineRule="atLeast"/>
              <w:jc w:val="center"/>
              <w:rPr>
                <w:lang w:val="en-GB" w:eastAsia="en-GB"/>
              </w:rPr>
            </w:pPr>
            <w:r w:rsidRPr="008D1A83">
              <w:rPr>
                <w:lang w:val="en-GB" w:eastAsia="en-GB"/>
              </w:rPr>
              <w:t>0.988</w:t>
            </w:r>
          </w:p>
        </w:tc>
      </w:tr>
      <w:tr w:rsidR="001D2587" w:rsidRPr="000855B2" w14:paraId="667A21C4" w14:textId="77777777" w:rsidTr="00B5546B">
        <w:trPr>
          <w:trHeight w:val="255"/>
        </w:trPr>
        <w:tc>
          <w:tcPr>
            <w:tcW w:w="2036" w:type="dxa"/>
            <w:noWrap/>
          </w:tcPr>
          <w:p w14:paraId="4322FF39"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30A608BF"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6CAA5576"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5D9D740B"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7C79C4A6"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41597CEE" w14:textId="77777777" w:rsidTr="00B5546B">
        <w:trPr>
          <w:trHeight w:val="255"/>
        </w:trPr>
        <w:tc>
          <w:tcPr>
            <w:tcW w:w="2036" w:type="dxa"/>
            <w:noWrap/>
          </w:tcPr>
          <w:p w14:paraId="766E5A01" w14:textId="77777777" w:rsidR="001D2587" w:rsidRPr="008D1A83" w:rsidRDefault="001D2587" w:rsidP="007B57FD">
            <w:pPr>
              <w:spacing w:line="240" w:lineRule="atLeast"/>
              <w:jc w:val="left"/>
              <w:rPr>
                <w:lang w:val="en-GB" w:eastAsia="en-GB"/>
              </w:rPr>
            </w:pPr>
            <w:r w:rsidRPr="008D1A83">
              <w:rPr>
                <w:lang w:val="en-GB" w:eastAsia="en-GB"/>
              </w:rPr>
              <w:t>Euro 3</w:t>
            </w:r>
          </w:p>
        </w:tc>
        <w:tc>
          <w:tcPr>
            <w:tcW w:w="2336" w:type="dxa"/>
            <w:noWrap/>
          </w:tcPr>
          <w:p w14:paraId="027FD798"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7D7EA62D"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7EBA02E2"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410D96A8"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1D2587" w:rsidRPr="000855B2" w14:paraId="0EC9A1A7" w14:textId="77777777" w:rsidTr="00B5546B">
        <w:trPr>
          <w:trHeight w:val="255"/>
        </w:trPr>
        <w:tc>
          <w:tcPr>
            <w:tcW w:w="2036" w:type="dxa"/>
            <w:noWrap/>
          </w:tcPr>
          <w:p w14:paraId="211A7E65"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106FAA8E" w14:textId="77777777" w:rsidR="001D2587" w:rsidRPr="008D1A83" w:rsidRDefault="001D2587" w:rsidP="007B57FD">
            <w:pPr>
              <w:spacing w:line="240" w:lineRule="atLeast"/>
              <w:jc w:val="center"/>
              <w:rPr>
                <w:lang w:val="en-GB" w:eastAsia="en-GB"/>
              </w:rPr>
            </w:pPr>
            <w:r w:rsidRPr="008D1A83">
              <w:rPr>
                <w:lang w:val="en-GB" w:eastAsia="en-GB"/>
              </w:rPr>
              <w:t>0</w:t>
            </w:r>
            <w:r w:rsidR="00D02C42" w:rsidRPr="008D1A83">
              <w:rPr>
                <w:lang w:val="en-GB"/>
              </w:rPr>
              <w:t>–</w:t>
            </w:r>
            <w:r w:rsidRPr="008D1A83">
              <w:rPr>
                <w:lang w:val="en-GB" w:eastAsia="en-GB"/>
              </w:rPr>
              <w:t>30</w:t>
            </w:r>
          </w:p>
        </w:tc>
        <w:tc>
          <w:tcPr>
            <w:tcW w:w="1836" w:type="dxa"/>
            <w:noWrap/>
          </w:tcPr>
          <w:p w14:paraId="26EED677" w14:textId="77777777" w:rsidR="001D2587" w:rsidRPr="008D1A83" w:rsidRDefault="001D2587" w:rsidP="007B57FD">
            <w:pPr>
              <w:spacing w:line="240" w:lineRule="atLeast"/>
              <w:jc w:val="center"/>
              <w:rPr>
                <w:lang w:val="en-GB" w:eastAsia="en-GB"/>
              </w:rPr>
            </w:pPr>
            <w:r w:rsidRPr="008D1A83">
              <w:rPr>
                <w:lang w:val="en-GB" w:eastAsia="en-GB"/>
              </w:rPr>
              <w:t>64.6</w:t>
            </w:r>
          </w:p>
        </w:tc>
        <w:tc>
          <w:tcPr>
            <w:tcW w:w="1146" w:type="dxa"/>
            <w:noWrap/>
          </w:tcPr>
          <w:p w14:paraId="33A654A5" w14:textId="77777777" w:rsidR="001D2587" w:rsidRPr="008D1A83" w:rsidRDefault="001D2587" w:rsidP="007B57FD">
            <w:pPr>
              <w:spacing w:line="240" w:lineRule="atLeast"/>
              <w:jc w:val="center"/>
              <w:rPr>
                <w:lang w:val="en-GB" w:eastAsia="en-GB"/>
              </w:rPr>
            </w:pPr>
            <w:r w:rsidRPr="008D1A83">
              <w:rPr>
                <w:lang w:val="en-GB" w:eastAsia="en-GB"/>
              </w:rPr>
              <w:t>5.95E-08</w:t>
            </w:r>
          </w:p>
        </w:tc>
        <w:tc>
          <w:tcPr>
            <w:tcW w:w="1146" w:type="dxa"/>
            <w:noWrap/>
          </w:tcPr>
          <w:p w14:paraId="0F0A0760" w14:textId="77777777" w:rsidR="001D2587" w:rsidRPr="008D1A83" w:rsidRDefault="001D2587" w:rsidP="007B57FD">
            <w:pPr>
              <w:spacing w:line="240" w:lineRule="atLeast"/>
              <w:jc w:val="center"/>
              <w:rPr>
                <w:lang w:val="en-GB" w:eastAsia="en-GB"/>
              </w:rPr>
            </w:pPr>
            <w:r w:rsidRPr="008D1A83">
              <w:rPr>
                <w:lang w:val="en-GB" w:eastAsia="en-GB"/>
              </w:rPr>
              <w:t>0.999</w:t>
            </w:r>
          </w:p>
        </w:tc>
      </w:tr>
      <w:tr w:rsidR="001D2587" w:rsidRPr="000855B2" w14:paraId="68B1EAA6" w14:textId="77777777" w:rsidTr="00B5546B">
        <w:trPr>
          <w:trHeight w:val="255"/>
        </w:trPr>
        <w:tc>
          <w:tcPr>
            <w:tcW w:w="2036" w:type="dxa"/>
            <w:noWrap/>
          </w:tcPr>
          <w:p w14:paraId="684B4AD9" w14:textId="77777777" w:rsidR="001D2587" w:rsidRPr="008D1A83" w:rsidRDefault="001D2587" w:rsidP="007B57FD">
            <w:pPr>
              <w:spacing w:line="240" w:lineRule="atLeast"/>
              <w:jc w:val="left"/>
              <w:rPr>
                <w:lang w:val="en-GB" w:eastAsia="en-GB"/>
              </w:rPr>
            </w:pPr>
            <w:r w:rsidRPr="008D1A83">
              <w:rPr>
                <w:lang w:val="en-GB" w:eastAsia="en-GB"/>
              </w:rPr>
              <w:t>Euro 4</w:t>
            </w:r>
          </w:p>
        </w:tc>
        <w:tc>
          <w:tcPr>
            <w:tcW w:w="2336" w:type="dxa"/>
            <w:noWrap/>
          </w:tcPr>
          <w:p w14:paraId="2B83561A" w14:textId="77777777" w:rsidR="001D2587" w:rsidRPr="008D1A83" w:rsidRDefault="00972A38" w:rsidP="007B57FD">
            <w:pPr>
              <w:spacing w:line="240" w:lineRule="atLeast"/>
              <w:jc w:val="center"/>
              <w:rPr>
                <w:lang w:val="en-GB" w:eastAsia="en-GB"/>
              </w:rPr>
            </w:pPr>
            <w:r w:rsidRPr="008D1A83">
              <w:rPr>
                <w:lang w:val="en-GB" w:eastAsia="en-GB"/>
              </w:rPr>
              <w:t>&gt; </w:t>
            </w:r>
            <w:r w:rsidR="001D2587" w:rsidRPr="008D1A83">
              <w:rPr>
                <w:lang w:val="en-GB" w:eastAsia="en-GB"/>
              </w:rPr>
              <w:t>30</w:t>
            </w:r>
          </w:p>
        </w:tc>
        <w:tc>
          <w:tcPr>
            <w:tcW w:w="1836" w:type="dxa"/>
            <w:noWrap/>
          </w:tcPr>
          <w:p w14:paraId="688AF32B" w14:textId="77777777" w:rsidR="001D2587" w:rsidRPr="008D1A83" w:rsidRDefault="001D2587" w:rsidP="007B57FD">
            <w:pPr>
              <w:spacing w:line="240" w:lineRule="atLeast"/>
              <w:jc w:val="center"/>
              <w:rPr>
                <w:lang w:val="en-GB" w:eastAsia="en-GB"/>
              </w:rPr>
            </w:pPr>
            <w:r w:rsidRPr="008D1A83">
              <w:rPr>
                <w:lang w:val="en-GB" w:eastAsia="en-GB"/>
              </w:rPr>
              <w:t>63.4</w:t>
            </w:r>
          </w:p>
        </w:tc>
        <w:tc>
          <w:tcPr>
            <w:tcW w:w="1146" w:type="dxa"/>
            <w:noWrap/>
          </w:tcPr>
          <w:p w14:paraId="359F9CA7" w14:textId="77777777" w:rsidR="001D2587" w:rsidRPr="008D1A83" w:rsidRDefault="001D2587" w:rsidP="007B57FD">
            <w:pPr>
              <w:spacing w:line="240" w:lineRule="atLeast"/>
              <w:jc w:val="center"/>
              <w:rPr>
                <w:lang w:val="en-GB" w:eastAsia="en-GB"/>
              </w:rPr>
            </w:pPr>
            <w:r w:rsidRPr="008D1A83">
              <w:rPr>
                <w:lang w:val="en-GB" w:eastAsia="en-GB"/>
              </w:rPr>
              <w:t>9.02E-07</w:t>
            </w:r>
          </w:p>
        </w:tc>
        <w:tc>
          <w:tcPr>
            <w:tcW w:w="1146" w:type="dxa"/>
            <w:noWrap/>
          </w:tcPr>
          <w:p w14:paraId="474978F3" w14:textId="77777777" w:rsidR="001D2587" w:rsidRPr="008D1A83" w:rsidRDefault="001D2587" w:rsidP="007B57FD">
            <w:pPr>
              <w:spacing w:line="240" w:lineRule="atLeast"/>
              <w:jc w:val="center"/>
              <w:rPr>
                <w:lang w:val="en-GB" w:eastAsia="en-GB"/>
              </w:rPr>
            </w:pPr>
            <w:r w:rsidRPr="008D1A83">
              <w:rPr>
                <w:lang w:val="en-GB" w:eastAsia="en-GB"/>
              </w:rPr>
              <w:t>0.985</w:t>
            </w:r>
          </w:p>
        </w:tc>
      </w:tr>
      <w:tr w:rsidR="00B119D9" w:rsidRPr="000855B2" w14:paraId="71598523" w14:textId="77777777" w:rsidTr="00B5546B">
        <w:trPr>
          <w:trHeight w:val="255"/>
        </w:trPr>
        <w:tc>
          <w:tcPr>
            <w:tcW w:w="2036" w:type="dxa"/>
            <w:noWrap/>
          </w:tcPr>
          <w:p w14:paraId="0C83E37C" w14:textId="77777777" w:rsidR="00B119D9" w:rsidRPr="008D1A83" w:rsidRDefault="00B119D9" w:rsidP="007B57FD">
            <w:pPr>
              <w:spacing w:line="240" w:lineRule="atLeast"/>
              <w:jc w:val="left"/>
              <w:rPr>
                <w:lang w:val="en-GB" w:eastAsia="en-GB"/>
              </w:rPr>
            </w:pPr>
            <w:r w:rsidRPr="008D1A83">
              <w:rPr>
                <w:lang w:val="en-GB" w:eastAsia="en-GB"/>
              </w:rPr>
              <w:t>Euro 5</w:t>
            </w:r>
            <w:r w:rsidR="00542D5B">
              <w:rPr>
                <w:lang w:val="en-GB" w:eastAsia="en-GB"/>
              </w:rPr>
              <w:t xml:space="preserve"> and on</w:t>
            </w:r>
          </w:p>
        </w:tc>
        <w:tc>
          <w:tcPr>
            <w:tcW w:w="2336" w:type="dxa"/>
            <w:noWrap/>
          </w:tcPr>
          <w:p w14:paraId="3ABAC538" w14:textId="77777777" w:rsidR="00B119D9" w:rsidRPr="008D1A83" w:rsidRDefault="001E26D6" w:rsidP="007B57FD">
            <w:pPr>
              <w:spacing w:line="240" w:lineRule="atLeast"/>
              <w:jc w:val="center"/>
              <w:rPr>
                <w:lang w:val="en-GB" w:eastAsia="en-GB"/>
              </w:rPr>
            </w:pPr>
            <w:r>
              <w:rPr>
                <w:lang w:val="en-GB" w:eastAsia="en-GB"/>
              </w:rPr>
              <w:t>&gt; 0</w:t>
            </w:r>
          </w:p>
        </w:tc>
        <w:tc>
          <w:tcPr>
            <w:tcW w:w="1836" w:type="dxa"/>
            <w:noWrap/>
          </w:tcPr>
          <w:p w14:paraId="2A2CBF86" w14:textId="77777777" w:rsidR="00B119D9" w:rsidRPr="008D1A83" w:rsidRDefault="00B119D9" w:rsidP="007B57FD">
            <w:pPr>
              <w:spacing w:line="240" w:lineRule="atLeast"/>
              <w:jc w:val="center"/>
              <w:rPr>
                <w:lang w:val="en-GB" w:eastAsia="en-GB"/>
              </w:rPr>
            </w:pPr>
            <w:r w:rsidRPr="008D1A83">
              <w:rPr>
                <w:lang w:val="en-GB" w:eastAsia="en-GB"/>
              </w:rPr>
              <w:t>21.8</w:t>
            </w:r>
          </w:p>
        </w:tc>
        <w:tc>
          <w:tcPr>
            <w:tcW w:w="1146" w:type="dxa"/>
            <w:noWrap/>
          </w:tcPr>
          <w:p w14:paraId="11BC4AC7" w14:textId="77777777" w:rsidR="00B119D9" w:rsidRPr="008D1A83" w:rsidRDefault="00B119D9" w:rsidP="007B57FD">
            <w:pPr>
              <w:spacing w:line="240" w:lineRule="atLeast"/>
              <w:jc w:val="center"/>
              <w:rPr>
                <w:lang w:val="en-GB" w:eastAsia="en-GB"/>
              </w:rPr>
            </w:pPr>
            <w:r w:rsidRPr="008D1A83">
              <w:rPr>
                <w:lang w:val="en-GB" w:eastAsia="en-GB"/>
              </w:rPr>
              <w:t>5.95E-08</w:t>
            </w:r>
          </w:p>
        </w:tc>
        <w:tc>
          <w:tcPr>
            <w:tcW w:w="1146" w:type="dxa"/>
            <w:noWrap/>
          </w:tcPr>
          <w:p w14:paraId="7F8D78A0" w14:textId="77777777" w:rsidR="00B119D9" w:rsidRPr="008D1A83" w:rsidRDefault="00B119D9" w:rsidP="007B57FD">
            <w:pPr>
              <w:spacing w:line="240" w:lineRule="atLeast"/>
              <w:jc w:val="center"/>
              <w:rPr>
                <w:lang w:val="en-GB" w:eastAsia="en-GB"/>
              </w:rPr>
            </w:pPr>
            <w:r w:rsidRPr="008D1A83">
              <w:rPr>
                <w:lang w:val="en-GB" w:eastAsia="en-GB"/>
              </w:rPr>
              <w:t>0.999</w:t>
            </w:r>
          </w:p>
        </w:tc>
      </w:tr>
    </w:tbl>
    <w:p w14:paraId="12558907" w14:textId="019203B7" w:rsidR="001D2587" w:rsidRPr="000855B2" w:rsidRDefault="001D2587" w:rsidP="0083104A">
      <w:pPr>
        <w:pStyle w:val="BodyText"/>
      </w:pPr>
      <w:r w:rsidRPr="000855B2">
        <w:t>For all other vehicle classes, bulk ammonia emission factors are given in</w:t>
      </w:r>
      <w:r w:rsidR="0008044E" w:rsidRPr="000855B2">
        <w:t xml:space="preserve"> </w:t>
      </w:r>
      <w:r w:rsidR="00FB454C">
        <w:fldChar w:fldCharType="begin"/>
      </w:r>
      <w:r w:rsidR="00FB454C">
        <w:instrText xml:space="preserve"> REF _Ref202071571 \h  \* MERGEFORMAT </w:instrText>
      </w:r>
      <w:r w:rsidR="00FB454C">
        <w:fldChar w:fldCharType="separate"/>
      </w:r>
      <w:r w:rsidR="0071604C" w:rsidRPr="000855B2">
        <w:t>Table </w:t>
      </w:r>
      <w:r w:rsidR="0071604C">
        <w:t>3.73</w:t>
      </w:r>
      <w:r w:rsidR="00FB454C">
        <w:fldChar w:fldCharType="end"/>
      </w:r>
      <w:r w:rsidRPr="000855B2">
        <w:t xml:space="preserve">. No separate calculation is </w:t>
      </w:r>
      <w:r w:rsidR="00861120" w:rsidRPr="000855B2">
        <w:t>required</w:t>
      </w:r>
      <w:r w:rsidRPr="000855B2">
        <w:t xml:space="preserve"> for </w:t>
      </w:r>
      <w:r w:rsidR="00861120" w:rsidRPr="000855B2">
        <w:t xml:space="preserve">excess </w:t>
      </w:r>
      <w:r w:rsidRPr="000855B2">
        <w:t>cold</w:t>
      </w:r>
      <w:r w:rsidR="00861120" w:rsidRPr="000855B2">
        <w:t>-</w:t>
      </w:r>
      <w:r w:rsidRPr="000855B2">
        <w:t xml:space="preserve">start emissions. These emission factors are based </w:t>
      </w:r>
      <w:r w:rsidR="00861120" w:rsidRPr="000855B2">
        <w:t xml:space="preserve">solely </w:t>
      </w:r>
      <w:r w:rsidRPr="000855B2">
        <w:t xml:space="preserve">on </w:t>
      </w:r>
      <w:r w:rsidR="00861120" w:rsidRPr="000855B2">
        <w:t xml:space="preserve">a </w:t>
      </w:r>
      <w:r w:rsidRPr="000855B2">
        <w:t>literature review</w:t>
      </w:r>
      <w:r w:rsidR="00861120" w:rsidRPr="000855B2">
        <w:t xml:space="preserve">, </w:t>
      </w:r>
      <w:r w:rsidRPr="000855B2">
        <w:t>and should be considered as broad estimates (de Reydellet, 1990; Volkswagen, 1989).</w:t>
      </w:r>
    </w:p>
    <w:p w14:paraId="76768803" w14:textId="0CF494C9" w:rsidR="00861120" w:rsidRPr="000855B2" w:rsidRDefault="00A040D1" w:rsidP="008D1A83">
      <w:pPr>
        <w:pStyle w:val="Caption"/>
      </w:pPr>
      <w:bookmarkStart w:id="259" w:name="_Ref202071571"/>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73</w:t>
      </w:r>
      <w:r w:rsidR="00FB454C">
        <w:rPr>
          <w:noProof/>
        </w:rPr>
        <w:fldChar w:fldCharType="end"/>
      </w:r>
      <w:bookmarkEnd w:id="259"/>
      <w:r w:rsidR="00861120" w:rsidRPr="000855B2">
        <w:t>: Bulk (hot + cold) ammonia (NH</w:t>
      </w:r>
      <w:r w:rsidR="00861120" w:rsidRPr="000855B2">
        <w:rPr>
          <w:vertAlign w:val="subscript"/>
        </w:rPr>
        <w:t>3</w:t>
      </w:r>
      <w:r w:rsidR="00861120" w:rsidRPr="000855B2">
        <w:t>) emission factors (mg/km)</w:t>
      </w:r>
    </w:p>
    <w:tbl>
      <w:tblPr>
        <w:tblW w:w="6126" w:type="dxa"/>
        <w:tblBorders>
          <w:top w:val="single" w:sz="12" w:space="0" w:color="000000"/>
          <w:left w:val="nil"/>
          <w:bottom w:val="single" w:sz="12" w:space="0" w:color="000000"/>
          <w:right w:val="nil"/>
          <w:insideH w:val="nil"/>
          <w:insideV w:val="nil"/>
        </w:tblBorders>
        <w:tblLayout w:type="fixed"/>
        <w:tblCellMar>
          <w:left w:w="30" w:type="dxa"/>
          <w:right w:w="30" w:type="dxa"/>
        </w:tblCellMar>
        <w:tblLook w:val="00A0" w:firstRow="1" w:lastRow="0" w:firstColumn="1" w:lastColumn="0" w:noHBand="0" w:noVBand="0"/>
      </w:tblPr>
      <w:tblGrid>
        <w:gridCol w:w="2637"/>
        <w:gridCol w:w="1163"/>
        <w:gridCol w:w="1163"/>
        <w:gridCol w:w="1163"/>
      </w:tblGrid>
      <w:tr w:rsidR="00861120" w:rsidRPr="000855B2" w14:paraId="17C39B0A" w14:textId="77777777" w:rsidTr="00C84414">
        <w:tc>
          <w:tcPr>
            <w:tcW w:w="2637" w:type="dxa"/>
            <w:tcBorders>
              <w:top w:val="double" w:sz="6" w:space="0" w:color="auto"/>
              <w:left w:val="double" w:sz="6" w:space="0" w:color="auto"/>
              <w:bottom w:val="single" w:sz="12" w:space="0" w:color="000000"/>
              <w:right w:val="single" w:sz="6" w:space="0" w:color="000000"/>
            </w:tcBorders>
            <w:vAlign w:val="center"/>
          </w:tcPr>
          <w:p w14:paraId="3C4CDD51"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Vehicle category</w:t>
            </w:r>
          </w:p>
        </w:tc>
        <w:tc>
          <w:tcPr>
            <w:tcW w:w="1163" w:type="dxa"/>
            <w:tcBorders>
              <w:top w:val="double" w:sz="6" w:space="0" w:color="auto"/>
              <w:left w:val="nil"/>
              <w:bottom w:val="single" w:sz="12" w:space="0" w:color="000000"/>
              <w:right w:val="single" w:sz="6" w:space="0" w:color="000000"/>
            </w:tcBorders>
            <w:vAlign w:val="center"/>
          </w:tcPr>
          <w:p w14:paraId="6BD33A93"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Urban</w:t>
            </w:r>
          </w:p>
        </w:tc>
        <w:tc>
          <w:tcPr>
            <w:tcW w:w="1163" w:type="dxa"/>
            <w:tcBorders>
              <w:top w:val="double" w:sz="6" w:space="0" w:color="auto"/>
              <w:left w:val="nil"/>
              <w:bottom w:val="single" w:sz="12" w:space="0" w:color="000000"/>
              <w:right w:val="single" w:sz="6" w:space="0" w:color="000000"/>
            </w:tcBorders>
            <w:vAlign w:val="center"/>
          </w:tcPr>
          <w:p w14:paraId="217B048D"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Rural</w:t>
            </w:r>
          </w:p>
        </w:tc>
        <w:tc>
          <w:tcPr>
            <w:tcW w:w="1163" w:type="dxa"/>
            <w:tcBorders>
              <w:top w:val="double" w:sz="6" w:space="0" w:color="auto"/>
              <w:left w:val="nil"/>
              <w:bottom w:val="single" w:sz="12" w:space="0" w:color="000000"/>
              <w:right w:val="double" w:sz="6" w:space="0" w:color="auto"/>
            </w:tcBorders>
            <w:vAlign w:val="center"/>
          </w:tcPr>
          <w:p w14:paraId="076A657A"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Highway</w:t>
            </w:r>
          </w:p>
        </w:tc>
      </w:tr>
      <w:tr w:rsidR="00861120" w:rsidRPr="000855B2" w14:paraId="4864CD0A" w14:textId="77777777" w:rsidTr="00C84414">
        <w:tc>
          <w:tcPr>
            <w:tcW w:w="2637" w:type="dxa"/>
            <w:tcBorders>
              <w:top w:val="nil"/>
              <w:left w:val="double" w:sz="6" w:space="0" w:color="auto"/>
              <w:bottom w:val="single" w:sz="6" w:space="0" w:color="000000"/>
              <w:right w:val="single" w:sz="6" w:space="0" w:color="000000"/>
            </w:tcBorders>
            <w:vAlign w:val="center"/>
          </w:tcPr>
          <w:p w14:paraId="461F9E6E" w14:textId="77777777" w:rsidR="00861120" w:rsidRPr="008D1A83" w:rsidRDefault="00861120" w:rsidP="005C7955">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Passenger cars</w:t>
            </w:r>
          </w:p>
        </w:tc>
        <w:tc>
          <w:tcPr>
            <w:tcW w:w="1163" w:type="dxa"/>
            <w:tcBorders>
              <w:top w:val="nil"/>
              <w:left w:val="nil"/>
              <w:bottom w:val="single" w:sz="6" w:space="0" w:color="000000"/>
              <w:right w:val="single" w:sz="6" w:space="0" w:color="000000"/>
            </w:tcBorders>
            <w:vAlign w:val="center"/>
          </w:tcPr>
          <w:p w14:paraId="460DCCF5"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single" w:sz="6" w:space="0" w:color="000000"/>
            </w:tcBorders>
            <w:vAlign w:val="center"/>
          </w:tcPr>
          <w:p w14:paraId="1A7CBB88"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double" w:sz="6" w:space="0" w:color="auto"/>
            </w:tcBorders>
            <w:vAlign w:val="center"/>
          </w:tcPr>
          <w:p w14:paraId="3E3312CB" w14:textId="77777777" w:rsidR="00861120" w:rsidRPr="008D1A83" w:rsidRDefault="00861120" w:rsidP="005C7955">
            <w:pPr>
              <w:pStyle w:val="Table"/>
              <w:spacing w:line="240" w:lineRule="atLeast"/>
              <w:jc w:val="center"/>
              <w:rPr>
                <w:rFonts w:ascii="Open Sans" w:hAnsi="Open Sans" w:cs="Open Sans"/>
                <w:b/>
                <w:snapToGrid w:val="0"/>
                <w:sz w:val="16"/>
                <w:szCs w:val="16"/>
                <w:lang w:val="en-GB" w:eastAsia="en-US"/>
              </w:rPr>
            </w:pPr>
          </w:p>
        </w:tc>
      </w:tr>
      <w:tr w:rsidR="00861120" w:rsidRPr="000855B2" w14:paraId="7B81680D"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5E1AC38F" w14:textId="77777777" w:rsidR="00861120" w:rsidRPr="008D1A83" w:rsidRDefault="00861120"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 xml:space="preserve">Diesel </w:t>
            </w:r>
            <w:r w:rsidR="009E5FA3" w:rsidRPr="008D1A83">
              <w:rPr>
                <w:rFonts w:ascii="Open Sans" w:hAnsi="Open Sans" w:cs="Open Sans"/>
                <w:snapToGrid w:val="0"/>
                <w:sz w:val="16"/>
                <w:szCs w:val="16"/>
                <w:lang w:val="en-GB" w:eastAsia="en-US"/>
              </w:rPr>
              <w:t xml:space="preserve"> Euro 4 or earlier</w:t>
            </w:r>
          </w:p>
        </w:tc>
        <w:tc>
          <w:tcPr>
            <w:tcW w:w="1163" w:type="dxa"/>
            <w:tcBorders>
              <w:top w:val="single" w:sz="6" w:space="0" w:color="000000"/>
              <w:left w:val="nil"/>
              <w:bottom w:val="single" w:sz="6" w:space="0" w:color="000000"/>
              <w:right w:val="single" w:sz="6" w:space="0" w:color="000000"/>
            </w:tcBorders>
            <w:vAlign w:val="center"/>
          </w:tcPr>
          <w:p w14:paraId="43CD375D"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single" w:sz="6" w:space="0" w:color="000000"/>
            </w:tcBorders>
            <w:vAlign w:val="center"/>
          </w:tcPr>
          <w:p w14:paraId="32D1D2A3"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double" w:sz="6" w:space="0" w:color="auto"/>
            </w:tcBorders>
            <w:vAlign w:val="center"/>
          </w:tcPr>
          <w:p w14:paraId="368A879D"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r>
      <w:tr w:rsidR="00861120" w:rsidRPr="000855B2" w14:paraId="08924F5C"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2E81A8A5" w14:textId="77777777" w:rsidR="00861120" w:rsidRPr="00A54B80" w:rsidRDefault="00354E02" w:rsidP="005C7955">
            <w:pPr>
              <w:pStyle w:val="Table"/>
              <w:spacing w:line="240" w:lineRule="atLeast"/>
              <w:rPr>
                <w:rFonts w:ascii="Open Sans" w:hAnsi="Open Sans" w:cs="Open Sans"/>
                <w:snapToGrid w:val="0"/>
                <w:sz w:val="16"/>
                <w:szCs w:val="16"/>
                <w:lang w:val="de-DE" w:eastAsia="en-US"/>
              </w:rPr>
            </w:pPr>
            <w:r w:rsidRPr="00354E02">
              <w:rPr>
                <w:rFonts w:ascii="Open Sans" w:hAnsi="Open Sans" w:cs="Open Sans"/>
                <w:snapToGrid w:val="0"/>
                <w:sz w:val="16"/>
                <w:szCs w:val="16"/>
                <w:lang w:val="de-DE" w:eastAsia="en-US"/>
              </w:rPr>
              <w:t>Diesel cc &gt; 2.0 l Euro 5 or 6/6 RDE</w:t>
            </w:r>
          </w:p>
        </w:tc>
        <w:tc>
          <w:tcPr>
            <w:tcW w:w="1163" w:type="dxa"/>
            <w:tcBorders>
              <w:top w:val="single" w:sz="6" w:space="0" w:color="000000"/>
              <w:left w:val="nil"/>
              <w:bottom w:val="single" w:sz="6" w:space="0" w:color="000000"/>
              <w:right w:val="single" w:sz="6" w:space="0" w:color="000000"/>
            </w:tcBorders>
            <w:vAlign w:val="center"/>
          </w:tcPr>
          <w:p w14:paraId="3F2F8766"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1.9</w:t>
            </w:r>
          </w:p>
        </w:tc>
        <w:tc>
          <w:tcPr>
            <w:tcW w:w="1163" w:type="dxa"/>
            <w:tcBorders>
              <w:top w:val="single" w:sz="6" w:space="0" w:color="000000"/>
              <w:left w:val="nil"/>
              <w:bottom w:val="single" w:sz="6" w:space="0" w:color="000000"/>
              <w:right w:val="single" w:sz="6" w:space="0" w:color="000000"/>
            </w:tcBorders>
            <w:vAlign w:val="center"/>
          </w:tcPr>
          <w:p w14:paraId="1D6A3C82"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1.9</w:t>
            </w:r>
          </w:p>
        </w:tc>
        <w:tc>
          <w:tcPr>
            <w:tcW w:w="1163" w:type="dxa"/>
            <w:tcBorders>
              <w:top w:val="single" w:sz="6" w:space="0" w:color="000000"/>
              <w:left w:val="nil"/>
              <w:bottom w:val="single" w:sz="6" w:space="0" w:color="000000"/>
              <w:right w:val="double" w:sz="6" w:space="0" w:color="auto"/>
            </w:tcBorders>
            <w:vAlign w:val="center"/>
          </w:tcPr>
          <w:p w14:paraId="0FA002A6"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r w:rsidR="004F7A18" w:rsidRPr="008D1A83">
              <w:rPr>
                <w:rFonts w:ascii="Open Sans" w:hAnsi="Open Sans" w:cs="Open Sans"/>
                <w:snapToGrid w:val="0"/>
                <w:sz w:val="16"/>
                <w:szCs w:val="16"/>
                <w:lang w:val="en-GB" w:eastAsia="en-US"/>
              </w:rPr>
              <w:t>.</w:t>
            </w:r>
            <w:r w:rsidRPr="008D1A83">
              <w:rPr>
                <w:rFonts w:ascii="Open Sans" w:hAnsi="Open Sans" w:cs="Open Sans"/>
                <w:snapToGrid w:val="0"/>
                <w:sz w:val="16"/>
                <w:szCs w:val="16"/>
                <w:lang w:val="en-GB" w:eastAsia="en-US"/>
              </w:rPr>
              <w:t>9</w:t>
            </w:r>
          </w:p>
        </w:tc>
      </w:tr>
      <w:tr w:rsidR="00861120" w:rsidRPr="000855B2" w14:paraId="30CD27FB" w14:textId="77777777" w:rsidTr="00C84414">
        <w:tc>
          <w:tcPr>
            <w:tcW w:w="2637" w:type="dxa"/>
            <w:tcBorders>
              <w:top w:val="single" w:sz="6" w:space="0" w:color="000000"/>
              <w:left w:val="double" w:sz="6" w:space="0" w:color="auto"/>
              <w:bottom w:val="nil"/>
              <w:right w:val="single" w:sz="6" w:space="0" w:color="000000"/>
            </w:tcBorders>
            <w:vAlign w:val="center"/>
          </w:tcPr>
          <w:p w14:paraId="6FFB209C" w14:textId="77777777" w:rsidR="00861120" w:rsidRPr="008D1A83" w:rsidRDefault="00861120"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LPG</w:t>
            </w:r>
          </w:p>
        </w:tc>
        <w:tc>
          <w:tcPr>
            <w:tcW w:w="1163" w:type="dxa"/>
            <w:tcBorders>
              <w:top w:val="single" w:sz="6" w:space="0" w:color="000000"/>
              <w:left w:val="nil"/>
              <w:bottom w:val="nil"/>
              <w:right w:val="single" w:sz="6" w:space="0" w:color="000000"/>
            </w:tcBorders>
            <w:vAlign w:val="center"/>
          </w:tcPr>
          <w:p w14:paraId="101EF69D"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9.5</w:t>
            </w:r>
          </w:p>
        </w:tc>
        <w:tc>
          <w:tcPr>
            <w:tcW w:w="1163" w:type="dxa"/>
            <w:tcBorders>
              <w:top w:val="single" w:sz="6" w:space="0" w:color="000000"/>
              <w:left w:val="nil"/>
              <w:bottom w:val="nil"/>
              <w:right w:val="single" w:sz="6" w:space="0" w:color="000000"/>
            </w:tcBorders>
            <w:vAlign w:val="center"/>
          </w:tcPr>
          <w:p w14:paraId="0EE794EB" w14:textId="77777777" w:rsidR="00861120" w:rsidRPr="008D1A83" w:rsidRDefault="009E5FA3"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8.2</w:t>
            </w:r>
          </w:p>
        </w:tc>
        <w:tc>
          <w:tcPr>
            <w:tcW w:w="1163" w:type="dxa"/>
            <w:tcBorders>
              <w:top w:val="single" w:sz="6" w:space="0" w:color="000000"/>
              <w:left w:val="nil"/>
              <w:bottom w:val="nil"/>
              <w:right w:val="double" w:sz="6" w:space="0" w:color="auto"/>
            </w:tcBorders>
            <w:vAlign w:val="center"/>
          </w:tcPr>
          <w:p w14:paraId="6548B178" w14:textId="77777777" w:rsidR="00861120" w:rsidRPr="008D1A83" w:rsidRDefault="004F7A18"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22</w:t>
            </w:r>
          </w:p>
        </w:tc>
      </w:tr>
      <w:tr w:rsidR="00861120" w:rsidRPr="000855B2" w14:paraId="348FB0D8" w14:textId="77777777" w:rsidTr="00C84414">
        <w:tc>
          <w:tcPr>
            <w:tcW w:w="2637" w:type="dxa"/>
            <w:tcBorders>
              <w:top w:val="single" w:sz="6" w:space="0" w:color="000000"/>
              <w:left w:val="double" w:sz="6" w:space="0" w:color="auto"/>
              <w:bottom w:val="single" w:sz="12" w:space="0" w:color="000000"/>
              <w:right w:val="single" w:sz="6" w:space="0" w:color="000000"/>
            </w:tcBorders>
            <w:vAlign w:val="center"/>
          </w:tcPr>
          <w:p w14:paraId="4983846D" w14:textId="77777777" w:rsidR="00861120" w:rsidRPr="008D1A83" w:rsidRDefault="00861120"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r w:rsidR="00D02C42" w:rsidRPr="008D1A83">
              <w:rPr>
                <w:rFonts w:ascii="Open Sans" w:hAnsi="Open Sans" w:cs="Open Sans"/>
                <w:snapToGrid w:val="0"/>
                <w:sz w:val="16"/>
                <w:szCs w:val="16"/>
                <w:lang w:val="en-GB" w:eastAsia="en-US"/>
              </w:rPr>
              <w:t>-</w:t>
            </w:r>
            <w:r w:rsidRPr="008D1A83">
              <w:rPr>
                <w:rFonts w:ascii="Open Sans" w:hAnsi="Open Sans" w:cs="Open Sans"/>
                <w:snapToGrid w:val="0"/>
                <w:sz w:val="16"/>
                <w:szCs w:val="16"/>
                <w:lang w:val="en-GB" w:eastAsia="en-US"/>
              </w:rPr>
              <w:t>stroke</w:t>
            </w:r>
          </w:p>
        </w:tc>
        <w:tc>
          <w:tcPr>
            <w:tcW w:w="1163" w:type="dxa"/>
            <w:tcBorders>
              <w:top w:val="single" w:sz="6" w:space="0" w:color="000000"/>
              <w:left w:val="nil"/>
              <w:bottom w:val="single" w:sz="12" w:space="0" w:color="000000"/>
              <w:right w:val="single" w:sz="6" w:space="0" w:color="000000"/>
            </w:tcBorders>
            <w:vAlign w:val="center"/>
          </w:tcPr>
          <w:p w14:paraId="557C24EF"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12" w:space="0" w:color="000000"/>
              <w:right w:val="single" w:sz="6" w:space="0" w:color="000000"/>
            </w:tcBorders>
            <w:vAlign w:val="center"/>
          </w:tcPr>
          <w:p w14:paraId="16A1CEC7"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12" w:space="0" w:color="000000"/>
              <w:right w:val="double" w:sz="6" w:space="0" w:color="auto"/>
            </w:tcBorders>
            <w:vAlign w:val="center"/>
          </w:tcPr>
          <w:p w14:paraId="588655A0" w14:textId="77777777" w:rsidR="00861120" w:rsidRPr="008D1A83" w:rsidRDefault="00861120"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r w:rsidR="00A043CE" w:rsidRPr="000855B2" w14:paraId="383581D2"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07802085" w14:textId="77777777" w:rsidR="00A043CE" w:rsidRPr="008D1A83" w:rsidRDefault="00A043CE" w:rsidP="005C7955">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Light commercial vehicles</w:t>
            </w:r>
          </w:p>
        </w:tc>
        <w:tc>
          <w:tcPr>
            <w:tcW w:w="1163" w:type="dxa"/>
            <w:tcBorders>
              <w:top w:val="single" w:sz="6" w:space="0" w:color="000000"/>
              <w:left w:val="nil"/>
              <w:bottom w:val="single" w:sz="6" w:space="0" w:color="000000"/>
              <w:right w:val="single" w:sz="6" w:space="0" w:color="000000"/>
            </w:tcBorders>
            <w:vAlign w:val="center"/>
          </w:tcPr>
          <w:p w14:paraId="596C3DD2"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single" w:sz="6" w:space="0" w:color="000000"/>
            </w:tcBorders>
            <w:vAlign w:val="center"/>
          </w:tcPr>
          <w:p w14:paraId="288C8146"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double" w:sz="6" w:space="0" w:color="auto"/>
            </w:tcBorders>
            <w:vAlign w:val="center"/>
          </w:tcPr>
          <w:p w14:paraId="3148280E"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r>
      <w:tr w:rsidR="00A043CE" w:rsidRPr="000855B2" w14:paraId="5A442391" w14:textId="77777777" w:rsidTr="00C84414">
        <w:tc>
          <w:tcPr>
            <w:tcW w:w="2637" w:type="dxa"/>
            <w:tcBorders>
              <w:top w:val="single" w:sz="6" w:space="0" w:color="000000"/>
              <w:left w:val="double" w:sz="6" w:space="0" w:color="auto"/>
              <w:bottom w:val="single" w:sz="12" w:space="0" w:color="000000"/>
              <w:right w:val="single" w:sz="6" w:space="0" w:color="000000"/>
            </w:tcBorders>
            <w:vAlign w:val="center"/>
          </w:tcPr>
          <w:p w14:paraId="77C21BDE"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Diesel</w:t>
            </w:r>
          </w:p>
        </w:tc>
        <w:tc>
          <w:tcPr>
            <w:tcW w:w="1163" w:type="dxa"/>
            <w:tcBorders>
              <w:top w:val="single" w:sz="6" w:space="0" w:color="000000"/>
              <w:left w:val="nil"/>
              <w:bottom w:val="single" w:sz="12" w:space="0" w:color="000000"/>
              <w:right w:val="single" w:sz="6" w:space="0" w:color="000000"/>
            </w:tcBorders>
            <w:vAlign w:val="center"/>
          </w:tcPr>
          <w:p w14:paraId="6CB417E5"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12" w:space="0" w:color="000000"/>
              <w:right w:val="single" w:sz="6" w:space="0" w:color="000000"/>
            </w:tcBorders>
            <w:vAlign w:val="center"/>
          </w:tcPr>
          <w:p w14:paraId="54059CF5"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12" w:space="0" w:color="000000"/>
              <w:right w:val="double" w:sz="6" w:space="0" w:color="auto"/>
            </w:tcBorders>
            <w:vAlign w:val="center"/>
          </w:tcPr>
          <w:p w14:paraId="76634B14"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r>
      <w:tr w:rsidR="00A043CE" w:rsidRPr="000855B2" w14:paraId="76048EFB"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031561B3" w14:textId="77777777" w:rsidR="00A043CE" w:rsidRPr="008D1A83" w:rsidRDefault="00A043CE" w:rsidP="005C7955">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Heavy-duty vehicles</w:t>
            </w:r>
          </w:p>
        </w:tc>
        <w:tc>
          <w:tcPr>
            <w:tcW w:w="1163" w:type="dxa"/>
            <w:tcBorders>
              <w:top w:val="single" w:sz="6" w:space="0" w:color="000000"/>
              <w:left w:val="nil"/>
              <w:bottom w:val="single" w:sz="6" w:space="0" w:color="000000"/>
              <w:right w:val="single" w:sz="6" w:space="0" w:color="000000"/>
            </w:tcBorders>
            <w:vAlign w:val="center"/>
          </w:tcPr>
          <w:p w14:paraId="6651B258"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single" w:sz="6" w:space="0" w:color="000000"/>
            </w:tcBorders>
            <w:vAlign w:val="center"/>
          </w:tcPr>
          <w:p w14:paraId="6733BB27"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single" w:sz="6" w:space="0" w:color="000000"/>
              <w:left w:val="nil"/>
              <w:bottom w:val="single" w:sz="6" w:space="0" w:color="000000"/>
              <w:right w:val="double" w:sz="6" w:space="0" w:color="auto"/>
            </w:tcBorders>
            <w:vAlign w:val="center"/>
          </w:tcPr>
          <w:p w14:paraId="469FA833"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r>
      <w:tr w:rsidR="00A043CE" w:rsidRPr="000855B2" w14:paraId="2D59C079"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27EE26F3" w14:textId="77777777" w:rsidR="00A043CE" w:rsidRPr="008D1A83" w:rsidRDefault="004E1503" w:rsidP="005C7955">
            <w:pPr>
              <w:pStyle w:val="Table"/>
              <w:spacing w:line="240" w:lineRule="atLeast"/>
              <w:rPr>
                <w:rFonts w:ascii="Open Sans" w:hAnsi="Open Sans" w:cs="Open Sans"/>
                <w:snapToGrid w:val="0"/>
                <w:sz w:val="16"/>
                <w:szCs w:val="16"/>
                <w:lang w:val="en-GB" w:eastAsia="en-US"/>
              </w:rPr>
            </w:pPr>
            <w:r>
              <w:rPr>
                <w:rFonts w:ascii="Open Sans" w:hAnsi="Open Sans" w:cs="Open Sans"/>
                <w:snapToGrid w:val="0"/>
                <w:sz w:val="16"/>
                <w:szCs w:val="16"/>
                <w:lang w:val="en-GB" w:eastAsia="en-US"/>
              </w:rPr>
              <w:t>Petrol</w:t>
            </w:r>
            <w:r w:rsidR="00A043CE" w:rsidRPr="008D1A83">
              <w:rPr>
                <w:rFonts w:ascii="Open Sans" w:hAnsi="Open Sans" w:cs="Open Sans"/>
                <w:snapToGrid w:val="0"/>
                <w:sz w:val="16"/>
                <w:szCs w:val="16"/>
                <w:lang w:val="en-GB" w:eastAsia="en-US"/>
              </w:rPr>
              <w:t xml:space="preserve"> vehicle &gt; 3.5 t</w:t>
            </w:r>
          </w:p>
        </w:tc>
        <w:tc>
          <w:tcPr>
            <w:tcW w:w="1163" w:type="dxa"/>
            <w:tcBorders>
              <w:top w:val="single" w:sz="6" w:space="0" w:color="000000"/>
              <w:left w:val="nil"/>
              <w:bottom w:val="single" w:sz="6" w:space="0" w:color="000000"/>
              <w:right w:val="single" w:sz="6" w:space="0" w:color="000000"/>
            </w:tcBorders>
            <w:vAlign w:val="center"/>
          </w:tcPr>
          <w:p w14:paraId="7659042D"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single" w:sz="6" w:space="0" w:color="000000"/>
            </w:tcBorders>
            <w:vAlign w:val="center"/>
          </w:tcPr>
          <w:p w14:paraId="500232A0"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double" w:sz="6" w:space="0" w:color="auto"/>
            </w:tcBorders>
            <w:vAlign w:val="center"/>
          </w:tcPr>
          <w:p w14:paraId="7F5CFCC3"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r w:rsidR="00A043CE" w:rsidRPr="000855B2" w14:paraId="4B8931A2"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6739B0B4"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 xml:space="preserve">Diesel </w:t>
            </w:r>
            <w:r w:rsidR="00C77BF7" w:rsidRPr="008D1A83">
              <w:rPr>
                <w:rFonts w:ascii="Open Sans" w:hAnsi="Open Sans" w:cs="Open Sans"/>
                <w:snapToGrid w:val="0"/>
                <w:sz w:val="16"/>
                <w:szCs w:val="16"/>
                <w:lang w:val="en-GB" w:eastAsia="en-US"/>
              </w:rPr>
              <w:t>Euro IV or earlier</w:t>
            </w:r>
          </w:p>
        </w:tc>
        <w:tc>
          <w:tcPr>
            <w:tcW w:w="1163" w:type="dxa"/>
            <w:tcBorders>
              <w:top w:val="single" w:sz="6" w:space="0" w:color="000000"/>
              <w:left w:val="nil"/>
              <w:bottom w:val="single" w:sz="6" w:space="0" w:color="000000"/>
              <w:right w:val="single" w:sz="6" w:space="0" w:color="000000"/>
            </w:tcBorders>
            <w:vAlign w:val="center"/>
          </w:tcPr>
          <w:p w14:paraId="2B3CE5EC"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3</w:t>
            </w:r>
          </w:p>
        </w:tc>
        <w:tc>
          <w:tcPr>
            <w:tcW w:w="1163" w:type="dxa"/>
            <w:tcBorders>
              <w:top w:val="single" w:sz="6" w:space="0" w:color="000000"/>
              <w:left w:val="nil"/>
              <w:bottom w:val="single" w:sz="6" w:space="0" w:color="000000"/>
              <w:right w:val="single" w:sz="6" w:space="0" w:color="000000"/>
            </w:tcBorders>
            <w:vAlign w:val="center"/>
          </w:tcPr>
          <w:p w14:paraId="5A4D643A"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3</w:t>
            </w:r>
          </w:p>
        </w:tc>
        <w:tc>
          <w:tcPr>
            <w:tcW w:w="1163" w:type="dxa"/>
            <w:tcBorders>
              <w:top w:val="single" w:sz="6" w:space="0" w:color="000000"/>
              <w:left w:val="nil"/>
              <w:bottom w:val="single" w:sz="6" w:space="0" w:color="000000"/>
              <w:right w:val="double" w:sz="6" w:space="0" w:color="auto"/>
            </w:tcBorders>
            <w:vAlign w:val="center"/>
          </w:tcPr>
          <w:p w14:paraId="660AE893"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3</w:t>
            </w:r>
          </w:p>
        </w:tc>
      </w:tr>
      <w:tr w:rsidR="00A043CE" w:rsidRPr="000855B2" w14:paraId="7881F0EC"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6941F2B5"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 xml:space="preserve">Diesel </w:t>
            </w:r>
            <w:r w:rsidR="00C77BF7" w:rsidRPr="008D1A83">
              <w:rPr>
                <w:rFonts w:ascii="Open Sans" w:hAnsi="Open Sans" w:cs="Open Sans"/>
                <w:snapToGrid w:val="0"/>
                <w:sz w:val="16"/>
                <w:szCs w:val="16"/>
                <w:lang w:val="en-GB" w:eastAsia="en-US"/>
              </w:rPr>
              <w:t xml:space="preserve"> Euro V</w:t>
            </w:r>
          </w:p>
        </w:tc>
        <w:tc>
          <w:tcPr>
            <w:tcW w:w="1163" w:type="dxa"/>
            <w:tcBorders>
              <w:top w:val="single" w:sz="6" w:space="0" w:color="000000"/>
              <w:left w:val="nil"/>
              <w:bottom w:val="single" w:sz="6" w:space="0" w:color="000000"/>
              <w:right w:val="single" w:sz="6" w:space="0" w:color="000000"/>
            </w:tcBorders>
            <w:vAlign w:val="center"/>
          </w:tcPr>
          <w:p w14:paraId="2209084F" w14:textId="77777777" w:rsidR="00A043CE" w:rsidRPr="008D1A83" w:rsidRDefault="00897EFF"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11</w:t>
            </w:r>
          </w:p>
        </w:tc>
        <w:tc>
          <w:tcPr>
            <w:tcW w:w="1163" w:type="dxa"/>
            <w:tcBorders>
              <w:top w:val="single" w:sz="6" w:space="0" w:color="000000"/>
              <w:left w:val="nil"/>
              <w:bottom w:val="single" w:sz="6" w:space="0" w:color="000000"/>
              <w:right w:val="single" w:sz="6" w:space="0" w:color="000000"/>
            </w:tcBorders>
            <w:vAlign w:val="center"/>
          </w:tcPr>
          <w:p w14:paraId="4F909085" w14:textId="77777777" w:rsidR="00A043CE" w:rsidRPr="008D1A83" w:rsidRDefault="00897EFF"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11</w:t>
            </w:r>
          </w:p>
        </w:tc>
        <w:tc>
          <w:tcPr>
            <w:tcW w:w="1163" w:type="dxa"/>
            <w:tcBorders>
              <w:top w:val="single" w:sz="6" w:space="0" w:color="000000"/>
              <w:left w:val="nil"/>
              <w:bottom w:val="single" w:sz="6" w:space="0" w:color="000000"/>
              <w:right w:val="double" w:sz="6" w:space="0" w:color="auto"/>
            </w:tcBorders>
            <w:vAlign w:val="center"/>
          </w:tcPr>
          <w:p w14:paraId="780525A4" w14:textId="77777777" w:rsidR="00A043CE" w:rsidRPr="008D1A83" w:rsidRDefault="00897EFF"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11</w:t>
            </w:r>
          </w:p>
        </w:tc>
      </w:tr>
      <w:tr w:rsidR="00A043CE" w:rsidRPr="000855B2" w14:paraId="0FDFFEE6"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2C0480C0"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 xml:space="preserve">Diesel </w:t>
            </w:r>
            <w:r w:rsidR="00C77BF7" w:rsidRPr="008D1A83">
              <w:rPr>
                <w:rFonts w:ascii="Open Sans" w:hAnsi="Open Sans" w:cs="Open Sans"/>
                <w:snapToGrid w:val="0"/>
                <w:sz w:val="16"/>
                <w:szCs w:val="16"/>
                <w:lang w:val="en-GB" w:eastAsia="en-US"/>
              </w:rPr>
              <w:t>Euro VI</w:t>
            </w:r>
          </w:p>
        </w:tc>
        <w:tc>
          <w:tcPr>
            <w:tcW w:w="1163" w:type="dxa"/>
            <w:tcBorders>
              <w:top w:val="single" w:sz="6" w:space="0" w:color="000000"/>
              <w:left w:val="nil"/>
              <w:bottom w:val="single" w:sz="6" w:space="0" w:color="000000"/>
              <w:right w:val="single" w:sz="6" w:space="0" w:color="000000"/>
            </w:tcBorders>
            <w:vAlign w:val="center"/>
          </w:tcPr>
          <w:p w14:paraId="43CC18B2" w14:textId="77777777" w:rsidR="00A043CE" w:rsidRPr="008D1A83" w:rsidRDefault="00897EFF"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9</w:t>
            </w:r>
          </w:p>
        </w:tc>
        <w:tc>
          <w:tcPr>
            <w:tcW w:w="1163" w:type="dxa"/>
            <w:tcBorders>
              <w:top w:val="single" w:sz="6" w:space="0" w:color="000000"/>
              <w:left w:val="nil"/>
              <w:bottom w:val="single" w:sz="6" w:space="0" w:color="000000"/>
              <w:right w:val="single" w:sz="6" w:space="0" w:color="000000"/>
            </w:tcBorders>
            <w:vAlign w:val="center"/>
          </w:tcPr>
          <w:p w14:paraId="07DC416E" w14:textId="77777777" w:rsidR="00A043CE" w:rsidRPr="008D1A83" w:rsidRDefault="00897EFF"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9</w:t>
            </w:r>
          </w:p>
        </w:tc>
        <w:tc>
          <w:tcPr>
            <w:tcW w:w="1163" w:type="dxa"/>
            <w:tcBorders>
              <w:top w:val="single" w:sz="6" w:space="0" w:color="000000"/>
              <w:left w:val="nil"/>
              <w:bottom w:val="single" w:sz="6" w:space="0" w:color="000000"/>
              <w:right w:val="double" w:sz="6" w:space="0" w:color="auto"/>
            </w:tcBorders>
            <w:vAlign w:val="center"/>
          </w:tcPr>
          <w:p w14:paraId="27C6C77E" w14:textId="77777777" w:rsidR="00A043CE" w:rsidRPr="008D1A83" w:rsidRDefault="00897EFF"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9</w:t>
            </w:r>
          </w:p>
        </w:tc>
      </w:tr>
      <w:tr w:rsidR="00A043CE" w:rsidRPr="000855B2" w14:paraId="4F2E74FD" w14:textId="77777777" w:rsidTr="00C84414">
        <w:tc>
          <w:tcPr>
            <w:tcW w:w="2637" w:type="dxa"/>
            <w:tcBorders>
              <w:top w:val="single" w:sz="6" w:space="0" w:color="000000"/>
              <w:left w:val="double" w:sz="6" w:space="0" w:color="auto"/>
              <w:bottom w:val="nil"/>
              <w:right w:val="single" w:sz="6" w:space="0" w:color="000000"/>
            </w:tcBorders>
            <w:vAlign w:val="center"/>
          </w:tcPr>
          <w:p w14:paraId="1F427408"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Urban buses</w:t>
            </w:r>
          </w:p>
        </w:tc>
        <w:tc>
          <w:tcPr>
            <w:tcW w:w="1163" w:type="dxa"/>
            <w:tcBorders>
              <w:top w:val="single" w:sz="6" w:space="0" w:color="000000"/>
              <w:left w:val="nil"/>
              <w:bottom w:val="nil"/>
              <w:right w:val="single" w:sz="6" w:space="0" w:color="000000"/>
            </w:tcBorders>
            <w:vAlign w:val="center"/>
          </w:tcPr>
          <w:p w14:paraId="536A0C67"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3</w:t>
            </w:r>
          </w:p>
        </w:tc>
        <w:tc>
          <w:tcPr>
            <w:tcW w:w="1163" w:type="dxa"/>
            <w:tcBorders>
              <w:top w:val="single" w:sz="6" w:space="0" w:color="000000"/>
              <w:left w:val="nil"/>
              <w:bottom w:val="nil"/>
              <w:right w:val="single" w:sz="6" w:space="0" w:color="000000"/>
            </w:tcBorders>
            <w:vAlign w:val="center"/>
          </w:tcPr>
          <w:p w14:paraId="266ABFC9"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w:t>
            </w:r>
          </w:p>
        </w:tc>
        <w:tc>
          <w:tcPr>
            <w:tcW w:w="1163" w:type="dxa"/>
            <w:tcBorders>
              <w:top w:val="single" w:sz="6" w:space="0" w:color="000000"/>
              <w:left w:val="nil"/>
              <w:bottom w:val="nil"/>
              <w:right w:val="double" w:sz="6" w:space="0" w:color="auto"/>
            </w:tcBorders>
            <w:vAlign w:val="center"/>
          </w:tcPr>
          <w:p w14:paraId="684C38DD"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w:t>
            </w:r>
          </w:p>
        </w:tc>
      </w:tr>
      <w:tr w:rsidR="00A043CE" w:rsidRPr="000855B2" w14:paraId="685C38AC" w14:textId="77777777" w:rsidTr="00C84414">
        <w:tc>
          <w:tcPr>
            <w:tcW w:w="2637" w:type="dxa"/>
            <w:tcBorders>
              <w:top w:val="single" w:sz="6" w:space="0" w:color="000000"/>
              <w:left w:val="double" w:sz="6" w:space="0" w:color="auto"/>
              <w:bottom w:val="single" w:sz="12" w:space="0" w:color="000000"/>
              <w:right w:val="single" w:sz="6" w:space="0" w:color="000000"/>
            </w:tcBorders>
            <w:vAlign w:val="center"/>
          </w:tcPr>
          <w:p w14:paraId="444AEDAB"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Coaches</w:t>
            </w:r>
          </w:p>
        </w:tc>
        <w:tc>
          <w:tcPr>
            <w:tcW w:w="1163" w:type="dxa"/>
            <w:tcBorders>
              <w:top w:val="single" w:sz="6" w:space="0" w:color="000000"/>
              <w:left w:val="nil"/>
              <w:bottom w:val="single" w:sz="12" w:space="0" w:color="000000"/>
              <w:right w:val="single" w:sz="6" w:space="0" w:color="000000"/>
            </w:tcBorders>
            <w:vAlign w:val="center"/>
          </w:tcPr>
          <w:p w14:paraId="098C9835"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3</w:t>
            </w:r>
          </w:p>
        </w:tc>
        <w:tc>
          <w:tcPr>
            <w:tcW w:w="1163" w:type="dxa"/>
            <w:tcBorders>
              <w:top w:val="single" w:sz="6" w:space="0" w:color="000000"/>
              <w:left w:val="nil"/>
              <w:bottom w:val="single" w:sz="12" w:space="0" w:color="000000"/>
              <w:right w:val="single" w:sz="6" w:space="0" w:color="000000"/>
            </w:tcBorders>
            <w:vAlign w:val="center"/>
          </w:tcPr>
          <w:p w14:paraId="71B7EFFC"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3</w:t>
            </w:r>
          </w:p>
        </w:tc>
        <w:tc>
          <w:tcPr>
            <w:tcW w:w="1163" w:type="dxa"/>
            <w:tcBorders>
              <w:top w:val="single" w:sz="6" w:space="0" w:color="000000"/>
              <w:left w:val="nil"/>
              <w:bottom w:val="single" w:sz="12" w:space="0" w:color="000000"/>
              <w:right w:val="double" w:sz="6" w:space="0" w:color="auto"/>
            </w:tcBorders>
            <w:vAlign w:val="center"/>
          </w:tcPr>
          <w:p w14:paraId="387E825F"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3</w:t>
            </w:r>
          </w:p>
        </w:tc>
      </w:tr>
      <w:tr w:rsidR="00A043CE" w:rsidRPr="000855B2" w14:paraId="5EC5D9E3" w14:textId="77777777" w:rsidTr="00C84414">
        <w:tc>
          <w:tcPr>
            <w:tcW w:w="2637" w:type="dxa"/>
            <w:tcBorders>
              <w:top w:val="nil"/>
              <w:left w:val="double" w:sz="6" w:space="0" w:color="auto"/>
              <w:bottom w:val="single" w:sz="6" w:space="0" w:color="000000"/>
              <w:right w:val="single" w:sz="6" w:space="0" w:color="000000"/>
            </w:tcBorders>
            <w:vAlign w:val="center"/>
          </w:tcPr>
          <w:p w14:paraId="34F7073C" w14:textId="77777777" w:rsidR="00A043CE" w:rsidRPr="008D1A83" w:rsidRDefault="00A043CE" w:rsidP="005C7955">
            <w:pPr>
              <w:pStyle w:val="Table"/>
              <w:spacing w:line="240" w:lineRule="atLeast"/>
              <w:rPr>
                <w:rFonts w:ascii="Open Sans" w:hAnsi="Open Sans" w:cs="Open Sans"/>
                <w:b/>
                <w:snapToGrid w:val="0"/>
                <w:sz w:val="16"/>
                <w:szCs w:val="16"/>
                <w:lang w:val="en-GB" w:eastAsia="en-US"/>
              </w:rPr>
            </w:pPr>
            <w:r w:rsidRPr="008D1A83">
              <w:rPr>
                <w:rFonts w:ascii="Open Sans" w:hAnsi="Open Sans" w:cs="Open Sans"/>
                <w:b/>
                <w:snapToGrid w:val="0"/>
                <w:sz w:val="16"/>
                <w:szCs w:val="16"/>
                <w:lang w:val="en-GB" w:eastAsia="en-US"/>
              </w:rPr>
              <w:t>Motorcycles</w:t>
            </w:r>
          </w:p>
        </w:tc>
        <w:tc>
          <w:tcPr>
            <w:tcW w:w="1163" w:type="dxa"/>
            <w:tcBorders>
              <w:top w:val="nil"/>
              <w:left w:val="nil"/>
              <w:bottom w:val="single" w:sz="6" w:space="0" w:color="000000"/>
              <w:right w:val="single" w:sz="6" w:space="0" w:color="000000"/>
            </w:tcBorders>
            <w:vAlign w:val="center"/>
          </w:tcPr>
          <w:p w14:paraId="03DD6018"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single" w:sz="6" w:space="0" w:color="000000"/>
            </w:tcBorders>
            <w:vAlign w:val="center"/>
          </w:tcPr>
          <w:p w14:paraId="5EBC1D48"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c>
          <w:tcPr>
            <w:tcW w:w="1163" w:type="dxa"/>
            <w:tcBorders>
              <w:top w:val="nil"/>
              <w:left w:val="nil"/>
              <w:bottom w:val="single" w:sz="6" w:space="0" w:color="000000"/>
              <w:right w:val="double" w:sz="6" w:space="0" w:color="auto"/>
            </w:tcBorders>
            <w:vAlign w:val="center"/>
          </w:tcPr>
          <w:p w14:paraId="71BC4592" w14:textId="77777777" w:rsidR="00A043CE" w:rsidRPr="008D1A83" w:rsidRDefault="00A043CE" w:rsidP="005C7955">
            <w:pPr>
              <w:pStyle w:val="Table"/>
              <w:spacing w:line="240" w:lineRule="atLeast"/>
              <w:jc w:val="center"/>
              <w:rPr>
                <w:rFonts w:ascii="Open Sans" w:hAnsi="Open Sans" w:cs="Open Sans"/>
                <w:b/>
                <w:snapToGrid w:val="0"/>
                <w:sz w:val="16"/>
                <w:szCs w:val="16"/>
                <w:lang w:val="en-GB" w:eastAsia="en-US"/>
              </w:rPr>
            </w:pPr>
          </w:p>
        </w:tc>
      </w:tr>
      <w:tr w:rsidR="00A043CE" w:rsidRPr="000855B2" w14:paraId="00157E8D"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6744D060"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&lt; 50 cm³</w:t>
            </w:r>
          </w:p>
        </w:tc>
        <w:tc>
          <w:tcPr>
            <w:tcW w:w="1163" w:type="dxa"/>
            <w:tcBorders>
              <w:top w:val="single" w:sz="6" w:space="0" w:color="000000"/>
              <w:left w:val="nil"/>
              <w:bottom w:val="single" w:sz="6" w:space="0" w:color="000000"/>
              <w:right w:val="single" w:sz="6" w:space="0" w:color="000000"/>
            </w:tcBorders>
            <w:vAlign w:val="center"/>
          </w:tcPr>
          <w:p w14:paraId="55FAD6D4"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single" w:sz="6" w:space="0" w:color="000000"/>
            </w:tcBorders>
            <w:vAlign w:val="center"/>
          </w:tcPr>
          <w:p w14:paraId="131068B2"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c>
          <w:tcPr>
            <w:tcW w:w="1163" w:type="dxa"/>
            <w:tcBorders>
              <w:top w:val="single" w:sz="6" w:space="0" w:color="000000"/>
              <w:left w:val="nil"/>
              <w:bottom w:val="single" w:sz="6" w:space="0" w:color="000000"/>
              <w:right w:val="double" w:sz="6" w:space="0" w:color="auto"/>
            </w:tcBorders>
            <w:vAlign w:val="center"/>
          </w:tcPr>
          <w:p w14:paraId="778D3ACB"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1</w:t>
            </w:r>
          </w:p>
        </w:tc>
      </w:tr>
      <w:tr w:rsidR="00A043CE" w:rsidRPr="000855B2" w14:paraId="37CF1990" w14:textId="77777777" w:rsidTr="00C84414">
        <w:tc>
          <w:tcPr>
            <w:tcW w:w="2637" w:type="dxa"/>
            <w:tcBorders>
              <w:top w:val="single" w:sz="6" w:space="0" w:color="000000"/>
              <w:left w:val="double" w:sz="6" w:space="0" w:color="auto"/>
              <w:bottom w:val="single" w:sz="6" w:space="0" w:color="000000"/>
              <w:right w:val="single" w:sz="6" w:space="0" w:color="000000"/>
            </w:tcBorders>
            <w:vAlign w:val="center"/>
          </w:tcPr>
          <w:p w14:paraId="53A4A3FD"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&gt; 50 cm³ 2-stroke</w:t>
            </w:r>
          </w:p>
        </w:tc>
        <w:tc>
          <w:tcPr>
            <w:tcW w:w="1163" w:type="dxa"/>
            <w:tcBorders>
              <w:top w:val="single" w:sz="6" w:space="0" w:color="000000"/>
              <w:left w:val="nil"/>
              <w:bottom w:val="single" w:sz="6" w:space="0" w:color="000000"/>
              <w:right w:val="single" w:sz="6" w:space="0" w:color="000000"/>
            </w:tcBorders>
            <w:vAlign w:val="center"/>
          </w:tcPr>
          <w:p w14:paraId="6E3406A9"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single" w:sz="6" w:space="0" w:color="000000"/>
            </w:tcBorders>
            <w:vAlign w:val="center"/>
          </w:tcPr>
          <w:p w14:paraId="5CF0827F"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single" w:sz="6" w:space="0" w:color="000000"/>
              <w:right w:val="double" w:sz="6" w:space="0" w:color="auto"/>
            </w:tcBorders>
            <w:vAlign w:val="center"/>
          </w:tcPr>
          <w:p w14:paraId="11CB1AC8"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r w:rsidR="00A043CE" w:rsidRPr="000855B2" w14:paraId="7EFCC10E" w14:textId="77777777" w:rsidTr="00C84414">
        <w:tc>
          <w:tcPr>
            <w:tcW w:w="2637" w:type="dxa"/>
            <w:tcBorders>
              <w:top w:val="single" w:sz="6" w:space="0" w:color="000000"/>
              <w:left w:val="double" w:sz="6" w:space="0" w:color="auto"/>
              <w:bottom w:val="double" w:sz="6" w:space="0" w:color="auto"/>
              <w:right w:val="single" w:sz="6" w:space="0" w:color="000000"/>
            </w:tcBorders>
            <w:vAlign w:val="center"/>
          </w:tcPr>
          <w:p w14:paraId="1F1477EA" w14:textId="77777777" w:rsidR="00A043CE" w:rsidRPr="008D1A83" w:rsidRDefault="00A043CE" w:rsidP="005C7955">
            <w:pPr>
              <w:pStyle w:val="Table"/>
              <w:spacing w:line="240" w:lineRule="atLeast"/>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&gt; 50 cm³ 4-stroke</w:t>
            </w:r>
          </w:p>
        </w:tc>
        <w:tc>
          <w:tcPr>
            <w:tcW w:w="1163" w:type="dxa"/>
            <w:tcBorders>
              <w:top w:val="single" w:sz="6" w:space="0" w:color="000000"/>
              <w:left w:val="nil"/>
              <w:bottom w:val="double" w:sz="6" w:space="0" w:color="auto"/>
              <w:right w:val="single" w:sz="6" w:space="0" w:color="000000"/>
            </w:tcBorders>
            <w:vAlign w:val="center"/>
          </w:tcPr>
          <w:p w14:paraId="6F49143C"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double" w:sz="6" w:space="0" w:color="auto"/>
              <w:right w:val="single" w:sz="6" w:space="0" w:color="000000"/>
            </w:tcBorders>
            <w:vAlign w:val="center"/>
          </w:tcPr>
          <w:p w14:paraId="619A45E5"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c>
          <w:tcPr>
            <w:tcW w:w="1163" w:type="dxa"/>
            <w:tcBorders>
              <w:top w:val="single" w:sz="6" w:space="0" w:color="000000"/>
              <w:left w:val="nil"/>
              <w:bottom w:val="double" w:sz="6" w:space="0" w:color="auto"/>
              <w:right w:val="double" w:sz="6" w:space="0" w:color="auto"/>
            </w:tcBorders>
            <w:vAlign w:val="center"/>
          </w:tcPr>
          <w:p w14:paraId="76784505" w14:textId="77777777" w:rsidR="00A043CE" w:rsidRPr="008D1A83" w:rsidRDefault="00A043CE" w:rsidP="005C7955">
            <w:pPr>
              <w:pStyle w:val="Table"/>
              <w:spacing w:line="240" w:lineRule="atLeast"/>
              <w:jc w:val="center"/>
              <w:rPr>
                <w:rFonts w:ascii="Open Sans" w:hAnsi="Open Sans" w:cs="Open Sans"/>
                <w:snapToGrid w:val="0"/>
                <w:sz w:val="16"/>
                <w:szCs w:val="16"/>
                <w:lang w:val="en-GB" w:eastAsia="en-US"/>
              </w:rPr>
            </w:pPr>
            <w:r w:rsidRPr="008D1A83">
              <w:rPr>
                <w:rFonts w:ascii="Open Sans" w:hAnsi="Open Sans" w:cs="Open Sans"/>
                <w:snapToGrid w:val="0"/>
                <w:sz w:val="16"/>
                <w:szCs w:val="16"/>
                <w:lang w:val="en-GB" w:eastAsia="en-US"/>
              </w:rPr>
              <w:t>2</w:t>
            </w:r>
          </w:p>
        </w:tc>
      </w:tr>
    </w:tbl>
    <w:p w14:paraId="41873A2F" w14:textId="77777777" w:rsidR="001D2587" w:rsidRPr="000855B2" w:rsidRDefault="001D2587" w:rsidP="00B40603">
      <w:pPr>
        <w:pStyle w:val="Heading5"/>
      </w:pPr>
      <w:r w:rsidRPr="000855B2">
        <w:t>PAHs and POPs</w:t>
      </w:r>
    </w:p>
    <w:p w14:paraId="7BCFFFE7" w14:textId="66DF326D" w:rsidR="001D2587" w:rsidRPr="000855B2" w:rsidRDefault="001D2587" w:rsidP="0083104A">
      <w:pPr>
        <w:pStyle w:val="BodyText"/>
      </w:pPr>
      <w:r w:rsidRPr="000855B2">
        <w:t xml:space="preserve">Emission factors (in μg/km) for </w:t>
      </w:r>
      <w:r w:rsidR="00487F5D" w:rsidRPr="000855B2">
        <w:t xml:space="preserve">specific </w:t>
      </w:r>
      <w:r w:rsidRPr="000855B2">
        <w:t xml:space="preserve">polycyclic aromatic hydrocarbons (PAHs) and persistent organic pollutants (POPs) are given in </w:t>
      </w:r>
      <w:r w:rsidR="00FB454C">
        <w:fldChar w:fldCharType="begin"/>
      </w:r>
      <w:r w:rsidR="00FB454C">
        <w:instrText xml:space="preserve"> REF _Ref140414665 \h  \* MERGEFORMAT </w:instrText>
      </w:r>
      <w:r w:rsidR="00FB454C">
        <w:fldChar w:fldCharType="separate"/>
      </w:r>
      <w:r w:rsidR="0071604C" w:rsidRPr="000855B2">
        <w:t>Table </w:t>
      </w:r>
      <w:r w:rsidR="0071604C">
        <w:t>3.74</w:t>
      </w:r>
      <w:r w:rsidR="00FB454C">
        <w:fldChar w:fldCharType="end"/>
      </w:r>
      <w:r w:rsidR="00487F5D" w:rsidRPr="000855B2">
        <w:t xml:space="preserve">. Different </w:t>
      </w:r>
      <w:r w:rsidRPr="000855B2">
        <w:t>vehicle categories</w:t>
      </w:r>
      <w:r w:rsidR="00487F5D" w:rsidRPr="000855B2">
        <w:t xml:space="preserve"> are covered</w:t>
      </w:r>
      <w:r w:rsidRPr="000855B2">
        <w:t xml:space="preserve">. A rough distinction is made </w:t>
      </w:r>
      <w:r w:rsidR="00487F5D" w:rsidRPr="000855B2">
        <w:t>between</w:t>
      </w:r>
      <w:r w:rsidRPr="000855B2">
        <w:t xml:space="preserve"> conventional (pre</w:t>
      </w:r>
      <w:r w:rsidR="00D02C42" w:rsidRPr="000855B2">
        <w:t>-</w:t>
      </w:r>
      <w:r w:rsidRPr="000855B2">
        <w:t>Euro I) and closed</w:t>
      </w:r>
      <w:r w:rsidR="00487F5D" w:rsidRPr="000855B2">
        <w:t>-</w:t>
      </w:r>
      <w:r w:rsidRPr="000855B2">
        <w:t xml:space="preserve">loop catalyst vehicles (Euro I and </w:t>
      </w:r>
      <w:r w:rsidR="00487F5D" w:rsidRPr="000855B2">
        <w:t>later</w:t>
      </w:r>
      <w:r w:rsidRPr="000855B2">
        <w:t xml:space="preserve">). For diesel passenger cars and </w:t>
      </w:r>
      <w:r w:rsidR="00CF67A4" w:rsidRPr="000855B2">
        <w:t>light commercial</w:t>
      </w:r>
      <w:r w:rsidRPr="000855B2">
        <w:t xml:space="preserve"> vehicles, different emission factors are </w:t>
      </w:r>
      <w:r w:rsidR="00487F5D" w:rsidRPr="000855B2">
        <w:t>given</w:t>
      </w:r>
      <w:r w:rsidRPr="000855B2">
        <w:t xml:space="preserve"> for direct injection </w:t>
      </w:r>
      <w:r w:rsidR="00487F5D" w:rsidRPr="000855B2">
        <w:t xml:space="preserve">(DI) </w:t>
      </w:r>
      <w:r w:rsidRPr="000855B2">
        <w:t xml:space="preserve">and indirect injection </w:t>
      </w:r>
      <w:r w:rsidR="00487F5D" w:rsidRPr="000855B2">
        <w:t xml:space="preserve">(IDI) </w:t>
      </w:r>
      <w:r w:rsidRPr="000855B2">
        <w:t>vehicles. Since statistical information on the distribution of vehicles according to their combustion concept is difficult to collect, it is proposed t</w:t>
      </w:r>
      <w:r w:rsidR="00487F5D" w:rsidRPr="000855B2">
        <w:t xml:space="preserve">hat </w:t>
      </w:r>
      <w:r w:rsidRPr="000855B2">
        <w:t xml:space="preserve">the average (DI, IDI) emission factor </w:t>
      </w:r>
      <w:r w:rsidR="00487F5D" w:rsidRPr="000855B2">
        <w:t xml:space="preserve">is used </w:t>
      </w:r>
      <w:r w:rsidRPr="000855B2">
        <w:t>to estimate emissions from diesel non</w:t>
      </w:r>
      <w:r w:rsidR="006F1553" w:rsidRPr="000855B2">
        <w:t>-</w:t>
      </w:r>
      <w:r w:rsidRPr="000855B2">
        <w:t>heavy</w:t>
      </w:r>
      <w:r w:rsidR="006F1553" w:rsidRPr="000855B2">
        <w:t>-</w:t>
      </w:r>
      <w:r w:rsidRPr="000855B2">
        <w:t>duty vehicles.</w:t>
      </w:r>
    </w:p>
    <w:p w14:paraId="75993128" w14:textId="1E50445E" w:rsidR="001D2587" w:rsidRPr="000855B2" w:rsidRDefault="00487F5D" w:rsidP="0083104A">
      <w:pPr>
        <w:pStyle w:val="BodyText"/>
        <w:rPr>
          <w:snapToGrid w:val="0"/>
        </w:rPr>
      </w:pPr>
      <w:r w:rsidRPr="000855B2">
        <w:t xml:space="preserve">The </w:t>
      </w:r>
      <w:r w:rsidR="0069595F" w:rsidRPr="000855B2">
        <w:t>methodology</w:t>
      </w:r>
      <w:r w:rsidR="001D2587" w:rsidRPr="000855B2">
        <w:t xml:space="preserve"> is applicable </w:t>
      </w:r>
      <w:r w:rsidRPr="000855B2">
        <w:t>to</w:t>
      </w:r>
      <w:r w:rsidR="001D2587" w:rsidRPr="000855B2">
        <w:t xml:space="preserve"> the </w:t>
      </w:r>
      <w:r w:rsidR="000D44AA" w:rsidRPr="000855B2">
        <w:t>four PAHs relevant for the UNECE POPs protocol</w:t>
      </w:r>
      <w:r w:rsidRPr="000855B2">
        <w:t xml:space="preserve">: </w:t>
      </w:r>
      <w:r w:rsidR="000D44AA" w:rsidRPr="000855B2">
        <w:rPr>
          <w:snapToGrid w:val="0"/>
        </w:rPr>
        <w:t>indeno(1,2,3-cd)pyrene, benzo</w:t>
      </w:r>
      <w:r w:rsidR="001D2587" w:rsidRPr="000855B2">
        <w:rPr>
          <w:snapToGrid w:val="0"/>
        </w:rPr>
        <w:t xml:space="preserve">(k)fluoranthene, </w:t>
      </w:r>
      <w:r w:rsidR="000D44AA" w:rsidRPr="000855B2">
        <w:rPr>
          <w:snapToGrid w:val="0"/>
        </w:rPr>
        <w:t>benzo</w:t>
      </w:r>
      <w:r w:rsidR="001D2587" w:rsidRPr="000855B2">
        <w:rPr>
          <w:snapToGrid w:val="0"/>
        </w:rPr>
        <w:t xml:space="preserve">(b)fluoranthene, </w:t>
      </w:r>
      <w:r w:rsidR="000D44AA" w:rsidRPr="000855B2">
        <w:rPr>
          <w:snapToGrid w:val="0"/>
        </w:rPr>
        <w:t>benzo</w:t>
      </w:r>
      <w:r w:rsidR="001D2587" w:rsidRPr="000855B2">
        <w:rPr>
          <w:snapToGrid w:val="0"/>
        </w:rPr>
        <w:t>(a)pyrene</w:t>
      </w:r>
      <w:r w:rsidRPr="000855B2">
        <w:rPr>
          <w:snapToGrid w:val="0"/>
        </w:rPr>
        <w:t>,</w:t>
      </w:r>
      <w:r w:rsidR="001D2587" w:rsidRPr="000855B2">
        <w:rPr>
          <w:snapToGrid w:val="0"/>
        </w:rPr>
        <w:t xml:space="preserve"> and several others. Th</w:t>
      </w:r>
      <w:r w:rsidRPr="000855B2">
        <w:rPr>
          <w:snapToGrid w:val="0"/>
        </w:rPr>
        <w:t>e</w:t>
      </w:r>
      <w:r w:rsidR="001D2587" w:rsidRPr="000855B2">
        <w:rPr>
          <w:snapToGrid w:val="0"/>
        </w:rPr>
        <w:t>se emission factors should be considered as bulk values</w:t>
      </w:r>
      <w:r w:rsidRPr="000855B2">
        <w:rPr>
          <w:snapToGrid w:val="0"/>
        </w:rPr>
        <w:t>,</w:t>
      </w:r>
      <w:r w:rsidR="001D2587" w:rsidRPr="000855B2">
        <w:rPr>
          <w:snapToGrid w:val="0"/>
        </w:rPr>
        <w:t xml:space="preserve"> and no distinction is made </w:t>
      </w:r>
      <w:r w:rsidRPr="000855B2">
        <w:rPr>
          <w:snapToGrid w:val="0"/>
        </w:rPr>
        <w:t>between</w:t>
      </w:r>
      <w:r w:rsidR="001D2587" w:rsidRPr="000855B2">
        <w:rPr>
          <w:snapToGrid w:val="0"/>
        </w:rPr>
        <w:t xml:space="preserve"> hot and cold</w:t>
      </w:r>
      <w:r w:rsidRPr="000855B2">
        <w:rPr>
          <w:snapToGrid w:val="0"/>
        </w:rPr>
        <w:t>-</w:t>
      </w:r>
      <w:r w:rsidR="001D2587" w:rsidRPr="000855B2">
        <w:rPr>
          <w:snapToGrid w:val="0"/>
        </w:rPr>
        <w:t xml:space="preserve">start emissions. They have been developed on the basis of </w:t>
      </w:r>
      <w:r w:rsidRPr="000855B2">
        <w:rPr>
          <w:snapToGrid w:val="0"/>
        </w:rPr>
        <w:t xml:space="preserve">a </w:t>
      </w:r>
      <w:r w:rsidR="001D2587" w:rsidRPr="000855B2">
        <w:rPr>
          <w:snapToGrid w:val="0"/>
        </w:rPr>
        <w:t>literature review</w:t>
      </w:r>
      <w:r w:rsidRPr="000855B2">
        <w:rPr>
          <w:snapToGrid w:val="0"/>
        </w:rPr>
        <w:t>,</w:t>
      </w:r>
      <w:r w:rsidR="001D2587" w:rsidRPr="000855B2">
        <w:rPr>
          <w:snapToGrid w:val="0"/>
        </w:rPr>
        <w:t xml:space="preserve"> including the following sources: </w:t>
      </w:r>
      <w:r w:rsidR="001D2587" w:rsidRPr="000855B2">
        <w:t xml:space="preserve">BUWAL </w:t>
      </w:r>
      <w:r w:rsidRPr="000855B2">
        <w:t>(</w:t>
      </w:r>
      <w:r w:rsidR="001D2587" w:rsidRPr="000855B2">
        <w:t>1994</w:t>
      </w:r>
      <w:r w:rsidRPr="000855B2">
        <w:t>),</w:t>
      </w:r>
      <w:r w:rsidR="001D2587" w:rsidRPr="000855B2">
        <w:rPr>
          <w:snapToGrid w:val="0"/>
        </w:rPr>
        <w:t xml:space="preserve"> </w:t>
      </w:r>
      <w:smartTag w:uri="urn:schemas-microsoft-com:office:smarttags" w:element="stockticker">
        <w:r w:rsidR="001D2587" w:rsidRPr="000855B2">
          <w:rPr>
            <w:snapToGrid w:val="0"/>
          </w:rPr>
          <w:t>TNO</w:t>
        </w:r>
      </w:smartTag>
      <w:r w:rsidR="001D2587" w:rsidRPr="000855B2">
        <w:rPr>
          <w:snapToGrid w:val="0"/>
        </w:rPr>
        <w:t xml:space="preserve"> </w:t>
      </w:r>
      <w:r w:rsidRPr="000855B2">
        <w:rPr>
          <w:snapToGrid w:val="0"/>
        </w:rPr>
        <w:t>(</w:t>
      </w:r>
      <w:r w:rsidR="001D2587" w:rsidRPr="000855B2">
        <w:rPr>
          <w:snapToGrid w:val="0"/>
        </w:rPr>
        <w:t>1993b</w:t>
      </w:r>
      <w:r w:rsidRPr="000855B2">
        <w:rPr>
          <w:snapToGrid w:val="0"/>
        </w:rPr>
        <w:t>),</w:t>
      </w:r>
      <w:r w:rsidR="001D2587" w:rsidRPr="000855B2">
        <w:rPr>
          <w:snapToGrid w:val="0"/>
        </w:rPr>
        <w:t xml:space="preserve"> Volkswagen </w:t>
      </w:r>
      <w:r w:rsidRPr="000855B2">
        <w:rPr>
          <w:snapToGrid w:val="0"/>
        </w:rPr>
        <w:t>(</w:t>
      </w:r>
      <w:r w:rsidR="001D2587" w:rsidRPr="000855B2">
        <w:rPr>
          <w:snapToGrid w:val="0"/>
        </w:rPr>
        <w:t>1989</w:t>
      </w:r>
      <w:r w:rsidRPr="000855B2">
        <w:rPr>
          <w:snapToGrid w:val="0"/>
        </w:rPr>
        <w:t>)</w:t>
      </w:r>
      <w:r w:rsidR="001D2587" w:rsidRPr="000855B2">
        <w:rPr>
          <w:snapToGrid w:val="0"/>
        </w:rPr>
        <w:t xml:space="preserve">. </w:t>
      </w:r>
      <w:r w:rsidRPr="000855B2">
        <w:rPr>
          <w:snapToGrid w:val="0"/>
        </w:rPr>
        <w:t>The a</w:t>
      </w:r>
      <w:r w:rsidR="001D2587" w:rsidRPr="000855B2">
        <w:rPr>
          <w:snapToGrid w:val="0"/>
        </w:rPr>
        <w:t xml:space="preserve">pplication of equation </w:t>
      </w:r>
      <w:r w:rsidR="00FB454C">
        <w:fldChar w:fldCharType="begin"/>
      </w:r>
      <w:r w:rsidR="00FB454C">
        <w:instrText xml:space="preserve"> REF _Ref140576510 \h  \* MERGEFORMAT </w:instrText>
      </w:r>
      <w:r w:rsidR="00FB454C">
        <w:fldChar w:fldCharType="separate"/>
      </w:r>
      <w:r w:rsidR="0071604C" w:rsidRPr="000855B2">
        <w:t>(</w:t>
      </w:r>
      <w:r w:rsidR="0071604C">
        <w:t>8</w:t>
      </w:r>
      <w:r w:rsidR="0071604C" w:rsidRPr="000855B2">
        <w:t>)</w:t>
      </w:r>
      <w:r w:rsidR="00FB454C">
        <w:fldChar w:fldCharType="end"/>
      </w:r>
      <w:r w:rsidR="001D2587" w:rsidRPr="000855B2">
        <w:rPr>
          <w:snapToGrid w:val="0"/>
        </w:rPr>
        <w:t xml:space="preserve"> </w:t>
      </w:r>
      <w:r w:rsidRPr="000855B2">
        <w:rPr>
          <w:snapToGrid w:val="0"/>
        </w:rPr>
        <w:t>to</w:t>
      </w:r>
      <w:r w:rsidR="001D2587" w:rsidRPr="000855B2">
        <w:rPr>
          <w:snapToGrid w:val="0"/>
        </w:rPr>
        <w:t xml:space="preserve"> th</w:t>
      </w:r>
      <w:r w:rsidRPr="000855B2">
        <w:rPr>
          <w:snapToGrid w:val="0"/>
        </w:rPr>
        <w:t>e</w:t>
      </w:r>
      <w:r w:rsidR="001D2587" w:rsidRPr="000855B2">
        <w:rPr>
          <w:snapToGrid w:val="0"/>
        </w:rPr>
        <w:t>se emission factors provides total emissions of PAHs and POPs per vehicle class.</w:t>
      </w:r>
    </w:p>
    <w:p w14:paraId="10FFCFA2" w14:textId="77777777" w:rsidR="001D2587" w:rsidRPr="000855B2" w:rsidRDefault="001D2587" w:rsidP="0083104A">
      <w:pPr>
        <w:pStyle w:val="BodyText"/>
      </w:pPr>
      <w:r w:rsidRPr="000855B2">
        <w:t xml:space="preserve">PAH and </w:t>
      </w:r>
      <w:smartTag w:uri="urn:schemas-microsoft-com:office:smarttags" w:element="stockticker">
        <w:r w:rsidRPr="000855B2">
          <w:t>POP</w:t>
        </w:r>
      </w:smartTag>
      <w:r w:rsidRPr="000855B2">
        <w:t xml:space="preserve"> emissions from </w:t>
      </w:r>
      <w:r w:rsidR="00C97944" w:rsidRPr="000855B2">
        <w:t>four-stroke</w:t>
      </w:r>
      <w:r w:rsidRPr="000855B2">
        <w:t xml:space="preserve"> motorcycles are estimated </w:t>
      </w:r>
      <w:r w:rsidR="00223425" w:rsidRPr="000855B2">
        <w:t>using</w:t>
      </w:r>
      <w:r w:rsidRPr="000855B2">
        <w:t xml:space="preserve"> the emission factors for conventional </w:t>
      </w:r>
      <w:r w:rsidR="005E4DC4">
        <w:t>petrol</w:t>
      </w:r>
      <w:r w:rsidRPr="000855B2">
        <w:t xml:space="preserve"> cars. This approach </w:t>
      </w:r>
      <w:r w:rsidR="00223425" w:rsidRPr="000855B2">
        <w:t>will</w:t>
      </w:r>
      <w:r w:rsidRPr="000855B2">
        <w:t xml:space="preserve"> </w:t>
      </w:r>
      <w:r w:rsidR="00223425" w:rsidRPr="000855B2">
        <w:t>be</w:t>
      </w:r>
      <w:r w:rsidRPr="000855B2">
        <w:t xml:space="preserve"> modifi</w:t>
      </w:r>
      <w:r w:rsidR="00223425" w:rsidRPr="000855B2">
        <w:t>ed</w:t>
      </w:r>
      <w:r w:rsidRPr="000855B2">
        <w:t xml:space="preserve"> as soon any </w:t>
      </w:r>
      <w:r w:rsidR="00223425" w:rsidRPr="000855B2">
        <w:t>data</w:t>
      </w:r>
      <w:r w:rsidRPr="000855B2">
        <w:t xml:space="preserve"> on emissions of </w:t>
      </w:r>
      <w:r w:rsidR="00223425" w:rsidRPr="000855B2">
        <w:t>these pollutants</w:t>
      </w:r>
      <w:r w:rsidRPr="000855B2">
        <w:t xml:space="preserve"> from motorcycles become available.</w:t>
      </w:r>
    </w:p>
    <w:p w14:paraId="40CD3652" w14:textId="77777777" w:rsidR="001119F4" w:rsidRPr="000855B2" w:rsidRDefault="001119F4" w:rsidP="001119F4">
      <w:pPr>
        <w:pStyle w:val="Heading5"/>
      </w:pPr>
      <w:r w:rsidRPr="000855B2">
        <w:t>Dioxins and furans</w:t>
      </w:r>
    </w:p>
    <w:p w14:paraId="1BA9B1AC" w14:textId="0073F6F1" w:rsidR="001119F4" w:rsidRPr="000855B2" w:rsidRDefault="001119F4" w:rsidP="0083104A">
      <w:pPr>
        <w:pStyle w:val="BodyText"/>
      </w:pPr>
      <w:r w:rsidRPr="000855B2">
        <w:t>Emission factors for dioxins and furans are given in</w:t>
      </w:r>
      <w:r w:rsidR="0031633C" w:rsidRPr="000855B2">
        <w:t xml:space="preserve"> </w:t>
      </w:r>
      <w:r w:rsidR="00E17971" w:rsidRPr="000855B2">
        <w:fldChar w:fldCharType="begin"/>
      </w:r>
      <w:r w:rsidR="0031633C" w:rsidRPr="000855B2">
        <w:instrText xml:space="preserve"> REF _Ref400296859 \h </w:instrText>
      </w:r>
      <w:r w:rsidR="00E17971" w:rsidRPr="000855B2">
        <w:fldChar w:fldCharType="separate"/>
      </w:r>
      <w:r w:rsidR="0071604C" w:rsidRPr="000855B2">
        <w:t>Table </w:t>
      </w:r>
      <w:r w:rsidR="0071604C">
        <w:rPr>
          <w:noProof/>
        </w:rPr>
        <w:t>3</w:t>
      </w:r>
      <w:r w:rsidR="0071604C">
        <w:t>.</w:t>
      </w:r>
      <w:r w:rsidR="0071604C">
        <w:rPr>
          <w:noProof/>
        </w:rPr>
        <w:t>75</w:t>
      </w:r>
      <w:r w:rsidR="00E17971" w:rsidRPr="000855B2">
        <w:fldChar w:fldCharType="end"/>
      </w:r>
      <w:r w:rsidRPr="000855B2">
        <w:t>. These are provided separately to other POPs because an aggregate toxicity equivalent emission factor is provided. This emission factor takes into account the toxicity of different dioxin and furan compounds according to the NATO Committee on the Challenges of the Modern Society (NATO-CCMS). Actual emission factors for different dioxins and furans have been collected from the available literature (Umweltbundesamt, 1996)</w:t>
      </w:r>
      <w:r w:rsidR="004C1CF6" w:rsidRPr="000855B2">
        <w:t xml:space="preserve"> and from a relevant literature study (Pastramas et al. 2014)</w:t>
      </w:r>
      <w:r w:rsidRPr="000855B2">
        <w:t xml:space="preserve">. The final value is a bulk emission factor expressed in pg/km. Due to the limited available information, these emission factors need to be reconsidered when updated data become </w:t>
      </w:r>
      <w:r w:rsidRPr="000855B2">
        <w:lastRenderedPageBreak/>
        <w:t>available</w:t>
      </w:r>
      <w:r w:rsidR="004C1CF6" w:rsidRPr="000855B2">
        <w:t xml:space="preserve">, especially with regard to HCB and PCB, for which data from road vehicles </w:t>
      </w:r>
      <w:r w:rsidR="00CD5312" w:rsidRPr="000855B2">
        <w:t>are</w:t>
      </w:r>
      <w:r w:rsidR="004C1CF6" w:rsidRPr="000855B2">
        <w:t xml:space="preserve"> scarce or </w:t>
      </w:r>
      <w:r w:rsidR="00F73BA1" w:rsidRPr="000855B2">
        <w:t>virtually</w:t>
      </w:r>
      <w:r w:rsidR="004C1CF6" w:rsidRPr="000855B2">
        <w:t xml:space="preserve"> non existent</w:t>
      </w:r>
      <w:r w:rsidRPr="000855B2">
        <w:t xml:space="preserve">. In order to ensure a consistent approach for all vehicle sources, dioxin and furan emissions from four-stroke motorcycles are calculated using the same toxicity equivalent emission factors as conventional </w:t>
      </w:r>
      <w:r w:rsidR="005E4DC4">
        <w:t>petrol</w:t>
      </w:r>
      <w:r w:rsidRPr="000855B2">
        <w:t xml:space="preserve"> vehicles.</w:t>
      </w:r>
    </w:p>
    <w:p w14:paraId="5811CAB5" w14:textId="20E4BEDB" w:rsidR="001119F4" w:rsidRPr="000855B2" w:rsidRDefault="001119F4" w:rsidP="008D1A83">
      <w:pPr>
        <w:pStyle w:val="Caption"/>
      </w:pPr>
      <w:bookmarkStart w:id="260" w:name="_Ref140414665"/>
      <w:bookmarkStart w:id="261" w:name="_Toc482876852"/>
      <w:bookmarkStart w:id="262" w:name="_Toc496265306"/>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74</w:t>
      </w:r>
      <w:r w:rsidR="00FB454C">
        <w:rPr>
          <w:noProof/>
        </w:rPr>
        <w:fldChar w:fldCharType="end"/>
      </w:r>
      <w:bookmarkEnd w:id="260"/>
      <w:r w:rsidRPr="000855B2">
        <w:t>: PAHs and POPs bulk (hot + cold) emission factors</w:t>
      </w:r>
      <w:bookmarkEnd w:id="261"/>
      <w:bookmarkEnd w:id="262"/>
    </w:p>
    <w:tbl>
      <w:tblPr>
        <w:tblW w:w="7961" w:type="dxa"/>
        <w:tblLook w:val="04A0" w:firstRow="1" w:lastRow="0" w:firstColumn="1" w:lastColumn="0" w:noHBand="0" w:noVBand="1"/>
      </w:tblPr>
      <w:tblGrid>
        <w:gridCol w:w="1984"/>
        <w:gridCol w:w="1158"/>
        <w:gridCol w:w="1134"/>
        <w:gridCol w:w="992"/>
        <w:gridCol w:w="992"/>
        <w:gridCol w:w="851"/>
        <w:gridCol w:w="850"/>
      </w:tblGrid>
      <w:tr w:rsidR="0004557C" w:rsidRPr="00011948" w14:paraId="630EC7FB" w14:textId="77777777" w:rsidTr="00887829">
        <w:trPr>
          <w:trHeight w:val="240"/>
        </w:trPr>
        <w:tc>
          <w:tcPr>
            <w:tcW w:w="1984"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14:paraId="3D9A5693" w14:textId="77777777" w:rsidR="0004557C" w:rsidRPr="00011948" w:rsidRDefault="0004557C" w:rsidP="005C7955">
            <w:pPr>
              <w:keepNext/>
              <w:keepLines/>
              <w:suppressAutoHyphens/>
              <w:spacing w:line="240" w:lineRule="atLeast"/>
              <w:jc w:val="center"/>
              <w:rPr>
                <w:b/>
                <w:sz w:val="16"/>
              </w:rPr>
            </w:pPr>
            <w:r w:rsidRPr="00011948">
              <w:rPr>
                <w:b/>
                <w:sz w:val="16"/>
              </w:rPr>
              <w:t>Species</w:t>
            </w:r>
          </w:p>
        </w:tc>
        <w:tc>
          <w:tcPr>
            <w:tcW w:w="5127" w:type="dxa"/>
            <w:gridSpan w:val="5"/>
            <w:tcBorders>
              <w:top w:val="double" w:sz="6" w:space="0" w:color="auto"/>
              <w:left w:val="nil"/>
              <w:bottom w:val="single" w:sz="8" w:space="0" w:color="auto"/>
              <w:right w:val="nil"/>
            </w:tcBorders>
            <w:shd w:val="clear" w:color="auto" w:fill="auto"/>
            <w:noWrap/>
            <w:vAlign w:val="center"/>
            <w:hideMark/>
          </w:tcPr>
          <w:p w14:paraId="64F8108E" w14:textId="77777777" w:rsidR="0004557C" w:rsidRPr="00011948" w:rsidRDefault="0004557C" w:rsidP="005C7955">
            <w:pPr>
              <w:keepNext/>
              <w:keepLines/>
              <w:suppressAutoHyphens/>
              <w:spacing w:line="240" w:lineRule="atLeast"/>
              <w:jc w:val="center"/>
              <w:rPr>
                <w:b/>
                <w:sz w:val="16"/>
              </w:rPr>
            </w:pPr>
            <w:r w:rsidRPr="00011948">
              <w:rPr>
                <w:b/>
                <w:sz w:val="16"/>
              </w:rPr>
              <w:t>Bulk emission factors (μg/km)</w:t>
            </w:r>
          </w:p>
        </w:tc>
        <w:tc>
          <w:tcPr>
            <w:tcW w:w="850" w:type="dxa"/>
            <w:tcBorders>
              <w:top w:val="double" w:sz="6" w:space="0" w:color="auto"/>
              <w:left w:val="nil"/>
              <w:bottom w:val="single" w:sz="8" w:space="0" w:color="auto"/>
              <w:right w:val="double" w:sz="6" w:space="0" w:color="auto"/>
            </w:tcBorders>
            <w:shd w:val="clear" w:color="auto" w:fill="auto"/>
            <w:noWrap/>
            <w:vAlign w:val="center"/>
            <w:hideMark/>
          </w:tcPr>
          <w:p w14:paraId="1B9FF88C" w14:textId="77777777" w:rsidR="0004557C" w:rsidRPr="00011948" w:rsidRDefault="0004557C" w:rsidP="005C7955">
            <w:pPr>
              <w:keepNext/>
              <w:keepLines/>
              <w:suppressAutoHyphens/>
              <w:spacing w:line="240" w:lineRule="atLeast"/>
              <w:jc w:val="center"/>
              <w:rPr>
                <w:b/>
                <w:sz w:val="16"/>
              </w:rPr>
            </w:pPr>
          </w:p>
        </w:tc>
      </w:tr>
      <w:tr w:rsidR="0004557C" w:rsidRPr="00011948" w14:paraId="7FE0CA0A" w14:textId="77777777" w:rsidTr="00887829">
        <w:trPr>
          <w:trHeight w:val="240"/>
        </w:trPr>
        <w:tc>
          <w:tcPr>
            <w:tcW w:w="1984" w:type="dxa"/>
            <w:vMerge/>
            <w:tcBorders>
              <w:top w:val="double" w:sz="6" w:space="0" w:color="auto"/>
              <w:left w:val="double" w:sz="6" w:space="0" w:color="auto"/>
              <w:bottom w:val="single" w:sz="8" w:space="0" w:color="000000"/>
              <w:right w:val="single" w:sz="4" w:space="0" w:color="auto"/>
            </w:tcBorders>
            <w:vAlign w:val="center"/>
            <w:hideMark/>
          </w:tcPr>
          <w:p w14:paraId="491AE012" w14:textId="77777777" w:rsidR="0004557C" w:rsidRPr="00011948" w:rsidRDefault="0004557C" w:rsidP="005C7955">
            <w:pPr>
              <w:keepNext/>
              <w:keepLines/>
              <w:suppressAutoHyphens/>
              <w:spacing w:line="240" w:lineRule="atLeast"/>
              <w:jc w:val="center"/>
              <w:rPr>
                <w:b/>
                <w:sz w:val="16"/>
              </w:rPr>
            </w:pPr>
          </w:p>
        </w:tc>
        <w:tc>
          <w:tcPr>
            <w:tcW w:w="229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712DDFE" w14:textId="77777777" w:rsidR="0004557C" w:rsidRPr="00011948" w:rsidRDefault="004E1503" w:rsidP="005C7955">
            <w:pPr>
              <w:keepNext/>
              <w:keepLines/>
              <w:suppressAutoHyphens/>
              <w:spacing w:line="240" w:lineRule="atLeast"/>
              <w:jc w:val="center"/>
              <w:rPr>
                <w:b/>
                <w:sz w:val="16"/>
              </w:rPr>
            </w:pPr>
            <w:r w:rsidRPr="00011948">
              <w:rPr>
                <w:b/>
                <w:sz w:val="16"/>
              </w:rPr>
              <w:t>Petrol</w:t>
            </w:r>
            <w:r w:rsidR="00B635F6" w:rsidRPr="00011948">
              <w:rPr>
                <w:b/>
                <w:sz w:val="16"/>
              </w:rPr>
              <w:t>, E85, CNG</w:t>
            </w:r>
            <w:r w:rsidR="0004557C" w:rsidRPr="00011948">
              <w:rPr>
                <w:b/>
                <w:sz w:val="16"/>
              </w:rPr>
              <w:t xml:space="preserve"> PC &amp; L</w:t>
            </w:r>
            <w:r w:rsidR="000058D1" w:rsidRPr="00011948">
              <w:rPr>
                <w:b/>
                <w:sz w:val="16"/>
              </w:rPr>
              <w:t>C</w:t>
            </w:r>
            <w:r w:rsidR="0004557C" w:rsidRPr="00011948">
              <w:rPr>
                <w:b/>
                <w:sz w:val="16"/>
              </w:rPr>
              <w:t>V</w:t>
            </w:r>
          </w:p>
        </w:tc>
        <w:tc>
          <w:tcPr>
            <w:tcW w:w="1984"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9DB2FBE" w14:textId="77777777" w:rsidR="0004557C" w:rsidRPr="00011948" w:rsidRDefault="0004557C" w:rsidP="005C7955">
            <w:pPr>
              <w:keepNext/>
              <w:keepLines/>
              <w:suppressAutoHyphens/>
              <w:spacing w:line="240" w:lineRule="atLeast"/>
              <w:jc w:val="center"/>
              <w:rPr>
                <w:b/>
                <w:sz w:val="16"/>
              </w:rPr>
            </w:pPr>
            <w:r w:rsidRPr="00011948">
              <w:rPr>
                <w:b/>
                <w:sz w:val="16"/>
              </w:rPr>
              <w:t>Diesel PC &amp;L</w:t>
            </w:r>
            <w:r w:rsidR="000058D1" w:rsidRPr="00011948">
              <w:rPr>
                <w:b/>
                <w:sz w:val="16"/>
              </w:rPr>
              <w:t>CV</w:t>
            </w:r>
          </w:p>
        </w:tc>
        <w:tc>
          <w:tcPr>
            <w:tcW w:w="851" w:type="dxa"/>
            <w:tcBorders>
              <w:top w:val="nil"/>
              <w:left w:val="nil"/>
              <w:bottom w:val="single" w:sz="4" w:space="0" w:color="auto"/>
              <w:right w:val="single" w:sz="4" w:space="0" w:color="auto"/>
            </w:tcBorders>
            <w:shd w:val="clear" w:color="auto" w:fill="auto"/>
            <w:noWrap/>
            <w:vAlign w:val="center"/>
            <w:hideMark/>
          </w:tcPr>
          <w:p w14:paraId="08C35708" w14:textId="77777777" w:rsidR="0004557C" w:rsidRPr="00011948" w:rsidRDefault="0004557C" w:rsidP="005C7955">
            <w:pPr>
              <w:keepNext/>
              <w:keepLines/>
              <w:suppressAutoHyphens/>
              <w:spacing w:line="240" w:lineRule="atLeast"/>
              <w:jc w:val="center"/>
              <w:rPr>
                <w:b/>
                <w:sz w:val="16"/>
              </w:rPr>
            </w:pPr>
            <w:r w:rsidRPr="00011948">
              <w:rPr>
                <w:b/>
                <w:sz w:val="16"/>
              </w:rPr>
              <w:t>HDV</w:t>
            </w:r>
          </w:p>
        </w:tc>
        <w:tc>
          <w:tcPr>
            <w:tcW w:w="850" w:type="dxa"/>
            <w:tcBorders>
              <w:top w:val="nil"/>
              <w:left w:val="nil"/>
              <w:bottom w:val="single" w:sz="4" w:space="0" w:color="auto"/>
              <w:right w:val="double" w:sz="6" w:space="0" w:color="auto"/>
            </w:tcBorders>
            <w:shd w:val="clear" w:color="auto" w:fill="auto"/>
            <w:noWrap/>
            <w:vAlign w:val="center"/>
            <w:hideMark/>
          </w:tcPr>
          <w:p w14:paraId="48EE7A90" w14:textId="77777777" w:rsidR="0004557C" w:rsidRPr="00011948" w:rsidRDefault="0004557C" w:rsidP="005C7955">
            <w:pPr>
              <w:keepNext/>
              <w:keepLines/>
              <w:suppressAutoHyphens/>
              <w:spacing w:line="240" w:lineRule="atLeast"/>
              <w:jc w:val="center"/>
              <w:rPr>
                <w:b/>
                <w:sz w:val="16"/>
              </w:rPr>
            </w:pPr>
            <w:r w:rsidRPr="00011948">
              <w:rPr>
                <w:b/>
                <w:sz w:val="16"/>
              </w:rPr>
              <w:t>LPG</w:t>
            </w:r>
          </w:p>
        </w:tc>
      </w:tr>
      <w:tr w:rsidR="0004557C" w:rsidRPr="00011948" w14:paraId="3FD02F5F" w14:textId="77777777" w:rsidTr="008D2AFB">
        <w:trPr>
          <w:trHeight w:val="240"/>
        </w:trPr>
        <w:tc>
          <w:tcPr>
            <w:tcW w:w="1984" w:type="dxa"/>
            <w:vMerge/>
            <w:tcBorders>
              <w:top w:val="double" w:sz="6" w:space="0" w:color="auto"/>
              <w:left w:val="double" w:sz="6" w:space="0" w:color="auto"/>
              <w:bottom w:val="single" w:sz="12" w:space="0" w:color="auto"/>
              <w:right w:val="single" w:sz="4" w:space="0" w:color="auto"/>
            </w:tcBorders>
            <w:vAlign w:val="center"/>
            <w:hideMark/>
          </w:tcPr>
          <w:p w14:paraId="6DB3D8C4" w14:textId="77777777" w:rsidR="0004557C" w:rsidRPr="00011948" w:rsidRDefault="0004557C" w:rsidP="005C7955">
            <w:pPr>
              <w:keepNext/>
              <w:keepLines/>
              <w:suppressAutoHyphens/>
              <w:spacing w:line="240" w:lineRule="atLeast"/>
              <w:jc w:val="center"/>
              <w:rPr>
                <w:b/>
                <w:sz w:val="16"/>
              </w:rPr>
            </w:pPr>
          </w:p>
        </w:tc>
        <w:tc>
          <w:tcPr>
            <w:tcW w:w="1158" w:type="dxa"/>
            <w:tcBorders>
              <w:top w:val="nil"/>
              <w:left w:val="nil"/>
              <w:bottom w:val="single" w:sz="12" w:space="0" w:color="auto"/>
              <w:right w:val="single" w:sz="4" w:space="0" w:color="auto"/>
            </w:tcBorders>
            <w:shd w:val="clear" w:color="auto" w:fill="auto"/>
            <w:noWrap/>
            <w:vAlign w:val="center"/>
            <w:hideMark/>
          </w:tcPr>
          <w:p w14:paraId="278FD037" w14:textId="77777777" w:rsidR="0004557C" w:rsidRPr="00011948" w:rsidRDefault="0004557C" w:rsidP="005C7955">
            <w:pPr>
              <w:keepNext/>
              <w:keepLines/>
              <w:suppressAutoHyphens/>
              <w:spacing w:line="240" w:lineRule="atLeast"/>
              <w:jc w:val="center"/>
              <w:rPr>
                <w:b/>
                <w:sz w:val="16"/>
              </w:rPr>
            </w:pPr>
            <w:r w:rsidRPr="00011948">
              <w:rPr>
                <w:b/>
                <w:sz w:val="16"/>
              </w:rPr>
              <w:t>Convent.</w:t>
            </w:r>
          </w:p>
        </w:tc>
        <w:tc>
          <w:tcPr>
            <w:tcW w:w="1134" w:type="dxa"/>
            <w:tcBorders>
              <w:top w:val="nil"/>
              <w:left w:val="nil"/>
              <w:bottom w:val="single" w:sz="12" w:space="0" w:color="auto"/>
              <w:right w:val="single" w:sz="4" w:space="0" w:color="auto"/>
            </w:tcBorders>
            <w:shd w:val="clear" w:color="auto" w:fill="auto"/>
            <w:noWrap/>
            <w:vAlign w:val="center"/>
            <w:hideMark/>
          </w:tcPr>
          <w:p w14:paraId="53338EF1" w14:textId="77777777" w:rsidR="0004557C" w:rsidRPr="00011948" w:rsidRDefault="0004557C" w:rsidP="005C7955">
            <w:pPr>
              <w:keepNext/>
              <w:keepLines/>
              <w:suppressAutoHyphens/>
              <w:spacing w:line="240" w:lineRule="atLeast"/>
              <w:jc w:val="center"/>
              <w:rPr>
                <w:b/>
                <w:sz w:val="16"/>
              </w:rPr>
            </w:pPr>
            <w:r w:rsidRPr="00011948">
              <w:rPr>
                <w:b/>
                <w:sz w:val="16"/>
              </w:rPr>
              <w:t>Euro I &amp; on</w:t>
            </w:r>
          </w:p>
        </w:tc>
        <w:tc>
          <w:tcPr>
            <w:tcW w:w="992" w:type="dxa"/>
            <w:tcBorders>
              <w:top w:val="nil"/>
              <w:left w:val="nil"/>
              <w:bottom w:val="single" w:sz="12" w:space="0" w:color="auto"/>
              <w:right w:val="nil"/>
            </w:tcBorders>
            <w:shd w:val="clear" w:color="auto" w:fill="auto"/>
            <w:noWrap/>
            <w:vAlign w:val="center"/>
            <w:hideMark/>
          </w:tcPr>
          <w:p w14:paraId="7BFF9FE5" w14:textId="77777777" w:rsidR="0004557C" w:rsidRPr="00011948" w:rsidRDefault="0004557C" w:rsidP="005C7955">
            <w:pPr>
              <w:keepNext/>
              <w:keepLines/>
              <w:suppressAutoHyphens/>
              <w:spacing w:line="240" w:lineRule="atLeast"/>
              <w:jc w:val="center"/>
              <w:rPr>
                <w:b/>
                <w:sz w:val="16"/>
              </w:rPr>
            </w:pPr>
            <w:r w:rsidRPr="00011948">
              <w:rPr>
                <w:b/>
                <w:sz w:val="16"/>
              </w:rPr>
              <w:t>DI</w:t>
            </w:r>
          </w:p>
        </w:tc>
        <w:tc>
          <w:tcPr>
            <w:tcW w:w="992" w:type="dxa"/>
            <w:tcBorders>
              <w:top w:val="nil"/>
              <w:left w:val="nil"/>
              <w:bottom w:val="single" w:sz="12" w:space="0" w:color="auto"/>
              <w:right w:val="single" w:sz="4" w:space="0" w:color="auto"/>
            </w:tcBorders>
            <w:shd w:val="clear" w:color="auto" w:fill="auto"/>
            <w:noWrap/>
            <w:vAlign w:val="center"/>
            <w:hideMark/>
          </w:tcPr>
          <w:p w14:paraId="18A6070F" w14:textId="77777777" w:rsidR="0004557C" w:rsidRPr="00011948" w:rsidRDefault="0004557C" w:rsidP="005C7955">
            <w:pPr>
              <w:keepNext/>
              <w:keepLines/>
              <w:suppressAutoHyphens/>
              <w:spacing w:line="240" w:lineRule="atLeast"/>
              <w:jc w:val="center"/>
              <w:rPr>
                <w:b/>
                <w:sz w:val="16"/>
              </w:rPr>
            </w:pPr>
            <w:r w:rsidRPr="00011948">
              <w:rPr>
                <w:b/>
                <w:sz w:val="16"/>
              </w:rPr>
              <w:t>IDI</w:t>
            </w:r>
          </w:p>
        </w:tc>
        <w:tc>
          <w:tcPr>
            <w:tcW w:w="851" w:type="dxa"/>
            <w:tcBorders>
              <w:top w:val="nil"/>
              <w:left w:val="nil"/>
              <w:bottom w:val="single" w:sz="12" w:space="0" w:color="auto"/>
              <w:right w:val="single" w:sz="4" w:space="0" w:color="auto"/>
            </w:tcBorders>
            <w:shd w:val="clear" w:color="auto" w:fill="auto"/>
            <w:noWrap/>
            <w:vAlign w:val="center"/>
            <w:hideMark/>
          </w:tcPr>
          <w:p w14:paraId="34698F76" w14:textId="77777777" w:rsidR="0004557C" w:rsidRPr="00011948" w:rsidRDefault="0004557C" w:rsidP="005C7955">
            <w:pPr>
              <w:keepNext/>
              <w:keepLines/>
              <w:suppressAutoHyphens/>
              <w:spacing w:line="240" w:lineRule="atLeast"/>
              <w:jc w:val="center"/>
              <w:rPr>
                <w:b/>
                <w:sz w:val="16"/>
              </w:rPr>
            </w:pPr>
            <w:r w:rsidRPr="00011948">
              <w:rPr>
                <w:b/>
                <w:sz w:val="16"/>
              </w:rPr>
              <w:t>DI</w:t>
            </w:r>
          </w:p>
        </w:tc>
        <w:tc>
          <w:tcPr>
            <w:tcW w:w="850" w:type="dxa"/>
            <w:tcBorders>
              <w:top w:val="nil"/>
              <w:left w:val="nil"/>
              <w:bottom w:val="single" w:sz="12" w:space="0" w:color="auto"/>
              <w:right w:val="double" w:sz="6" w:space="0" w:color="auto"/>
            </w:tcBorders>
            <w:shd w:val="clear" w:color="auto" w:fill="auto"/>
            <w:noWrap/>
            <w:vAlign w:val="center"/>
            <w:hideMark/>
          </w:tcPr>
          <w:p w14:paraId="50B16082" w14:textId="77777777" w:rsidR="0004557C" w:rsidRPr="00011948" w:rsidRDefault="0004557C" w:rsidP="005C7955">
            <w:pPr>
              <w:keepNext/>
              <w:keepLines/>
              <w:suppressAutoHyphens/>
              <w:spacing w:line="240" w:lineRule="atLeast"/>
              <w:jc w:val="center"/>
              <w:rPr>
                <w:b/>
                <w:sz w:val="16"/>
              </w:rPr>
            </w:pPr>
          </w:p>
        </w:tc>
      </w:tr>
      <w:tr w:rsidR="0004557C" w:rsidRPr="00011948" w14:paraId="0317437C" w14:textId="77777777" w:rsidTr="008D2AFB">
        <w:trPr>
          <w:trHeight w:val="240"/>
        </w:trPr>
        <w:tc>
          <w:tcPr>
            <w:tcW w:w="1984" w:type="dxa"/>
            <w:tcBorders>
              <w:top w:val="single" w:sz="12" w:space="0" w:color="auto"/>
              <w:left w:val="double" w:sz="6" w:space="0" w:color="auto"/>
              <w:bottom w:val="nil"/>
              <w:right w:val="single" w:sz="4" w:space="0" w:color="auto"/>
            </w:tcBorders>
            <w:shd w:val="clear" w:color="auto" w:fill="auto"/>
            <w:noWrap/>
            <w:vAlign w:val="bottom"/>
            <w:hideMark/>
          </w:tcPr>
          <w:p w14:paraId="30B628AD" w14:textId="77777777" w:rsidR="0004557C" w:rsidRPr="00011948" w:rsidRDefault="0004557C" w:rsidP="005C7955">
            <w:pPr>
              <w:keepNext/>
              <w:keepLines/>
              <w:suppressAutoHyphens/>
              <w:spacing w:line="240" w:lineRule="atLeast"/>
              <w:rPr>
                <w:sz w:val="16"/>
              </w:rPr>
            </w:pPr>
            <w:r w:rsidRPr="00011948">
              <w:rPr>
                <w:sz w:val="16"/>
              </w:rPr>
              <w:t>indeno(1,2,3-cd)pyrene</w:t>
            </w:r>
          </w:p>
        </w:tc>
        <w:tc>
          <w:tcPr>
            <w:tcW w:w="1158" w:type="dxa"/>
            <w:tcBorders>
              <w:top w:val="single" w:sz="12" w:space="0" w:color="auto"/>
              <w:left w:val="nil"/>
              <w:bottom w:val="nil"/>
              <w:right w:val="single" w:sz="4" w:space="0" w:color="auto"/>
            </w:tcBorders>
            <w:shd w:val="clear" w:color="auto" w:fill="auto"/>
            <w:noWrap/>
            <w:vAlign w:val="bottom"/>
            <w:hideMark/>
          </w:tcPr>
          <w:p w14:paraId="57435488" w14:textId="77777777" w:rsidR="0004557C" w:rsidRPr="00011948" w:rsidRDefault="0004557C" w:rsidP="005C7955">
            <w:pPr>
              <w:keepNext/>
              <w:keepLines/>
              <w:suppressAutoHyphens/>
              <w:spacing w:line="240" w:lineRule="atLeast"/>
              <w:jc w:val="center"/>
              <w:rPr>
                <w:sz w:val="16"/>
              </w:rPr>
            </w:pPr>
            <w:r w:rsidRPr="00011948">
              <w:rPr>
                <w:sz w:val="16"/>
              </w:rPr>
              <w:t>1.03</w:t>
            </w:r>
          </w:p>
        </w:tc>
        <w:tc>
          <w:tcPr>
            <w:tcW w:w="1134" w:type="dxa"/>
            <w:tcBorders>
              <w:top w:val="single" w:sz="12" w:space="0" w:color="auto"/>
              <w:left w:val="nil"/>
              <w:bottom w:val="nil"/>
              <w:right w:val="single" w:sz="4" w:space="0" w:color="auto"/>
            </w:tcBorders>
            <w:shd w:val="clear" w:color="auto" w:fill="auto"/>
            <w:noWrap/>
            <w:vAlign w:val="bottom"/>
            <w:hideMark/>
          </w:tcPr>
          <w:p w14:paraId="4D0EBD85" w14:textId="77777777" w:rsidR="0004557C" w:rsidRPr="00011948" w:rsidRDefault="0004557C" w:rsidP="005C7955">
            <w:pPr>
              <w:keepNext/>
              <w:keepLines/>
              <w:suppressAutoHyphens/>
              <w:spacing w:line="240" w:lineRule="atLeast"/>
              <w:jc w:val="center"/>
              <w:rPr>
                <w:sz w:val="16"/>
              </w:rPr>
            </w:pPr>
            <w:r w:rsidRPr="00011948">
              <w:rPr>
                <w:sz w:val="16"/>
              </w:rPr>
              <w:t>0.39</w:t>
            </w:r>
          </w:p>
        </w:tc>
        <w:tc>
          <w:tcPr>
            <w:tcW w:w="992" w:type="dxa"/>
            <w:tcBorders>
              <w:top w:val="single" w:sz="12" w:space="0" w:color="auto"/>
              <w:left w:val="nil"/>
              <w:bottom w:val="nil"/>
              <w:right w:val="nil"/>
            </w:tcBorders>
            <w:shd w:val="clear" w:color="auto" w:fill="auto"/>
            <w:noWrap/>
            <w:vAlign w:val="bottom"/>
            <w:hideMark/>
          </w:tcPr>
          <w:p w14:paraId="49898888" w14:textId="77777777" w:rsidR="0004557C" w:rsidRPr="00011948" w:rsidRDefault="0004557C" w:rsidP="005C7955">
            <w:pPr>
              <w:keepNext/>
              <w:keepLines/>
              <w:suppressAutoHyphens/>
              <w:spacing w:line="240" w:lineRule="atLeast"/>
              <w:jc w:val="center"/>
              <w:rPr>
                <w:sz w:val="16"/>
              </w:rPr>
            </w:pPr>
            <w:r w:rsidRPr="00011948">
              <w:rPr>
                <w:sz w:val="16"/>
              </w:rPr>
              <w:t>0.70</w:t>
            </w:r>
          </w:p>
        </w:tc>
        <w:tc>
          <w:tcPr>
            <w:tcW w:w="992" w:type="dxa"/>
            <w:tcBorders>
              <w:top w:val="single" w:sz="12" w:space="0" w:color="auto"/>
              <w:left w:val="nil"/>
              <w:bottom w:val="nil"/>
              <w:right w:val="single" w:sz="4" w:space="0" w:color="auto"/>
            </w:tcBorders>
            <w:shd w:val="clear" w:color="auto" w:fill="auto"/>
            <w:noWrap/>
            <w:vAlign w:val="bottom"/>
            <w:hideMark/>
          </w:tcPr>
          <w:p w14:paraId="3C47B4DB" w14:textId="77777777" w:rsidR="0004557C" w:rsidRPr="00011948" w:rsidRDefault="0004557C" w:rsidP="005C7955">
            <w:pPr>
              <w:keepNext/>
              <w:keepLines/>
              <w:suppressAutoHyphens/>
              <w:spacing w:line="240" w:lineRule="atLeast"/>
              <w:jc w:val="center"/>
              <w:rPr>
                <w:sz w:val="16"/>
              </w:rPr>
            </w:pPr>
            <w:r w:rsidRPr="00011948">
              <w:rPr>
                <w:sz w:val="16"/>
              </w:rPr>
              <w:t>2.54</w:t>
            </w:r>
          </w:p>
        </w:tc>
        <w:tc>
          <w:tcPr>
            <w:tcW w:w="851" w:type="dxa"/>
            <w:tcBorders>
              <w:top w:val="single" w:sz="12" w:space="0" w:color="auto"/>
              <w:left w:val="nil"/>
              <w:bottom w:val="nil"/>
              <w:right w:val="single" w:sz="4" w:space="0" w:color="auto"/>
            </w:tcBorders>
            <w:shd w:val="clear" w:color="auto" w:fill="auto"/>
            <w:noWrap/>
            <w:vAlign w:val="bottom"/>
            <w:hideMark/>
          </w:tcPr>
          <w:p w14:paraId="25F1FB2B" w14:textId="77777777" w:rsidR="0004557C" w:rsidRPr="00011948" w:rsidRDefault="0004557C" w:rsidP="005C7955">
            <w:pPr>
              <w:keepNext/>
              <w:keepLines/>
              <w:suppressAutoHyphens/>
              <w:spacing w:line="240" w:lineRule="atLeast"/>
              <w:jc w:val="center"/>
              <w:rPr>
                <w:sz w:val="16"/>
              </w:rPr>
            </w:pPr>
            <w:r w:rsidRPr="00011948">
              <w:rPr>
                <w:sz w:val="16"/>
              </w:rPr>
              <w:t>1.40</w:t>
            </w:r>
          </w:p>
        </w:tc>
        <w:tc>
          <w:tcPr>
            <w:tcW w:w="850" w:type="dxa"/>
            <w:tcBorders>
              <w:top w:val="single" w:sz="12" w:space="0" w:color="auto"/>
              <w:left w:val="nil"/>
              <w:bottom w:val="nil"/>
              <w:right w:val="double" w:sz="6" w:space="0" w:color="auto"/>
            </w:tcBorders>
            <w:shd w:val="clear" w:color="auto" w:fill="auto"/>
            <w:noWrap/>
            <w:vAlign w:val="bottom"/>
            <w:hideMark/>
          </w:tcPr>
          <w:p w14:paraId="4F3D70A5" w14:textId="77777777" w:rsidR="0004557C" w:rsidRPr="00011948" w:rsidRDefault="0004557C" w:rsidP="005C7955">
            <w:pPr>
              <w:keepNext/>
              <w:keepLines/>
              <w:suppressAutoHyphens/>
              <w:spacing w:line="240" w:lineRule="atLeast"/>
              <w:jc w:val="center"/>
              <w:rPr>
                <w:sz w:val="16"/>
              </w:rPr>
            </w:pPr>
            <w:r w:rsidRPr="00011948">
              <w:rPr>
                <w:sz w:val="16"/>
              </w:rPr>
              <w:t>0.01</w:t>
            </w:r>
          </w:p>
        </w:tc>
      </w:tr>
      <w:tr w:rsidR="0004557C" w:rsidRPr="00011948" w14:paraId="3A93CA5E"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E84A1D9" w14:textId="77777777" w:rsidR="0004557C" w:rsidRPr="00011948" w:rsidRDefault="0004557C" w:rsidP="005C7955">
            <w:pPr>
              <w:keepNext/>
              <w:keepLines/>
              <w:suppressAutoHyphens/>
              <w:spacing w:line="240" w:lineRule="atLeast"/>
              <w:rPr>
                <w:sz w:val="16"/>
              </w:rPr>
            </w:pPr>
            <w:r w:rsidRPr="00011948">
              <w:rPr>
                <w:sz w:val="16"/>
              </w:rPr>
              <w:t>benzo(k)fluoranthene</w:t>
            </w:r>
          </w:p>
        </w:tc>
        <w:tc>
          <w:tcPr>
            <w:tcW w:w="1158" w:type="dxa"/>
            <w:tcBorders>
              <w:top w:val="nil"/>
              <w:left w:val="nil"/>
              <w:bottom w:val="nil"/>
              <w:right w:val="single" w:sz="4" w:space="0" w:color="auto"/>
            </w:tcBorders>
            <w:shd w:val="clear" w:color="auto" w:fill="auto"/>
            <w:noWrap/>
            <w:vAlign w:val="bottom"/>
            <w:hideMark/>
          </w:tcPr>
          <w:p w14:paraId="3141C559" w14:textId="77777777" w:rsidR="0004557C" w:rsidRPr="00011948" w:rsidRDefault="0004557C" w:rsidP="005C7955">
            <w:pPr>
              <w:keepNext/>
              <w:keepLines/>
              <w:suppressAutoHyphens/>
              <w:spacing w:line="240" w:lineRule="atLeast"/>
              <w:jc w:val="center"/>
              <w:rPr>
                <w:sz w:val="16"/>
              </w:rPr>
            </w:pPr>
            <w:r w:rsidRPr="00011948">
              <w:rPr>
                <w:sz w:val="16"/>
              </w:rPr>
              <w:t>0.30</w:t>
            </w:r>
          </w:p>
        </w:tc>
        <w:tc>
          <w:tcPr>
            <w:tcW w:w="1134" w:type="dxa"/>
            <w:tcBorders>
              <w:top w:val="nil"/>
              <w:left w:val="nil"/>
              <w:bottom w:val="nil"/>
              <w:right w:val="single" w:sz="4" w:space="0" w:color="auto"/>
            </w:tcBorders>
            <w:shd w:val="clear" w:color="auto" w:fill="auto"/>
            <w:noWrap/>
            <w:vAlign w:val="bottom"/>
            <w:hideMark/>
          </w:tcPr>
          <w:p w14:paraId="433CA4B3" w14:textId="77777777" w:rsidR="0004557C" w:rsidRPr="00011948" w:rsidRDefault="0004557C" w:rsidP="005C7955">
            <w:pPr>
              <w:keepNext/>
              <w:keepLines/>
              <w:suppressAutoHyphens/>
              <w:spacing w:line="240" w:lineRule="atLeast"/>
              <w:jc w:val="center"/>
              <w:rPr>
                <w:sz w:val="16"/>
              </w:rPr>
            </w:pPr>
            <w:r w:rsidRPr="00011948">
              <w:rPr>
                <w:sz w:val="16"/>
              </w:rPr>
              <w:t>0.26</w:t>
            </w:r>
          </w:p>
        </w:tc>
        <w:tc>
          <w:tcPr>
            <w:tcW w:w="992" w:type="dxa"/>
            <w:tcBorders>
              <w:top w:val="nil"/>
              <w:left w:val="nil"/>
              <w:bottom w:val="nil"/>
              <w:right w:val="nil"/>
            </w:tcBorders>
            <w:shd w:val="clear" w:color="auto" w:fill="auto"/>
            <w:noWrap/>
            <w:vAlign w:val="bottom"/>
            <w:hideMark/>
          </w:tcPr>
          <w:p w14:paraId="088737CE" w14:textId="77777777" w:rsidR="0004557C" w:rsidRPr="00011948" w:rsidRDefault="0004557C" w:rsidP="005C7955">
            <w:pPr>
              <w:keepNext/>
              <w:keepLines/>
              <w:suppressAutoHyphens/>
              <w:spacing w:line="240" w:lineRule="atLeast"/>
              <w:jc w:val="center"/>
              <w:rPr>
                <w:sz w:val="16"/>
              </w:rPr>
            </w:pPr>
            <w:r w:rsidRPr="00011948">
              <w:rPr>
                <w:sz w:val="16"/>
              </w:rPr>
              <w:t>0.19</w:t>
            </w:r>
          </w:p>
        </w:tc>
        <w:tc>
          <w:tcPr>
            <w:tcW w:w="992" w:type="dxa"/>
            <w:tcBorders>
              <w:top w:val="nil"/>
              <w:left w:val="nil"/>
              <w:bottom w:val="nil"/>
              <w:right w:val="single" w:sz="4" w:space="0" w:color="auto"/>
            </w:tcBorders>
            <w:shd w:val="clear" w:color="auto" w:fill="auto"/>
            <w:noWrap/>
            <w:vAlign w:val="bottom"/>
            <w:hideMark/>
          </w:tcPr>
          <w:p w14:paraId="467485F8" w14:textId="77777777" w:rsidR="0004557C" w:rsidRPr="00011948" w:rsidRDefault="0004557C" w:rsidP="005C7955">
            <w:pPr>
              <w:keepNext/>
              <w:keepLines/>
              <w:suppressAutoHyphens/>
              <w:spacing w:line="240" w:lineRule="atLeast"/>
              <w:jc w:val="center"/>
              <w:rPr>
                <w:sz w:val="16"/>
              </w:rPr>
            </w:pPr>
            <w:r w:rsidRPr="00011948">
              <w:rPr>
                <w:sz w:val="16"/>
              </w:rPr>
              <w:t>2.87</w:t>
            </w:r>
          </w:p>
        </w:tc>
        <w:tc>
          <w:tcPr>
            <w:tcW w:w="851" w:type="dxa"/>
            <w:tcBorders>
              <w:top w:val="nil"/>
              <w:left w:val="nil"/>
              <w:bottom w:val="nil"/>
              <w:right w:val="single" w:sz="4" w:space="0" w:color="auto"/>
            </w:tcBorders>
            <w:shd w:val="clear" w:color="auto" w:fill="auto"/>
            <w:noWrap/>
            <w:vAlign w:val="bottom"/>
            <w:hideMark/>
          </w:tcPr>
          <w:p w14:paraId="7F445468" w14:textId="77777777" w:rsidR="0004557C" w:rsidRPr="00011948" w:rsidRDefault="0004557C" w:rsidP="005C7955">
            <w:pPr>
              <w:keepNext/>
              <w:keepLines/>
              <w:suppressAutoHyphens/>
              <w:spacing w:line="240" w:lineRule="atLeast"/>
              <w:jc w:val="center"/>
              <w:rPr>
                <w:sz w:val="16"/>
              </w:rPr>
            </w:pPr>
            <w:r w:rsidRPr="00011948">
              <w:rPr>
                <w:sz w:val="16"/>
              </w:rPr>
              <w:t>6.09</w:t>
            </w:r>
          </w:p>
        </w:tc>
        <w:tc>
          <w:tcPr>
            <w:tcW w:w="850" w:type="dxa"/>
            <w:tcBorders>
              <w:top w:val="nil"/>
              <w:left w:val="nil"/>
              <w:bottom w:val="nil"/>
              <w:right w:val="double" w:sz="6" w:space="0" w:color="auto"/>
            </w:tcBorders>
            <w:shd w:val="clear" w:color="auto" w:fill="auto"/>
            <w:noWrap/>
            <w:vAlign w:val="bottom"/>
            <w:hideMark/>
          </w:tcPr>
          <w:p w14:paraId="7B670766" w14:textId="77777777" w:rsidR="0004557C" w:rsidRPr="00011948" w:rsidRDefault="0004557C" w:rsidP="005C7955">
            <w:pPr>
              <w:keepNext/>
              <w:keepLines/>
              <w:suppressAutoHyphens/>
              <w:spacing w:line="240" w:lineRule="atLeast"/>
              <w:jc w:val="center"/>
              <w:rPr>
                <w:sz w:val="16"/>
              </w:rPr>
            </w:pPr>
            <w:r w:rsidRPr="00011948">
              <w:rPr>
                <w:sz w:val="16"/>
              </w:rPr>
              <w:t>0.01</w:t>
            </w:r>
          </w:p>
        </w:tc>
      </w:tr>
      <w:tr w:rsidR="0004557C" w:rsidRPr="00011948" w14:paraId="0436218C"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52C74ACB" w14:textId="77777777" w:rsidR="0004557C" w:rsidRPr="00011948" w:rsidRDefault="0004557C" w:rsidP="005C7955">
            <w:pPr>
              <w:keepNext/>
              <w:keepLines/>
              <w:suppressAutoHyphens/>
              <w:spacing w:line="240" w:lineRule="atLeast"/>
              <w:rPr>
                <w:sz w:val="16"/>
              </w:rPr>
            </w:pPr>
            <w:r w:rsidRPr="00011948">
              <w:rPr>
                <w:sz w:val="16"/>
              </w:rPr>
              <w:t>benzo(b)fluoranthene</w:t>
            </w:r>
          </w:p>
        </w:tc>
        <w:tc>
          <w:tcPr>
            <w:tcW w:w="1158" w:type="dxa"/>
            <w:tcBorders>
              <w:top w:val="nil"/>
              <w:left w:val="nil"/>
              <w:bottom w:val="nil"/>
              <w:right w:val="single" w:sz="4" w:space="0" w:color="auto"/>
            </w:tcBorders>
            <w:shd w:val="clear" w:color="auto" w:fill="auto"/>
            <w:noWrap/>
            <w:vAlign w:val="bottom"/>
            <w:hideMark/>
          </w:tcPr>
          <w:p w14:paraId="428D34FF" w14:textId="77777777" w:rsidR="0004557C" w:rsidRPr="00011948" w:rsidRDefault="0004557C" w:rsidP="005C7955">
            <w:pPr>
              <w:keepNext/>
              <w:keepLines/>
              <w:suppressAutoHyphens/>
              <w:spacing w:line="240" w:lineRule="atLeast"/>
              <w:jc w:val="center"/>
              <w:rPr>
                <w:sz w:val="16"/>
              </w:rPr>
            </w:pPr>
            <w:r w:rsidRPr="00011948">
              <w:rPr>
                <w:sz w:val="16"/>
              </w:rPr>
              <w:t>0.88</w:t>
            </w:r>
          </w:p>
        </w:tc>
        <w:tc>
          <w:tcPr>
            <w:tcW w:w="1134" w:type="dxa"/>
            <w:tcBorders>
              <w:top w:val="nil"/>
              <w:left w:val="nil"/>
              <w:bottom w:val="nil"/>
              <w:right w:val="single" w:sz="4" w:space="0" w:color="auto"/>
            </w:tcBorders>
            <w:shd w:val="clear" w:color="auto" w:fill="auto"/>
            <w:noWrap/>
            <w:vAlign w:val="bottom"/>
            <w:hideMark/>
          </w:tcPr>
          <w:p w14:paraId="3E370004" w14:textId="77777777" w:rsidR="0004557C" w:rsidRPr="00011948" w:rsidRDefault="0004557C" w:rsidP="005C7955">
            <w:pPr>
              <w:keepNext/>
              <w:keepLines/>
              <w:suppressAutoHyphens/>
              <w:spacing w:line="240" w:lineRule="atLeast"/>
              <w:jc w:val="center"/>
              <w:rPr>
                <w:sz w:val="16"/>
              </w:rPr>
            </w:pPr>
            <w:r w:rsidRPr="00011948">
              <w:rPr>
                <w:sz w:val="16"/>
              </w:rPr>
              <w:t>0.36</w:t>
            </w:r>
          </w:p>
        </w:tc>
        <w:tc>
          <w:tcPr>
            <w:tcW w:w="992" w:type="dxa"/>
            <w:tcBorders>
              <w:top w:val="nil"/>
              <w:left w:val="nil"/>
              <w:bottom w:val="nil"/>
              <w:right w:val="nil"/>
            </w:tcBorders>
            <w:shd w:val="clear" w:color="auto" w:fill="auto"/>
            <w:noWrap/>
            <w:vAlign w:val="bottom"/>
            <w:hideMark/>
          </w:tcPr>
          <w:p w14:paraId="5F086A13" w14:textId="77777777" w:rsidR="0004557C" w:rsidRPr="00011948" w:rsidRDefault="0004557C" w:rsidP="005C7955">
            <w:pPr>
              <w:keepNext/>
              <w:keepLines/>
              <w:suppressAutoHyphens/>
              <w:spacing w:line="240" w:lineRule="atLeast"/>
              <w:jc w:val="center"/>
              <w:rPr>
                <w:sz w:val="16"/>
              </w:rPr>
            </w:pPr>
            <w:r w:rsidRPr="00011948">
              <w:rPr>
                <w:sz w:val="16"/>
              </w:rPr>
              <w:t>0.60</w:t>
            </w:r>
          </w:p>
        </w:tc>
        <w:tc>
          <w:tcPr>
            <w:tcW w:w="992" w:type="dxa"/>
            <w:tcBorders>
              <w:top w:val="nil"/>
              <w:left w:val="nil"/>
              <w:bottom w:val="nil"/>
              <w:right w:val="single" w:sz="4" w:space="0" w:color="auto"/>
            </w:tcBorders>
            <w:shd w:val="clear" w:color="auto" w:fill="auto"/>
            <w:noWrap/>
            <w:vAlign w:val="bottom"/>
            <w:hideMark/>
          </w:tcPr>
          <w:p w14:paraId="60DA45D3" w14:textId="77777777" w:rsidR="0004557C" w:rsidRPr="00011948" w:rsidRDefault="0004557C" w:rsidP="005C7955">
            <w:pPr>
              <w:keepNext/>
              <w:keepLines/>
              <w:suppressAutoHyphens/>
              <w:spacing w:line="240" w:lineRule="atLeast"/>
              <w:jc w:val="center"/>
              <w:rPr>
                <w:sz w:val="16"/>
              </w:rPr>
            </w:pPr>
            <w:r w:rsidRPr="00011948">
              <w:rPr>
                <w:sz w:val="16"/>
              </w:rPr>
              <w:t>3.30</w:t>
            </w:r>
          </w:p>
        </w:tc>
        <w:tc>
          <w:tcPr>
            <w:tcW w:w="851" w:type="dxa"/>
            <w:tcBorders>
              <w:top w:val="nil"/>
              <w:left w:val="nil"/>
              <w:bottom w:val="nil"/>
              <w:right w:val="single" w:sz="4" w:space="0" w:color="auto"/>
            </w:tcBorders>
            <w:shd w:val="clear" w:color="auto" w:fill="auto"/>
            <w:noWrap/>
            <w:vAlign w:val="bottom"/>
            <w:hideMark/>
          </w:tcPr>
          <w:p w14:paraId="30B59136" w14:textId="77777777" w:rsidR="0004557C" w:rsidRPr="00011948" w:rsidRDefault="0004557C" w:rsidP="005C7955">
            <w:pPr>
              <w:keepNext/>
              <w:keepLines/>
              <w:suppressAutoHyphens/>
              <w:spacing w:line="240" w:lineRule="atLeast"/>
              <w:jc w:val="center"/>
              <w:rPr>
                <w:sz w:val="16"/>
              </w:rPr>
            </w:pPr>
            <w:r w:rsidRPr="00011948">
              <w:rPr>
                <w:sz w:val="16"/>
              </w:rPr>
              <w:t>5.45</w:t>
            </w:r>
          </w:p>
        </w:tc>
        <w:tc>
          <w:tcPr>
            <w:tcW w:w="850" w:type="dxa"/>
            <w:tcBorders>
              <w:top w:val="nil"/>
              <w:left w:val="nil"/>
              <w:bottom w:val="nil"/>
              <w:right w:val="double" w:sz="6" w:space="0" w:color="auto"/>
            </w:tcBorders>
            <w:shd w:val="clear" w:color="auto" w:fill="auto"/>
            <w:noWrap/>
            <w:vAlign w:val="bottom"/>
            <w:hideMark/>
          </w:tcPr>
          <w:p w14:paraId="40908B20" w14:textId="77777777" w:rsidR="0004557C" w:rsidRPr="00011948" w:rsidRDefault="0004557C" w:rsidP="005C7955">
            <w:pPr>
              <w:keepNext/>
              <w:keepLines/>
              <w:suppressAutoHyphens/>
              <w:spacing w:line="240" w:lineRule="atLeast"/>
              <w:jc w:val="center"/>
              <w:rPr>
                <w:sz w:val="16"/>
              </w:rPr>
            </w:pPr>
          </w:p>
        </w:tc>
      </w:tr>
      <w:tr w:rsidR="0004557C" w:rsidRPr="00011948" w14:paraId="2319D8E4"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BB19FF3" w14:textId="77777777" w:rsidR="0004557C" w:rsidRPr="00011948" w:rsidRDefault="0004557C" w:rsidP="005C7955">
            <w:pPr>
              <w:keepNext/>
              <w:keepLines/>
              <w:suppressAutoHyphens/>
              <w:spacing w:line="240" w:lineRule="atLeast"/>
              <w:rPr>
                <w:sz w:val="16"/>
              </w:rPr>
            </w:pPr>
            <w:r w:rsidRPr="00011948">
              <w:rPr>
                <w:sz w:val="16"/>
              </w:rPr>
              <w:t>benzo(ghi)perylene</w:t>
            </w:r>
          </w:p>
        </w:tc>
        <w:tc>
          <w:tcPr>
            <w:tcW w:w="1158" w:type="dxa"/>
            <w:tcBorders>
              <w:top w:val="nil"/>
              <w:left w:val="nil"/>
              <w:bottom w:val="nil"/>
              <w:right w:val="single" w:sz="4" w:space="0" w:color="auto"/>
            </w:tcBorders>
            <w:shd w:val="clear" w:color="auto" w:fill="auto"/>
            <w:noWrap/>
            <w:vAlign w:val="bottom"/>
            <w:hideMark/>
          </w:tcPr>
          <w:p w14:paraId="5851E792" w14:textId="77777777" w:rsidR="0004557C" w:rsidRPr="00011948" w:rsidRDefault="0004557C" w:rsidP="005C7955">
            <w:pPr>
              <w:keepNext/>
              <w:keepLines/>
              <w:suppressAutoHyphens/>
              <w:spacing w:line="240" w:lineRule="atLeast"/>
              <w:jc w:val="center"/>
              <w:rPr>
                <w:sz w:val="16"/>
              </w:rPr>
            </w:pPr>
            <w:r w:rsidRPr="00011948">
              <w:rPr>
                <w:sz w:val="16"/>
              </w:rPr>
              <w:t>2.90</w:t>
            </w:r>
          </w:p>
        </w:tc>
        <w:tc>
          <w:tcPr>
            <w:tcW w:w="1134" w:type="dxa"/>
            <w:tcBorders>
              <w:top w:val="nil"/>
              <w:left w:val="nil"/>
              <w:bottom w:val="nil"/>
              <w:right w:val="single" w:sz="4" w:space="0" w:color="auto"/>
            </w:tcBorders>
            <w:shd w:val="clear" w:color="auto" w:fill="auto"/>
            <w:noWrap/>
            <w:vAlign w:val="bottom"/>
            <w:hideMark/>
          </w:tcPr>
          <w:p w14:paraId="592DB204" w14:textId="77777777" w:rsidR="0004557C" w:rsidRPr="00011948" w:rsidRDefault="0004557C" w:rsidP="005C7955">
            <w:pPr>
              <w:keepNext/>
              <w:keepLines/>
              <w:suppressAutoHyphens/>
              <w:spacing w:line="240" w:lineRule="atLeast"/>
              <w:jc w:val="center"/>
              <w:rPr>
                <w:sz w:val="16"/>
              </w:rPr>
            </w:pPr>
            <w:r w:rsidRPr="00011948">
              <w:rPr>
                <w:sz w:val="16"/>
              </w:rPr>
              <w:t>0.56</w:t>
            </w:r>
          </w:p>
        </w:tc>
        <w:tc>
          <w:tcPr>
            <w:tcW w:w="992" w:type="dxa"/>
            <w:tcBorders>
              <w:top w:val="nil"/>
              <w:left w:val="nil"/>
              <w:bottom w:val="nil"/>
              <w:right w:val="nil"/>
            </w:tcBorders>
            <w:shd w:val="clear" w:color="auto" w:fill="auto"/>
            <w:noWrap/>
            <w:vAlign w:val="bottom"/>
            <w:hideMark/>
          </w:tcPr>
          <w:p w14:paraId="49132576" w14:textId="77777777" w:rsidR="0004557C" w:rsidRPr="00011948" w:rsidRDefault="0004557C" w:rsidP="005C7955">
            <w:pPr>
              <w:keepNext/>
              <w:keepLines/>
              <w:suppressAutoHyphens/>
              <w:spacing w:line="240" w:lineRule="atLeast"/>
              <w:jc w:val="center"/>
              <w:rPr>
                <w:sz w:val="16"/>
              </w:rPr>
            </w:pPr>
            <w:r w:rsidRPr="00011948">
              <w:rPr>
                <w:sz w:val="16"/>
              </w:rPr>
              <w:t>0.95</w:t>
            </w:r>
          </w:p>
        </w:tc>
        <w:tc>
          <w:tcPr>
            <w:tcW w:w="992" w:type="dxa"/>
            <w:tcBorders>
              <w:top w:val="nil"/>
              <w:left w:val="nil"/>
              <w:bottom w:val="nil"/>
              <w:right w:val="single" w:sz="4" w:space="0" w:color="auto"/>
            </w:tcBorders>
            <w:shd w:val="clear" w:color="auto" w:fill="auto"/>
            <w:noWrap/>
            <w:vAlign w:val="bottom"/>
            <w:hideMark/>
          </w:tcPr>
          <w:p w14:paraId="7E90E9D1" w14:textId="77777777" w:rsidR="0004557C" w:rsidRPr="00011948" w:rsidRDefault="0004557C" w:rsidP="005C7955">
            <w:pPr>
              <w:keepNext/>
              <w:keepLines/>
              <w:suppressAutoHyphens/>
              <w:spacing w:line="240" w:lineRule="atLeast"/>
              <w:jc w:val="center"/>
              <w:rPr>
                <w:sz w:val="16"/>
              </w:rPr>
            </w:pPr>
            <w:r w:rsidRPr="00011948">
              <w:rPr>
                <w:sz w:val="16"/>
              </w:rPr>
              <w:t>6.00</w:t>
            </w:r>
          </w:p>
        </w:tc>
        <w:tc>
          <w:tcPr>
            <w:tcW w:w="851" w:type="dxa"/>
            <w:tcBorders>
              <w:top w:val="nil"/>
              <w:left w:val="nil"/>
              <w:bottom w:val="nil"/>
              <w:right w:val="single" w:sz="4" w:space="0" w:color="auto"/>
            </w:tcBorders>
            <w:shd w:val="clear" w:color="auto" w:fill="auto"/>
            <w:noWrap/>
            <w:vAlign w:val="bottom"/>
            <w:hideMark/>
          </w:tcPr>
          <w:p w14:paraId="186701D8" w14:textId="77777777" w:rsidR="0004557C" w:rsidRPr="00011948" w:rsidRDefault="0004557C" w:rsidP="005C7955">
            <w:pPr>
              <w:keepNext/>
              <w:keepLines/>
              <w:suppressAutoHyphens/>
              <w:spacing w:line="240" w:lineRule="atLeast"/>
              <w:jc w:val="center"/>
              <w:rPr>
                <w:sz w:val="16"/>
              </w:rPr>
            </w:pPr>
            <w:r w:rsidRPr="00011948">
              <w:rPr>
                <w:sz w:val="16"/>
              </w:rPr>
              <w:t>0.77</w:t>
            </w:r>
          </w:p>
        </w:tc>
        <w:tc>
          <w:tcPr>
            <w:tcW w:w="850" w:type="dxa"/>
            <w:tcBorders>
              <w:top w:val="nil"/>
              <w:left w:val="nil"/>
              <w:bottom w:val="nil"/>
              <w:right w:val="double" w:sz="6" w:space="0" w:color="auto"/>
            </w:tcBorders>
            <w:shd w:val="clear" w:color="auto" w:fill="auto"/>
            <w:noWrap/>
            <w:vAlign w:val="bottom"/>
            <w:hideMark/>
          </w:tcPr>
          <w:p w14:paraId="42BE8C51" w14:textId="77777777" w:rsidR="0004557C" w:rsidRPr="00011948" w:rsidRDefault="0004557C" w:rsidP="005C7955">
            <w:pPr>
              <w:keepNext/>
              <w:keepLines/>
              <w:suppressAutoHyphens/>
              <w:spacing w:line="240" w:lineRule="atLeast"/>
              <w:jc w:val="center"/>
              <w:rPr>
                <w:sz w:val="16"/>
              </w:rPr>
            </w:pPr>
            <w:r w:rsidRPr="00011948">
              <w:rPr>
                <w:sz w:val="16"/>
              </w:rPr>
              <w:t>0.02</w:t>
            </w:r>
          </w:p>
        </w:tc>
      </w:tr>
      <w:tr w:rsidR="0004557C" w:rsidRPr="00011948" w14:paraId="1B714B34"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1A27806" w14:textId="77777777" w:rsidR="0004557C" w:rsidRPr="00011948" w:rsidRDefault="0004557C" w:rsidP="005C7955">
            <w:pPr>
              <w:keepNext/>
              <w:keepLines/>
              <w:suppressAutoHyphens/>
              <w:spacing w:line="240" w:lineRule="atLeast"/>
              <w:rPr>
                <w:sz w:val="16"/>
              </w:rPr>
            </w:pPr>
            <w:r w:rsidRPr="00011948">
              <w:rPr>
                <w:sz w:val="16"/>
              </w:rPr>
              <w:t>fluoranthene</w:t>
            </w:r>
          </w:p>
        </w:tc>
        <w:tc>
          <w:tcPr>
            <w:tcW w:w="1158" w:type="dxa"/>
            <w:tcBorders>
              <w:top w:val="nil"/>
              <w:left w:val="nil"/>
              <w:bottom w:val="nil"/>
              <w:right w:val="single" w:sz="4" w:space="0" w:color="auto"/>
            </w:tcBorders>
            <w:shd w:val="clear" w:color="auto" w:fill="auto"/>
            <w:noWrap/>
            <w:vAlign w:val="bottom"/>
            <w:hideMark/>
          </w:tcPr>
          <w:p w14:paraId="40E345D0" w14:textId="77777777" w:rsidR="0004557C" w:rsidRPr="00011948" w:rsidRDefault="0004557C" w:rsidP="005C7955">
            <w:pPr>
              <w:keepNext/>
              <w:keepLines/>
              <w:suppressAutoHyphens/>
              <w:spacing w:line="240" w:lineRule="atLeast"/>
              <w:jc w:val="center"/>
              <w:rPr>
                <w:sz w:val="16"/>
              </w:rPr>
            </w:pPr>
            <w:r w:rsidRPr="00011948">
              <w:rPr>
                <w:sz w:val="16"/>
              </w:rPr>
              <w:t>18.22</w:t>
            </w:r>
          </w:p>
        </w:tc>
        <w:tc>
          <w:tcPr>
            <w:tcW w:w="1134" w:type="dxa"/>
            <w:tcBorders>
              <w:top w:val="nil"/>
              <w:left w:val="nil"/>
              <w:bottom w:val="nil"/>
              <w:right w:val="single" w:sz="4" w:space="0" w:color="auto"/>
            </w:tcBorders>
            <w:shd w:val="clear" w:color="auto" w:fill="auto"/>
            <w:noWrap/>
            <w:vAlign w:val="bottom"/>
            <w:hideMark/>
          </w:tcPr>
          <w:p w14:paraId="69FA08EA" w14:textId="77777777" w:rsidR="0004557C" w:rsidRPr="00011948" w:rsidRDefault="0004557C" w:rsidP="005C7955">
            <w:pPr>
              <w:keepNext/>
              <w:keepLines/>
              <w:suppressAutoHyphens/>
              <w:spacing w:line="240" w:lineRule="atLeast"/>
              <w:jc w:val="center"/>
              <w:rPr>
                <w:sz w:val="16"/>
              </w:rPr>
            </w:pPr>
            <w:r w:rsidRPr="00011948">
              <w:rPr>
                <w:sz w:val="16"/>
              </w:rPr>
              <w:t>2.80</w:t>
            </w:r>
          </w:p>
        </w:tc>
        <w:tc>
          <w:tcPr>
            <w:tcW w:w="992" w:type="dxa"/>
            <w:tcBorders>
              <w:top w:val="nil"/>
              <w:left w:val="nil"/>
              <w:bottom w:val="nil"/>
              <w:right w:val="nil"/>
            </w:tcBorders>
            <w:shd w:val="clear" w:color="auto" w:fill="auto"/>
            <w:noWrap/>
            <w:vAlign w:val="bottom"/>
            <w:hideMark/>
          </w:tcPr>
          <w:p w14:paraId="3834D65F" w14:textId="77777777" w:rsidR="0004557C" w:rsidRPr="00011948" w:rsidRDefault="0004557C" w:rsidP="005C7955">
            <w:pPr>
              <w:keepNext/>
              <w:keepLines/>
              <w:suppressAutoHyphens/>
              <w:spacing w:line="240" w:lineRule="atLeast"/>
              <w:jc w:val="center"/>
              <w:rPr>
                <w:sz w:val="16"/>
              </w:rPr>
            </w:pPr>
            <w:r w:rsidRPr="00011948">
              <w:rPr>
                <w:sz w:val="16"/>
              </w:rPr>
              <w:t>18.00</w:t>
            </w:r>
          </w:p>
        </w:tc>
        <w:tc>
          <w:tcPr>
            <w:tcW w:w="992" w:type="dxa"/>
            <w:tcBorders>
              <w:top w:val="nil"/>
              <w:left w:val="nil"/>
              <w:bottom w:val="nil"/>
              <w:right w:val="single" w:sz="4" w:space="0" w:color="auto"/>
            </w:tcBorders>
            <w:shd w:val="clear" w:color="auto" w:fill="auto"/>
            <w:noWrap/>
            <w:vAlign w:val="bottom"/>
            <w:hideMark/>
          </w:tcPr>
          <w:p w14:paraId="5E10BA6D" w14:textId="77777777" w:rsidR="0004557C" w:rsidRPr="00011948" w:rsidRDefault="0004557C" w:rsidP="005C7955">
            <w:pPr>
              <w:keepNext/>
              <w:keepLines/>
              <w:suppressAutoHyphens/>
              <w:spacing w:line="240" w:lineRule="atLeast"/>
              <w:jc w:val="center"/>
              <w:rPr>
                <w:sz w:val="16"/>
              </w:rPr>
            </w:pPr>
            <w:r w:rsidRPr="00011948">
              <w:rPr>
                <w:sz w:val="16"/>
              </w:rPr>
              <w:t>38.32</w:t>
            </w:r>
          </w:p>
        </w:tc>
        <w:tc>
          <w:tcPr>
            <w:tcW w:w="851" w:type="dxa"/>
            <w:tcBorders>
              <w:top w:val="nil"/>
              <w:left w:val="nil"/>
              <w:bottom w:val="nil"/>
              <w:right w:val="single" w:sz="4" w:space="0" w:color="auto"/>
            </w:tcBorders>
            <w:shd w:val="clear" w:color="auto" w:fill="auto"/>
            <w:noWrap/>
            <w:vAlign w:val="bottom"/>
            <w:hideMark/>
          </w:tcPr>
          <w:p w14:paraId="42CCBF1D" w14:textId="77777777" w:rsidR="0004557C" w:rsidRPr="00011948" w:rsidRDefault="0004557C" w:rsidP="005C7955">
            <w:pPr>
              <w:keepNext/>
              <w:keepLines/>
              <w:suppressAutoHyphens/>
              <w:spacing w:line="240" w:lineRule="atLeast"/>
              <w:jc w:val="center"/>
              <w:rPr>
                <w:sz w:val="16"/>
              </w:rPr>
            </w:pPr>
            <w:r w:rsidRPr="00011948">
              <w:rPr>
                <w:sz w:val="16"/>
              </w:rPr>
              <w:t>21.39</w:t>
            </w:r>
          </w:p>
        </w:tc>
        <w:tc>
          <w:tcPr>
            <w:tcW w:w="850" w:type="dxa"/>
            <w:tcBorders>
              <w:top w:val="nil"/>
              <w:left w:val="nil"/>
              <w:bottom w:val="nil"/>
              <w:right w:val="double" w:sz="6" w:space="0" w:color="auto"/>
            </w:tcBorders>
            <w:shd w:val="clear" w:color="auto" w:fill="auto"/>
            <w:noWrap/>
            <w:vAlign w:val="bottom"/>
            <w:hideMark/>
          </w:tcPr>
          <w:p w14:paraId="43CC9B5E" w14:textId="77777777" w:rsidR="0004557C" w:rsidRPr="00011948" w:rsidRDefault="0004557C" w:rsidP="005C7955">
            <w:pPr>
              <w:keepNext/>
              <w:keepLines/>
              <w:suppressAutoHyphens/>
              <w:spacing w:line="240" w:lineRule="atLeast"/>
              <w:jc w:val="center"/>
              <w:rPr>
                <w:sz w:val="16"/>
              </w:rPr>
            </w:pPr>
            <w:r w:rsidRPr="00011948">
              <w:rPr>
                <w:sz w:val="16"/>
              </w:rPr>
              <w:t>1.36</w:t>
            </w:r>
          </w:p>
        </w:tc>
      </w:tr>
      <w:tr w:rsidR="0004557C" w:rsidRPr="00011948" w14:paraId="49842A95" w14:textId="77777777" w:rsidTr="00887829">
        <w:trPr>
          <w:trHeight w:val="240"/>
        </w:trPr>
        <w:tc>
          <w:tcPr>
            <w:tcW w:w="1984" w:type="dxa"/>
            <w:tcBorders>
              <w:top w:val="nil"/>
              <w:left w:val="double" w:sz="6" w:space="0" w:color="auto"/>
              <w:bottom w:val="single" w:sz="8" w:space="0" w:color="auto"/>
              <w:right w:val="single" w:sz="4" w:space="0" w:color="auto"/>
            </w:tcBorders>
            <w:shd w:val="clear" w:color="auto" w:fill="auto"/>
            <w:noWrap/>
            <w:vAlign w:val="bottom"/>
            <w:hideMark/>
          </w:tcPr>
          <w:p w14:paraId="645ECC80" w14:textId="77777777" w:rsidR="0004557C" w:rsidRPr="00011948" w:rsidRDefault="0004557C" w:rsidP="005C7955">
            <w:pPr>
              <w:keepNext/>
              <w:keepLines/>
              <w:suppressAutoHyphens/>
              <w:spacing w:line="240" w:lineRule="atLeast"/>
              <w:rPr>
                <w:sz w:val="16"/>
              </w:rPr>
            </w:pPr>
            <w:r w:rsidRPr="00011948">
              <w:rPr>
                <w:sz w:val="16"/>
              </w:rPr>
              <w:t>benzo(a)pyrene</w:t>
            </w:r>
          </w:p>
        </w:tc>
        <w:tc>
          <w:tcPr>
            <w:tcW w:w="1158" w:type="dxa"/>
            <w:tcBorders>
              <w:top w:val="nil"/>
              <w:left w:val="nil"/>
              <w:bottom w:val="single" w:sz="8" w:space="0" w:color="auto"/>
              <w:right w:val="single" w:sz="4" w:space="0" w:color="auto"/>
            </w:tcBorders>
            <w:shd w:val="clear" w:color="auto" w:fill="auto"/>
            <w:noWrap/>
            <w:vAlign w:val="bottom"/>
            <w:hideMark/>
          </w:tcPr>
          <w:p w14:paraId="23D836B3" w14:textId="77777777" w:rsidR="0004557C" w:rsidRPr="00011948" w:rsidRDefault="0004557C" w:rsidP="005C7955">
            <w:pPr>
              <w:keepNext/>
              <w:keepLines/>
              <w:suppressAutoHyphens/>
              <w:spacing w:line="240" w:lineRule="atLeast"/>
              <w:jc w:val="center"/>
              <w:rPr>
                <w:sz w:val="16"/>
              </w:rPr>
            </w:pPr>
            <w:r w:rsidRPr="00011948">
              <w:rPr>
                <w:sz w:val="16"/>
              </w:rPr>
              <w:t>0.48</w:t>
            </w:r>
          </w:p>
        </w:tc>
        <w:tc>
          <w:tcPr>
            <w:tcW w:w="1134" w:type="dxa"/>
            <w:tcBorders>
              <w:top w:val="nil"/>
              <w:left w:val="nil"/>
              <w:bottom w:val="single" w:sz="8" w:space="0" w:color="auto"/>
              <w:right w:val="single" w:sz="4" w:space="0" w:color="auto"/>
            </w:tcBorders>
            <w:shd w:val="clear" w:color="auto" w:fill="auto"/>
            <w:noWrap/>
            <w:vAlign w:val="bottom"/>
            <w:hideMark/>
          </w:tcPr>
          <w:p w14:paraId="38B72F98" w14:textId="77777777" w:rsidR="0004557C" w:rsidRPr="00011948" w:rsidRDefault="0004557C" w:rsidP="005C7955">
            <w:pPr>
              <w:keepNext/>
              <w:keepLines/>
              <w:suppressAutoHyphens/>
              <w:spacing w:line="240" w:lineRule="atLeast"/>
              <w:jc w:val="center"/>
              <w:rPr>
                <w:sz w:val="16"/>
              </w:rPr>
            </w:pPr>
            <w:r w:rsidRPr="00011948">
              <w:rPr>
                <w:sz w:val="16"/>
              </w:rPr>
              <w:t>0.32</w:t>
            </w:r>
          </w:p>
        </w:tc>
        <w:tc>
          <w:tcPr>
            <w:tcW w:w="992" w:type="dxa"/>
            <w:tcBorders>
              <w:top w:val="nil"/>
              <w:left w:val="nil"/>
              <w:bottom w:val="single" w:sz="8" w:space="0" w:color="auto"/>
              <w:right w:val="nil"/>
            </w:tcBorders>
            <w:shd w:val="clear" w:color="auto" w:fill="auto"/>
            <w:noWrap/>
            <w:vAlign w:val="bottom"/>
            <w:hideMark/>
          </w:tcPr>
          <w:p w14:paraId="66A9A765" w14:textId="77777777" w:rsidR="0004557C" w:rsidRPr="00011948" w:rsidRDefault="0004557C" w:rsidP="005C7955">
            <w:pPr>
              <w:keepNext/>
              <w:keepLines/>
              <w:suppressAutoHyphens/>
              <w:spacing w:line="240" w:lineRule="atLeast"/>
              <w:jc w:val="center"/>
              <w:rPr>
                <w:sz w:val="16"/>
              </w:rPr>
            </w:pPr>
            <w:r w:rsidRPr="00011948">
              <w:rPr>
                <w:sz w:val="16"/>
              </w:rPr>
              <w:t>0.63</w:t>
            </w:r>
          </w:p>
        </w:tc>
        <w:tc>
          <w:tcPr>
            <w:tcW w:w="992" w:type="dxa"/>
            <w:tcBorders>
              <w:top w:val="nil"/>
              <w:left w:val="nil"/>
              <w:bottom w:val="single" w:sz="8" w:space="0" w:color="auto"/>
              <w:right w:val="single" w:sz="4" w:space="0" w:color="auto"/>
            </w:tcBorders>
            <w:shd w:val="clear" w:color="auto" w:fill="auto"/>
            <w:noWrap/>
            <w:vAlign w:val="bottom"/>
            <w:hideMark/>
          </w:tcPr>
          <w:p w14:paraId="1587AAFB" w14:textId="77777777" w:rsidR="0004557C" w:rsidRPr="00011948" w:rsidRDefault="0004557C" w:rsidP="005C7955">
            <w:pPr>
              <w:keepNext/>
              <w:keepLines/>
              <w:suppressAutoHyphens/>
              <w:spacing w:line="240" w:lineRule="atLeast"/>
              <w:jc w:val="center"/>
              <w:rPr>
                <w:sz w:val="16"/>
              </w:rPr>
            </w:pPr>
            <w:r w:rsidRPr="00011948">
              <w:rPr>
                <w:sz w:val="16"/>
              </w:rPr>
              <w:t>2.85</w:t>
            </w:r>
          </w:p>
        </w:tc>
        <w:tc>
          <w:tcPr>
            <w:tcW w:w="851" w:type="dxa"/>
            <w:tcBorders>
              <w:top w:val="nil"/>
              <w:left w:val="nil"/>
              <w:bottom w:val="single" w:sz="8" w:space="0" w:color="auto"/>
              <w:right w:val="single" w:sz="4" w:space="0" w:color="auto"/>
            </w:tcBorders>
            <w:shd w:val="clear" w:color="auto" w:fill="auto"/>
            <w:noWrap/>
            <w:vAlign w:val="bottom"/>
            <w:hideMark/>
          </w:tcPr>
          <w:p w14:paraId="10B71822" w14:textId="77777777" w:rsidR="0004557C" w:rsidRPr="00011948" w:rsidRDefault="0004557C" w:rsidP="005C7955">
            <w:pPr>
              <w:keepNext/>
              <w:keepLines/>
              <w:suppressAutoHyphens/>
              <w:spacing w:line="240" w:lineRule="atLeast"/>
              <w:jc w:val="center"/>
              <w:rPr>
                <w:sz w:val="16"/>
              </w:rPr>
            </w:pPr>
            <w:r w:rsidRPr="00011948">
              <w:rPr>
                <w:sz w:val="16"/>
              </w:rPr>
              <w:t>0.90</w:t>
            </w:r>
          </w:p>
        </w:tc>
        <w:tc>
          <w:tcPr>
            <w:tcW w:w="850" w:type="dxa"/>
            <w:tcBorders>
              <w:top w:val="nil"/>
              <w:left w:val="nil"/>
              <w:bottom w:val="single" w:sz="8" w:space="0" w:color="auto"/>
              <w:right w:val="double" w:sz="6" w:space="0" w:color="auto"/>
            </w:tcBorders>
            <w:shd w:val="clear" w:color="auto" w:fill="auto"/>
            <w:noWrap/>
            <w:vAlign w:val="bottom"/>
            <w:hideMark/>
          </w:tcPr>
          <w:p w14:paraId="5B2585A0" w14:textId="77777777" w:rsidR="0004557C" w:rsidRPr="00011948" w:rsidRDefault="0004557C" w:rsidP="005C7955">
            <w:pPr>
              <w:keepNext/>
              <w:keepLines/>
              <w:suppressAutoHyphens/>
              <w:spacing w:line="240" w:lineRule="atLeast"/>
              <w:jc w:val="center"/>
              <w:rPr>
                <w:sz w:val="16"/>
              </w:rPr>
            </w:pPr>
            <w:r w:rsidRPr="00011948">
              <w:rPr>
                <w:sz w:val="16"/>
              </w:rPr>
              <w:t>0.01</w:t>
            </w:r>
          </w:p>
        </w:tc>
      </w:tr>
      <w:tr w:rsidR="0004557C" w:rsidRPr="00011948" w14:paraId="0F6CBE9B"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6E627FB3" w14:textId="77777777" w:rsidR="0004557C" w:rsidRPr="00011948" w:rsidRDefault="0004557C" w:rsidP="005C7955">
            <w:pPr>
              <w:keepNext/>
              <w:keepLines/>
              <w:suppressAutoHyphens/>
              <w:spacing w:line="240" w:lineRule="atLeast"/>
              <w:rPr>
                <w:sz w:val="16"/>
              </w:rPr>
            </w:pPr>
            <w:r w:rsidRPr="00011948">
              <w:rPr>
                <w:sz w:val="16"/>
              </w:rPr>
              <w:t>pyrene</w:t>
            </w:r>
          </w:p>
        </w:tc>
        <w:tc>
          <w:tcPr>
            <w:tcW w:w="1158" w:type="dxa"/>
            <w:tcBorders>
              <w:top w:val="nil"/>
              <w:left w:val="nil"/>
              <w:bottom w:val="nil"/>
              <w:right w:val="single" w:sz="4" w:space="0" w:color="auto"/>
            </w:tcBorders>
            <w:shd w:val="clear" w:color="auto" w:fill="auto"/>
            <w:noWrap/>
            <w:vAlign w:val="bottom"/>
            <w:hideMark/>
          </w:tcPr>
          <w:p w14:paraId="53C9F39B" w14:textId="77777777" w:rsidR="0004557C" w:rsidRPr="00011948" w:rsidRDefault="0004557C" w:rsidP="005C7955">
            <w:pPr>
              <w:keepNext/>
              <w:keepLines/>
              <w:suppressAutoHyphens/>
              <w:spacing w:line="240" w:lineRule="atLeast"/>
              <w:jc w:val="center"/>
              <w:rPr>
                <w:sz w:val="16"/>
              </w:rPr>
            </w:pPr>
            <w:r w:rsidRPr="00011948">
              <w:rPr>
                <w:sz w:val="16"/>
              </w:rPr>
              <w:t>5.78</w:t>
            </w:r>
          </w:p>
        </w:tc>
        <w:tc>
          <w:tcPr>
            <w:tcW w:w="1134" w:type="dxa"/>
            <w:tcBorders>
              <w:top w:val="nil"/>
              <w:left w:val="nil"/>
              <w:bottom w:val="nil"/>
              <w:right w:val="single" w:sz="4" w:space="0" w:color="auto"/>
            </w:tcBorders>
            <w:shd w:val="clear" w:color="auto" w:fill="auto"/>
            <w:noWrap/>
            <w:vAlign w:val="bottom"/>
            <w:hideMark/>
          </w:tcPr>
          <w:p w14:paraId="05936BA3" w14:textId="77777777" w:rsidR="0004557C" w:rsidRPr="00011948" w:rsidRDefault="0004557C" w:rsidP="005C7955">
            <w:pPr>
              <w:keepNext/>
              <w:keepLines/>
              <w:suppressAutoHyphens/>
              <w:spacing w:line="240" w:lineRule="atLeast"/>
              <w:jc w:val="center"/>
              <w:rPr>
                <w:sz w:val="16"/>
              </w:rPr>
            </w:pPr>
            <w:r w:rsidRPr="00011948">
              <w:rPr>
                <w:sz w:val="16"/>
              </w:rPr>
              <w:t>1.80</w:t>
            </w:r>
          </w:p>
        </w:tc>
        <w:tc>
          <w:tcPr>
            <w:tcW w:w="992" w:type="dxa"/>
            <w:tcBorders>
              <w:top w:val="nil"/>
              <w:left w:val="nil"/>
              <w:bottom w:val="nil"/>
              <w:right w:val="nil"/>
            </w:tcBorders>
            <w:shd w:val="clear" w:color="auto" w:fill="auto"/>
            <w:noWrap/>
            <w:vAlign w:val="bottom"/>
            <w:hideMark/>
          </w:tcPr>
          <w:p w14:paraId="0394F607" w14:textId="77777777" w:rsidR="0004557C" w:rsidRPr="00011948" w:rsidRDefault="0004557C" w:rsidP="005C7955">
            <w:pPr>
              <w:keepNext/>
              <w:keepLines/>
              <w:suppressAutoHyphens/>
              <w:spacing w:line="240" w:lineRule="atLeast"/>
              <w:jc w:val="center"/>
              <w:rPr>
                <w:sz w:val="16"/>
              </w:rPr>
            </w:pPr>
            <w:r w:rsidRPr="00011948">
              <w:rPr>
                <w:sz w:val="16"/>
              </w:rPr>
              <w:t>12.30</w:t>
            </w:r>
          </w:p>
        </w:tc>
        <w:tc>
          <w:tcPr>
            <w:tcW w:w="992" w:type="dxa"/>
            <w:tcBorders>
              <w:top w:val="nil"/>
              <w:left w:val="nil"/>
              <w:bottom w:val="nil"/>
              <w:right w:val="single" w:sz="4" w:space="0" w:color="auto"/>
            </w:tcBorders>
            <w:shd w:val="clear" w:color="auto" w:fill="auto"/>
            <w:noWrap/>
            <w:vAlign w:val="bottom"/>
            <w:hideMark/>
          </w:tcPr>
          <w:p w14:paraId="04AF2BA9" w14:textId="77777777" w:rsidR="0004557C" w:rsidRPr="00011948" w:rsidRDefault="0004557C" w:rsidP="005C7955">
            <w:pPr>
              <w:keepNext/>
              <w:keepLines/>
              <w:suppressAutoHyphens/>
              <w:spacing w:line="240" w:lineRule="atLeast"/>
              <w:jc w:val="center"/>
              <w:rPr>
                <w:sz w:val="16"/>
              </w:rPr>
            </w:pPr>
            <w:r w:rsidRPr="00011948">
              <w:rPr>
                <w:sz w:val="16"/>
              </w:rPr>
              <w:t>38.96</w:t>
            </w:r>
          </w:p>
        </w:tc>
        <w:tc>
          <w:tcPr>
            <w:tcW w:w="851" w:type="dxa"/>
            <w:tcBorders>
              <w:top w:val="nil"/>
              <w:left w:val="nil"/>
              <w:bottom w:val="nil"/>
              <w:right w:val="single" w:sz="4" w:space="0" w:color="auto"/>
            </w:tcBorders>
            <w:shd w:val="clear" w:color="auto" w:fill="auto"/>
            <w:noWrap/>
            <w:vAlign w:val="bottom"/>
            <w:hideMark/>
          </w:tcPr>
          <w:p w14:paraId="4F2A9FF3" w14:textId="77777777" w:rsidR="0004557C" w:rsidRPr="00011948" w:rsidRDefault="0004557C" w:rsidP="005C7955">
            <w:pPr>
              <w:keepNext/>
              <w:keepLines/>
              <w:suppressAutoHyphens/>
              <w:spacing w:line="240" w:lineRule="atLeast"/>
              <w:jc w:val="center"/>
              <w:rPr>
                <w:sz w:val="16"/>
              </w:rPr>
            </w:pPr>
            <w:r w:rsidRPr="00011948">
              <w:rPr>
                <w:sz w:val="16"/>
              </w:rPr>
              <w:t>31.59</w:t>
            </w:r>
          </w:p>
        </w:tc>
        <w:tc>
          <w:tcPr>
            <w:tcW w:w="850" w:type="dxa"/>
            <w:tcBorders>
              <w:top w:val="nil"/>
              <w:left w:val="nil"/>
              <w:bottom w:val="nil"/>
              <w:right w:val="double" w:sz="6" w:space="0" w:color="auto"/>
            </w:tcBorders>
            <w:shd w:val="clear" w:color="auto" w:fill="auto"/>
            <w:noWrap/>
            <w:vAlign w:val="bottom"/>
            <w:hideMark/>
          </w:tcPr>
          <w:p w14:paraId="314717E7" w14:textId="77777777" w:rsidR="0004557C" w:rsidRPr="00011948" w:rsidRDefault="0004557C" w:rsidP="005C7955">
            <w:pPr>
              <w:keepNext/>
              <w:keepLines/>
              <w:suppressAutoHyphens/>
              <w:spacing w:line="240" w:lineRule="atLeast"/>
              <w:jc w:val="center"/>
              <w:rPr>
                <w:sz w:val="16"/>
              </w:rPr>
            </w:pPr>
            <w:r w:rsidRPr="00011948">
              <w:rPr>
                <w:sz w:val="16"/>
              </w:rPr>
              <w:t>1.06</w:t>
            </w:r>
          </w:p>
        </w:tc>
      </w:tr>
      <w:tr w:rsidR="0004557C" w:rsidRPr="00011948" w14:paraId="1559FA27"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59D8F0F0" w14:textId="77777777" w:rsidR="0004557C" w:rsidRPr="00011948" w:rsidRDefault="0004557C" w:rsidP="005C7955">
            <w:pPr>
              <w:keepNext/>
              <w:keepLines/>
              <w:suppressAutoHyphens/>
              <w:spacing w:line="240" w:lineRule="atLeast"/>
              <w:rPr>
                <w:sz w:val="16"/>
              </w:rPr>
            </w:pPr>
            <w:r w:rsidRPr="00011948">
              <w:rPr>
                <w:sz w:val="16"/>
              </w:rPr>
              <w:t>perylene</w:t>
            </w:r>
          </w:p>
        </w:tc>
        <w:tc>
          <w:tcPr>
            <w:tcW w:w="1158" w:type="dxa"/>
            <w:tcBorders>
              <w:top w:val="nil"/>
              <w:left w:val="nil"/>
              <w:bottom w:val="nil"/>
              <w:right w:val="single" w:sz="4" w:space="0" w:color="auto"/>
            </w:tcBorders>
            <w:shd w:val="clear" w:color="auto" w:fill="auto"/>
            <w:noWrap/>
            <w:vAlign w:val="bottom"/>
            <w:hideMark/>
          </w:tcPr>
          <w:p w14:paraId="729FFC9A" w14:textId="77777777" w:rsidR="0004557C" w:rsidRPr="00011948" w:rsidRDefault="0004557C" w:rsidP="005C7955">
            <w:pPr>
              <w:keepNext/>
              <w:keepLines/>
              <w:suppressAutoHyphens/>
              <w:spacing w:line="240" w:lineRule="atLeast"/>
              <w:jc w:val="center"/>
              <w:rPr>
                <w:sz w:val="16"/>
              </w:rPr>
            </w:pPr>
            <w:r w:rsidRPr="00011948">
              <w:rPr>
                <w:sz w:val="16"/>
              </w:rPr>
              <w:t>0.11</w:t>
            </w:r>
          </w:p>
        </w:tc>
        <w:tc>
          <w:tcPr>
            <w:tcW w:w="1134" w:type="dxa"/>
            <w:tcBorders>
              <w:top w:val="nil"/>
              <w:left w:val="nil"/>
              <w:bottom w:val="nil"/>
              <w:right w:val="single" w:sz="4" w:space="0" w:color="auto"/>
            </w:tcBorders>
            <w:shd w:val="clear" w:color="auto" w:fill="auto"/>
            <w:noWrap/>
            <w:vAlign w:val="bottom"/>
            <w:hideMark/>
          </w:tcPr>
          <w:p w14:paraId="7EAAA2D7" w14:textId="77777777" w:rsidR="0004557C" w:rsidRPr="00011948" w:rsidRDefault="0004557C" w:rsidP="005C7955">
            <w:pPr>
              <w:keepNext/>
              <w:keepLines/>
              <w:suppressAutoHyphens/>
              <w:spacing w:line="240" w:lineRule="atLeast"/>
              <w:jc w:val="center"/>
              <w:rPr>
                <w:sz w:val="16"/>
              </w:rPr>
            </w:pPr>
            <w:r w:rsidRPr="00011948">
              <w:rPr>
                <w:sz w:val="16"/>
              </w:rPr>
              <w:t>0.11</w:t>
            </w:r>
          </w:p>
        </w:tc>
        <w:tc>
          <w:tcPr>
            <w:tcW w:w="992" w:type="dxa"/>
            <w:tcBorders>
              <w:top w:val="nil"/>
              <w:left w:val="nil"/>
              <w:bottom w:val="nil"/>
              <w:right w:val="nil"/>
            </w:tcBorders>
            <w:shd w:val="clear" w:color="auto" w:fill="auto"/>
            <w:noWrap/>
            <w:vAlign w:val="bottom"/>
            <w:hideMark/>
          </w:tcPr>
          <w:p w14:paraId="73361EE5" w14:textId="77777777" w:rsidR="0004557C" w:rsidRPr="00011948" w:rsidRDefault="0004557C" w:rsidP="005C7955">
            <w:pPr>
              <w:keepNext/>
              <w:keepLines/>
              <w:suppressAutoHyphens/>
              <w:spacing w:line="240" w:lineRule="atLeast"/>
              <w:jc w:val="center"/>
              <w:rPr>
                <w:sz w:val="16"/>
              </w:rPr>
            </w:pPr>
            <w:r w:rsidRPr="00011948">
              <w:rPr>
                <w:sz w:val="16"/>
              </w:rPr>
              <w:t>0.47</w:t>
            </w:r>
          </w:p>
        </w:tc>
        <w:tc>
          <w:tcPr>
            <w:tcW w:w="992" w:type="dxa"/>
            <w:tcBorders>
              <w:top w:val="nil"/>
              <w:left w:val="nil"/>
              <w:bottom w:val="nil"/>
              <w:right w:val="single" w:sz="4" w:space="0" w:color="auto"/>
            </w:tcBorders>
            <w:shd w:val="clear" w:color="auto" w:fill="auto"/>
            <w:noWrap/>
            <w:vAlign w:val="bottom"/>
            <w:hideMark/>
          </w:tcPr>
          <w:p w14:paraId="7E4C1CB7" w14:textId="77777777" w:rsidR="0004557C" w:rsidRPr="00011948" w:rsidRDefault="0004557C" w:rsidP="005C7955">
            <w:pPr>
              <w:keepNext/>
              <w:keepLines/>
              <w:suppressAutoHyphens/>
              <w:spacing w:line="240" w:lineRule="atLeast"/>
              <w:jc w:val="center"/>
              <w:rPr>
                <w:sz w:val="16"/>
              </w:rPr>
            </w:pPr>
            <w:r w:rsidRPr="00011948">
              <w:rPr>
                <w:sz w:val="16"/>
              </w:rPr>
              <w:t>0.41</w:t>
            </w:r>
          </w:p>
        </w:tc>
        <w:tc>
          <w:tcPr>
            <w:tcW w:w="851" w:type="dxa"/>
            <w:tcBorders>
              <w:top w:val="nil"/>
              <w:left w:val="nil"/>
              <w:bottom w:val="nil"/>
              <w:right w:val="single" w:sz="4" w:space="0" w:color="auto"/>
            </w:tcBorders>
            <w:shd w:val="clear" w:color="auto" w:fill="auto"/>
            <w:noWrap/>
            <w:vAlign w:val="bottom"/>
            <w:hideMark/>
          </w:tcPr>
          <w:p w14:paraId="48F69D7A" w14:textId="77777777" w:rsidR="0004557C" w:rsidRPr="00011948" w:rsidRDefault="0004557C" w:rsidP="005C7955">
            <w:pPr>
              <w:keepNext/>
              <w:keepLines/>
              <w:suppressAutoHyphens/>
              <w:spacing w:line="240" w:lineRule="atLeast"/>
              <w:jc w:val="center"/>
              <w:rPr>
                <w:sz w:val="16"/>
              </w:rPr>
            </w:pPr>
            <w:r w:rsidRPr="00011948">
              <w:rPr>
                <w:sz w:val="16"/>
              </w:rPr>
              <w:t>0.20</w:t>
            </w:r>
          </w:p>
        </w:tc>
        <w:tc>
          <w:tcPr>
            <w:tcW w:w="850" w:type="dxa"/>
            <w:tcBorders>
              <w:top w:val="nil"/>
              <w:left w:val="nil"/>
              <w:bottom w:val="nil"/>
              <w:right w:val="double" w:sz="6" w:space="0" w:color="auto"/>
            </w:tcBorders>
            <w:shd w:val="clear" w:color="auto" w:fill="auto"/>
            <w:noWrap/>
            <w:vAlign w:val="bottom"/>
            <w:hideMark/>
          </w:tcPr>
          <w:p w14:paraId="38043B0C" w14:textId="77777777" w:rsidR="0004557C" w:rsidRPr="00011948" w:rsidRDefault="0004557C" w:rsidP="005C7955">
            <w:pPr>
              <w:keepNext/>
              <w:keepLines/>
              <w:suppressAutoHyphens/>
              <w:spacing w:line="240" w:lineRule="atLeast"/>
              <w:jc w:val="center"/>
              <w:rPr>
                <w:sz w:val="16"/>
              </w:rPr>
            </w:pPr>
          </w:p>
        </w:tc>
      </w:tr>
      <w:tr w:rsidR="0004557C" w:rsidRPr="00011948" w14:paraId="7C967E5F"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7DE65E3" w14:textId="77777777" w:rsidR="0004557C" w:rsidRPr="00011948" w:rsidRDefault="0004557C" w:rsidP="005C7955">
            <w:pPr>
              <w:keepNext/>
              <w:keepLines/>
              <w:suppressAutoHyphens/>
              <w:spacing w:line="240" w:lineRule="atLeast"/>
              <w:rPr>
                <w:sz w:val="16"/>
              </w:rPr>
            </w:pPr>
            <w:r w:rsidRPr="00011948">
              <w:rPr>
                <w:sz w:val="16"/>
              </w:rPr>
              <w:t>anthanthrene</w:t>
            </w:r>
          </w:p>
        </w:tc>
        <w:tc>
          <w:tcPr>
            <w:tcW w:w="1158" w:type="dxa"/>
            <w:tcBorders>
              <w:top w:val="nil"/>
              <w:left w:val="nil"/>
              <w:bottom w:val="nil"/>
              <w:right w:val="single" w:sz="4" w:space="0" w:color="auto"/>
            </w:tcBorders>
            <w:shd w:val="clear" w:color="auto" w:fill="auto"/>
            <w:noWrap/>
            <w:vAlign w:val="bottom"/>
            <w:hideMark/>
          </w:tcPr>
          <w:p w14:paraId="69F78663" w14:textId="77777777" w:rsidR="0004557C" w:rsidRPr="00011948" w:rsidRDefault="0004557C" w:rsidP="005C7955">
            <w:pPr>
              <w:keepNext/>
              <w:keepLines/>
              <w:suppressAutoHyphens/>
              <w:spacing w:line="240" w:lineRule="atLeast"/>
              <w:jc w:val="center"/>
              <w:rPr>
                <w:sz w:val="16"/>
              </w:rPr>
            </w:pPr>
            <w:r w:rsidRPr="00011948">
              <w:rPr>
                <w:sz w:val="16"/>
              </w:rPr>
              <w:t>0.07</w:t>
            </w:r>
          </w:p>
        </w:tc>
        <w:tc>
          <w:tcPr>
            <w:tcW w:w="1134" w:type="dxa"/>
            <w:tcBorders>
              <w:top w:val="nil"/>
              <w:left w:val="nil"/>
              <w:bottom w:val="nil"/>
              <w:right w:val="single" w:sz="4" w:space="0" w:color="auto"/>
            </w:tcBorders>
            <w:shd w:val="clear" w:color="auto" w:fill="auto"/>
            <w:noWrap/>
            <w:vAlign w:val="bottom"/>
            <w:hideMark/>
          </w:tcPr>
          <w:p w14:paraId="57EB6465" w14:textId="77777777" w:rsidR="0004557C" w:rsidRPr="00011948" w:rsidRDefault="0004557C" w:rsidP="005C7955">
            <w:pPr>
              <w:keepNext/>
              <w:keepLines/>
              <w:suppressAutoHyphens/>
              <w:spacing w:line="240" w:lineRule="atLeast"/>
              <w:jc w:val="center"/>
              <w:rPr>
                <w:sz w:val="16"/>
              </w:rPr>
            </w:pPr>
            <w:r w:rsidRPr="00011948">
              <w:rPr>
                <w:sz w:val="16"/>
              </w:rPr>
              <w:t>0.01</w:t>
            </w:r>
          </w:p>
        </w:tc>
        <w:tc>
          <w:tcPr>
            <w:tcW w:w="992" w:type="dxa"/>
            <w:tcBorders>
              <w:top w:val="nil"/>
              <w:left w:val="nil"/>
              <w:bottom w:val="nil"/>
              <w:right w:val="nil"/>
            </w:tcBorders>
            <w:shd w:val="clear" w:color="auto" w:fill="auto"/>
            <w:noWrap/>
            <w:vAlign w:val="bottom"/>
            <w:hideMark/>
          </w:tcPr>
          <w:p w14:paraId="7C776E20" w14:textId="77777777" w:rsidR="0004557C" w:rsidRPr="00011948" w:rsidRDefault="0004557C" w:rsidP="005C7955">
            <w:pPr>
              <w:keepNext/>
              <w:keepLines/>
              <w:suppressAutoHyphens/>
              <w:spacing w:line="240" w:lineRule="atLeast"/>
              <w:jc w:val="center"/>
              <w:rPr>
                <w:sz w:val="16"/>
              </w:rPr>
            </w:pPr>
            <w:r w:rsidRPr="00011948">
              <w:rPr>
                <w:sz w:val="16"/>
              </w:rPr>
              <w:t>0.07</w:t>
            </w:r>
          </w:p>
        </w:tc>
        <w:tc>
          <w:tcPr>
            <w:tcW w:w="992" w:type="dxa"/>
            <w:tcBorders>
              <w:top w:val="nil"/>
              <w:left w:val="nil"/>
              <w:bottom w:val="nil"/>
              <w:right w:val="single" w:sz="4" w:space="0" w:color="auto"/>
            </w:tcBorders>
            <w:shd w:val="clear" w:color="auto" w:fill="auto"/>
            <w:noWrap/>
            <w:vAlign w:val="bottom"/>
            <w:hideMark/>
          </w:tcPr>
          <w:p w14:paraId="0CC8AFFF" w14:textId="77777777" w:rsidR="0004557C" w:rsidRPr="00011948" w:rsidRDefault="0004557C" w:rsidP="005C7955">
            <w:pPr>
              <w:keepNext/>
              <w:keepLines/>
              <w:suppressAutoHyphens/>
              <w:spacing w:line="240" w:lineRule="atLeast"/>
              <w:jc w:val="center"/>
              <w:rPr>
                <w:sz w:val="16"/>
              </w:rPr>
            </w:pPr>
            <w:r w:rsidRPr="00011948">
              <w:rPr>
                <w:sz w:val="16"/>
              </w:rPr>
              <w:t>0.17</w:t>
            </w:r>
          </w:p>
        </w:tc>
        <w:tc>
          <w:tcPr>
            <w:tcW w:w="851" w:type="dxa"/>
            <w:tcBorders>
              <w:top w:val="nil"/>
              <w:left w:val="nil"/>
              <w:bottom w:val="nil"/>
              <w:right w:val="single" w:sz="4" w:space="0" w:color="auto"/>
            </w:tcBorders>
            <w:shd w:val="clear" w:color="auto" w:fill="auto"/>
            <w:noWrap/>
            <w:vAlign w:val="bottom"/>
            <w:hideMark/>
          </w:tcPr>
          <w:p w14:paraId="0A14928C"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5246AE38" w14:textId="77777777" w:rsidR="0004557C" w:rsidRPr="00011948" w:rsidRDefault="0004557C" w:rsidP="005C7955">
            <w:pPr>
              <w:keepNext/>
              <w:keepLines/>
              <w:suppressAutoHyphens/>
              <w:spacing w:line="240" w:lineRule="atLeast"/>
              <w:jc w:val="center"/>
              <w:rPr>
                <w:sz w:val="16"/>
              </w:rPr>
            </w:pPr>
          </w:p>
        </w:tc>
      </w:tr>
      <w:tr w:rsidR="0004557C" w:rsidRPr="00011948" w14:paraId="44CDC189"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47AEF29" w14:textId="77777777" w:rsidR="0004557C" w:rsidRPr="00011948" w:rsidRDefault="0004557C" w:rsidP="005C7955">
            <w:pPr>
              <w:keepNext/>
              <w:keepLines/>
              <w:suppressAutoHyphens/>
              <w:spacing w:line="240" w:lineRule="atLeast"/>
              <w:rPr>
                <w:sz w:val="16"/>
              </w:rPr>
            </w:pPr>
            <w:r w:rsidRPr="00011948">
              <w:rPr>
                <w:sz w:val="16"/>
              </w:rPr>
              <w:t>benzo(b)fluorene</w:t>
            </w:r>
          </w:p>
        </w:tc>
        <w:tc>
          <w:tcPr>
            <w:tcW w:w="1158" w:type="dxa"/>
            <w:tcBorders>
              <w:top w:val="nil"/>
              <w:left w:val="nil"/>
              <w:bottom w:val="nil"/>
              <w:right w:val="single" w:sz="4" w:space="0" w:color="auto"/>
            </w:tcBorders>
            <w:shd w:val="clear" w:color="auto" w:fill="auto"/>
            <w:noWrap/>
            <w:vAlign w:val="bottom"/>
            <w:hideMark/>
          </w:tcPr>
          <w:p w14:paraId="6B35BA0E" w14:textId="77777777" w:rsidR="0004557C" w:rsidRPr="00011948" w:rsidRDefault="0004557C" w:rsidP="005C7955">
            <w:pPr>
              <w:keepNext/>
              <w:keepLines/>
              <w:suppressAutoHyphens/>
              <w:spacing w:line="240" w:lineRule="atLeast"/>
              <w:jc w:val="center"/>
              <w:rPr>
                <w:sz w:val="16"/>
              </w:rPr>
            </w:pPr>
            <w:r w:rsidRPr="00011948">
              <w:rPr>
                <w:sz w:val="16"/>
              </w:rPr>
              <w:t>4.08</w:t>
            </w:r>
          </w:p>
        </w:tc>
        <w:tc>
          <w:tcPr>
            <w:tcW w:w="1134" w:type="dxa"/>
            <w:tcBorders>
              <w:top w:val="nil"/>
              <w:left w:val="nil"/>
              <w:bottom w:val="nil"/>
              <w:right w:val="single" w:sz="4" w:space="0" w:color="auto"/>
            </w:tcBorders>
            <w:shd w:val="clear" w:color="auto" w:fill="auto"/>
            <w:noWrap/>
            <w:vAlign w:val="bottom"/>
            <w:hideMark/>
          </w:tcPr>
          <w:p w14:paraId="072F93D7" w14:textId="77777777" w:rsidR="0004557C" w:rsidRPr="00011948" w:rsidRDefault="0004557C" w:rsidP="005C7955">
            <w:pPr>
              <w:keepNext/>
              <w:keepLines/>
              <w:suppressAutoHyphens/>
              <w:spacing w:line="240" w:lineRule="atLeast"/>
              <w:jc w:val="center"/>
              <w:rPr>
                <w:sz w:val="16"/>
              </w:rPr>
            </w:pPr>
            <w:r w:rsidRPr="00011948">
              <w:rPr>
                <w:sz w:val="16"/>
              </w:rPr>
              <w:t>0.42</w:t>
            </w:r>
          </w:p>
        </w:tc>
        <w:tc>
          <w:tcPr>
            <w:tcW w:w="992" w:type="dxa"/>
            <w:tcBorders>
              <w:top w:val="nil"/>
              <w:left w:val="nil"/>
              <w:bottom w:val="nil"/>
              <w:right w:val="nil"/>
            </w:tcBorders>
            <w:shd w:val="clear" w:color="auto" w:fill="auto"/>
            <w:noWrap/>
            <w:vAlign w:val="bottom"/>
            <w:hideMark/>
          </w:tcPr>
          <w:p w14:paraId="4747502F" w14:textId="77777777" w:rsidR="0004557C" w:rsidRPr="00011948" w:rsidRDefault="0004557C" w:rsidP="005C7955">
            <w:pPr>
              <w:keepNext/>
              <w:keepLines/>
              <w:suppressAutoHyphens/>
              <w:spacing w:line="240" w:lineRule="atLeast"/>
              <w:jc w:val="center"/>
              <w:rPr>
                <w:sz w:val="16"/>
              </w:rPr>
            </w:pPr>
            <w:r w:rsidRPr="00011948">
              <w:rPr>
                <w:sz w:val="16"/>
              </w:rPr>
              <w:t>24.00</w:t>
            </w:r>
          </w:p>
        </w:tc>
        <w:tc>
          <w:tcPr>
            <w:tcW w:w="992" w:type="dxa"/>
            <w:tcBorders>
              <w:top w:val="nil"/>
              <w:left w:val="nil"/>
              <w:bottom w:val="nil"/>
              <w:right w:val="single" w:sz="4" w:space="0" w:color="auto"/>
            </w:tcBorders>
            <w:shd w:val="clear" w:color="auto" w:fill="auto"/>
            <w:noWrap/>
            <w:vAlign w:val="bottom"/>
            <w:hideMark/>
          </w:tcPr>
          <w:p w14:paraId="15DBF3F1" w14:textId="77777777" w:rsidR="0004557C" w:rsidRPr="00011948" w:rsidRDefault="0004557C" w:rsidP="005C7955">
            <w:pPr>
              <w:keepNext/>
              <w:keepLines/>
              <w:suppressAutoHyphens/>
              <w:spacing w:line="240" w:lineRule="atLeast"/>
              <w:jc w:val="center"/>
              <w:rPr>
                <w:sz w:val="16"/>
              </w:rPr>
            </w:pPr>
            <w:r w:rsidRPr="00011948">
              <w:rPr>
                <w:sz w:val="16"/>
              </w:rPr>
              <w:t>5.21</w:t>
            </w:r>
          </w:p>
        </w:tc>
        <w:tc>
          <w:tcPr>
            <w:tcW w:w="851" w:type="dxa"/>
            <w:tcBorders>
              <w:top w:val="nil"/>
              <w:left w:val="nil"/>
              <w:bottom w:val="nil"/>
              <w:right w:val="single" w:sz="4" w:space="0" w:color="auto"/>
            </w:tcBorders>
            <w:shd w:val="clear" w:color="auto" w:fill="auto"/>
            <w:noWrap/>
            <w:vAlign w:val="bottom"/>
            <w:hideMark/>
          </w:tcPr>
          <w:p w14:paraId="322A285D" w14:textId="77777777" w:rsidR="0004557C" w:rsidRPr="00011948" w:rsidRDefault="0004557C" w:rsidP="005C7955">
            <w:pPr>
              <w:keepNext/>
              <w:keepLines/>
              <w:suppressAutoHyphens/>
              <w:spacing w:line="240" w:lineRule="atLeast"/>
              <w:jc w:val="center"/>
              <w:rPr>
                <w:sz w:val="16"/>
              </w:rPr>
            </w:pPr>
            <w:r w:rsidRPr="00011948">
              <w:rPr>
                <w:sz w:val="16"/>
              </w:rPr>
              <w:t>10.58</w:t>
            </w:r>
          </w:p>
        </w:tc>
        <w:tc>
          <w:tcPr>
            <w:tcW w:w="850" w:type="dxa"/>
            <w:tcBorders>
              <w:top w:val="nil"/>
              <w:left w:val="nil"/>
              <w:bottom w:val="nil"/>
              <w:right w:val="double" w:sz="6" w:space="0" w:color="auto"/>
            </w:tcBorders>
            <w:shd w:val="clear" w:color="auto" w:fill="auto"/>
            <w:noWrap/>
            <w:vAlign w:val="bottom"/>
            <w:hideMark/>
          </w:tcPr>
          <w:p w14:paraId="165B3A06" w14:textId="77777777" w:rsidR="0004557C" w:rsidRPr="00011948" w:rsidRDefault="0004557C" w:rsidP="005C7955">
            <w:pPr>
              <w:keepNext/>
              <w:keepLines/>
              <w:suppressAutoHyphens/>
              <w:spacing w:line="240" w:lineRule="atLeast"/>
              <w:jc w:val="center"/>
              <w:rPr>
                <w:sz w:val="16"/>
              </w:rPr>
            </w:pPr>
            <w:r w:rsidRPr="00011948">
              <w:rPr>
                <w:sz w:val="16"/>
              </w:rPr>
              <w:t>0.71</w:t>
            </w:r>
          </w:p>
        </w:tc>
      </w:tr>
      <w:tr w:rsidR="0004557C" w:rsidRPr="00011948" w14:paraId="0EE3FD41"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48677F1" w14:textId="77777777" w:rsidR="0004557C" w:rsidRPr="00011948" w:rsidRDefault="0004557C" w:rsidP="005C7955">
            <w:pPr>
              <w:keepNext/>
              <w:keepLines/>
              <w:suppressAutoHyphens/>
              <w:spacing w:line="240" w:lineRule="atLeast"/>
              <w:rPr>
                <w:sz w:val="16"/>
              </w:rPr>
            </w:pPr>
            <w:r w:rsidRPr="00011948">
              <w:rPr>
                <w:sz w:val="16"/>
              </w:rPr>
              <w:t>benzo(e)pyrene</w:t>
            </w:r>
          </w:p>
        </w:tc>
        <w:tc>
          <w:tcPr>
            <w:tcW w:w="1158" w:type="dxa"/>
            <w:tcBorders>
              <w:top w:val="nil"/>
              <w:left w:val="nil"/>
              <w:bottom w:val="nil"/>
              <w:right w:val="single" w:sz="4" w:space="0" w:color="auto"/>
            </w:tcBorders>
            <w:shd w:val="clear" w:color="auto" w:fill="auto"/>
            <w:noWrap/>
            <w:vAlign w:val="bottom"/>
            <w:hideMark/>
          </w:tcPr>
          <w:p w14:paraId="55B423DA" w14:textId="77777777" w:rsidR="0004557C" w:rsidRPr="00011948" w:rsidRDefault="0004557C" w:rsidP="005C7955">
            <w:pPr>
              <w:keepNext/>
              <w:keepLines/>
              <w:suppressAutoHyphens/>
              <w:spacing w:line="240" w:lineRule="atLeast"/>
              <w:jc w:val="center"/>
              <w:rPr>
                <w:sz w:val="16"/>
              </w:rPr>
            </w:pPr>
            <w:r w:rsidRPr="00011948">
              <w:rPr>
                <w:sz w:val="16"/>
              </w:rPr>
              <w:t>0.12</w:t>
            </w:r>
          </w:p>
        </w:tc>
        <w:tc>
          <w:tcPr>
            <w:tcW w:w="1134" w:type="dxa"/>
            <w:tcBorders>
              <w:top w:val="nil"/>
              <w:left w:val="nil"/>
              <w:bottom w:val="nil"/>
              <w:right w:val="single" w:sz="4" w:space="0" w:color="auto"/>
            </w:tcBorders>
            <w:shd w:val="clear" w:color="auto" w:fill="auto"/>
            <w:noWrap/>
            <w:vAlign w:val="bottom"/>
            <w:hideMark/>
          </w:tcPr>
          <w:p w14:paraId="7AD05116" w14:textId="77777777" w:rsidR="0004557C" w:rsidRPr="00011948" w:rsidRDefault="0004557C" w:rsidP="005C7955">
            <w:pPr>
              <w:keepNext/>
              <w:keepLines/>
              <w:suppressAutoHyphens/>
              <w:spacing w:line="240" w:lineRule="atLeast"/>
              <w:jc w:val="center"/>
              <w:rPr>
                <w:sz w:val="16"/>
              </w:rPr>
            </w:pPr>
            <w:r w:rsidRPr="00011948">
              <w:rPr>
                <w:sz w:val="16"/>
              </w:rPr>
              <w:t>0.27</w:t>
            </w:r>
          </w:p>
        </w:tc>
        <w:tc>
          <w:tcPr>
            <w:tcW w:w="992" w:type="dxa"/>
            <w:tcBorders>
              <w:top w:val="nil"/>
              <w:left w:val="nil"/>
              <w:bottom w:val="nil"/>
              <w:right w:val="nil"/>
            </w:tcBorders>
            <w:shd w:val="clear" w:color="auto" w:fill="auto"/>
            <w:noWrap/>
            <w:vAlign w:val="bottom"/>
            <w:hideMark/>
          </w:tcPr>
          <w:p w14:paraId="24C3B29A" w14:textId="77777777" w:rsidR="0004557C" w:rsidRPr="00011948" w:rsidRDefault="0004557C" w:rsidP="005C7955">
            <w:pPr>
              <w:keepNext/>
              <w:keepLines/>
              <w:suppressAutoHyphens/>
              <w:spacing w:line="240" w:lineRule="atLeast"/>
              <w:jc w:val="center"/>
              <w:rPr>
                <w:sz w:val="16"/>
              </w:rPr>
            </w:pPr>
            <w:r w:rsidRPr="00011948">
              <w:rPr>
                <w:sz w:val="16"/>
              </w:rPr>
              <w:t>4.75</w:t>
            </w:r>
          </w:p>
        </w:tc>
        <w:tc>
          <w:tcPr>
            <w:tcW w:w="992" w:type="dxa"/>
            <w:tcBorders>
              <w:top w:val="nil"/>
              <w:left w:val="nil"/>
              <w:bottom w:val="nil"/>
              <w:right w:val="single" w:sz="4" w:space="0" w:color="auto"/>
            </w:tcBorders>
            <w:shd w:val="clear" w:color="auto" w:fill="auto"/>
            <w:noWrap/>
            <w:vAlign w:val="bottom"/>
            <w:hideMark/>
          </w:tcPr>
          <w:p w14:paraId="02A7904C" w14:textId="77777777" w:rsidR="0004557C" w:rsidRPr="00011948" w:rsidRDefault="0004557C" w:rsidP="005C7955">
            <w:pPr>
              <w:keepNext/>
              <w:keepLines/>
              <w:suppressAutoHyphens/>
              <w:spacing w:line="240" w:lineRule="atLeast"/>
              <w:jc w:val="center"/>
              <w:rPr>
                <w:sz w:val="16"/>
              </w:rPr>
            </w:pPr>
            <w:r w:rsidRPr="00011948">
              <w:rPr>
                <w:sz w:val="16"/>
              </w:rPr>
              <w:t>8.65</w:t>
            </w:r>
          </w:p>
        </w:tc>
        <w:tc>
          <w:tcPr>
            <w:tcW w:w="851" w:type="dxa"/>
            <w:tcBorders>
              <w:top w:val="nil"/>
              <w:left w:val="nil"/>
              <w:bottom w:val="nil"/>
              <w:right w:val="single" w:sz="4" w:space="0" w:color="auto"/>
            </w:tcBorders>
            <w:shd w:val="clear" w:color="auto" w:fill="auto"/>
            <w:noWrap/>
            <w:vAlign w:val="bottom"/>
            <w:hideMark/>
          </w:tcPr>
          <w:p w14:paraId="7157589F" w14:textId="77777777" w:rsidR="0004557C" w:rsidRPr="00011948" w:rsidRDefault="0004557C" w:rsidP="005C7955">
            <w:pPr>
              <w:keepNext/>
              <w:keepLines/>
              <w:suppressAutoHyphens/>
              <w:spacing w:line="240" w:lineRule="atLeast"/>
              <w:jc w:val="center"/>
              <w:rPr>
                <w:sz w:val="16"/>
              </w:rPr>
            </w:pPr>
            <w:r w:rsidRPr="00011948">
              <w:rPr>
                <w:sz w:val="16"/>
              </w:rPr>
              <w:t>2.04</w:t>
            </w:r>
          </w:p>
        </w:tc>
        <w:tc>
          <w:tcPr>
            <w:tcW w:w="850" w:type="dxa"/>
            <w:tcBorders>
              <w:top w:val="nil"/>
              <w:left w:val="nil"/>
              <w:bottom w:val="nil"/>
              <w:right w:val="double" w:sz="6" w:space="0" w:color="auto"/>
            </w:tcBorders>
            <w:shd w:val="clear" w:color="auto" w:fill="auto"/>
            <w:noWrap/>
            <w:vAlign w:val="bottom"/>
            <w:hideMark/>
          </w:tcPr>
          <w:p w14:paraId="3EEFC1A0" w14:textId="77777777" w:rsidR="0004557C" w:rsidRPr="00011948" w:rsidRDefault="0004557C" w:rsidP="005C7955">
            <w:pPr>
              <w:keepNext/>
              <w:keepLines/>
              <w:suppressAutoHyphens/>
              <w:spacing w:line="240" w:lineRule="atLeast"/>
              <w:jc w:val="center"/>
              <w:rPr>
                <w:sz w:val="16"/>
              </w:rPr>
            </w:pPr>
          </w:p>
        </w:tc>
      </w:tr>
      <w:tr w:rsidR="0004557C" w:rsidRPr="00011948" w14:paraId="3F7681A4"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5B777031" w14:textId="77777777" w:rsidR="0004557C" w:rsidRPr="00011948" w:rsidRDefault="0004557C" w:rsidP="005C7955">
            <w:pPr>
              <w:keepNext/>
              <w:keepLines/>
              <w:suppressAutoHyphens/>
              <w:spacing w:line="240" w:lineRule="atLeast"/>
              <w:rPr>
                <w:sz w:val="16"/>
              </w:rPr>
            </w:pPr>
            <w:r w:rsidRPr="00011948">
              <w:rPr>
                <w:sz w:val="16"/>
              </w:rPr>
              <w:t>triphenylene</w:t>
            </w:r>
          </w:p>
        </w:tc>
        <w:tc>
          <w:tcPr>
            <w:tcW w:w="1158" w:type="dxa"/>
            <w:tcBorders>
              <w:top w:val="nil"/>
              <w:left w:val="nil"/>
              <w:bottom w:val="nil"/>
              <w:right w:val="single" w:sz="4" w:space="0" w:color="auto"/>
            </w:tcBorders>
            <w:shd w:val="clear" w:color="auto" w:fill="auto"/>
            <w:noWrap/>
            <w:vAlign w:val="bottom"/>
            <w:hideMark/>
          </w:tcPr>
          <w:p w14:paraId="1017EFE1" w14:textId="77777777" w:rsidR="0004557C" w:rsidRPr="00011948" w:rsidRDefault="0004557C" w:rsidP="005C7955">
            <w:pPr>
              <w:keepNext/>
              <w:keepLines/>
              <w:suppressAutoHyphens/>
              <w:spacing w:line="240" w:lineRule="atLeast"/>
              <w:jc w:val="center"/>
              <w:rPr>
                <w:sz w:val="16"/>
              </w:rPr>
            </w:pPr>
            <w:r w:rsidRPr="00011948">
              <w:rPr>
                <w:sz w:val="16"/>
              </w:rPr>
              <w:t>7.18</w:t>
            </w:r>
          </w:p>
        </w:tc>
        <w:tc>
          <w:tcPr>
            <w:tcW w:w="1134" w:type="dxa"/>
            <w:tcBorders>
              <w:top w:val="nil"/>
              <w:left w:val="nil"/>
              <w:bottom w:val="nil"/>
              <w:right w:val="single" w:sz="4" w:space="0" w:color="auto"/>
            </w:tcBorders>
            <w:shd w:val="clear" w:color="auto" w:fill="auto"/>
            <w:noWrap/>
            <w:vAlign w:val="bottom"/>
            <w:hideMark/>
          </w:tcPr>
          <w:p w14:paraId="015A49AF" w14:textId="77777777" w:rsidR="0004557C" w:rsidRPr="00011948" w:rsidRDefault="0004557C" w:rsidP="005C7955">
            <w:pPr>
              <w:keepNext/>
              <w:keepLines/>
              <w:suppressAutoHyphens/>
              <w:spacing w:line="240" w:lineRule="atLeast"/>
              <w:jc w:val="center"/>
              <w:rPr>
                <w:sz w:val="16"/>
              </w:rPr>
            </w:pPr>
            <w:r w:rsidRPr="00011948">
              <w:rPr>
                <w:sz w:val="16"/>
              </w:rPr>
              <w:t>0.36</w:t>
            </w:r>
          </w:p>
        </w:tc>
        <w:tc>
          <w:tcPr>
            <w:tcW w:w="992" w:type="dxa"/>
            <w:tcBorders>
              <w:top w:val="nil"/>
              <w:left w:val="nil"/>
              <w:bottom w:val="nil"/>
              <w:right w:val="nil"/>
            </w:tcBorders>
            <w:shd w:val="clear" w:color="auto" w:fill="auto"/>
            <w:noWrap/>
            <w:vAlign w:val="bottom"/>
            <w:hideMark/>
          </w:tcPr>
          <w:p w14:paraId="7FC961DD" w14:textId="77777777" w:rsidR="0004557C" w:rsidRPr="00011948" w:rsidRDefault="0004557C" w:rsidP="005C7955">
            <w:pPr>
              <w:keepNext/>
              <w:keepLines/>
              <w:suppressAutoHyphens/>
              <w:spacing w:line="240" w:lineRule="atLeast"/>
              <w:jc w:val="center"/>
              <w:rPr>
                <w:sz w:val="16"/>
              </w:rPr>
            </w:pPr>
            <w:r w:rsidRPr="00011948">
              <w:rPr>
                <w:sz w:val="16"/>
              </w:rPr>
              <w:t>11.80</w:t>
            </w:r>
          </w:p>
        </w:tc>
        <w:tc>
          <w:tcPr>
            <w:tcW w:w="992" w:type="dxa"/>
            <w:tcBorders>
              <w:top w:val="nil"/>
              <w:left w:val="nil"/>
              <w:bottom w:val="nil"/>
              <w:right w:val="single" w:sz="4" w:space="0" w:color="auto"/>
            </w:tcBorders>
            <w:shd w:val="clear" w:color="auto" w:fill="auto"/>
            <w:noWrap/>
            <w:vAlign w:val="bottom"/>
            <w:hideMark/>
          </w:tcPr>
          <w:p w14:paraId="6BBC4A54" w14:textId="77777777" w:rsidR="0004557C" w:rsidRPr="00011948" w:rsidRDefault="0004557C" w:rsidP="005C7955">
            <w:pPr>
              <w:keepNext/>
              <w:keepLines/>
              <w:suppressAutoHyphens/>
              <w:spacing w:line="240" w:lineRule="atLeast"/>
              <w:jc w:val="center"/>
              <w:rPr>
                <w:sz w:val="16"/>
              </w:rPr>
            </w:pPr>
            <w:r w:rsidRPr="00011948">
              <w:rPr>
                <w:sz w:val="16"/>
              </w:rPr>
              <w:t>5.25</w:t>
            </w:r>
          </w:p>
        </w:tc>
        <w:tc>
          <w:tcPr>
            <w:tcW w:w="851" w:type="dxa"/>
            <w:tcBorders>
              <w:top w:val="nil"/>
              <w:left w:val="nil"/>
              <w:bottom w:val="nil"/>
              <w:right w:val="single" w:sz="4" w:space="0" w:color="auto"/>
            </w:tcBorders>
            <w:shd w:val="clear" w:color="auto" w:fill="auto"/>
            <w:noWrap/>
            <w:vAlign w:val="bottom"/>
            <w:hideMark/>
          </w:tcPr>
          <w:p w14:paraId="317C653D" w14:textId="77777777" w:rsidR="0004557C" w:rsidRPr="00011948" w:rsidRDefault="0004557C" w:rsidP="005C7955">
            <w:pPr>
              <w:keepNext/>
              <w:keepLines/>
              <w:suppressAutoHyphens/>
              <w:spacing w:line="240" w:lineRule="atLeast"/>
              <w:jc w:val="center"/>
              <w:rPr>
                <w:sz w:val="16"/>
              </w:rPr>
            </w:pPr>
            <w:r w:rsidRPr="00011948">
              <w:rPr>
                <w:sz w:val="16"/>
              </w:rPr>
              <w:t>0.96</w:t>
            </w:r>
          </w:p>
        </w:tc>
        <w:tc>
          <w:tcPr>
            <w:tcW w:w="850" w:type="dxa"/>
            <w:tcBorders>
              <w:top w:val="nil"/>
              <w:left w:val="nil"/>
              <w:bottom w:val="nil"/>
              <w:right w:val="double" w:sz="6" w:space="0" w:color="auto"/>
            </w:tcBorders>
            <w:shd w:val="clear" w:color="auto" w:fill="auto"/>
            <w:noWrap/>
            <w:vAlign w:val="bottom"/>
            <w:hideMark/>
          </w:tcPr>
          <w:p w14:paraId="0C449E38" w14:textId="77777777" w:rsidR="0004557C" w:rsidRPr="00011948" w:rsidRDefault="0004557C" w:rsidP="005C7955">
            <w:pPr>
              <w:keepNext/>
              <w:keepLines/>
              <w:suppressAutoHyphens/>
              <w:spacing w:line="240" w:lineRule="atLeast"/>
              <w:jc w:val="center"/>
              <w:rPr>
                <w:sz w:val="16"/>
              </w:rPr>
            </w:pPr>
            <w:r w:rsidRPr="00011948">
              <w:rPr>
                <w:sz w:val="16"/>
              </w:rPr>
              <w:t>0.48</w:t>
            </w:r>
          </w:p>
        </w:tc>
      </w:tr>
      <w:tr w:rsidR="0004557C" w:rsidRPr="00011948" w14:paraId="583CDD2F"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40584C5E" w14:textId="77777777" w:rsidR="0004557C" w:rsidRPr="00011948" w:rsidRDefault="0004557C" w:rsidP="005C7955">
            <w:pPr>
              <w:keepNext/>
              <w:keepLines/>
              <w:suppressAutoHyphens/>
              <w:spacing w:line="240" w:lineRule="atLeast"/>
              <w:rPr>
                <w:sz w:val="16"/>
              </w:rPr>
            </w:pPr>
            <w:r w:rsidRPr="00011948">
              <w:rPr>
                <w:sz w:val="16"/>
              </w:rPr>
              <w:t>benzo(j)fluoranthene</w:t>
            </w:r>
          </w:p>
        </w:tc>
        <w:tc>
          <w:tcPr>
            <w:tcW w:w="1158" w:type="dxa"/>
            <w:tcBorders>
              <w:top w:val="nil"/>
              <w:left w:val="nil"/>
              <w:bottom w:val="nil"/>
              <w:right w:val="single" w:sz="4" w:space="0" w:color="auto"/>
            </w:tcBorders>
            <w:shd w:val="clear" w:color="auto" w:fill="auto"/>
            <w:noWrap/>
            <w:vAlign w:val="bottom"/>
            <w:hideMark/>
          </w:tcPr>
          <w:p w14:paraId="1676792F" w14:textId="77777777" w:rsidR="0004557C" w:rsidRPr="00011948" w:rsidRDefault="0004557C" w:rsidP="005C7955">
            <w:pPr>
              <w:keepNext/>
              <w:keepLines/>
              <w:suppressAutoHyphens/>
              <w:spacing w:line="240" w:lineRule="atLeast"/>
              <w:jc w:val="center"/>
              <w:rPr>
                <w:sz w:val="16"/>
              </w:rPr>
            </w:pPr>
            <w:r w:rsidRPr="00011948">
              <w:rPr>
                <w:sz w:val="16"/>
              </w:rPr>
              <w:t>2.85</w:t>
            </w:r>
          </w:p>
        </w:tc>
        <w:tc>
          <w:tcPr>
            <w:tcW w:w="1134" w:type="dxa"/>
            <w:tcBorders>
              <w:top w:val="nil"/>
              <w:left w:val="nil"/>
              <w:bottom w:val="nil"/>
              <w:right w:val="single" w:sz="4" w:space="0" w:color="auto"/>
            </w:tcBorders>
            <w:shd w:val="clear" w:color="auto" w:fill="auto"/>
            <w:noWrap/>
            <w:vAlign w:val="bottom"/>
            <w:hideMark/>
          </w:tcPr>
          <w:p w14:paraId="5A13BB0B" w14:textId="77777777" w:rsidR="0004557C" w:rsidRPr="00011948" w:rsidRDefault="0004557C" w:rsidP="005C7955">
            <w:pPr>
              <w:keepNext/>
              <w:keepLines/>
              <w:suppressAutoHyphens/>
              <w:spacing w:line="240" w:lineRule="atLeast"/>
              <w:jc w:val="center"/>
              <w:rPr>
                <w:sz w:val="16"/>
              </w:rPr>
            </w:pPr>
            <w:r w:rsidRPr="00011948">
              <w:rPr>
                <w:sz w:val="16"/>
              </w:rPr>
              <w:t>0.06</w:t>
            </w:r>
          </w:p>
        </w:tc>
        <w:tc>
          <w:tcPr>
            <w:tcW w:w="992" w:type="dxa"/>
            <w:tcBorders>
              <w:top w:val="nil"/>
              <w:left w:val="nil"/>
              <w:bottom w:val="nil"/>
              <w:right w:val="nil"/>
            </w:tcBorders>
            <w:shd w:val="clear" w:color="auto" w:fill="auto"/>
            <w:noWrap/>
            <w:vAlign w:val="bottom"/>
            <w:hideMark/>
          </w:tcPr>
          <w:p w14:paraId="41FB6CF6" w14:textId="77777777" w:rsidR="0004557C" w:rsidRPr="00011948" w:rsidRDefault="0004557C" w:rsidP="005C7955">
            <w:pPr>
              <w:keepNext/>
              <w:keepLines/>
              <w:suppressAutoHyphens/>
              <w:spacing w:line="240" w:lineRule="atLeast"/>
              <w:jc w:val="center"/>
              <w:rPr>
                <w:sz w:val="16"/>
              </w:rPr>
            </w:pPr>
            <w:r w:rsidRPr="00011948">
              <w:rPr>
                <w:sz w:val="16"/>
              </w:rPr>
              <w:t>0.32</w:t>
            </w:r>
          </w:p>
        </w:tc>
        <w:tc>
          <w:tcPr>
            <w:tcW w:w="992" w:type="dxa"/>
            <w:tcBorders>
              <w:top w:val="nil"/>
              <w:left w:val="nil"/>
              <w:bottom w:val="nil"/>
              <w:right w:val="single" w:sz="4" w:space="0" w:color="auto"/>
            </w:tcBorders>
            <w:shd w:val="clear" w:color="auto" w:fill="auto"/>
            <w:noWrap/>
            <w:vAlign w:val="bottom"/>
            <w:hideMark/>
          </w:tcPr>
          <w:p w14:paraId="658FFCA5" w14:textId="77777777" w:rsidR="0004557C" w:rsidRPr="00011948" w:rsidRDefault="0004557C" w:rsidP="005C7955">
            <w:pPr>
              <w:keepNext/>
              <w:keepLines/>
              <w:suppressAutoHyphens/>
              <w:spacing w:line="240" w:lineRule="atLeast"/>
              <w:jc w:val="center"/>
              <w:rPr>
                <w:sz w:val="16"/>
              </w:rPr>
            </w:pPr>
            <w:r w:rsidRPr="00011948">
              <w:rPr>
                <w:sz w:val="16"/>
              </w:rPr>
              <w:t>0.16</w:t>
            </w:r>
          </w:p>
        </w:tc>
        <w:tc>
          <w:tcPr>
            <w:tcW w:w="851" w:type="dxa"/>
            <w:tcBorders>
              <w:top w:val="nil"/>
              <w:left w:val="nil"/>
              <w:bottom w:val="nil"/>
              <w:right w:val="single" w:sz="4" w:space="0" w:color="auto"/>
            </w:tcBorders>
            <w:shd w:val="clear" w:color="auto" w:fill="auto"/>
            <w:noWrap/>
            <w:vAlign w:val="bottom"/>
            <w:hideMark/>
          </w:tcPr>
          <w:p w14:paraId="5FDC39A1" w14:textId="77777777" w:rsidR="0004557C" w:rsidRPr="00011948" w:rsidRDefault="0004557C" w:rsidP="005C7955">
            <w:pPr>
              <w:keepNext/>
              <w:keepLines/>
              <w:suppressAutoHyphens/>
              <w:spacing w:line="240" w:lineRule="atLeast"/>
              <w:jc w:val="center"/>
              <w:rPr>
                <w:sz w:val="16"/>
              </w:rPr>
            </w:pPr>
            <w:r w:rsidRPr="00011948">
              <w:rPr>
                <w:sz w:val="16"/>
              </w:rPr>
              <w:t>13.07</w:t>
            </w:r>
          </w:p>
        </w:tc>
        <w:tc>
          <w:tcPr>
            <w:tcW w:w="850" w:type="dxa"/>
            <w:tcBorders>
              <w:top w:val="nil"/>
              <w:left w:val="nil"/>
              <w:bottom w:val="nil"/>
              <w:right w:val="double" w:sz="6" w:space="0" w:color="auto"/>
            </w:tcBorders>
            <w:shd w:val="clear" w:color="auto" w:fill="auto"/>
            <w:noWrap/>
            <w:vAlign w:val="bottom"/>
            <w:hideMark/>
          </w:tcPr>
          <w:p w14:paraId="1E9BC0B7" w14:textId="77777777" w:rsidR="0004557C" w:rsidRPr="00011948" w:rsidRDefault="0004557C" w:rsidP="005C7955">
            <w:pPr>
              <w:keepNext/>
              <w:keepLines/>
              <w:suppressAutoHyphens/>
              <w:spacing w:line="240" w:lineRule="atLeast"/>
              <w:jc w:val="center"/>
              <w:rPr>
                <w:sz w:val="16"/>
              </w:rPr>
            </w:pPr>
          </w:p>
        </w:tc>
      </w:tr>
      <w:tr w:rsidR="0004557C" w:rsidRPr="00011948" w14:paraId="51AAF65B"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1FE3076" w14:textId="77777777" w:rsidR="0004557C" w:rsidRPr="00011948" w:rsidRDefault="0004557C" w:rsidP="005C7955">
            <w:pPr>
              <w:keepNext/>
              <w:keepLines/>
              <w:suppressAutoHyphens/>
              <w:spacing w:line="240" w:lineRule="atLeast"/>
              <w:rPr>
                <w:sz w:val="16"/>
              </w:rPr>
            </w:pPr>
            <w:r w:rsidRPr="00011948">
              <w:rPr>
                <w:sz w:val="16"/>
              </w:rPr>
              <w:t>dibenzo(a,j)anthacene</w:t>
            </w:r>
          </w:p>
        </w:tc>
        <w:tc>
          <w:tcPr>
            <w:tcW w:w="1158" w:type="dxa"/>
            <w:tcBorders>
              <w:top w:val="nil"/>
              <w:left w:val="nil"/>
              <w:bottom w:val="nil"/>
              <w:right w:val="single" w:sz="4" w:space="0" w:color="auto"/>
            </w:tcBorders>
            <w:shd w:val="clear" w:color="auto" w:fill="auto"/>
            <w:noWrap/>
            <w:vAlign w:val="bottom"/>
            <w:hideMark/>
          </w:tcPr>
          <w:p w14:paraId="7F95F747" w14:textId="77777777" w:rsidR="0004557C" w:rsidRPr="00011948" w:rsidRDefault="0004557C" w:rsidP="005C7955">
            <w:pPr>
              <w:keepNext/>
              <w:keepLines/>
              <w:suppressAutoHyphens/>
              <w:spacing w:line="240" w:lineRule="atLeast"/>
              <w:jc w:val="center"/>
              <w:rPr>
                <w:sz w:val="16"/>
              </w:rPr>
            </w:pPr>
            <w:r w:rsidRPr="00011948">
              <w:rPr>
                <w:sz w:val="16"/>
              </w:rPr>
              <w:t>0.28</w:t>
            </w:r>
          </w:p>
        </w:tc>
        <w:tc>
          <w:tcPr>
            <w:tcW w:w="1134" w:type="dxa"/>
            <w:tcBorders>
              <w:top w:val="nil"/>
              <w:left w:val="nil"/>
              <w:bottom w:val="nil"/>
              <w:right w:val="single" w:sz="4" w:space="0" w:color="auto"/>
            </w:tcBorders>
            <w:shd w:val="clear" w:color="auto" w:fill="auto"/>
            <w:noWrap/>
            <w:vAlign w:val="bottom"/>
            <w:hideMark/>
          </w:tcPr>
          <w:p w14:paraId="373C6BE2" w14:textId="77777777" w:rsidR="0004557C" w:rsidRPr="00011948" w:rsidRDefault="0004557C" w:rsidP="005C7955">
            <w:pPr>
              <w:keepNext/>
              <w:keepLines/>
              <w:suppressAutoHyphens/>
              <w:spacing w:line="240" w:lineRule="atLeast"/>
              <w:jc w:val="center"/>
              <w:rPr>
                <w:sz w:val="16"/>
              </w:rPr>
            </w:pPr>
            <w:r w:rsidRPr="00011948">
              <w:rPr>
                <w:sz w:val="16"/>
              </w:rPr>
              <w:t>0.05</w:t>
            </w:r>
          </w:p>
        </w:tc>
        <w:tc>
          <w:tcPr>
            <w:tcW w:w="992" w:type="dxa"/>
            <w:tcBorders>
              <w:top w:val="nil"/>
              <w:left w:val="nil"/>
              <w:bottom w:val="nil"/>
              <w:right w:val="nil"/>
            </w:tcBorders>
            <w:shd w:val="clear" w:color="auto" w:fill="auto"/>
            <w:noWrap/>
            <w:vAlign w:val="bottom"/>
            <w:hideMark/>
          </w:tcPr>
          <w:p w14:paraId="24039824" w14:textId="77777777" w:rsidR="0004557C" w:rsidRPr="00011948" w:rsidRDefault="0004557C" w:rsidP="005C7955">
            <w:pPr>
              <w:keepNext/>
              <w:keepLines/>
              <w:suppressAutoHyphens/>
              <w:spacing w:line="240" w:lineRule="atLeast"/>
              <w:jc w:val="center"/>
              <w:rPr>
                <w:sz w:val="16"/>
              </w:rPr>
            </w:pPr>
            <w:r w:rsidRPr="00011948">
              <w:rPr>
                <w:sz w:val="16"/>
              </w:rPr>
              <w:t>0.11</w:t>
            </w:r>
          </w:p>
        </w:tc>
        <w:tc>
          <w:tcPr>
            <w:tcW w:w="992" w:type="dxa"/>
            <w:tcBorders>
              <w:top w:val="nil"/>
              <w:left w:val="nil"/>
              <w:bottom w:val="nil"/>
              <w:right w:val="single" w:sz="4" w:space="0" w:color="auto"/>
            </w:tcBorders>
            <w:shd w:val="clear" w:color="auto" w:fill="auto"/>
            <w:noWrap/>
            <w:vAlign w:val="bottom"/>
            <w:hideMark/>
          </w:tcPr>
          <w:p w14:paraId="38F06B27" w14:textId="77777777" w:rsidR="0004557C" w:rsidRPr="00011948" w:rsidRDefault="0004557C" w:rsidP="005C7955">
            <w:pPr>
              <w:keepNext/>
              <w:keepLines/>
              <w:suppressAutoHyphens/>
              <w:spacing w:line="240" w:lineRule="atLeast"/>
              <w:jc w:val="center"/>
              <w:rPr>
                <w:sz w:val="16"/>
              </w:rPr>
            </w:pPr>
            <w:r w:rsidRPr="00011948">
              <w:rPr>
                <w:sz w:val="16"/>
              </w:rPr>
              <w:t>0.12</w:t>
            </w:r>
          </w:p>
        </w:tc>
        <w:tc>
          <w:tcPr>
            <w:tcW w:w="851" w:type="dxa"/>
            <w:tcBorders>
              <w:top w:val="nil"/>
              <w:left w:val="nil"/>
              <w:bottom w:val="nil"/>
              <w:right w:val="single" w:sz="4" w:space="0" w:color="auto"/>
            </w:tcBorders>
            <w:shd w:val="clear" w:color="auto" w:fill="auto"/>
            <w:noWrap/>
            <w:vAlign w:val="bottom"/>
            <w:hideMark/>
          </w:tcPr>
          <w:p w14:paraId="7A4B9B58"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4193798D" w14:textId="77777777" w:rsidR="0004557C" w:rsidRPr="00011948" w:rsidRDefault="0004557C" w:rsidP="005C7955">
            <w:pPr>
              <w:keepNext/>
              <w:keepLines/>
              <w:suppressAutoHyphens/>
              <w:spacing w:line="240" w:lineRule="atLeast"/>
              <w:jc w:val="center"/>
              <w:rPr>
                <w:sz w:val="16"/>
              </w:rPr>
            </w:pPr>
          </w:p>
        </w:tc>
      </w:tr>
      <w:tr w:rsidR="0004557C" w:rsidRPr="00011948" w14:paraId="6927855F"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6B9DC9F" w14:textId="77777777" w:rsidR="0004557C" w:rsidRPr="00011948" w:rsidRDefault="0004557C" w:rsidP="005C7955">
            <w:pPr>
              <w:keepNext/>
              <w:keepLines/>
              <w:suppressAutoHyphens/>
              <w:spacing w:line="240" w:lineRule="atLeast"/>
              <w:rPr>
                <w:sz w:val="16"/>
              </w:rPr>
            </w:pPr>
            <w:r w:rsidRPr="00011948">
              <w:rPr>
                <w:sz w:val="16"/>
              </w:rPr>
              <w:t>dibenzo(a,l)pyrene</w:t>
            </w:r>
          </w:p>
        </w:tc>
        <w:tc>
          <w:tcPr>
            <w:tcW w:w="1158" w:type="dxa"/>
            <w:tcBorders>
              <w:top w:val="nil"/>
              <w:left w:val="nil"/>
              <w:bottom w:val="nil"/>
              <w:right w:val="single" w:sz="4" w:space="0" w:color="auto"/>
            </w:tcBorders>
            <w:shd w:val="clear" w:color="auto" w:fill="auto"/>
            <w:noWrap/>
            <w:vAlign w:val="bottom"/>
            <w:hideMark/>
          </w:tcPr>
          <w:p w14:paraId="43519841" w14:textId="77777777" w:rsidR="0004557C" w:rsidRPr="00011948" w:rsidRDefault="0004557C" w:rsidP="005C7955">
            <w:pPr>
              <w:keepNext/>
              <w:keepLines/>
              <w:suppressAutoHyphens/>
              <w:spacing w:line="240" w:lineRule="atLeast"/>
              <w:jc w:val="center"/>
              <w:rPr>
                <w:sz w:val="16"/>
              </w:rPr>
            </w:pPr>
            <w:r w:rsidRPr="00011948">
              <w:rPr>
                <w:sz w:val="16"/>
              </w:rPr>
              <w:t>0.23</w:t>
            </w:r>
          </w:p>
        </w:tc>
        <w:tc>
          <w:tcPr>
            <w:tcW w:w="1134" w:type="dxa"/>
            <w:tcBorders>
              <w:top w:val="nil"/>
              <w:left w:val="nil"/>
              <w:bottom w:val="nil"/>
              <w:right w:val="single" w:sz="4" w:space="0" w:color="auto"/>
            </w:tcBorders>
            <w:shd w:val="clear" w:color="auto" w:fill="auto"/>
            <w:noWrap/>
            <w:vAlign w:val="bottom"/>
            <w:hideMark/>
          </w:tcPr>
          <w:p w14:paraId="2C4ABCF2" w14:textId="77777777" w:rsidR="0004557C" w:rsidRPr="00011948" w:rsidRDefault="0004557C" w:rsidP="005C7955">
            <w:pPr>
              <w:keepNext/>
              <w:keepLines/>
              <w:suppressAutoHyphens/>
              <w:spacing w:line="240" w:lineRule="atLeast"/>
              <w:jc w:val="center"/>
              <w:rPr>
                <w:sz w:val="16"/>
              </w:rPr>
            </w:pPr>
            <w:r w:rsidRPr="00011948">
              <w:rPr>
                <w:sz w:val="16"/>
              </w:rPr>
              <w:t>0.01</w:t>
            </w:r>
          </w:p>
        </w:tc>
        <w:tc>
          <w:tcPr>
            <w:tcW w:w="992" w:type="dxa"/>
            <w:tcBorders>
              <w:top w:val="nil"/>
              <w:left w:val="nil"/>
              <w:bottom w:val="nil"/>
              <w:right w:val="nil"/>
            </w:tcBorders>
            <w:shd w:val="clear" w:color="auto" w:fill="auto"/>
            <w:noWrap/>
            <w:vAlign w:val="bottom"/>
            <w:hideMark/>
          </w:tcPr>
          <w:p w14:paraId="4A3F66C1"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single" w:sz="4" w:space="0" w:color="auto"/>
            </w:tcBorders>
            <w:shd w:val="clear" w:color="auto" w:fill="auto"/>
            <w:noWrap/>
            <w:vAlign w:val="bottom"/>
            <w:hideMark/>
          </w:tcPr>
          <w:p w14:paraId="7D55E7F4" w14:textId="77777777" w:rsidR="0004557C" w:rsidRPr="00011948" w:rsidRDefault="0004557C" w:rsidP="005C7955">
            <w:pPr>
              <w:keepNext/>
              <w:keepLines/>
              <w:suppressAutoHyphens/>
              <w:spacing w:line="240" w:lineRule="atLeast"/>
              <w:jc w:val="center"/>
              <w:rPr>
                <w:sz w:val="16"/>
              </w:rPr>
            </w:pPr>
            <w:r w:rsidRPr="00011948">
              <w:rPr>
                <w:sz w:val="16"/>
              </w:rPr>
              <w:t>0.12</w:t>
            </w:r>
          </w:p>
        </w:tc>
        <w:tc>
          <w:tcPr>
            <w:tcW w:w="851" w:type="dxa"/>
            <w:tcBorders>
              <w:top w:val="nil"/>
              <w:left w:val="nil"/>
              <w:bottom w:val="nil"/>
              <w:right w:val="single" w:sz="4" w:space="0" w:color="auto"/>
            </w:tcBorders>
            <w:shd w:val="clear" w:color="auto" w:fill="auto"/>
            <w:noWrap/>
            <w:vAlign w:val="bottom"/>
            <w:hideMark/>
          </w:tcPr>
          <w:p w14:paraId="63B086C8"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062F8C56" w14:textId="77777777" w:rsidR="0004557C" w:rsidRPr="00011948" w:rsidRDefault="0004557C" w:rsidP="005C7955">
            <w:pPr>
              <w:keepNext/>
              <w:keepLines/>
              <w:suppressAutoHyphens/>
              <w:spacing w:line="240" w:lineRule="atLeast"/>
              <w:jc w:val="center"/>
              <w:rPr>
                <w:sz w:val="16"/>
              </w:rPr>
            </w:pPr>
          </w:p>
        </w:tc>
      </w:tr>
      <w:tr w:rsidR="0004557C" w:rsidRPr="00011948" w14:paraId="3B99852C" w14:textId="77777777" w:rsidTr="00887829">
        <w:trPr>
          <w:trHeight w:val="240"/>
        </w:trPr>
        <w:tc>
          <w:tcPr>
            <w:tcW w:w="1984" w:type="dxa"/>
            <w:tcBorders>
              <w:top w:val="nil"/>
              <w:left w:val="double" w:sz="6" w:space="0" w:color="auto"/>
              <w:bottom w:val="nil"/>
              <w:right w:val="single" w:sz="4" w:space="0" w:color="auto"/>
            </w:tcBorders>
            <w:shd w:val="clear" w:color="auto" w:fill="auto"/>
            <w:vAlign w:val="bottom"/>
            <w:hideMark/>
          </w:tcPr>
          <w:p w14:paraId="2C348E51" w14:textId="77777777" w:rsidR="0004557C" w:rsidRPr="00011948" w:rsidRDefault="0004557C" w:rsidP="005C7955">
            <w:pPr>
              <w:keepNext/>
              <w:keepLines/>
              <w:suppressAutoHyphens/>
              <w:spacing w:line="240" w:lineRule="atLeast"/>
              <w:rPr>
                <w:sz w:val="16"/>
              </w:rPr>
            </w:pPr>
            <w:r w:rsidRPr="00011948">
              <w:rPr>
                <w:sz w:val="16"/>
              </w:rPr>
              <w:t>3,6-dimethyl-phenanthrene</w:t>
            </w:r>
          </w:p>
        </w:tc>
        <w:tc>
          <w:tcPr>
            <w:tcW w:w="1158" w:type="dxa"/>
            <w:tcBorders>
              <w:top w:val="nil"/>
              <w:left w:val="nil"/>
              <w:bottom w:val="nil"/>
              <w:right w:val="single" w:sz="4" w:space="0" w:color="auto"/>
            </w:tcBorders>
            <w:shd w:val="clear" w:color="auto" w:fill="auto"/>
            <w:noWrap/>
            <w:vAlign w:val="bottom"/>
            <w:hideMark/>
          </w:tcPr>
          <w:p w14:paraId="7744761D" w14:textId="77777777" w:rsidR="0004557C" w:rsidRPr="00011948" w:rsidRDefault="0004557C" w:rsidP="005C7955">
            <w:pPr>
              <w:keepNext/>
              <w:keepLines/>
              <w:suppressAutoHyphens/>
              <w:spacing w:line="240" w:lineRule="atLeast"/>
              <w:jc w:val="center"/>
              <w:rPr>
                <w:sz w:val="16"/>
              </w:rPr>
            </w:pPr>
            <w:r w:rsidRPr="00011948">
              <w:rPr>
                <w:sz w:val="16"/>
              </w:rPr>
              <w:t>4.37</w:t>
            </w:r>
          </w:p>
        </w:tc>
        <w:tc>
          <w:tcPr>
            <w:tcW w:w="1134" w:type="dxa"/>
            <w:tcBorders>
              <w:top w:val="nil"/>
              <w:left w:val="nil"/>
              <w:bottom w:val="nil"/>
              <w:right w:val="single" w:sz="4" w:space="0" w:color="auto"/>
            </w:tcBorders>
            <w:shd w:val="clear" w:color="auto" w:fill="auto"/>
            <w:noWrap/>
            <w:vAlign w:val="bottom"/>
            <w:hideMark/>
          </w:tcPr>
          <w:p w14:paraId="18743BAF" w14:textId="77777777" w:rsidR="0004557C" w:rsidRPr="00011948" w:rsidRDefault="0004557C" w:rsidP="005C7955">
            <w:pPr>
              <w:keepNext/>
              <w:keepLines/>
              <w:suppressAutoHyphens/>
              <w:spacing w:line="240" w:lineRule="atLeast"/>
              <w:jc w:val="center"/>
              <w:rPr>
                <w:sz w:val="16"/>
              </w:rPr>
            </w:pPr>
            <w:r w:rsidRPr="00011948">
              <w:rPr>
                <w:sz w:val="16"/>
              </w:rPr>
              <w:t>0.09</w:t>
            </w:r>
          </w:p>
        </w:tc>
        <w:tc>
          <w:tcPr>
            <w:tcW w:w="992" w:type="dxa"/>
            <w:tcBorders>
              <w:top w:val="nil"/>
              <w:left w:val="nil"/>
              <w:bottom w:val="nil"/>
              <w:right w:val="nil"/>
            </w:tcBorders>
            <w:shd w:val="clear" w:color="auto" w:fill="auto"/>
            <w:noWrap/>
            <w:vAlign w:val="bottom"/>
            <w:hideMark/>
          </w:tcPr>
          <w:p w14:paraId="3E2279DF" w14:textId="77777777" w:rsidR="0004557C" w:rsidRPr="00011948" w:rsidRDefault="0004557C" w:rsidP="005C7955">
            <w:pPr>
              <w:keepNext/>
              <w:keepLines/>
              <w:suppressAutoHyphens/>
              <w:spacing w:line="240" w:lineRule="atLeast"/>
              <w:jc w:val="center"/>
              <w:rPr>
                <w:sz w:val="16"/>
              </w:rPr>
            </w:pPr>
            <w:r w:rsidRPr="00011948">
              <w:rPr>
                <w:sz w:val="16"/>
              </w:rPr>
              <w:t>4.85</w:t>
            </w:r>
          </w:p>
        </w:tc>
        <w:tc>
          <w:tcPr>
            <w:tcW w:w="992" w:type="dxa"/>
            <w:tcBorders>
              <w:top w:val="nil"/>
              <w:left w:val="nil"/>
              <w:bottom w:val="nil"/>
              <w:right w:val="single" w:sz="4" w:space="0" w:color="auto"/>
            </w:tcBorders>
            <w:shd w:val="clear" w:color="auto" w:fill="auto"/>
            <w:noWrap/>
            <w:vAlign w:val="bottom"/>
            <w:hideMark/>
          </w:tcPr>
          <w:p w14:paraId="4BAA3CEC" w14:textId="77777777" w:rsidR="0004557C" w:rsidRPr="00011948" w:rsidRDefault="0004557C" w:rsidP="005C7955">
            <w:pPr>
              <w:keepNext/>
              <w:keepLines/>
              <w:suppressAutoHyphens/>
              <w:spacing w:line="240" w:lineRule="atLeast"/>
              <w:jc w:val="center"/>
              <w:rPr>
                <w:sz w:val="16"/>
              </w:rPr>
            </w:pPr>
            <w:r w:rsidRPr="00011948">
              <w:rPr>
                <w:sz w:val="16"/>
              </w:rPr>
              <w:t>1.25</w:t>
            </w:r>
          </w:p>
        </w:tc>
        <w:tc>
          <w:tcPr>
            <w:tcW w:w="851" w:type="dxa"/>
            <w:tcBorders>
              <w:top w:val="nil"/>
              <w:left w:val="nil"/>
              <w:bottom w:val="nil"/>
              <w:right w:val="single" w:sz="4" w:space="0" w:color="auto"/>
            </w:tcBorders>
            <w:shd w:val="clear" w:color="auto" w:fill="auto"/>
            <w:noWrap/>
            <w:vAlign w:val="bottom"/>
            <w:hideMark/>
          </w:tcPr>
          <w:p w14:paraId="5CF00C90"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001EE08F" w14:textId="77777777" w:rsidR="0004557C" w:rsidRPr="00011948" w:rsidRDefault="0004557C" w:rsidP="005C7955">
            <w:pPr>
              <w:keepNext/>
              <w:keepLines/>
              <w:suppressAutoHyphens/>
              <w:spacing w:line="240" w:lineRule="atLeast"/>
              <w:jc w:val="center"/>
              <w:rPr>
                <w:sz w:val="16"/>
              </w:rPr>
            </w:pPr>
            <w:r w:rsidRPr="00011948">
              <w:rPr>
                <w:sz w:val="16"/>
              </w:rPr>
              <w:t>0.18</w:t>
            </w:r>
          </w:p>
        </w:tc>
      </w:tr>
      <w:tr w:rsidR="0004557C" w:rsidRPr="00011948" w14:paraId="32632186"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0B96BDCF" w14:textId="77777777" w:rsidR="0004557C" w:rsidRPr="00011948" w:rsidRDefault="0004557C" w:rsidP="005C7955">
            <w:pPr>
              <w:keepNext/>
              <w:keepLines/>
              <w:suppressAutoHyphens/>
              <w:spacing w:line="240" w:lineRule="atLeast"/>
              <w:rPr>
                <w:sz w:val="16"/>
              </w:rPr>
            </w:pPr>
            <w:r w:rsidRPr="00011948">
              <w:rPr>
                <w:sz w:val="16"/>
              </w:rPr>
              <w:t>benzo(a)anthracene</w:t>
            </w:r>
          </w:p>
        </w:tc>
        <w:tc>
          <w:tcPr>
            <w:tcW w:w="1158" w:type="dxa"/>
            <w:tcBorders>
              <w:top w:val="nil"/>
              <w:left w:val="nil"/>
              <w:bottom w:val="nil"/>
              <w:right w:val="single" w:sz="4" w:space="0" w:color="auto"/>
            </w:tcBorders>
            <w:shd w:val="clear" w:color="auto" w:fill="auto"/>
            <w:noWrap/>
            <w:vAlign w:val="bottom"/>
            <w:hideMark/>
          </w:tcPr>
          <w:p w14:paraId="30FC6160" w14:textId="77777777" w:rsidR="0004557C" w:rsidRPr="00011948" w:rsidRDefault="0004557C" w:rsidP="005C7955">
            <w:pPr>
              <w:keepNext/>
              <w:keepLines/>
              <w:suppressAutoHyphens/>
              <w:spacing w:line="240" w:lineRule="atLeast"/>
              <w:jc w:val="center"/>
              <w:rPr>
                <w:sz w:val="16"/>
              </w:rPr>
            </w:pPr>
            <w:r w:rsidRPr="00011948">
              <w:rPr>
                <w:sz w:val="16"/>
              </w:rPr>
              <w:t>0.84</w:t>
            </w:r>
          </w:p>
        </w:tc>
        <w:tc>
          <w:tcPr>
            <w:tcW w:w="1134" w:type="dxa"/>
            <w:tcBorders>
              <w:top w:val="nil"/>
              <w:left w:val="nil"/>
              <w:bottom w:val="nil"/>
              <w:right w:val="single" w:sz="4" w:space="0" w:color="auto"/>
            </w:tcBorders>
            <w:shd w:val="clear" w:color="auto" w:fill="auto"/>
            <w:noWrap/>
            <w:vAlign w:val="bottom"/>
            <w:hideMark/>
          </w:tcPr>
          <w:p w14:paraId="5D307C09" w14:textId="77777777" w:rsidR="0004557C" w:rsidRPr="00011948" w:rsidRDefault="0004557C" w:rsidP="005C7955">
            <w:pPr>
              <w:keepNext/>
              <w:keepLines/>
              <w:suppressAutoHyphens/>
              <w:spacing w:line="240" w:lineRule="atLeast"/>
              <w:jc w:val="center"/>
              <w:rPr>
                <w:sz w:val="16"/>
              </w:rPr>
            </w:pPr>
            <w:r w:rsidRPr="00011948">
              <w:rPr>
                <w:sz w:val="16"/>
              </w:rPr>
              <w:t>0.43</w:t>
            </w:r>
          </w:p>
        </w:tc>
        <w:tc>
          <w:tcPr>
            <w:tcW w:w="992" w:type="dxa"/>
            <w:tcBorders>
              <w:top w:val="nil"/>
              <w:left w:val="nil"/>
              <w:bottom w:val="nil"/>
              <w:right w:val="nil"/>
            </w:tcBorders>
            <w:shd w:val="clear" w:color="auto" w:fill="auto"/>
            <w:noWrap/>
            <w:vAlign w:val="bottom"/>
            <w:hideMark/>
          </w:tcPr>
          <w:p w14:paraId="28134F25" w14:textId="77777777" w:rsidR="0004557C" w:rsidRPr="00011948" w:rsidRDefault="0004557C" w:rsidP="005C7955">
            <w:pPr>
              <w:keepNext/>
              <w:keepLines/>
              <w:suppressAutoHyphens/>
              <w:spacing w:line="240" w:lineRule="atLeast"/>
              <w:jc w:val="center"/>
              <w:rPr>
                <w:sz w:val="16"/>
              </w:rPr>
            </w:pPr>
            <w:r w:rsidRPr="00011948">
              <w:rPr>
                <w:sz w:val="16"/>
              </w:rPr>
              <w:t>3.30</w:t>
            </w:r>
          </w:p>
        </w:tc>
        <w:tc>
          <w:tcPr>
            <w:tcW w:w="992" w:type="dxa"/>
            <w:tcBorders>
              <w:top w:val="nil"/>
              <w:left w:val="nil"/>
              <w:bottom w:val="nil"/>
              <w:right w:val="single" w:sz="4" w:space="0" w:color="auto"/>
            </w:tcBorders>
            <w:shd w:val="clear" w:color="auto" w:fill="auto"/>
            <w:noWrap/>
            <w:vAlign w:val="bottom"/>
            <w:hideMark/>
          </w:tcPr>
          <w:p w14:paraId="07D00B2C" w14:textId="77777777" w:rsidR="0004557C" w:rsidRPr="00011948" w:rsidRDefault="0004557C" w:rsidP="005C7955">
            <w:pPr>
              <w:keepNext/>
              <w:keepLines/>
              <w:suppressAutoHyphens/>
              <w:spacing w:line="240" w:lineRule="atLeast"/>
              <w:jc w:val="center"/>
              <w:rPr>
                <w:sz w:val="16"/>
              </w:rPr>
            </w:pPr>
            <w:r w:rsidRPr="00011948">
              <w:rPr>
                <w:sz w:val="16"/>
              </w:rPr>
              <w:t>2.71</w:t>
            </w:r>
          </w:p>
        </w:tc>
        <w:tc>
          <w:tcPr>
            <w:tcW w:w="851" w:type="dxa"/>
            <w:tcBorders>
              <w:top w:val="nil"/>
              <w:left w:val="nil"/>
              <w:bottom w:val="nil"/>
              <w:right w:val="single" w:sz="4" w:space="0" w:color="auto"/>
            </w:tcBorders>
            <w:shd w:val="clear" w:color="auto" w:fill="auto"/>
            <w:noWrap/>
            <w:vAlign w:val="bottom"/>
            <w:hideMark/>
          </w:tcPr>
          <w:p w14:paraId="53494A76" w14:textId="77777777" w:rsidR="0004557C" w:rsidRPr="00011948" w:rsidRDefault="0004557C" w:rsidP="005C7955">
            <w:pPr>
              <w:keepNext/>
              <w:keepLines/>
              <w:suppressAutoHyphens/>
              <w:spacing w:line="240" w:lineRule="atLeast"/>
              <w:jc w:val="center"/>
              <w:rPr>
                <w:sz w:val="16"/>
              </w:rPr>
            </w:pPr>
            <w:r w:rsidRPr="00011948">
              <w:rPr>
                <w:sz w:val="16"/>
              </w:rPr>
              <w:t>2.39</w:t>
            </w:r>
          </w:p>
        </w:tc>
        <w:tc>
          <w:tcPr>
            <w:tcW w:w="850" w:type="dxa"/>
            <w:tcBorders>
              <w:top w:val="nil"/>
              <w:left w:val="nil"/>
              <w:bottom w:val="nil"/>
              <w:right w:val="double" w:sz="6" w:space="0" w:color="auto"/>
            </w:tcBorders>
            <w:shd w:val="clear" w:color="auto" w:fill="auto"/>
            <w:noWrap/>
            <w:vAlign w:val="bottom"/>
            <w:hideMark/>
          </w:tcPr>
          <w:p w14:paraId="3DBA628A" w14:textId="77777777" w:rsidR="0004557C" w:rsidRPr="00011948" w:rsidRDefault="0004557C" w:rsidP="005C7955">
            <w:pPr>
              <w:keepNext/>
              <w:keepLines/>
              <w:suppressAutoHyphens/>
              <w:spacing w:line="240" w:lineRule="atLeast"/>
              <w:jc w:val="center"/>
              <w:rPr>
                <w:sz w:val="16"/>
              </w:rPr>
            </w:pPr>
            <w:r w:rsidRPr="00011948">
              <w:rPr>
                <w:sz w:val="16"/>
              </w:rPr>
              <w:t>0.05</w:t>
            </w:r>
          </w:p>
        </w:tc>
      </w:tr>
      <w:tr w:rsidR="0004557C" w:rsidRPr="00011948" w14:paraId="2773B71C"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009DFE8" w14:textId="77777777" w:rsidR="0004557C" w:rsidRPr="00011948" w:rsidRDefault="0004557C" w:rsidP="005C7955">
            <w:pPr>
              <w:keepNext/>
              <w:keepLines/>
              <w:suppressAutoHyphens/>
              <w:spacing w:line="240" w:lineRule="atLeast"/>
              <w:rPr>
                <w:sz w:val="16"/>
              </w:rPr>
            </w:pPr>
            <w:r w:rsidRPr="00011948">
              <w:rPr>
                <w:sz w:val="16"/>
              </w:rPr>
              <w:t>acenaphthylene</w:t>
            </w:r>
          </w:p>
        </w:tc>
        <w:tc>
          <w:tcPr>
            <w:tcW w:w="1158" w:type="dxa"/>
            <w:tcBorders>
              <w:top w:val="nil"/>
              <w:left w:val="nil"/>
              <w:bottom w:val="nil"/>
              <w:right w:val="single" w:sz="4" w:space="0" w:color="auto"/>
            </w:tcBorders>
            <w:shd w:val="clear" w:color="auto" w:fill="auto"/>
            <w:noWrap/>
            <w:vAlign w:val="bottom"/>
            <w:hideMark/>
          </w:tcPr>
          <w:p w14:paraId="35DF9309" w14:textId="77777777" w:rsidR="0004557C" w:rsidRPr="00011948" w:rsidRDefault="0004557C" w:rsidP="005C7955">
            <w:pPr>
              <w:keepNext/>
              <w:keepLines/>
              <w:suppressAutoHyphens/>
              <w:spacing w:line="240" w:lineRule="atLeast"/>
              <w:jc w:val="center"/>
              <w:rPr>
                <w:sz w:val="16"/>
              </w:rPr>
            </w:pPr>
          </w:p>
        </w:tc>
        <w:tc>
          <w:tcPr>
            <w:tcW w:w="1134" w:type="dxa"/>
            <w:tcBorders>
              <w:top w:val="nil"/>
              <w:left w:val="nil"/>
              <w:bottom w:val="nil"/>
              <w:right w:val="single" w:sz="4" w:space="0" w:color="auto"/>
            </w:tcBorders>
            <w:shd w:val="clear" w:color="auto" w:fill="auto"/>
            <w:noWrap/>
            <w:vAlign w:val="bottom"/>
            <w:hideMark/>
          </w:tcPr>
          <w:p w14:paraId="5D188C3F"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nil"/>
            </w:tcBorders>
            <w:shd w:val="clear" w:color="auto" w:fill="auto"/>
            <w:noWrap/>
            <w:vAlign w:val="bottom"/>
            <w:hideMark/>
          </w:tcPr>
          <w:p w14:paraId="11C92DC6" w14:textId="77777777" w:rsidR="0004557C" w:rsidRPr="00011948" w:rsidRDefault="0004557C" w:rsidP="005C7955">
            <w:pPr>
              <w:keepNext/>
              <w:keepLines/>
              <w:suppressAutoHyphens/>
              <w:spacing w:line="240" w:lineRule="atLeast"/>
              <w:jc w:val="center"/>
              <w:rPr>
                <w:sz w:val="16"/>
              </w:rPr>
            </w:pPr>
            <w:r w:rsidRPr="00011948">
              <w:rPr>
                <w:sz w:val="16"/>
              </w:rPr>
              <w:t>25.92</w:t>
            </w:r>
          </w:p>
        </w:tc>
        <w:tc>
          <w:tcPr>
            <w:tcW w:w="992" w:type="dxa"/>
            <w:tcBorders>
              <w:top w:val="nil"/>
              <w:left w:val="nil"/>
              <w:bottom w:val="nil"/>
              <w:right w:val="single" w:sz="4" w:space="0" w:color="auto"/>
            </w:tcBorders>
            <w:shd w:val="clear" w:color="auto" w:fill="auto"/>
            <w:noWrap/>
            <w:vAlign w:val="bottom"/>
            <w:hideMark/>
          </w:tcPr>
          <w:p w14:paraId="6DEDB315" w14:textId="77777777" w:rsidR="0004557C" w:rsidRPr="00011948" w:rsidRDefault="0004557C" w:rsidP="005C7955">
            <w:pPr>
              <w:keepNext/>
              <w:keepLines/>
              <w:suppressAutoHyphens/>
              <w:spacing w:line="240" w:lineRule="atLeast"/>
              <w:jc w:val="center"/>
              <w:rPr>
                <w:sz w:val="16"/>
              </w:rPr>
            </w:pPr>
            <w:r w:rsidRPr="00011948">
              <w:rPr>
                <w:sz w:val="16"/>
              </w:rPr>
              <w:t>25.92</w:t>
            </w:r>
          </w:p>
        </w:tc>
        <w:tc>
          <w:tcPr>
            <w:tcW w:w="851" w:type="dxa"/>
            <w:tcBorders>
              <w:top w:val="nil"/>
              <w:left w:val="nil"/>
              <w:bottom w:val="nil"/>
              <w:right w:val="single" w:sz="4" w:space="0" w:color="auto"/>
            </w:tcBorders>
            <w:shd w:val="clear" w:color="auto" w:fill="auto"/>
            <w:noWrap/>
            <w:vAlign w:val="bottom"/>
            <w:hideMark/>
          </w:tcPr>
          <w:p w14:paraId="52FC28A2"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2EAFC05F" w14:textId="77777777" w:rsidR="0004557C" w:rsidRPr="00011948" w:rsidRDefault="0004557C" w:rsidP="005C7955">
            <w:pPr>
              <w:keepNext/>
              <w:keepLines/>
              <w:suppressAutoHyphens/>
              <w:spacing w:line="240" w:lineRule="atLeast"/>
              <w:jc w:val="center"/>
              <w:rPr>
                <w:sz w:val="16"/>
              </w:rPr>
            </w:pPr>
          </w:p>
        </w:tc>
      </w:tr>
      <w:tr w:rsidR="0004557C" w:rsidRPr="00011948" w14:paraId="36B83155"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1D44624C" w14:textId="77777777" w:rsidR="0004557C" w:rsidRPr="00011948" w:rsidRDefault="0004557C" w:rsidP="005C7955">
            <w:pPr>
              <w:keepNext/>
              <w:keepLines/>
              <w:suppressAutoHyphens/>
              <w:spacing w:line="240" w:lineRule="atLeast"/>
              <w:rPr>
                <w:sz w:val="16"/>
              </w:rPr>
            </w:pPr>
            <w:r w:rsidRPr="00011948">
              <w:rPr>
                <w:sz w:val="16"/>
              </w:rPr>
              <w:t>acenapthene</w:t>
            </w:r>
          </w:p>
        </w:tc>
        <w:tc>
          <w:tcPr>
            <w:tcW w:w="1158" w:type="dxa"/>
            <w:tcBorders>
              <w:top w:val="nil"/>
              <w:left w:val="nil"/>
              <w:bottom w:val="nil"/>
              <w:right w:val="single" w:sz="4" w:space="0" w:color="auto"/>
            </w:tcBorders>
            <w:shd w:val="clear" w:color="auto" w:fill="auto"/>
            <w:noWrap/>
            <w:vAlign w:val="bottom"/>
            <w:hideMark/>
          </w:tcPr>
          <w:p w14:paraId="637BCF21" w14:textId="77777777" w:rsidR="0004557C" w:rsidRPr="00011948" w:rsidRDefault="0004557C" w:rsidP="005C7955">
            <w:pPr>
              <w:keepNext/>
              <w:keepLines/>
              <w:suppressAutoHyphens/>
              <w:spacing w:line="240" w:lineRule="atLeast"/>
              <w:jc w:val="center"/>
              <w:rPr>
                <w:sz w:val="16"/>
              </w:rPr>
            </w:pPr>
          </w:p>
        </w:tc>
        <w:tc>
          <w:tcPr>
            <w:tcW w:w="1134" w:type="dxa"/>
            <w:tcBorders>
              <w:top w:val="nil"/>
              <w:left w:val="nil"/>
              <w:bottom w:val="nil"/>
              <w:right w:val="single" w:sz="4" w:space="0" w:color="auto"/>
            </w:tcBorders>
            <w:shd w:val="clear" w:color="auto" w:fill="auto"/>
            <w:noWrap/>
            <w:vAlign w:val="bottom"/>
            <w:hideMark/>
          </w:tcPr>
          <w:p w14:paraId="1FC616CF"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nil"/>
            </w:tcBorders>
            <w:shd w:val="clear" w:color="auto" w:fill="auto"/>
            <w:noWrap/>
            <w:vAlign w:val="bottom"/>
            <w:hideMark/>
          </w:tcPr>
          <w:p w14:paraId="0D65B34E" w14:textId="77777777" w:rsidR="0004557C" w:rsidRPr="00011948" w:rsidRDefault="0004557C" w:rsidP="005C7955">
            <w:pPr>
              <w:keepNext/>
              <w:keepLines/>
              <w:suppressAutoHyphens/>
              <w:spacing w:line="240" w:lineRule="atLeast"/>
              <w:jc w:val="center"/>
              <w:rPr>
                <w:sz w:val="16"/>
              </w:rPr>
            </w:pPr>
            <w:r w:rsidRPr="00011948">
              <w:rPr>
                <w:sz w:val="16"/>
              </w:rPr>
              <w:t>34.65</w:t>
            </w:r>
          </w:p>
        </w:tc>
        <w:tc>
          <w:tcPr>
            <w:tcW w:w="992" w:type="dxa"/>
            <w:tcBorders>
              <w:top w:val="nil"/>
              <w:left w:val="nil"/>
              <w:bottom w:val="nil"/>
              <w:right w:val="single" w:sz="4" w:space="0" w:color="auto"/>
            </w:tcBorders>
            <w:shd w:val="clear" w:color="auto" w:fill="auto"/>
            <w:noWrap/>
            <w:vAlign w:val="bottom"/>
            <w:hideMark/>
          </w:tcPr>
          <w:p w14:paraId="119C8258" w14:textId="77777777" w:rsidR="0004557C" w:rsidRPr="00011948" w:rsidRDefault="0004557C" w:rsidP="005C7955">
            <w:pPr>
              <w:keepNext/>
              <w:keepLines/>
              <w:suppressAutoHyphens/>
              <w:spacing w:line="240" w:lineRule="atLeast"/>
              <w:jc w:val="center"/>
              <w:rPr>
                <w:sz w:val="16"/>
              </w:rPr>
            </w:pPr>
            <w:r w:rsidRPr="00011948">
              <w:rPr>
                <w:sz w:val="16"/>
              </w:rPr>
              <w:t>34.65</w:t>
            </w:r>
          </w:p>
        </w:tc>
        <w:tc>
          <w:tcPr>
            <w:tcW w:w="851" w:type="dxa"/>
            <w:tcBorders>
              <w:top w:val="nil"/>
              <w:left w:val="nil"/>
              <w:bottom w:val="nil"/>
              <w:right w:val="single" w:sz="4" w:space="0" w:color="auto"/>
            </w:tcBorders>
            <w:shd w:val="clear" w:color="auto" w:fill="auto"/>
            <w:noWrap/>
            <w:vAlign w:val="bottom"/>
            <w:hideMark/>
          </w:tcPr>
          <w:p w14:paraId="3C4116A0" w14:textId="77777777" w:rsidR="0004557C" w:rsidRPr="00011948" w:rsidRDefault="0004557C" w:rsidP="005C7955">
            <w:pPr>
              <w:keepNext/>
              <w:keepLines/>
              <w:suppressAutoHyphens/>
              <w:spacing w:line="240" w:lineRule="atLeast"/>
              <w:jc w:val="center"/>
              <w:rPr>
                <w:sz w:val="16"/>
              </w:rPr>
            </w:pPr>
          </w:p>
        </w:tc>
        <w:tc>
          <w:tcPr>
            <w:tcW w:w="850" w:type="dxa"/>
            <w:tcBorders>
              <w:top w:val="nil"/>
              <w:left w:val="nil"/>
              <w:bottom w:val="nil"/>
              <w:right w:val="double" w:sz="6" w:space="0" w:color="auto"/>
            </w:tcBorders>
            <w:shd w:val="clear" w:color="auto" w:fill="auto"/>
            <w:noWrap/>
            <w:vAlign w:val="bottom"/>
            <w:hideMark/>
          </w:tcPr>
          <w:p w14:paraId="280DDBDB" w14:textId="77777777" w:rsidR="0004557C" w:rsidRPr="00011948" w:rsidRDefault="0004557C" w:rsidP="005C7955">
            <w:pPr>
              <w:keepNext/>
              <w:keepLines/>
              <w:suppressAutoHyphens/>
              <w:spacing w:line="240" w:lineRule="atLeast"/>
              <w:jc w:val="center"/>
              <w:rPr>
                <w:sz w:val="16"/>
              </w:rPr>
            </w:pPr>
          </w:p>
        </w:tc>
      </w:tr>
      <w:tr w:rsidR="0004557C" w:rsidRPr="00011948" w14:paraId="6CBAF108"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53495C60" w14:textId="77777777" w:rsidR="0004557C" w:rsidRPr="00011948" w:rsidRDefault="0004557C" w:rsidP="005C7955">
            <w:pPr>
              <w:keepNext/>
              <w:keepLines/>
              <w:suppressAutoHyphens/>
              <w:spacing w:line="240" w:lineRule="atLeast"/>
              <w:rPr>
                <w:sz w:val="16"/>
              </w:rPr>
            </w:pPr>
            <w:r w:rsidRPr="00011948">
              <w:rPr>
                <w:sz w:val="16"/>
              </w:rPr>
              <w:t>fluorene</w:t>
            </w:r>
          </w:p>
        </w:tc>
        <w:tc>
          <w:tcPr>
            <w:tcW w:w="1158" w:type="dxa"/>
            <w:tcBorders>
              <w:top w:val="nil"/>
              <w:left w:val="nil"/>
              <w:bottom w:val="nil"/>
              <w:right w:val="single" w:sz="4" w:space="0" w:color="auto"/>
            </w:tcBorders>
            <w:shd w:val="clear" w:color="auto" w:fill="auto"/>
            <w:noWrap/>
            <w:vAlign w:val="bottom"/>
            <w:hideMark/>
          </w:tcPr>
          <w:p w14:paraId="4069A831" w14:textId="77777777" w:rsidR="0004557C" w:rsidRPr="00011948" w:rsidRDefault="0004557C" w:rsidP="005C7955">
            <w:pPr>
              <w:keepNext/>
              <w:keepLines/>
              <w:suppressAutoHyphens/>
              <w:spacing w:line="240" w:lineRule="atLeast"/>
              <w:jc w:val="center"/>
              <w:rPr>
                <w:sz w:val="16"/>
              </w:rPr>
            </w:pPr>
          </w:p>
        </w:tc>
        <w:tc>
          <w:tcPr>
            <w:tcW w:w="1134" w:type="dxa"/>
            <w:tcBorders>
              <w:top w:val="nil"/>
              <w:left w:val="nil"/>
              <w:bottom w:val="nil"/>
              <w:right w:val="single" w:sz="4" w:space="0" w:color="auto"/>
            </w:tcBorders>
            <w:shd w:val="clear" w:color="auto" w:fill="auto"/>
            <w:noWrap/>
            <w:vAlign w:val="bottom"/>
            <w:hideMark/>
          </w:tcPr>
          <w:p w14:paraId="3066270F"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nil"/>
            </w:tcBorders>
            <w:shd w:val="clear" w:color="auto" w:fill="auto"/>
            <w:noWrap/>
            <w:vAlign w:val="bottom"/>
            <w:hideMark/>
          </w:tcPr>
          <w:p w14:paraId="59F53A52" w14:textId="77777777" w:rsidR="0004557C" w:rsidRPr="00011948" w:rsidRDefault="0004557C" w:rsidP="005C7955">
            <w:pPr>
              <w:keepNext/>
              <w:keepLines/>
              <w:suppressAutoHyphens/>
              <w:spacing w:line="240" w:lineRule="atLeast"/>
              <w:jc w:val="center"/>
              <w:rPr>
                <w:sz w:val="16"/>
              </w:rPr>
            </w:pPr>
          </w:p>
        </w:tc>
        <w:tc>
          <w:tcPr>
            <w:tcW w:w="992" w:type="dxa"/>
            <w:tcBorders>
              <w:top w:val="nil"/>
              <w:left w:val="nil"/>
              <w:bottom w:val="nil"/>
              <w:right w:val="single" w:sz="4" w:space="0" w:color="auto"/>
            </w:tcBorders>
            <w:shd w:val="clear" w:color="auto" w:fill="auto"/>
            <w:noWrap/>
            <w:vAlign w:val="bottom"/>
            <w:hideMark/>
          </w:tcPr>
          <w:p w14:paraId="2FCB4DC2" w14:textId="77777777" w:rsidR="0004557C" w:rsidRPr="00011948" w:rsidRDefault="0004557C" w:rsidP="005C7955">
            <w:pPr>
              <w:keepNext/>
              <w:keepLines/>
              <w:suppressAutoHyphens/>
              <w:spacing w:line="240" w:lineRule="atLeast"/>
              <w:jc w:val="center"/>
              <w:rPr>
                <w:sz w:val="16"/>
              </w:rPr>
            </w:pPr>
          </w:p>
        </w:tc>
        <w:tc>
          <w:tcPr>
            <w:tcW w:w="851" w:type="dxa"/>
            <w:tcBorders>
              <w:top w:val="nil"/>
              <w:left w:val="nil"/>
              <w:bottom w:val="nil"/>
              <w:right w:val="single" w:sz="4" w:space="0" w:color="auto"/>
            </w:tcBorders>
            <w:shd w:val="clear" w:color="auto" w:fill="auto"/>
            <w:noWrap/>
            <w:vAlign w:val="bottom"/>
            <w:hideMark/>
          </w:tcPr>
          <w:p w14:paraId="2572C985" w14:textId="77777777" w:rsidR="0004557C" w:rsidRPr="00011948" w:rsidRDefault="0004557C" w:rsidP="005C7955">
            <w:pPr>
              <w:keepNext/>
              <w:keepLines/>
              <w:suppressAutoHyphens/>
              <w:spacing w:line="240" w:lineRule="atLeast"/>
              <w:jc w:val="center"/>
              <w:rPr>
                <w:sz w:val="16"/>
              </w:rPr>
            </w:pPr>
            <w:r w:rsidRPr="00011948">
              <w:rPr>
                <w:sz w:val="16"/>
              </w:rPr>
              <w:t>39.99</w:t>
            </w:r>
          </w:p>
        </w:tc>
        <w:tc>
          <w:tcPr>
            <w:tcW w:w="850" w:type="dxa"/>
            <w:tcBorders>
              <w:top w:val="nil"/>
              <w:left w:val="nil"/>
              <w:bottom w:val="nil"/>
              <w:right w:val="double" w:sz="6" w:space="0" w:color="auto"/>
            </w:tcBorders>
            <w:shd w:val="clear" w:color="auto" w:fill="auto"/>
            <w:noWrap/>
            <w:vAlign w:val="bottom"/>
            <w:hideMark/>
          </w:tcPr>
          <w:p w14:paraId="3FA9B614" w14:textId="77777777" w:rsidR="0004557C" w:rsidRPr="00011948" w:rsidRDefault="0004557C" w:rsidP="005C7955">
            <w:pPr>
              <w:keepNext/>
              <w:keepLines/>
              <w:suppressAutoHyphens/>
              <w:spacing w:line="240" w:lineRule="atLeast"/>
              <w:jc w:val="center"/>
              <w:rPr>
                <w:sz w:val="16"/>
              </w:rPr>
            </w:pPr>
          </w:p>
        </w:tc>
      </w:tr>
      <w:tr w:rsidR="0004557C" w:rsidRPr="00011948" w14:paraId="74C4B907"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5ABDC2F4" w14:textId="77777777" w:rsidR="0004557C" w:rsidRPr="00011948" w:rsidRDefault="0004557C" w:rsidP="005C7955">
            <w:pPr>
              <w:keepNext/>
              <w:keepLines/>
              <w:suppressAutoHyphens/>
              <w:spacing w:line="240" w:lineRule="atLeast"/>
              <w:rPr>
                <w:sz w:val="16"/>
              </w:rPr>
            </w:pPr>
            <w:r w:rsidRPr="00011948">
              <w:rPr>
                <w:sz w:val="16"/>
              </w:rPr>
              <w:t>chrysene</w:t>
            </w:r>
          </w:p>
        </w:tc>
        <w:tc>
          <w:tcPr>
            <w:tcW w:w="1158" w:type="dxa"/>
            <w:tcBorders>
              <w:top w:val="nil"/>
              <w:left w:val="nil"/>
              <w:bottom w:val="nil"/>
              <w:right w:val="single" w:sz="4" w:space="0" w:color="auto"/>
            </w:tcBorders>
            <w:shd w:val="clear" w:color="auto" w:fill="auto"/>
            <w:noWrap/>
            <w:vAlign w:val="bottom"/>
            <w:hideMark/>
          </w:tcPr>
          <w:p w14:paraId="3CECFF01" w14:textId="77777777" w:rsidR="0004557C" w:rsidRPr="00011948" w:rsidRDefault="0004557C" w:rsidP="005C7955">
            <w:pPr>
              <w:keepNext/>
              <w:keepLines/>
              <w:suppressAutoHyphens/>
              <w:spacing w:line="240" w:lineRule="atLeast"/>
              <w:jc w:val="center"/>
              <w:rPr>
                <w:sz w:val="16"/>
              </w:rPr>
            </w:pPr>
            <w:r w:rsidRPr="00011948">
              <w:rPr>
                <w:sz w:val="16"/>
              </w:rPr>
              <w:t>0.43</w:t>
            </w:r>
          </w:p>
        </w:tc>
        <w:tc>
          <w:tcPr>
            <w:tcW w:w="1134" w:type="dxa"/>
            <w:tcBorders>
              <w:top w:val="nil"/>
              <w:left w:val="nil"/>
              <w:bottom w:val="nil"/>
              <w:right w:val="single" w:sz="4" w:space="0" w:color="auto"/>
            </w:tcBorders>
            <w:shd w:val="clear" w:color="auto" w:fill="auto"/>
            <w:noWrap/>
            <w:vAlign w:val="bottom"/>
            <w:hideMark/>
          </w:tcPr>
          <w:p w14:paraId="6AFFA692" w14:textId="77777777" w:rsidR="0004557C" w:rsidRPr="00011948" w:rsidRDefault="0004557C" w:rsidP="005C7955">
            <w:pPr>
              <w:keepNext/>
              <w:keepLines/>
              <w:suppressAutoHyphens/>
              <w:spacing w:line="240" w:lineRule="atLeast"/>
              <w:jc w:val="center"/>
              <w:rPr>
                <w:sz w:val="16"/>
              </w:rPr>
            </w:pPr>
            <w:r w:rsidRPr="00011948">
              <w:rPr>
                <w:sz w:val="16"/>
              </w:rPr>
              <w:t>0.53</w:t>
            </w:r>
          </w:p>
        </w:tc>
        <w:tc>
          <w:tcPr>
            <w:tcW w:w="992" w:type="dxa"/>
            <w:tcBorders>
              <w:top w:val="nil"/>
              <w:left w:val="nil"/>
              <w:bottom w:val="nil"/>
              <w:right w:val="nil"/>
            </w:tcBorders>
            <w:shd w:val="clear" w:color="auto" w:fill="auto"/>
            <w:noWrap/>
            <w:vAlign w:val="bottom"/>
            <w:hideMark/>
          </w:tcPr>
          <w:p w14:paraId="6CA62DBE" w14:textId="77777777" w:rsidR="0004557C" w:rsidRPr="00011948" w:rsidRDefault="0004557C" w:rsidP="005C7955">
            <w:pPr>
              <w:keepNext/>
              <w:keepLines/>
              <w:suppressAutoHyphens/>
              <w:spacing w:line="240" w:lineRule="atLeast"/>
              <w:jc w:val="center"/>
              <w:rPr>
                <w:sz w:val="16"/>
              </w:rPr>
            </w:pPr>
            <w:r w:rsidRPr="00011948">
              <w:rPr>
                <w:sz w:val="16"/>
              </w:rPr>
              <w:t>2.40</w:t>
            </w:r>
          </w:p>
        </w:tc>
        <w:tc>
          <w:tcPr>
            <w:tcW w:w="992" w:type="dxa"/>
            <w:tcBorders>
              <w:top w:val="nil"/>
              <w:left w:val="nil"/>
              <w:bottom w:val="nil"/>
              <w:right w:val="single" w:sz="4" w:space="0" w:color="auto"/>
            </w:tcBorders>
            <w:shd w:val="clear" w:color="auto" w:fill="auto"/>
            <w:noWrap/>
            <w:vAlign w:val="bottom"/>
            <w:hideMark/>
          </w:tcPr>
          <w:p w14:paraId="3E35B1DB" w14:textId="77777777" w:rsidR="0004557C" w:rsidRPr="00011948" w:rsidRDefault="0004557C" w:rsidP="005C7955">
            <w:pPr>
              <w:keepNext/>
              <w:keepLines/>
              <w:suppressAutoHyphens/>
              <w:spacing w:line="240" w:lineRule="atLeast"/>
              <w:jc w:val="center"/>
              <w:rPr>
                <w:sz w:val="16"/>
              </w:rPr>
            </w:pPr>
            <w:r w:rsidRPr="00011948">
              <w:rPr>
                <w:sz w:val="16"/>
              </w:rPr>
              <w:t>7.53</w:t>
            </w:r>
          </w:p>
        </w:tc>
        <w:tc>
          <w:tcPr>
            <w:tcW w:w="851" w:type="dxa"/>
            <w:tcBorders>
              <w:top w:val="nil"/>
              <w:left w:val="nil"/>
              <w:bottom w:val="nil"/>
              <w:right w:val="single" w:sz="4" w:space="0" w:color="auto"/>
            </w:tcBorders>
            <w:shd w:val="clear" w:color="auto" w:fill="auto"/>
            <w:noWrap/>
            <w:vAlign w:val="bottom"/>
            <w:hideMark/>
          </w:tcPr>
          <w:p w14:paraId="2CF504B0" w14:textId="77777777" w:rsidR="0004557C" w:rsidRPr="00011948" w:rsidRDefault="0004557C" w:rsidP="005C7955">
            <w:pPr>
              <w:keepNext/>
              <w:keepLines/>
              <w:suppressAutoHyphens/>
              <w:spacing w:line="240" w:lineRule="atLeast"/>
              <w:jc w:val="center"/>
              <w:rPr>
                <w:sz w:val="16"/>
              </w:rPr>
            </w:pPr>
            <w:r w:rsidRPr="00011948">
              <w:rPr>
                <w:sz w:val="16"/>
              </w:rPr>
              <w:t>16.24</w:t>
            </w:r>
          </w:p>
        </w:tc>
        <w:tc>
          <w:tcPr>
            <w:tcW w:w="850" w:type="dxa"/>
            <w:tcBorders>
              <w:top w:val="nil"/>
              <w:left w:val="nil"/>
              <w:bottom w:val="nil"/>
              <w:right w:val="double" w:sz="6" w:space="0" w:color="auto"/>
            </w:tcBorders>
            <w:shd w:val="clear" w:color="auto" w:fill="auto"/>
            <w:noWrap/>
            <w:vAlign w:val="bottom"/>
            <w:hideMark/>
          </w:tcPr>
          <w:p w14:paraId="4EC19D84" w14:textId="77777777" w:rsidR="0004557C" w:rsidRPr="00011948" w:rsidRDefault="0004557C" w:rsidP="005C7955">
            <w:pPr>
              <w:keepNext/>
              <w:keepLines/>
              <w:suppressAutoHyphens/>
              <w:spacing w:line="240" w:lineRule="atLeast"/>
              <w:jc w:val="center"/>
              <w:rPr>
                <w:sz w:val="16"/>
              </w:rPr>
            </w:pPr>
          </w:p>
        </w:tc>
      </w:tr>
      <w:tr w:rsidR="0004557C" w:rsidRPr="00011948" w14:paraId="68E9029E"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39FB26D9" w14:textId="77777777" w:rsidR="0004557C" w:rsidRPr="00011948" w:rsidRDefault="0004557C" w:rsidP="005C7955">
            <w:pPr>
              <w:keepNext/>
              <w:keepLines/>
              <w:suppressAutoHyphens/>
              <w:spacing w:line="240" w:lineRule="atLeast"/>
              <w:rPr>
                <w:sz w:val="16"/>
              </w:rPr>
            </w:pPr>
            <w:r w:rsidRPr="00011948">
              <w:rPr>
                <w:sz w:val="16"/>
              </w:rPr>
              <w:t>phenanthrene</w:t>
            </w:r>
          </w:p>
        </w:tc>
        <w:tc>
          <w:tcPr>
            <w:tcW w:w="1158" w:type="dxa"/>
            <w:tcBorders>
              <w:top w:val="nil"/>
              <w:left w:val="nil"/>
              <w:bottom w:val="nil"/>
              <w:right w:val="single" w:sz="4" w:space="0" w:color="auto"/>
            </w:tcBorders>
            <w:shd w:val="clear" w:color="auto" w:fill="auto"/>
            <w:noWrap/>
            <w:vAlign w:val="bottom"/>
            <w:hideMark/>
          </w:tcPr>
          <w:p w14:paraId="730E1C7C" w14:textId="77777777" w:rsidR="0004557C" w:rsidRPr="00011948" w:rsidRDefault="0004557C" w:rsidP="005C7955">
            <w:pPr>
              <w:keepNext/>
              <w:keepLines/>
              <w:suppressAutoHyphens/>
              <w:spacing w:line="240" w:lineRule="atLeast"/>
              <w:jc w:val="center"/>
              <w:rPr>
                <w:sz w:val="16"/>
              </w:rPr>
            </w:pPr>
            <w:r w:rsidRPr="00011948">
              <w:rPr>
                <w:sz w:val="16"/>
              </w:rPr>
              <w:t>61.72</w:t>
            </w:r>
          </w:p>
        </w:tc>
        <w:tc>
          <w:tcPr>
            <w:tcW w:w="1134" w:type="dxa"/>
            <w:tcBorders>
              <w:top w:val="nil"/>
              <w:left w:val="nil"/>
              <w:bottom w:val="nil"/>
              <w:right w:val="single" w:sz="4" w:space="0" w:color="auto"/>
            </w:tcBorders>
            <w:shd w:val="clear" w:color="auto" w:fill="auto"/>
            <w:noWrap/>
            <w:vAlign w:val="bottom"/>
            <w:hideMark/>
          </w:tcPr>
          <w:p w14:paraId="7F67B016" w14:textId="77777777" w:rsidR="0004557C" w:rsidRPr="00011948" w:rsidRDefault="0004557C" w:rsidP="005C7955">
            <w:pPr>
              <w:keepNext/>
              <w:keepLines/>
              <w:suppressAutoHyphens/>
              <w:spacing w:line="240" w:lineRule="atLeast"/>
              <w:jc w:val="center"/>
              <w:rPr>
                <w:sz w:val="16"/>
              </w:rPr>
            </w:pPr>
            <w:r w:rsidRPr="00011948">
              <w:rPr>
                <w:sz w:val="16"/>
              </w:rPr>
              <w:t>4.68</w:t>
            </w:r>
          </w:p>
        </w:tc>
        <w:tc>
          <w:tcPr>
            <w:tcW w:w="992" w:type="dxa"/>
            <w:tcBorders>
              <w:top w:val="nil"/>
              <w:left w:val="nil"/>
              <w:bottom w:val="nil"/>
              <w:right w:val="nil"/>
            </w:tcBorders>
            <w:shd w:val="clear" w:color="auto" w:fill="auto"/>
            <w:noWrap/>
            <w:vAlign w:val="bottom"/>
            <w:hideMark/>
          </w:tcPr>
          <w:p w14:paraId="47DB43B0" w14:textId="77777777" w:rsidR="0004557C" w:rsidRPr="00011948" w:rsidRDefault="0004557C" w:rsidP="005C7955">
            <w:pPr>
              <w:keepNext/>
              <w:keepLines/>
              <w:suppressAutoHyphens/>
              <w:spacing w:line="240" w:lineRule="atLeast"/>
              <w:jc w:val="center"/>
              <w:rPr>
                <w:sz w:val="16"/>
              </w:rPr>
            </w:pPr>
            <w:r w:rsidRPr="00011948">
              <w:rPr>
                <w:sz w:val="16"/>
              </w:rPr>
              <w:t>85.50</w:t>
            </w:r>
          </w:p>
        </w:tc>
        <w:tc>
          <w:tcPr>
            <w:tcW w:w="992" w:type="dxa"/>
            <w:tcBorders>
              <w:top w:val="nil"/>
              <w:left w:val="nil"/>
              <w:bottom w:val="nil"/>
              <w:right w:val="single" w:sz="4" w:space="0" w:color="auto"/>
            </w:tcBorders>
            <w:shd w:val="clear" w:color="auto" w:fill="auto"/>
            <w:noWrap/>
            <w:vAlign w:val="bottom"/>
            <w:hideMark/>
          </w:tcPr>
          <w:p w14:paraId="41C08EFA" w14:textId="77777777" w:rsidR="0004557C" w:rsidRPr="00011948" w:rsidRDefault="0004557C" w:rsidP="005C7955">
            <w:pPr>
              <w:keepNext/>
              <w:keepLines/>
              <w:suppressAutoHyphens/>
              <w:spacing w:line="240" w:lineRule="atLeast"/>
              <w:jc w:val="center"/>
              <w:rPr>
                <w:sz w:val="16"/>
              </w:rPr>
            </w:pPr>
            <w:r w:rsidRPr="00011948">
              <w:rPr>
                <w:sz w:val="16"/>
              </w:rPr>
              <w:t>27.63</w:t>
            </w:r>
          </w:p>
        </w:tc>
        <w:tc>
          <w:tcPr>
            <w:tcW w:w="851" w:type="dxa"/>
            <w:tcBorders>
              <w:top w:val="nil"/>
              <w:left w:val="nil"/>
              <w:bottom w:val="nil"/>
              <w:right w:val="single" w:sz="4" w:space="0" w:color="auto"/>
            </w:tcBorders>
            <w:shd w:val="clear" w:color="auto" w:fill="auto"/>
            <w:noWrap/>
            <w:vAlign w:val="bottom"/>
            <w:hideMark/>
          </w:tcPr>
          <w:p w14:paraId="1339F712" w14:textId="77777777" w:rsidR="0004557C" w:rsidRPr="00011948" w:rsidRDefault="0004557C" w:rsidP="005C7955">
            <w:pPr>
              <w:keepNext/>
              <w:keepLines/>
              <w:suppressAutoHyphens/>
              <w:spacing w:line="240" w:lineRule="atLeast"/>
              <w:jc w:val="center"/>
              <w:rPr>
                <w:sz w:val="16"/>
              </w:rPr>
            </w:pPr>
            <w:r w:rsidRPr="00011948">
              <w:rPr>
                <w:sz w:val="16"/>
              </w:rPr>
              <w:t>23.00</w:t>
            </w:r>
          </w:p>
        </w:tc>
        <w:tc>
          <w:tcPr>
            <w:tcW w:w="850" w:type="dxa"/>
            <w:tcBorders>
              <w:top w:val="nil"/>
              <w:left w:val="nil"/>
              <w:bottom w:val="nil"/>
              <w:right w:val="double" w:sz="6" w:space="0" w:color="auto"/>
            </w:tcBorders>
            <w:shd w:val="clear" w:color="auto" w:fill="auto"/>
            <w:noWrap/>
            <w:vAlign w:val="bottom"/>
            <w:hideMark/>
          </w:tcPr>
          <w:p w14:paraId="31C836BF" w14:textId="77777777" w:rsidR="0004557C" w:rsidRPr="00011948" w:rsidRDefault="0004557C" w:rsidP="005C7955">
            <w:pPr>
              <w:keepNext/>
              <w:keepLines/>
              <w:suppressAutoHyphens/>
              <w:spacing w:line="240" w:lineRule="atLeast"/>
              <w:jc w:val="center"/>
              <w:rPr>
                <w:sz w:val="16"/>
              </w:rPr>
            </w:pPr>
            <w:r w:rsidRPr="00011948">
              <w:rPr>
                <w:sz w:val="16"/>
              </w:rPr>
              <w:t>4.91</w:t>
            </w:r>
          </w:p>
        </w:tc>
      </w:tr>
      <w:tr w:rsidR="0004557C" w:rsidRPr="00011948" w14:paraId="019A7581"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4E16614E" w14:textId="77777777" w:rsidR="0004557C" w:rsidRPr="00011948" w:rsidRDefault="0004557C" w:rsidP="005C7955">
            <w:pPr>
              <w:keepNext/>
              <w:keepLines/>
              <w:suppressAutoHyphens/>
              <w:spacing w:line="240" w:lineRule="atLeast"/>
              <w:rPr>
                <w:sz w:val="16"/>
              </w:rPr>
            </w:pPr>
            <w:r w:rsidRPr="00011948">
              <w:rPr>
                <w:sz w:val="16"/>
              </w:rPr>
              <w:t>napthalene</w:t>
            </w:r>
          </w:p>
        </w:tc>
        <w:tc>
          <w:tcPr>
            <w:tcW w:w="1158" w:type="dxa"/>
            <w:tcBorders>
              <w:top w:val="nil"/>
              <w:left w:val="nil"/>
              <w:bottom w:val="nil"/>
              <w:right w:val="single" w:sz="4" w:space="0" w:color="auto"/>
            </w:tcBorders>
            <w:shd w:val="clear" w:color="auto" w:fill="auto"/>
            <w:noWrap/>
            <w:vAlign w:val="bottom"/>
            <w:hideMark/>
          </w:tcPr>
          <w:p w14:paraId="4B9FDB7B" w14:textId="77777777" w:rsidR="0004557C" w:rsidRPr="00011948" w:rsidRDefault="0004557C" w:rsidP="005C7955">
            <w:pPr>
              <w:keepNext/>
              <w:keepLines/>
              <w:suppressAutoHyphens/>
              <w:spacing w:line="240" w:lineRule="atLeast"/>
              <w:jc w:val="center"/>
              <w:rPr>
                <w:sz w:val="16"/>
              </w:rPr>
            </w:pPr>
            <w:r w:rsidRPr="00011948">
              <w:rPr>
                <w:sz w:val="16"/>
              </w:rPr>
              <w:t>11.20</w:t>
            </w:r>
          </w:p>
        </w:tc>
        <w:tc>
          <w:tcPr>
            <w:tcW w:w="1134" w:type="dxa"/>
            <w:tcBorders>
              <w:top w:val="nil"/>
              <w:left w:val="nil"/>
              <w:bottom w:val="nil"/>
              <w:right w:val="single" w:sz="4" w:space="0" w:color="auto"/>
            </w:tcBorders>
            <w:shd w:val="clear" w:color="auto" w:fill="auto"/>
            <w:noWrap/>
            <w:vAlign w:val="bottom"/>
            <w:hideMark/>
          </w:tcPr>
          <w:p w14:paraId="4EB3D7F9" w14:textId="77777777" w:rsidR="0004557C" w:rsidRPr="00011948" w:rsidRDefault="0004557C" w:rsidP="005C7955">
            <w:pPr>
              <w:keepNext/>
              <w:keepLines/>
              <w:suppressAutoHyphens/>
              <w:spacing w:line="240" w:lineRule="atLeast"/>
              <w:jc w:val="center"/>
              <w:rPr>
                <w:sz w:val="16"/>
              </w:rPr>
            </w:pPr>
            <w:r w:rsidRPr="00011948">
              <w:rPr>
                <w:sz w:val="16"/>
              </w:rPr>
              <w:t>610.19</w:t>
            </w:r>
          </w:p>
        </w:tc>
        <w:tc>
          <w:tcPr>
            <w:tcW w:w="992" w:type="dxa"/>
            <w:tcBorders>
              <w:top w:val="nil"/>
              <w:left w:val="nil"/>
              <w:bottom w:val="nil"/>
              <w:right w:val="nil"/>
            </w:tcBorders>
            <w:shd w:val="clear" w:color="auto" w:fill="auto"/>
            <w:noWrap/>
            <w:vAlign w:val="bottom"/>
            <w:hideMark/>
          </w:tcPr>
          <w:p w14:paraId="64714093" w14:textId="77777777" w:rsidR="0004557C" w:rsidRPr="00011948" w:rsidRDefault="0004557C" w:rsidP="005C7955">
            <w:pPr>
              <w:keepNext/>
              <w:keepLines/>
              <w:suppressAutoHyphens/>
              <w:spacing w:line="240" w:lineRule="atLeast"/>
              <w:jc w:val="center"/>
              <w:rPr>
                <w:sz w:val="16"/>
              </w:rPr>
            </w:pPr>
            <w:r w:rsidRPr="00011948">
              <w:rPr>
                <w:sz w:val="16"/>
              </w:rPr>
              <w:t>2100</w:t>
            </w:r>
          </w:p>
        </w:tc>
        <w:tc>
          <w:tcPr>
            <w:tcW w:w="992" w:type="dxa"/>
            <w:tcBorders>
              <w:top w:val="nil"/>
              <w:left w:val="nil"/>
              <w:bottom w:val="nil"/>
              <w:right w:val="single" w:sz="4" w:space="0" w:color="auto"/>
            </w:tcBorders>
            <w:shd w:val="clear" w:color="auto" w:fill="auto"/>
            <w:noWrap/>
            <w:vAlign w:val="bottom"/>
            <w:hideMark/>
          </w:tcPr>
          <w:p w14:paraId="67C72E6D" w14:textId="77777777" w:rsidR="0004557C" w:rsidRPr="00011948" w:rsidRDefault="0004557C" w:rsidP="005C7955">
            <w:pPr>
              <w:keepNext/>
              <w:keepLines/>
              <w:suppressAutoHyphens/>
              <w:spacing w:line="240" w:lineRule="atLeast"/>
              <w:jc w:val="center"/>
              <w:rPr>
                <w:sz w:val="16"/>
              </w:rPr>
            </w:pPr>
            <w:r w:rsidRPr="00011948">
              <w:rPr>
                <w:sz w:val="16"/>
              </w:rPr>
              <w:t>650.5</w:t>
            </w:r>
          </w:p>
        </w:tc>
        <w:tc>
          <w:tcPr>
            <w:tcW w:w="851" w:type="dxa"/>
            <w:tcBorders>
              <w:top w:val="nil"/>
              <w:left w:val="nil"/>
              <w:bottom w:val="nil"/>
              <w:right w:val="single" w:sz="4" w:space="0" w:color="auto"/>
            </w:tcBorders>
            <w:shd w:val="clear" w:color="auto" w:fill="auto"/>
            <w:noWrap/>
            <w:vAlign w:val="bottom"/>
            <w:hideMark/>
          </w:tcPr>
          <w:p w14:paraId="5F4D026F" w14:textId="77777777" w:rsidR="0004557C" w:rsidRPr="00011948" w:rsidRDefault="0004557C" w:rsidP="005C7955">
            <w:pPr>
              <w:keepNext/>
              <w:keepLines/>
              <w:suppressAutoHyphens/>
              <w:spacing w:line="240" w:lineRule="atLeast"/>
              <w:jc w:val="center"/>
              <w:rPr>
                <w:sz w:val="16"/>
              </w:rPr>
            </w:pPr>
            <w:r w:rsidRPr="00011948">
              <w:rPr>
                <w:sz w:val="16"/>
              </w:rPr>
              <w:t>56.66</w:t>
            </w:r>
          </w:p>
        </w:tc>
        <w:tc>
          <w:tcPr>
            <w:tcW w:w="850" w:type="dxa"/>
            <w:tcBorders>
              <w:top w:val="nil"/>
              <w:left w:val="nil"/>
              <w:bottom w:val="nil"/>
              <w:right w:val="double" w:sz="6" w:space="0" w:color="auto"/>
            </w:tcBorders>
            <w:shd w:val="clear" w:color="auto" w:fill="auto"/>
            <w:noWrap/>
            <w:vAlign w:val="bottom"/>
            <w:hideMark/>
          </w:tcPr>
          <w:p w14:paraId="28633950" w14:textId="77777777" w:rsidR="0004557C" w:rsidRPr="00011948" w:rsidRDefault="0004557C" w:rsidP="005C7955">
            <w:pPr>
              <w:keepNext/>
              <w:keepLines/>
              <w:suppressAutoHyphens/>
              <w:spacing w:line="240" w:lineRule="atLeast"/>
              <w:jc w:val="center"/>
              <w:rPr>
                <w:sz w:val="16"/>
              </w:rPr>
            </w:pPr>
            <w:r w:rsidRPr="00011948">
              <w:rPr>
                <w:sz w:val="16"/>
              </w:rPr>
              <w:t>40.28</w:t>
            </w:r>
          </w:p>
        </w:tc>
      </w:tr>
      <w:tr w:rsidR="0004557C" w:rsidRPr="00011948" w14:paraId="58FE36DD"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1D9A7543" w14:textId="77777777" w:rsidR="0004557C" w:rsidRPr="00011948" w:rsidRDefault="0004557C" w:rsidP="005C7955">
            <w:pPr>
              <w:keepNext/>
              <w:keepLines/>
              <w:suppressAutoHyphens/>
              <w:spacing w:line="240" w:lineRule="atLeast"/>
              <w:rPr>
                <w:sz w:val="16"/>
              </w:rPr>
            </w:pPr>
            <w:r w:rsidRPr="00011948">
              <w:rPr>
                <w:sz w:val="16"/>
              </w:rPr>
              <w:t>anthracene</w:t>
            </w:r>
          </w:p>
        </w:tc>
        <w:tc>
          <w:tcPr>
            <w:tcW w:w="1158" w:type="dxa"/>
            <w:tcBorders>
              <w:top w:val="nil"/>
              <w:left w:val="nil"/>
              <w:bottom w:val="nil"/>
              <w:right w:val="single" w:sz="4" w:space="0" w:color="auto"/>
            </w:tcBorders>
            <w:shd w:val="clear" w:color="auto" w:fill="auto"/>
            <w:noWrap/>
            <w:vAlign w:val="bottom"/>
            <w:hideMark/>
          </w:tcPr>
          <w:p w14:paraId="499142F0" w14:textId="77777777" w:rsidR="0004557C" w:rsidRPr="00011948" w:rsidRDefault="0004557C" w:rsidP="005C7955">
            <w:pPr>
              <w:keepNext/>
              <w:keepLines/>
              <w:suppressAutoHyphens/>
              <w:spacing w:line="240" w:lineRule="atLeast"/>
              <w:jc w:val="center"/>
              <w:rPr>
                <w:sz w:val="16"/>
              </w:rPr>
            </w:pPr>
            <w:r w:rsidRPr="00011948">
              <w:rPr>
                <w:sz w:val="16"/>
              </w:rPr>
              <w:t>7.66</w:t>
            </w:r>
          </w:p>
        </w:tc>
        <w:tc>
          <w:tcPr>
            <w:tcW w:w="1134" w:type="dxa"/>
            <w:tcBorders>
              <w:top w:val="nil"/>
              <w:left w:val="nil"/>
              <w:bottom w:val="nil"/>
              <w:right w:val="single" w:sz="4" w:space="0" w:color="auto"/>
            </w:tcBorders>
            <w:shd w:val="clear" w:color="auto" w:fill="auto"/>
            <w:noWrap/>
            <w:vAlign w:val="bottom"/>
            <w:hideMark/>
          </w:tcPr>
          <w:p w14:paraId="64C1CDFC" w14:textId="77777777" w:rsidR="0004557C" w:rsidRPr="00011948" w:rsidRDefault="0004557C" w:rsidP="005C7955">
            <w:pPr>
              <w:keepNext/>
              <w:keepLines/>
              <w:suppressAutoHyphens/>
              <w:spacing w:line="240" w:lineRule="atLeast"/>
              <w:jc w:val="center"/>
              <w:rPr>
                <w:sz w:val="16"/>
              </w:rPr>
            </w:pPr>
            <w:r w:rsidRPr="00011948">
              <w:rPr>
                <w:sz w:val="16"/>
              </w:rPr>
              <w:t>0.80</w:t>
            </w:r>
          </w:p>
        </w:tc>
        <w:tc>
          <w:tcPr>
            <w:tcW w:w="992" w:type="dxa"/>
            <w:tcBorders>
              <w:top w:val="nil"/>
              <w:left w:val="nil"/>
              <w:bottom w:val="nil"/>
              <w:right w:val="nil"/>
            </w:tcBorders>
            <w:shd w:val="clear" w:color="auto" w:fill="auto"/>
            <w:noWrap/>
            <w:vAlign w:val="bottom"/>
            <w:hideMark/>
          </w:tcPr>
          <w:p w14:paraId="7A082824" w14:textId="77777777" w:rsidR="0004557C" w:rsidRPr="00011948" w:rsidRDefault="0004557C" w:rsidP="005C7955">
            <w:pPr>
              <w:keepNext/>
              <w:keepLines/>
              <w:suppressAutoHyphens/>
              <w:spacing w:line="240" w:lineRule="atLeast"/>
              <w:jc w:val="center"/>
              <w:rPr>
                <w:sz w:val="16"/>
              </w:rPr>
            </w:pPr>
            <w:r w:rsidRPr="00011948">
              <w:rPr>
                <w:sz w:val="16"/>
              </w:rPr>
              <w:t>3.40</w:t>
            </w:r>
          </w:p>
        </w:tc>
        <w:tc>
          <w:tcPr>
            <w:tcW w:w="992" w:type="dxa"/>
            <w:tcBorders>
              <w:top w:val="nil"/>
              <w:left w:val="nil"/>
              <w:bottom w:val="nil"/>
              <w:right w:val="single" w:sz="4" w:space="0" w:color="auto"/>
            </w:tcBorders>
            <w:shd w:val="clear" w:color="auto" w:fill="auto"/>
            <w:noWrap/>
            <w:vAlign w:val="bottom"/>
            <w:hideMark/>
          </w:tcPr>
          <w:p w14:paraId="25F8E6FD" w14:textId="77777777" w:rsidR="0004557C" w:rsidRPr="00011948" w:rsidRDefault="0004557C" w:rsidP="005C7955">
            <w:pPr>
              <w:keepNext/>
              <w:keepLines/>
              <w:suppressAutoHyphens/>
              <w:spacing w:line="240" w:lineRule="atLeast"/>
              <w:jc w:val="center"/>
              <w:rPr>
                <w:sz w:val="16"/>
              </w:rPr>
            </w:pPr>
            <w:r w:rsidRPr="00011948">
              <w:rPr>
                <w:sz w:val="16"/>
              </w:rPr>
              <w:t>1.37</w:t>
            </w:r>
          </w:p>
        </w:tc>
        <w:tc>
          <w:tcPr>
            <w:tcW w:w="851" w:type="dxa"/>
            <w:tcBorders>
              <w:top w:val="nil"/>
              <w:left w:val="nil"/>
              <w:bottom w:val="nil"/>
              <w:right w:val="single" w:sz="4" w:space="0" w:color="auto"/>
            </w:tcBorders>
            <w:shd w:val="clear" w:color="auto" w:fill="auto"/>
            <w:noWrap/>
            <w:vAlign w:val="bottom"/>
            <w:hideMark/>
          </w:tcPr>
          <w:p w14:paraId="58C23FC4" w14:textId="77777777" w:rsidR="0004557C" w:rsidRPr="00011948" w:rsidRDefault="0004557C" w:rsidP="005C7955">
            <w:pPr>
              <w:keepNext/>
              <w:keepLines/>
              <w:suppressAutoHyphens/>
              <w:spacing w:line="240" w:lineRule="atLeast"/>
              <w:jc w:val="center"/>
              <w:rPr>
                <w:sz w:val="16"/>
              </w:rPr>
            </w:pPr>
            <w:r w:rsidRPr="00011948">
              <w:rPr>
                <w:sz w:val="16"/>
              </w:rPr>
              <w:t>8.65</w:t>
            </w:r>
          </w:p>
        </w:tc>
        <w:tc>
          <w:tcPr>
            <w:tcW w:w="850" w:type="dxa"/>
            <w:tcBorders>
              <w:top w:val="nil"/>
              <w:left w:val="nil"/>
              <w:bottom w:val="nil"/>
              <w:right w:val="double" w:sz="6" w:space="0" w:color="auto"/>
            </w:tcBorders>
            <w:shd w:val="clear" w:color="auto" w:fill="auto"/>
            <w:noWrap/>
            <w:vAlign w:val="bottom"/>
            <w:hideMark/>
          </w:tcPr>
          <w:p w14:paraId="2F152376" w14:textId="77777777" w:rsidR="0004557C" w:rsidRPr="00011948" w:rsidRDefault="0004557C" w:rsidP="005C7955">
            <w:pPr>
              <w:keepNext/>
              <w:keepLines/>
              <w:suppressAutoHyphens/>
              <w:spacing w:line="240" w:lineRule="atLeast"/>
              <w:jc w:val="center"/>
              <w:rPr>
                <w:sz w:val="16"/>
              </w:rPr>
            </w:pPr>
            <w:r w:rsidRPr="00011948">
              <w:rPr>
                <w:sz w:val="16"/>
              </w:rPr>
              <w:t>0.38</w:t>
            </w:r>
          </w:p>
        </w:tc>
      </w:tr>
      <w:tr w:rsidR="0004557C" w:rsidRPr="00011948" w14:paraId="41CCA11D" w14:textId="77777777" w:rsidTr="00887829">
        <w:trPr>
          <w:trHeight w:val="240"/>
        </w:trPr>
        <w:tc>
          <w:tcPr>
            <w:tcW w:w="1984" w:type="dxa"/>
            <w:tcBorders>
              <w:top w:val="nil"/>
              <w:left w:val="double" w:sz="6" w:space="0" w:color="auto"/>
              <w:bottom w:val="nil"/>
              <w:right w:val="single" w:sz="4" w:space="0" w:color="auto"/>
            </w:tcBorders>
            <w:shd w:val="clear" w:color="auto" w:fill="auto"/>
            <w:noWrap/>
            <w:vAlign w:val="bottom"/>
            <w:hideMark/>
          </w:tcPr>
          <w:p w14:paraId="2B8BA3B0" w14:textId="77777777" w:rsidR="0004557C" w:rsidRPr="00011948" w:rsidRDefault="0004557C" w:rsidP="005C7955">
            <w:pPr>
              <w:keepNext/>
              <w:keepLines/>
              <w:suppressAutoHyphens/>
              <w:spacing w:line="240" w:lineRule="atLeast"/>
              <w:rPr>
                <w:sz w:val="16"/>
              </w:rPr>
            </w:pPr>
            <w:r w:rsidRPr="00011948">
              <w:rPr>
                <w:sz w:val="16"/>
              </w:rPr>
              <w:t>coronene</w:t>
            </w:r>
          </w:p>
        </w:tc>
        <w:tc>
          <w:tcPr>
            <w:tcW w:w="1158" w:type="dxa"/>
            <w:tcBorders>
              <w:top w:val="nil"/>
              <w:left w:val="nil"/>
              <w:bottom w:val="nil"/>
              <w:right w:val="single" w:sz="4" w:space="0" w:color="auto"/>
            </w:tcBorders>
            <w:shd w:val="clear" w:color="auto" w:fill="auto"/>
            <w:noWrap/>
            <w:vAlign w:val="bottom"/>
            <w:hideMark/>
          </w:tcPr>
          <w:p w14:paraId="271363E4" w14:textId="77777777" w:rsidR="0004557C" w:rsidRPr="00011948" w:rsidRDefault="0004557C" w:rsidP="005C7955">
            <w:pPr>
              <w:keepNext/>
              <w:keepLines/>
              <w:suppressAutoHyphens/>
              <w:spacing w:line="240" w:lineRule="atLeast"/>
              <w:jc w:val="center"/>
              <w:rPr>
                <w:sz w:val="16"/>
              </w:rPr>
            </w:pPr>
            <w:r w:rsidRPr="00011948">
              <w:rPr>
                <w:sz w:val="16"/>
              </w:rPr>
              <w:t>0.90</w:t>
            </w:r>
          </w:p>
        </w:tc>
        <w:tc>
          <w:tcPr>
            <w:tcW w:w="1134" w:type="dxa"/>
            <w:tcBorders>
              <w:top w:val="nil"/>
              <w:left w:val="nil"/>
              <w:bottom w:val="nil"/>
              <w:right w:val="single" w:sz="4" w:space="0" w:color="auto"/>
            </w:tcBorders>
            <w:shd w:val="clear" w:color="auto" w:fill="auto"/>
            <w:noWrap/>
            <w:vAlign w:val="bottom"/>
            <w:hideMark/>
          </w:tcPr>
          <w:p w14:paraId="2DEBEA36" w14:textId="77777777" w:rsidR="0004557C" w:rsidRPr="00011948" w:rsidRDefault="0004557C" w:rsidP="005C7955">
            <w:pPr>
              <w:keepNext/>
              <w:keepLines/>
              <w:suppressAutoHyphens/>
              <w:spacing w:line="240" w:lineRule="atLeast"/>
              <w:jc w:val="center"/>
              <w:rPr>
                <w:sz w:val="16"/>
              </w:rPr>
            </w:pPr>
            <w:r w:rsidRPr="00011948">
              <w:rPr>
                <w:sz w:val="16"/>
              </w:rPr>
              <w:t>0.05</w:t>
            </w:r>
          </w:p>
        </w:tc>
        <w:tc>
          <w:tcPr>
            <w:tcW w:w="992" w:type="dxa"/>
            <w:tcBorders>
              <w:top w:val="nil"/>
              <w:left w:val="nil"/>
              <w:bottom w:val="nil"/>
              <w:right w:val="nil"/>
            </w:tcBorders>
            <w:shd w:val="clear" w:color="auto" w:fill="auto"/>
            <w:noWrap/>
            <w:vAlign w:val="bottom"/>
            <w:hideMark/>
          </w:tcPr>
          <w:p w14:paraId="4E84DEED" w14:textId="77777777" w:rsidR="0004557C" w:rsidRPr="00011948" w:rsidRDefault="0004557C" w:rsidP="005C7955">
            <w:pPr>
              <w:keepNext/>
              <w:keepLines/>
              <w:suppressAutoHyphens/>
              <w:spacing w:line="240" w:lineRule="atLeast"/>
              <w:jc w:val="center"/>
              <w:rPr>
                <w:sz w:val="16"/>
              </w:rPr>
            </w:pPr>
            <w:r w:rsidRPr="00011948">
              <w:rPr>
                <w:sz w:val="16"/>
              </w:rPr>
              <w:t>0.06</w:t>
            </w:r>
          </w:p>
        </w:tc>
        <w:tc>
          <w:tcPr>
            <w:tcW w:w="992" w:type="dxa"/>
            <w:tcBorders>
              <w:top w:val="nil"/>
              <w:left w:val="nil"/>
              <w:bottom w:val="nil"/>
              <w:right w:val="single" w:sz="4" w:space="0" w:color="auto"/>
            </w:tcBorders>
            <w:shd w:val="clear" w:color="auto" w:fill="auto"/>
            <w:noWrap/>
            <w:vAlign w:val="bottom"/>
            <w:hideMark/>
          </w:tcPr>
          <w:p w14:paraId="5A69049C" w14:textId="77777777" w:rsidR="0004557C" w:rsidRPr="00011948" w:rsidRDefault="0004557C" w:rsidP="005C7955">
            <w:pPr>
              <w:keepNext/>
              <w:keepLines/>
              <w:suppressAutoHyphens/>
              <w:spacing w:line="240" w:lineRule="atLeast"/>
              <w:jc w:val="center"/>
              <w:rPr>
                <w:sz w:val="16"/>
              </w:rPr>
            </w:pPr>
            <w:r w:rsidRPr="00011948">
              <w:rPr>
                <w:sz w:val="16"/>
              </w:rPr>
              <w:t>0.05</w:t>
            </w:r>
          </w:p>
        </w:tc>
        <w:tc>
          <w:tcPr>
            <w:tcW w:w="851" w:type="dxa"/>
            <w:tcBorders>
              <w:top w:val="nil"/>
              <w:left w:val="nil"/>
              <w:bottom w:val="nil"/>
              <w:right w:val="single" w:sz="4" w:space="0" w:color="auto"/>
            </w:tcBorders>
            <w:shd w:val="clear" w:color="auto" w:fill="auto"/>
            <w:noWrap/>
            <w:vAlign w:val="bottom"/>
            <w:hideMark/>
          </w:tcPr>
          <w:p w14:paraId="09E2BEB3" w14:textId="77777777" w:rsidR="0004557C" w:rsidRPr="00011948" w:rsidRDefault="0004557C" w:rsidP="005C7955">
            <w:pPr>
              <w:keepNext/>
              <w:keepLines/>
              <w:suppressAutoHyphens/>
              <w:spacing w:line="240" w:lineRule="atLeast"/>
              <w:jc w:val="center"/>
              <w:rPr>
                <w:sz w:val="16"/>
              </w:rPr>
            </w:pPr>
            <w:r w:rsidRPr="00011948">
              <w:rPr>
                <w:sz w:val="16"/>
              </w:rPr>
              <w:t>0.15</w:t>
            </w:r>
          </w:p>
        </w:tc>
        <w:tc>
          <w:tcPr>
            <w:tcW w:w="850" w:type="dxa"/>
            <w:tcBorders>
              <w:top w:val="nil"/>
              <w:left w:val="nil"/>
              <w:bottom w:val="nil"/>
              <w:right w:val="double" w:sz="6" w:space="0" w:color="auto"/>
            </w:tcBorders>
            <w:shd w:val="clear" w:color="auto" w:fill="auto"/>
            <w:noWrap/>
            <w:vAlign w:val="bottom"/>
            <w:hideMark/>
          </w:tcPr>
          <w:p w14:paraId="5ABA8D53" w14:textId="77777777" w:rsidR="0004557C" w:rsidRPr="00011948" w:rsidRDefault="0004557C" w:rsidP="005C7955">
            <w:pPr>
              <w:keepNext/>
              <w:keepLines/>
              <w:suppressAutoHyphens/>
              <w:spacing w:line="240" w:lineRule="atLeast"/>
              <w:jc w:val="center"/>
              <w:rPr>
                <w:sz w:val="16"/>
              </w:rPr>
            </w:pPr>
          </w:p>
        </w:tc>
      </w:tr>
      <w:tr w:rsidR="0004557C" w:rsidRPr="00011948" w14:paraId="6FAAA12B" w14:textId="77777777" w:rsidTr="00887829">
        <w:trPr>
          <w:trHeight w:val="240"/>
        </w:trPr>
        <w:tc>
          <w:tcPr>
            <w:tcW w:w="1984" w:type="dxa"/>
            <w:tcBorders>
              <w:top w:val="nil"/>
              <w:left w:val="double" w:sz="6" w:space="0" w:color="auto"/>
              <w:bottom w:val="double" w:sz="6" w:space="0" w:color="auto"/>
              <w:right w:val="single" w:sz="4" w:space="0" w:color="auto"/>
            </w:tcBorders>
            <w:shd w:val="clear" w:color="auto" w:fill="auto"/>
            <w:noWrap/>
            <w:vAlign w:val="bottom"/>
            <w:hideMark/>
          </w:tcPr>
          <w:p w14:paraId="624DA7F4" w14:textId="77777777" w:rsidR="0004557C" w:rsidRPr="00011948" w:rsidRDefault="0004557C" w:rsidP="005C7955">
            <w:pPr>
              <w:keepNext/>
              <w:keepLines/>
              <w:suppressAutoHyphens/>
              <w:spacing w:line="240" w:lineRule="atLeast"/>
              <w:rPr>
                <w:sz w:val="16"/>
              </w:rPr>
            </w:pPr>
            <w:r w:rsidRPr="00011948">
              <w:rPr>
                <w:sz w:val="16"/>
              </w:rPr>
              <w:t>dibenzo(ah)anthracene</w:t>
            </w:r>
          </w:p>
        </w:tc>
        <w:tc>
          <w:tcPr>
            <w:tcW w:w="1158" w:type="dxa"/>
            <w:tcBorders>
              <w:top w:val="nil"/>
              <w:left w:val="nil"/>
              <w:bottom w:val="double" w:sz="6" w:space="0" w:color="auto"/>
              <w:right w:val="single" w:sz="4" w:space="0" w:color="auto"/>
            </w:tcBorders>
            <w:shd w:val="clear" w:color="auto" w:fill="auto"/>
            <w:noWrap/>
            <w:vAlign w:val="bottom"/>
            <w:hideMark/>
          </w:tcPr>
          <w:p w14:paraId="58313459" w14:textId="77777777" w:rsidR="0004557C" w:rsidRPr="00011948" w:rsidRDefault="0004557C" w:rsidP="005C7955">
            <w:pPr>
              <w:keepNext/>
              <w:keepLines/>
              <w:suppressAutoHyphens/>
              <w:spacing w:line="240" w:lineRule="atLeast"/>
              <w:jc w:val="center"/>
              <w:rPr>
                <w:sz w:val="16"/>
              </w:rPr>
            </w:pPr>
            <w:r w:rsidRPr="00011948">
              <w:rPr>
                <w:sz w:val="16"/>
              </w:rPr>
              <w:t>0.01</w:t>
            </w:r>
          </w:p>
        </w:tc>
        <w:tc>
          <w:tcPr>
            <w:tcW w:w="1134" w:type="dxa"/>
            <w:tcBorders>
              <w:top w:val="nil"/>
              <w:left w:val="nil"/>
              <w:bottom w:val="double" w:sz="6" w:space="0" w:color="auto"/>
              <w:right w:val="single" w:sz="4" w:space="0" w:color="auto"/>
            </w:tcBorders>
            <w:shd w:val="clear" w:color="auto" w:fill="auto"/>
            <w:noWrap/>
            <w:vAlign w:val="bottom"/>
            <w:hideMark/>
          </w:tcPr>
          <w:p w14:paraId="72B22C12" w14:textId="77777777" w:rsidR="0004557C" w:rsidRPr="00011948" w:rsidRDefault="0004557C" w:rsidP="005C7955">
            <w:pPr>
              <w:keepNext/>
              <w:keepLines/>
              <w:suppressAutoHyphens/>
              <w:spacing w:line="240" w:lineRule="atLeast"/>
              <w:jc w:val="center"/>
              <w:rPr>
                <w:sz w:val="16"/>
              </w:rPr>
            </w:pPr>
            <w:r w:rsidRPr="00011948">
              <w:rPr>
                <w:sz w:val="16"/>
              </w:rPr>
              <w:t>0.03</w:t>
            </w:r>
          </w:p>
        </w:tc>
        <w:tc>
          <w:tcPr>
            <w:tcW w:w="992" w:type="dxa"/>
            <w:tcBorders>
              <w:top w:val="nil"/>
              <w:left w:val="nil"/>
              <w:bottom w:val="double" w:sz="6" w:space="0" w:color="auto"/>
              <w:right w:val="nil"/>
            </w:tcBorders>
            <w:shd w:val="clear" w:color="auto" w:fill="auto"/>
            <w:noWrap/>
            <w:vAlign w:val="bottom"/>
            <w:hideMark/>
          </w:tcPr>
          <w:p w14:paraId="3851A467" w14:textId="77777777" w:rsidR="0004557C" w:rsidRPr="00011948" w:rsidRDefault="0004557C" w:rsidP="005C7955">
            <w:pPr>
              <w:keepNext/>
              <w:keepLines/>
              <w:suppressAutoHyphens/>
              <w:spacing w:line="240" w:lineRule="atLeast"/>
              <w:jc w:val="center"/>
              <w:rPr>
                <w:sz w:val="16"/>
              </w:rPr>
            </w:pPr>
            <w:r w:rsidRPr="00011948">
              <w:rPr>
                <w:sz w:val="16"/>
              </w:rPr>
              <w:t>0.24</w:t>
            </w:r>
          </w:p>
        </w:tc>
        <w:tc>
          <w:tcPr>
            <w:tcW w:w="992" w:type="dxa"/>
            <w:tcBorders>
              <w:top w:val="nil"/>
              <w:left w:val="nil"/>
              <w:bottom w:val="double" w:sz="6" w:space="0" w:color="auto"/>
              <w:right w:val="single" w:sz="4" w:space="0" w:color="auto"/>
            </w:tcBorders>
            <w:shd w:val="clear" w:color="auto" w:fill="auto"/>
            <w:noWrap/>
            <w:vAlign w:val="bottom"/>
            <w:hideMark/>
          </w:tcPr>
          <w:p w14:paraId="2F1CD29E" w14:textId="77777777" w:rsidR="0004557C" w:rsidRPr="00011948" w:rsidRDefault="0004557C" w:rsidP="005C7955">
            <w:pPr>
              <w:keepNext/>
              <w:keepLines/>
              <w:suppressAutoHyphens/>
              <w:spacing w:line="240" w:lineRule="atLeast"/>
              <w:jc w:val="center"/>
              <w:rPr>
                <w:sz w:val="16"/>
              </w:rPr>
            </w:pPr>
            <w:r w:rsidRPr="00011948">
              <w:rPr>
                <w:sz w:val="16"/>
              </w:rPr>
              <w:t>0.56</w:t>
            </w:r>
          </w:p>
        </w:tc>
        <w:tc>
          <w:tcPr>
            <w:tcW w:w="851" w:type="dxa"/>
            <w:tcBorders>
              <w:top w:val="nil"/>
              <w:left w:val="nil"/>
              <w:bottom w:val="double" w:sz="6" w:space="0" w:color="auto"/>
              <w:right w:val="single" w:sz="4" w:space="0" w:color="auto"/>
            </w:tcBorders>
            <w:shd w:val="clear" w:color="auto" w:fill="auto"/>
            <w:noWrap/>
            <w:vAlign w:val="bottom"/>
            <w:hideMark/>
          </w:tcPr>
          <w:p w14:paraId="7FC8D102" w14:textId="77777777" w:rsidR="0004557C" w:rsidRPr="00011948" w:rsidRDefault="0004557C" w:rsidP="005C7955">
            <w:pPr>
              <w:keepNext/>
              <w:keepLines/>
              <w:suppressAutoHyphens/>
              <w:spacing w:line="240" w:lineRule="atLeast"/>
              <w:jc w:val="center"/>
              <w:rPr>
                <w:sz w:val="16"/>
              </w:rPr>
            </w:pPr>
            <w:r w:rsidRPr="00011948">
              <w:rPr>
                <w:sz w:val="16"/>
              </w:rPr>
              <w:t>0.34</w:t>
            </w:r>
          </w:p>
        </w:tc>
        <w:tc>
          <w:tcPr>
            <w:tcW w:w="850" w:type="dxa"/>
            <w:tcBorders>
              <w:top w:val="nil"/>
              <w:left w:val="nil"/>
              <w:bottom w:val="double" w:sz="6" w:space="0" w:color="auto"/>
              <w:right w:val="double" w:sz="6" w:space="0" w:color="auto"/>
            </w:tcBorders>
            <w:shd w:val="clear" w:color="auto" w:fill="auto"/>
            <w:noWrap/>
            <w:vAlign w:val="bottom"/>
            <w:hideMark/>
          </w:tcPr>
          <w:p w14:paraId="56074338" w14:textId="77777777" w:rsidR="0004557C" w:rsidRPr="00011948" w:rsidRDefault="0004557C" w:rsidP="005C7955">
            <w:pPr>
              <w:keepNext/>
              <w:keepLines/>
              <w:suppressAutoHyphens/>
              <w:spacing w:line="240" w:lineRule="atLeast"/>
              <w:jc w:val="center"/>
              <w:rPr>
                <w:sz w:val="16"/>
              </w:rPr>
            </w:pPr>
          </w:p>
        </w:tc>
      </w:tr>
    </w:tbl>
    <w:p w14:paraId="7FF5E90D" w14:textId="715195C6" w:rsidR="0016010F" w:rsidRPr="000855B2" w:rsidRDefault="0016010F" w:rsidP="008D1A83">
      <w:pPr>
        <w:pStyle w:val="Caption"/>
      </w:pPr>
      <w:bookmarkStart w:id="263" w:name="_Ref400296859"/>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75</w:t>
      </w:r>
      <w:r w:rsidR="00FB454C">
        <w:rPr>
          <w:noProof/>
        </w:rPr>
        <w:fldChar w:fldCharType="end"/>
      </w:r>
      <w:bookmarkEnd w:id="263"/>
      <w:r w:rsidRPr="000855B2">
        <w:t>: PCDD, PCDF and PCB emission factors for passenger cars and light duty vehicles</w:t>
      </w:r>
    </w:p>
    <w:tbl>
      <w:tblPr>
        <w:tblW w:w="6639" w:type="dxa"/>
        <w:tblLook w:val="0000" w:firstRow="0" w:lastRow="0" w:firstColumn="0" w:lastColumn="0" w:noHBand="0" w:noVBand="0"/>
      </w:tblPr>
      <w:tblGrid>
        <w:gridCol w:w="1150"/>
        <w:gridCol w:w="1259"/>
        <w:gridCol w:w="1710"/>
        <w:gridCol w:w="1440"/>
        <w:gridCol w:w="1080"/>
      </w:tblGrid>
      <w:tr w:rsidR="0016010F" w:rsidRPr="000855B2" w14:paraId="2F5A28F1" w14:textId="77777777" w:rsidTr="00887829">
        <w:trPr>
          <w:cantSplit/>
          <w:trHeight w:val="615"/>
        </w:trPr>
        <w:tc>
          <w:tcPr>
            <w:tcW w:w="1150" w:type="dxa"/>
            <w:tcBorders>
              <w:top w:val="double" w:sz="6" w:space="0" w:color="000000"/>
              <w:left w:val="double" w:sz="6" w:space="0" w:color="000000"/>
              <w:bottom w:val="single" w:sz="12" w:space="0" w:color="auto"/>
              <w:right w:val="single" w:sz="4" w:space="0" w:color="auto"/>
            </w:tcBorders>
            <w:vAlign w:val="center"/>
          </w:tcPr>
          <w:p w14:paraId="17FA906F" w14:textId="77777777" w:rsidR="0016010F" w:rsidRPr="000855B2" w:rsidRDefault="0016010F"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lastRenderedPageBreak/>
              <w:t>Vehicle Category</w:t>
            </w:r>
          </w:p>
        </w:tc>
        <w:tc>
          <w:tcPr>
            <w:tcW w:w="1259" w:type="dxa"/>
            <w:tcBorders>
              <w:top w:val="double" w:sz="6" w:space="0" w:color="000000"/>
              <w:left w:val="single" w:sz="4" w:space="0" w:color="auto"/>
              <w:bottom w:val="single" w:sz="12" w:space="0" w:color="auto"/>
              <w:right w:val="single" w:sz="4" w:space="0" w:color="auto"/>
            </w:tcBorders>
            <w:vAlign w:val="center"/>
          </w:tcPr>
          <w:p w14:paraId="0283BDC8" w14:textId="77777777" w:rsidR="0016010F" w:rsidRPr="000855B2" w:rsidRDefault="0016010F"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Emission Standard</w:t>
            </w:r>
          </w:p>
        </w:tc>
        <w:tc>
          <w:tcPr>
            <w:tcW w:w="1710" w:type="dxa"/>
            <w:tcBorders>
              <w:top w:val="double" w:sz="6" w:space="0" w:color="000000"/>
              <w:left w:val="single" w:sz="4" w:space="0" w:color="auto"/>
              <w:bottom w:val="single" w:sz="12" w:space="0" w:color="auto"/>
              <w:right w:val="single" w:sz="4" w:space="0" w:color="auto"/>
            </w:tcBorders>
            <w:vAlign w:val="center"/>
          </w:tcPr>
          <w:p w14:paraId="131451C3" w14:textId="77777777" w:rsidR="0016010F" w:rsidRPr="000855B2" w:rsidRDefault="0016010F"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PCDD</w:t>
            </w:r>
          </w:p>
          <w:p w14:paraId="0D9170D9" w14:textId="77777777" w:rsidR="0016010F" w:rsidRPr="000855B2" w:rsidRDefault="0016010F"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440" w:type="dxa"/>
            <w:tcBorders>
              <w:top w:val="double" w:sz="6" w:space="0" w:color="000000"/>
              <w:left w:val="single" w:sz="4" w:space="0" w:color="auto"/>
              <w:bottom w:val="single" w:sz="12" w:space="0" w:color="auto"/>
              <w:right w:val="single" w:sz="4" w:space="0" w:color="auto"/>
            </w:tcBorders>
            <w:vAlign w:val="center"/>
          </w:tcPr>
          <w:p w14:paraId="1FA2F87F" w14:textId="77777777" w:rsidR="0016010F" w:rsidRPr="000855B2" w:rsidRDefault="0016010F"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PCDF</w:t>
            </w:r>
          </w:p>
          <w:p w14:paraId="4A23D470" w14:textId="77777777" w:rsidR="0016010F" w:rsidRPr="000855B2" w:rsidRDefault="0016010F"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080" w:type="dxa"/>
            <w:tcBorders>
              <w:top w:val="double" w:sz="6" w:space="0" w:color="000000"/>
              <w:left w:val="single" w:sz="4" w:space="0" w:color="auto"/>
              <w:right w:val="double" w:sz="6" w:space="0" w:color="000000"/>
            </w:tcBorders>
            <w:vAlign w:val="center"/>
          </w:tcPr>
          <w:p w14:paraId="5B999E48" w14:textId="77777777" w:rsidR="0016010F" w:rsidRPr="000855B2" w:rsidRDefault="0016010F"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PCB [pg/km]</w:t>
            </w:r>
          </w:p>
        </w:tc>
      </w:tr>
      <w:tr w:rsidR="0016010F" w:rsidRPr="000855B2" w14:paraId="69B231F0" w14:textId="77777777" w:rsidTr="00887829">
        <w:trPr>
          <w:cantSplit/>
          <w:trHeight w:val="255"/>
        </w:trPr>
        <w:tc>
          <w:tcPr>
            <w:tcW w:w="1150" w:type="dxa"/>
            <w:vMerge w:val="restart"/>
            <w:tcBorders>
              <w:top w:val="single" w:sz="12" w:space="0" w:color="auto"/>
              <w:left w:val="double" w:sz="6" w:space="0" w:color="000000"/>
              <w:right w:val="single" w:sz="4" w:space="0" w:color="auto"/>
            </w:tcBorders>
            <w:vAlign w:val="center"/>
          </w:tcPr>
          <w:p w14:paraId="30E177E6" w14:textId="77777777" w:rsidR="0016010F"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6010F" w:rsidRPr="000855B2">
              <w:rPr>
                <w:sz w:val="16"/>
                <w:szCs w:val="16"/>
                <w:lang w:val="en-GB" w:eastAsia="el-GR"/>
              </w:rPr>
              <w:t xml:space="preserve"> PCs</w:t>
            </w:r>
          </w:p>
        </w:tc>
        <w:tc>
          <w:tcPr>
            <w:tcW w:w="1259" w:type="dxa"/>
            <w:tcBorders>
              <w:top w:val="single" w:sz="12" w:space="0" w:color="auto"/>
              <w:left w:val="nil"/>
              <w:bottom w:val="single" w:sz="4" w:space="0" w:color="auto"/>
              <w:right w:val="single" w:sz="4" w:space="0" w:color="auto"/>
            </w:tcBorders>
            <w:noWrap/>
            <w:vAlign w:val="center"/>
          </w:tcPr>
          <w:p w14:paraId="54C17DEE"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single" w:sz="12" w:space="0" w:color="auto"/>
              <w:left w:val="nil"/>
              <w:bottom w:val="single" w:sz="4" w:space="0" w:color="auto"/>
              <w:right w:val="single" w:sz="4" w:space="0" w:color="auto"/>
            </w:tcBorders>
            <w:noWrap/>
            <w:vAlign w:val="center"/>
          </w:tcPr>
          <w:p w14:paraId="1E090953"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440" w:type="dxa"/>
            <w:tcBorders>
              <w:top w:val="single" w:sz="12" w:space="0" w:color="auto"/>
              <w:left w:val="nil"/>
              <w:bottom w:val="single" w:sz="4" w:space="0" w:color="auto"/>
              <w:right w:val="single" w:sz="4" w:space="0" w:color="auto"/>
            </w:tcBorders>
            <w:noWrap/>
            <w:vAlign w:val="center"/>
          </w:tcPr>
          <w:p w14:paraId="5BB7844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single" w:sz="12" w:space="0" w:color="auto"/>
              <w:left w:val="nil"/>
              <w:bottom w:val="single" w:sz="4" w:space="0" w:color="auto"/>
              <w:right w:val="double" w:sz="6" w:space="0" w:color="000000"/>
            </w:tcBorders>
            <w:vAlign w:val="center"/>
          </w:tcPr>
          <w:p w14:paraId="2A5A6A71"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598BA513" w14:textId="77777777" w:rsidTr="00887829">
        <w:trPr>
          <w:cantSplit/>
          <w:trHeight w:val="255"/>
        </w:trPr>
        <w:tc>
          <w:tcPr>
            <w:tcW w:w="1150" w:type="dxa"/>
            <w:vMerge/>
            <w:tcBorders>
              <w:left w:val="double" w:sz="6" w:space="0" w:color="000000"/>
              <w:right w:val="single" w:sz="4" w:space="0" w:color="auto"/>
            </w:tcBorders>
            <w:vAlign w:val="center"/>
          </w:tcPr>
          <w:p w14:paraId="7432A990"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569FF04C"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nil"/>
              <w:bottom w:val="single" w:sz="4" w:space="0" w:color="auto"/>
              <w:right w:val="single" w:sz="4" w:space="0" w:color="auto"/>
            </w:tcBorders>
            <w:noWrap/>
            <w:vAlign w:val="center"/>
          </w:tcPr>
          <w:p w14:paraId="50D27E8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364D08F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445DB23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6ACD2A38" w14:textId="77777777" w:rsidTr="00887829">
        <w:trPr>
          <w:cantSplit/>
          <w:trHeight w:val="255"/>
        </w:trPr>
        <w:tc>
          <w:tcPr>
            <w:tcW w:w="1150" w:type="dxa"/>
            <w:vMerge/>
            <w:tcBorders>
              <w:left w:val="double" w:sz="6" w:space="0" w:color="000000"/>
              <w:right w:val="single" w:sz="4" w:space="0" w:color="auto"/>
            </w:tcBorders>
            <w:vAlign w:val="center"/>
          </w:tcPr>
          <w:p w14:paraId="5D48BEB7"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AC95323"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nil"/>
              <w:bottom w:val="single" w:sz="4" w:space="0" w:color="auto"/>
              <w:right w:val="single" w:sz="4" w:space="0" w:color="auto"/>
            </w:tcBorders>
            <w:noWrap/>
            <w:vAlign w:val="center"/>
          </w:tcPr>
          <w:p w14:paraId="28874BB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696FA74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7B724BA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12064F15" w14:textId="77777777" w:rsidTr="00887829">
        <w:trPr>
          <w:cantSplit/>
          <w:trHeight w:val="255"/>
        </w:trPr>
        <w:tc>
          <w:tcPr>
            <w:tcW w:w="1150" w:type="dxa"/>
            <w:vMerge/>
            <w:tcBorders>
              <w:left w:val="double" w:sz="6" w:space="0" w:color="000000"/>
              <w:right w:val="single" w:sz="4" w:space="0" w:color="auto"/>
            </w:tcBorders>
            <w:vAlign w:val="center"/>
          </w:tcPr>
          <w:p w14:paraId="5BD99D8E"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67E2A20"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nil"/>
              <w:bottom w:val="single" w:sz="4" w:space="0" w:color="auto"/>
              <w:right w:val="single" w:sz="4" w:space="0" w:color="auto"/>
            </w:tcBorders>
            <w:noWrap/>
            <w:vAlign w:val="center"/>
          </w:tcPr>
          <w:p w14:paraId="7122E9C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636FADE4"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4E6EF6F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52A27171" w14:textId="77777777" w:rsidTr="00887829">
        <w:trPr>
          <w:cantSplit/>
          <w:trHeight w:val="255"/>
        </w:trPr>
        <w:tc>
          <w:tcPr>
            <w:tcW w:w="1150" w:type="dxa"/>
            <w:vMerge/>
            <w:tcBorders>
              <w:left w:val="double" w:sz="6" w:space="0" w:color="000000"/>
              <w:right w:val="single" w:sz="4" w:space="0" w:color="auto"/>
            </w:tcBorders>
            <w:vAlign w:val="center"/>
          </w:tcPr>
          <w:p w14:paraId="1714A62F"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0E380C7A"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nil"/>
              <w:bottom w:val="single" w:sz="4" w:space="0" w:color="auto"/>
              <w:right w:val="single" w:sz="4" w:space="0" w:color="auto"/>
            </w:tcBorders>
            <w:noWrap/>
            <w:vAlign w:val="center"/>
          </w:tcPr>
          <w:p w14:paraId="17436F0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110716B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57FE522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6B55588D" w14:textId="77777777" w:rsidTr="00887829">
        <w:trPr>
          <w:cantSplit/>
          <w:trHeight w:val="255"/>
        </w:trPr>
        <w:tc>
          <w:tcPr>
            <w:tcW w:w="1150" w:type="dxa"/>
            <w:vMerge/>
            <w:tcBorders>
              <w:left w:val="double" w:sz="6" w:space="0" w:color="000000"/>
              <w:right w:val="single" w:sz="4" w:space="0" w:color="auto"/>
            </w:tcBorders>
            <w:vAlign w:val="center"/>
          </w:tcPr>
          <w:p w14:paraId="3CE6DCA2"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7FAB11DB"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nil"/>
              <w:bottom w:val="single" w:sz="4" w:space="0" w:color="auto"/>
              <w:right w:val="single" w:sz="4" w:space="0" w:color="auto"/>
            </w:tcBorders>
            <w:noWrap/>
            <w:vAlign w:val="center"/>
          </w:tcPr>
          <w:p w14:paraId="60D90B0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0189BB6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1BE640E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1954A322" w14:textId="77777777" w:rsidTr="00887829">
        <w:trPr>
          <w:cantSplit/>
          <w:trHeight w:val="255"/>
        </w:trPr>
        <w:tc>
          <w:tcPr>
            <w:tcW w:w="1150" w:type="dxa"/>
            <w:vMerge w:val="restart"/>
            <w:tcBorders>
              <w:top w:val="single" w:sz="4" w:space="0" w:color="auto"/>
              <w:left w:val="double" w:sz="6" w:space="0" w:color="000000"/>
              <w:right w:val="single" w:sz="4" w:space="0" w:color="auto"/>
            </w:tcBorders>
            <w:vAlign w:val="center"/>
          </w:tcPr>
          <w:p w14:paraId="4433151E"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Diesel PCs</w:t>
            </w:r>
          </w:p>
        </w:tc>
        <w:tc>
          <w:tcPr>
            <w:tcW w:w="1259" w:type="dxa"/>
            <w:tcBorders>
              <w:top w:val="nil"/>
              <w:left w:val="nil"/>
              <w:bottom w:val="single" w:sz="4" w:space="0" w:color="auto"/>
              <w:right w:val="single" w:sz="4" w:space="0" w:color="auto"/>
            </w:tcBorders>
            <w:noWrap/>
            <w:vAlign w:val="center"/>
          </w:tcPr>
          <w:p w14:paraId="76BDF3BD"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nil"/>
              <w:left w:val="nil"/>
              <w:bottom w:val="single" w:sz="4" w:space="0" w:color="auto"/>
              <w:right w:val="single" w:sz="4" w:space="0" w:color="auto"/>
            </w:tcBorders>
            <w:noWrap/>
            <w:vAlign w:val="center"/>
          </w:tcPr>
          <w:p w14:paraId="703CA3A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0.5</w:t>
            </w:r>
          </w:p>
        </w:tc>
        <w:tc>
          <w:tcPr>
            <w:tcW w:w="1440" w:type="dxa"/>
            <w:tcBorders>
              <w:top w:val="nil"/>
              <w:left w:val="nil"/>
              <w:bottom w:val="single" w:sz="4" w:space="0" w:color="auto"/>
              <w:right w:val="single" w:sz="4" w:space="0" w:color="auto"/>
            </w:tcBorders>
            <w:noWrap/>
            <w:vAlign w:val="center"/>
          </w:tcPr>
          <w:p w14:paraId="6160142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1.00</w:t>
            </w:r>
          </w:p>
        </w:tc>
        <w:tc>
          <w:tcPr>
            <w:tcW w:w="1080" w:type="dxa"/>
            <w:tcBorders>
              <w:top w:val="nil"/>
              <w:left w:val="nil"/>
              <w:bottom w:val="single" w:sz="4" w:space="0" w:color="auto"/>
              <w:right w:val="double" w:sz="6" w:space="0" w:color="000000"/>
            </w:tcBorders>
            <w:vAlign w:val="center"/>
          </w:tcPr>
          <w:p w14:paraId="3DF273E3"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1.5</w:t>
            </w:r>
          </w:p>
        </w:tc>
      </w:tr>
      <w:tr w:rsidR="0016010F" w:rsidRPr="000855B2" w14:paraId="03988821" w14:textId="77777777" w:rsidTr="00887829">
        <w:trPr>
          <w:cantSplit/>
          <w:trHeight w:val="255"/>
        </w:trPr>
        <w:tc>
          <w:tcPr>
            <w:tcW w:w="1150" w:type="dxa"/>
            <w:vMerge/>
            <w:tcBorders>
              <w:left w:val="double" w:sz="6" w:space="0" w:color="000000"/>
              <w:right w:val="single" w:sz="4" w:space="0" w:color="auto"/>
            </w:tcBorders>
            <w:vAlign w:val="center"/>
          </w:tcPr>
          <w:p w14:paraId="5F0316C2"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148CEE4A"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nil"/>
              <w:bottom w:val="single" w:sz="4" w:space="0" w:color="auto"/>
              <w:right w:val="single" w:sz="4" w:space="0" w:color="auto"/>
            </w:tcBorders>
            <w:noWrap/>
            <w:vAlign w:val="center"/>
          </w:tcPr>
          <w:p w14:paraId="7D9E503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3D793FA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6F8CB213"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46C5FFEF" w14:textId="77777777" w:rsidTr="00887829">
        <w:trPr>
          <w:cantSplit/>
          <w:trHeight w:val="255"/>
        </w:trPr>
        <w:tc>
          <w:tcPr>
            <w:tcW w:w="1150" w:type="dxa"/>
            <w:vMerge/>
            <w:tcBorders>
              <w:left w:val="double" w:sz="6" w:space="0" w:color="000000"/>
              <w:right w:val="single" w:sz="4" w:space="0" w:color="auto"/>
            </w:tcBorders>
            <w:vAlign w:val="center"/>
          </w:tcPr>
          <w:p w14:paraId="0DAB0BF8"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75F6E27C"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nil"/>
              <w:bottom w:val="single" w:sz="4" w:space="0" w:color="auto"/>
              <w:right w:val="single" w:sz="4" w:space="0" w:color="auto"/>
            </w:tcBorders>
            <w:noWrap/>
            <w:vAlign w:val="center"/>
          </w:tcPr>
          <w:p w14:paraId="1B5BB47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282832F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29373A5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1827B601" w14:textId="77777777" w:rsidTr="00887829">
        <w:trPr>
          <w:cantSplit/>
          <w:trHeight w:val="255"/>
        </w:trPr>
        <w:tc>
          <w:tcPr>
            <w:tcW w:w="1150" w:type="dxa"/>
            <w:vMerge/>
            <w:tcBorders>
              <w:left w:val="double" w:sz="6" w:space="0" w:color="000000"/>
              <w:right w:val="single" w:sz="4" w:space="0" w:color="auto"/>
            </w:tcBorders>
            <w:vAlign w:val="center"/>
          </w:tcPr>
          <w:p w14:paraId="34F855FB"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36075613"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nil"/>
              <w:bottom w:val="single" w:sz="4" w:space="0" w:color="auto"/>
              <w:right w:val="single" w:sz="4" w:space="0" w:color="auto"/>
            </w:tcBorders>
            <w:noWrap/>
            <w:vAlign w:val="center"/>
          </w:tcPr>
          <w:p w14:paraId="527DF33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44E8566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20487E73"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6D19E111" w14:textId="77777777" w:rsidTr="00887829">
        <w:trPr>
          <w:cantSplit/>
          <w:trHeight w:val="255"/>
        </w:trPr>
        <w:tc>
          <w:tcPr>
            <w:tcW w:w="1150" w:type="dxa"/>
            <w:vMerge/>
            <w:tcBorders>
              <w:left w:val="double" w:sz="6" w:space="0" w:color="000000"/>
              <w:right w:val="single" w:sz="4" w:space="0" w:color="auto"/>
            </w:tcBorders>
            <w:vAlign w:val="center"/>
          </w:tcPr>
          <w:p w14:paraId="467E0EFE"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6D11FCD0"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nil"/>
              <w:bottom w:val="single" w:sz="4" w:space="0" w:color="auto"/>
              <w:right w:val="single" w:sz="4" w:space="0" w:color="auto"/>
            </w:tcBorders>
            <w:noWrap/>
            <w:vAlign w:val="center"/>
          </w:tcPr>
          <w:p w14:paraId="661CAFE5"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7594D99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6A6CDAF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72AA8C1A" w14:textId="77777777" w:rsidTr="00887829">
        <w:trPr>
          <w:cantSplit/>
          <w:trHeight w:val="255"/>
        </w:trPr>
        <w:tc>
          <w:tcPr>
            <w:tcW w:w="1150" w:type="dxa"/>
            <w:vMerge/>
            <w:tcBorders>
              <w:left w:val="double" w:sz="6" w:space="0" w:color="000000"/>
              <w:bottom w:val="single" w:sz="4" w:space="0" w:color="auto"/>
              <w:right w:val="single" w:sz="4" w:space="0" w:color="auto"/>
            </w:tcBorders>
            <w:vAlign w:val="center"/>
          </w:tcPr>
          <w:p w14:paraId="14DC3C1E"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5FFB16F3"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nil"/>
              <w:bottom w:val="single" w:sz="4" w:space="0" w:color="auto"/>
              <w:right w:val="single" w:sz="4" w:space="0" w:color="auto"/>
            </w:tcBorders>
            <w:noWrap/>
            <w:vAlign w:val="center"/>
          </w:tcPr>
          <w:p w14:paraId="3EAC5021"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0.3</w:t>
            </w:r>
          </w:p>
        </w:tc>
        <w:tc>
          <w:tcPr>
            <w:tcW w:w="1440" w:type="dxa"/>
            <w:tcBorders>
              <w:top w:val="nil"/>
              <w:left w:val="nil"/>
              <w:bottom w:val="single" w:sz="4" w:space="0" w:color="auto"/>
              <w:right w:val="single" w:sz="4" w:space="0" w:color="auto"/>
            </w:tcBorders>
            <w:noWrap/>
            <w:vAlign w:val="center"/>
          </w:tcPr>
          <w:p w14:paraId="738AD26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0.44</w:t>
            </w:r>
          </w:p>
        </w:tc>
        <w:tc>
          <w:tcPr>
            <w:tcW w:w="1080" w:type="dxa"/>
            <w:tcBorders>
              <w:top w:val="nil"/>
              <w:left w:val="nil"/>
              <w:bottom w:val="single" w:sz="4" w:space="0" w:color="auto"/>
              <w:right w:val="double" w:sz="6" w:space="0" w:color="000000"/>
            </w:tcBorders>
            <w:vAlign w:val="center"/>
          </w:tcPr>
          <w:p w14:paraId="2FB5F5F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0.15</w:t>
            </w:r>
          </w:p>
        </w:tc>
      </w:tr>
      <w:tr w:rsidR="0016010F" w:rsidRPr="000855B2" w14:paraId="6A1678F6" w14:textId="77777777" w:rsidTr="00887829">
        <w:trPr>
          <w:cantSplit/>
          <w:trHeight w:val="255"/>
        </w:trPr>
        <w:tc>
          <w:tcPr>
            <w:tcW w:w="1150" w:type="dxa"/>
            <w:vMerge w:val="restart"/>
            <w:tcBorders>
              <w:top w:val="single" w:sz="4" w:space="0" w:color="auto"/>
              <w:left w:val="double" w:sz="6" w:space="0" w:color="000000"/>
              <w:bottom w:val="single" w:sz="4" w:space="0" w:color="auto"/>
              <w:right w:val="single" w:sz="4" w:space="0" w:color="auto"/>
            </w:tcBorders>
            <w:vAlign w:val="center"/>
          </w:tcPr>
          <w:p w14:paraId="13CDAD32" w14:textId="77777777" w:rsidR="0016010F"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6010F" w:rsidRPr="000855B2">
              <w:rPr>
                <w:sz w:val="16"/>
                <w:szCs w:val="16"/>
                <w:lang w:val="en-GB" w:eastAsia="el-GR"/>
              </w:rPr>
              <w:t xml:space="preserve"> LDVs</w:t>
            </w:r>
          </w:p>
        </w:tc>
        <w:tc>
          <w:tcPr>
            <w:tcW w:w="1259" w:type="dxa"/>
            <w:tcBorders>
              <w:top w:val="nil"/>
              <w:left w:val="nil"/>
              <w:bottom w:val="single" w:sz="4" w:space="0" w:color="auto"/>
              <w:right w:val="single" w:sz="4" w:space="0" w:color="auto"/>
            </w:tcBorders>
            <w:noWrap/>
            <w:vAlign w:val="center"/>
          </w:tcPr>
          <w:p w14:paraId="547A126E"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nil"/>
              <w:left w:val="single" w:sz="4" w:space="0" w:color="auto"/>
              <w:bottom w:val="single" w:sz="4" w:space="0" w:color="auto"/>
              <w:right w:val="single" w:sz="4" w:space="0" w:color="auto"/>
            </w:tcBorders>
            <w:noWrap/>
            <w:vAlign w:val="center"/>
          </w:tcPr>
          <w:p w14:paraId="6A21F9C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440" w:type="dxa"/>
            <w:tcBorders>
              <w:top w:val="nil"/>
              <w:left w:val="nil"/>
              <w:bottom w:val="single" w:sz="4" w:space="0" w:color="auto"/>
              <w:right w:val="single" w:sz="4" w:space="0" w:color="auto"/>
            </w:tcBorders>
            <w:noWrap/>
            <w:vAlign w:val="center"/>
          </w:tcPr>
          <w:p w14:paraId="34790045"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nil"/>
              <w:left w:val="nil"/>
              <w:bottom w:val="single" w:sz="4" w:space="0" w:color="auto"/>
              <w:right w:val="double" w:sz="6" w:space="0" w:color="000000"/>
            </w:tcBorders>
            <w:vAlign w:val="center"/>
          </w:tcPr>
          <w:p w14:paraId="210C25E5"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31.5</w:t>
            </w:r>
          </w:p>
        </w:tc>
      </w:tr>
      <w:tr w:rsidR="0016010F" w:rsidRPr="000855B2" w14:paraId="5853CD04"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7B2B6D19"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C056253"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single" w:sz="4" w:space="0" w:color="auto"/>
              <w:bottom w:val="single" w:sz="4" w:space="0" w:color="auto"/>
              <w:right w:val="single" w:sz="4" w:space="0" w:color="auto"/>
            </w:tcBorders>
            <w:vAlign w:val="center"/>
          </w:tcPr>
          <w:p w14:paraId="0599E8F1"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7C8A106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57A4621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5BCAEF3B"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21ED094B"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1D8A38DF"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single" w:sz="4" w:space="0" w:color="auto"/>
              <w:bottom w:val="single" w:sz="4" w:space="0" w:color="auto"/>
              <w:right w:val="single" w:sz="4" w:space="0" w:color="auto"/>
            </w:tcBorders>
            <w:vAlign w:val="center"/>
          </w:tcPr>
          <w:p w14:paraId="5AB4867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440" w:type="dxa"/>
            <w:tcBorders>
              <w:top w:val="nil"/>
              <w:left w:val="nil"/>
              <w:bottom w:val="single" w:sz="4" w:space="0" w:color="auto"/>
              <w:right w:val="single" w:sz="4" w:space="0" w:color="auto"/>
            </w:tcBorders>
            <w:noWrap/>
            <w:vAlign w:val="center"/>
          </w:tcPr>
          <w:p w14:paraId="5A96AF8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61D8F8B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16010F" w:rsidRPr="000855B2" w14:paraId="3E9688F9"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13488759"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607D1DCC"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single" w:sz="4" w:space="0" w:color="auto"/>
              <w:bottom w:val="single" w:sz="4" w:space="0" w:color="auto"/>
              <w:right w:val="single" w:sz="4" w:space="0" w:color="auto"/>
            </w:tcBorders>
            <w:vAlign w:val="center"/>
          </w:tcPr>
          <w:p w14:paraId="3AED0B5A"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32D9594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5742F3F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5EAB0979"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3011996A"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2E3752FF"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single" w:sz="4" w:space="0" w:color="auto"/>
              <w:bottom w:val="single" w:sz="4" w:space="0" w:color="auto"/>
              <w:right w:val="single" w:sz="4" w:space="0" w:color="auto"/>
            </w:tcBorders>
            <w:vAlign w:val="center"/>
          </w:tcPr>
          <w:p w14:paraId="1B77D22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5EC63A5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75B93EC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66330C61" w14:textId="77777777" w:rsidTr="00887829">
        <w:trPr>
          <w:cantSplit/>
          <w:trHeight w:val="255"/>
        </w:trPr>
        <w:tc>
          <w:tcPr>
            <w:tcW w:w="1150" w:type="dxa"/>
            <w:vMerge/>
            <w:tcBorders>
              <w:top w:val="nil"/>
              <w:left w:val="double" w:sz="6" w:space="0" w:color="000000"/>
              <w:bottom w:val="single" w:sz="4" w:space="0" w:color="auto"/>
              <w:right w:val="single" w:sz="4" w:space="0" w:color="auto"/>
            </w:tcBorders>
            <w:vAlign w:val="center"/>
          </w:tcPr>
          <w:p w14:paraId="6297606A"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645AAD34"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single" w:sz="4" w:space="0" w:color="auto"/>
              <w:bottom w:val="single" w:sz="4" w:space="0" w:color="auto"/>
              <w:right w:val="single" w:sz="4" w:space="0" w:color="auto"/>
            </w:tcBorders>
            <w:vAlign w:val="center"/>
          </w:tcPr>
          <w:p w14:paraId="05B396E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440" w:type="dxa"/>
            <w:tcBorders>
              <w:top w:val="nil"/>
              <w:left w:val="nil"/>
              <w:bottom w:val="single" w:sz="4" w:space="0" w:color="auto"/>
              <w:right w:val="single" w:sz="4" w:space="0" w:color="auto"/>
            </w:tcBorders>
            <w:noWrap/>
            <w:vAlign w:val="center"/>
          </w:tcPr>
          <w:p w14:paraId="55B1152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05854EF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16010F" w:rsidRPr="000855B2" w14:paraId="5E786A7B" w14:textId="77777777" w:rsidTr="00887829">
        <w:trPr>
          <w:cantSplit/>
          <w:trHeight w:val="255"/>
        </w:trPr>
        <w:tc>
          <w:tcPr>
            <w:tcW w:w="1150" w:type="dxa"/>
            <w:vMerge w:val="restart"/>
            <w:tcBorders>
              <w:top w:val="nil"/>
              <w:left w:val="double" w:sz="6" w:space="0" w:color="000000"/>
              <w:right w:val="single" w:sz="4" w:space="0" w:color="auto"/>
            </w:tcBorders>
            <w:vAlign w:val="center"/>
          </w:tcPr>
          <w:p w14:paraId="4F6EDD59"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 xml:space="preserve">Diesel LDVs </w:t>
            </w:r>
          </w:p>
        </w:tc>
        <w:tc>
          <w:tcPr>
            <w:tcW w:w="1259" w:type="dxa"/>
            <w:tcBorders>
              <w:top w:val="nil"/>
              <w:left w:val="nil"/>
              <w:bottom w:val="single" w:sz="4" w:space="0" w:color="auto"/>
              <w:right w:val="single" w:sz="4" w:space="0" w:color="auto"/>
            </w:tcBorders>
            <w:noWrap/>
            <w:vAlign w:val="center"/>
          </w:tcPr>
          <w:p w14:paraId="6B2E7FB0"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pre-Euro</w:t>
            </w:r>
          </w:p>
        </w:tc>
        <w:tc>
          <w:tcPr>
            <w:tcW w:w="1710" w:type="dxa"/>
            <w:tcBorders>
              <w:top w:val="nil"/>
              <w:left w:val="single" w:sz="4" w:space="0" w:color="auto"/>
              <w:bottom w:val="single" w:sz="4" w:space="0" w:color="auto"/>
              <w:right w:val="single" w:sz="4" w:space="0" w:color="auto"/>
            </w:tcBorders>
            <w:vAlign w:val="center"/>
          </w:tcPr>
          <w:p w14:paraId="71E5736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0.5</w:t>
            </w:r>
          </w:p>
        </w:tc>
        <w:tc>
          <w:tcPr>
            <w:tcW w:w="1440" w:type="dxa"/>
            <w:tcBorders>
              <w:top w:val="nil"/>
              <w:left w:val="nil"/>
              <w:bottom w:val="single" w:sz="4" w:space="0" w:color="auto"/>
              <w:right w:val="single" w:sz="4" w:space="0" w:color="auto"/>
            </w:tcBorders>
            <w:noWrap/>
            <w:vAlign w:val="center"/>
          </w:tcPr>
          <w:p w14:paraId="0A8928FD"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1.00</w:t>
            </w:r>
          </w:p>
        </w:tc>
        <w:tc>
          <w:tcPr>
            <w:tcW w:w="1080" w:type="dxa"/>
            <w:tcBorders>
              <w:top w:val="nil"/>
              <w:left w:val="nil"/>
              <w:bottom w:val="single" w:sz="4" w:space="0" w:color="auto"/>
              <w:right w:val="double" w:sz="6" w:space="0" w:color="000000"/>
            </w:tcBorders>
            <w:vAlign w:val="center"/>
          </w:tcPr>
          <w:p w14:paraId="4AF61B0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1.5</w:t>
            </w:r>
          </w:p>
        </w:tc>
      </w:tr>
      <w:tr w:rsidR="0016010F" w:rsidRPr="000855B2" w14:paraId="0BB79424" w14:textId="77777777" w:rsidTr="00887829">
        <w:trPr>
          <w:cantSplit/>
          <w:trHeight w:val="255"/>
        </w:trPr>
        <w:tc>
          <w:tcPr>
            <w:tcW w:w="1150" w:type="dxa"/>
            <w:vMerge/>
            <w:tcBorders>
              <w:left w:val="double" w:sz="6" w:space="0" w:color="000000"/>
              <w:right w:val="single" w:sz="4" w:space="0" w:color="auto"/>
            </w:tcBorders>
            <w:vAlign w:val="center"/>
          </w:tcPr>
          <w:p w14:paraId="4C99E9B1"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7A7128D"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1</w:t>
            </w:r>
          </w:p>
        </w:tc>
        <w:tc>
          <w:tcPr>
            <w:tcW w:w="1710" w:type="dxa"/>
            <w:tcBorders>
              <w:top w:val="nil"/>
              <w:left w:val="single" w:sz="4" w:space="0" w:color="auto"/>
              <w:bottom w:val="single" w:sz="4" w:space="0" w:color="auto"/>
              <w:right w:val="single" w:sz="4" w:space="0" w:color="auto"/>
            </w:tcBorders>
            <w:vAlign w:val="center"/>
          </w:tcPr>
          <w:p w14:paraId="6F7F909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0BDB3492"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737C899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0D195485" w14:textId="77777777" w:rsidTr="00887829">
        <w:trPr>
          <w:cantSplit/>
          <w:trHeight w:val="255"/>
        </w:trPr>
        <w:tc>
          <w:tcPr>
            <w:tcW w:w="1150" w:type="dxa"/>
            <w:vMerge/>
            <w:tcBorders>
              <w:left w:val="double" w:sz="6" w:space="0" w:color="000000"/>
              <w:right w:val="single" w:sz="4" w:space="0" w:color="auto"/>
            </w:tcBorders>
            <w:vAlign w:val="center"/>
          </w:tcPr>
          <w:p w14:paraId="1CBAEFBD"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4A8BE426"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2</w:t>
            </w:r>
          </w:p>
        </w:tc>
        <w:tc>
          <w:tcPr>
            <w:tcW w:w="1710" w:type="dxa"/>
            <w:tcBorders>
              <w:top w:val="nil"/>
              <w:left w:val="single" w:sz="4" w:space="0" w:color="auto"/>
              <w:bottom w:val="single" w:sz="4" w:space="0" w:color="auto"/>
              <w:right w:val="single" w:sz="4" w:space="0" w:color="auto"/>
            </w:tcBorders>
            <w:vAlign w:val="center"/>
          </w:tcPr>
          <w:p w14:paraId="73BC725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1F7CAE4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0D36DF18"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11A618FD" w14:textId="77777777" w:rsidTr="00887829">
        <w:trPr>
          <w:cantSplit/>
          <w:trHeight w:val="255"/>
        </w:trPr>
        <w:tc>
          <w:tcPr>
            <w:tcW w:w="1150" w:type="dxa"/>
            <w:vMerge/>
            <w:tcBorders>
              <w:left w:val="double" w:sz="6" w:space="0" w:color="000000"/>
              <w:right w:val="single" w:sz="4" w:space="0" w:color="auto"/>
            </w:tcBorders>
            <w:vAlign w:val="center"/>
          </w:tcPr>
          <w:p w14:paraId="1FCC19A8"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7401035E"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 xml:space="preserve">Euro 3 </w:t>
            </w:r>
          </w:p>
        </w:tc>
        <w:tc>
          <w:tcPr>
            <w:tcW w:w="1710" w:type="dxa"/>
            <w:tcBorders>
              <w:top w:val="nil"/>
              <w:left w:val="single" w:sz="4" w:space="0" w:color="auto"/>
              <w:bottom w:val="single" w:sz="4" w:space="0" w:color="auto"/>
              <w:right w:val="single" w:sz="4" w:space="0" w:color="auto"/>
            </w:tcBorders>
            <w:vAlign w:val="center"/>
          </w:tcPr>
          <w:p w14:paraId="65EB15F9"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06B6CFC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2E4E6C86"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79BA9B16" w14:textId="77777777" w:rsidTr="00887829">
        <w:trPr>
          <w:cantSplit/>
          <w:trHeight w:val="255"/>
        </w:trPr>
        <w:tc>
          <w:tcPr>
            <w:tcW w:w="1150" w:type="dxa"/>
            <w:vMerge/>
            <w:tcBorders>
              <w:left w:val="double" w:sz="6" w:space="0" w:color="000000"/>
              <w:right w:val="single" w:sz="4" w:space="0" w:color="auto"/>
            </w:tcBorders>
            <w:vAlign w:val="center"/>
          </w:tcPr>
          <w:p w14:paraId="2C196041" w14:textId="77777777" w:rsidR="0016010F" w:rsidRPr="000855B2" w:rsidRDefault="0016010F" w:rsidP="005C7955">
            <w:pPr>
              <w:keepNext/>
              <w:keepLines/>
              <w:suppressAutoHyphens/>
              <w:spacing w:line="240" w:lineRule="atLeast"/>
              <w:jc w:val="center"/>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648E55E2"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4</w:t>
            </w:r>
          </w:p>
        </w:tc>
        <w:tc>
          <w:tcPr>
            <w:tcW w:w="1710" w:type="dxa"/>
            <w:tcBorders>
              <w:top w:val="nil"/>
              <w:left w:val="single" w:sz="4" w:space="0" w:color="auto"/>
              <w:bottom w:val="single" w:sz="4" w:space="0" w:color="auto"/>
              <w:right w:val="single" w:sz="4" w:space="0" w:color="auto"/>
            </w:tcBorders>
            <w:vAlign w:val="center"/>
          </w:tcPr>
          <w:p w14:paraId="4381A8C0"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24.5</w:t>
            </w:r>
          </w:p>
        </w:tc>
        <w:tc>
          <w:tcPr>
            <w:tcW w:w="1440" w:type="dxa"/>
            <w:tcBorders>
              <w:top w:val="nil"/>
              <w:left w:val="nil"/>
              <w:bottom w:val="single" w:sz="4" w:space="0" w:color="auto"/>
              <w:right w:val="single" w:sz="4" w:space="0" w:color="auto"/>
            </w:tcBorders>
            <w:noWrap/>
            <w:vAlign w:val="center"/>
          </w:tcPr>
          <w:p w14:paraId="6033ABEF"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36.5</w:t>
            </w:r>
          </w:p>
        </w:tc>
        <w:tc>
          <w:tcPr>
            <w:tcW w:w="1080" w:type="dxa"/>
            <w:tcBorders>
              <w:top w:val="nil"/>
              <w:left w:val="nil"/>
              <w:bottom w:val="single" w:sz="4" w:space="0" w:color="auto"/>
              <w:right w:val="double" w:sz="6" w:space="0" w:color="000000"/>
            </w:tcBorders>
            <w:vAlign w:val="center"/>
          </w:tcPr>
          <w:p w14:paraId="3957D607"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12.2</w:t>
            </w:r>
          </w:p>
        </w:tc>
      </w:tr>
      <w:tr w:rsidR="0016010F" w:rsidRPr="000855B2" w14:paraId="22BB6868" w14:textId="77777777" w:rsidTr="00887829">
        <w:trPr>
          <w:cantSplit/>
          <w:trHeight w:val="255"/>
        </w:trPr>
        <w:tc>
          <w:tcPr>
            <w:tcW w:w="1150" w:type="dxa"/>
            <w:vMerge/>
            <w:tcBorders>
              <w:left w:val="double" w:sz="6" w:space="0" w:color="000000"/>
              <w:bottom w:val="single" w:sz="4" w:space="0" w:color="auto"/>
              <w:right w:val="single" w:sz="4" w:space="0" w:color="auto"/>
            </w:tcBorders>
            <w:vAlign w:val="center"/>
          </w:tcPr>
          <w:p w14:paraId="06DCA550" w14:textId="77777777" w:rsidR="0016010F" w:rsidRPr="000855B2" w:rsidRDefault="0016010F" w:rsidP="005C7955">
            <w:pPr>
              <w:keepNext/>
              <w:keepLines/>
              <w:suppressAutoHyphens/>
              <w:spacing w:line="240" w:lineRule="atLeast"/>
              <w:rPr>
                <w:sz w:val="16"/>
                <w:szCs w:val="16"/>
                <w:lang w:val="en-GB" w:eastAsia="el-GR"/>
              </w:rPr>
            </w:pPr>
          </w:p>
        </w:tc>
        <w:tc>
          <w:tcPr>
            <w:tcW w:w="1259" w:type="dxa"/>
            <w:tcBorders>
              <w:top w:val="nil"/>
              <w:left w:val="nil"/>
              <w:bottom w:val="single" w:sz="4" w:space="0" w:color="auto"/>
              <w:right w:val="single" w:sz="4" w:space="0" w:color="auto"/>
            </w:tcBorders>
            <w:noWrap/>
            <w:vAlign w:val="center"/>
          </w:tcPr>
          <w:p w14:paraId="59BEAD87" w14:textId="77777777" w:rsidR="0016010F" w:rsidRPr="000855B2" w:rsidRDefault="0016010F" w:rsidP="00EA3292">
            <w:pPr>
              <w:keepNext/>
              <w:keepLines/>
              <w:suppressAutoHyphens/>
              <w:spacing w:line="240" w:lineRule="atLeast"/>
              <w:jc w:val="left"/>
              <w:rPr>
                <w:sz w:val="16"/>
                <w:szCs w:val="16"/>
                <w:lang w:val="en-GB" w:eastAsia="el-GR"/>
              </w:rPr>
            </w:pPr>
            <w:r w:rsidRPr="000855B2">
              <w:rPr>
                <w:sz w:val="16"/>
                <w:szCs w:val="16"/>
                <w:lang w:val="en-GB" w:eastAsia="el-GR"/>
              </w:rPr>
              <w:t>Euro 5</w:t>
            </w:r>
            <w:r w:rsidR="00A54B80">
              <w:rPr>
                <w:sz w:val="16"/>
                <w:szCs w:val="16"/>
                <w:lang w:val="en-GB" w:eastAsia="el-GR"/>
              </w:rPr>
              <w:t>, 6, 6 RDE</w:t>
            </w:r>
          </w:p>
        </w:tc>
        <w:tc>
          <w:tcPr>
            <w:tcW w:w="1710" w:type="dxa"/>
            <w:tcBorders>
              <w:top w:val="nil"/>
              <w:left w:val="single" w:sz="4" w:space="0" w:color="auto"/>
              <w:bottom w:val="single" w:sz="4" w:space="0" w:color="auto"/>
              <w:right w:val="single" w:sz="4" w:space="0" w:color="auto"/>
            </w:tcBorders>
            <w:vAlign w:val="center"/>
          </w:tcPr>
          <w:p w14:paraId="0313E81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0.3</w:t>
            </w:r>
          </w:p>
        </w:tc>
        <w:tc>
          <w:tcPr>
            <w:tcW w:w="1440" w:type="dxa"/>
            <w:tcBorders>
              <w:top w:val="nil"/>
              <w:left w:val="nil"/>
              <w:bottom w:val="single" w:sz="4" w:space="0" w:color="auto"/>
              <w:right w:val="single" w:sz="4" w:space="0" w:color="auto"/>
            </w:tcBorders>
            <w:noWrap/>
            <w:vAlign w:val="center"/>
          </w:tcPr>
          <w:p w14:paraId="2DBC72BC"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0.44</w:t>
            </w:r>
          </w:p>
        </w:tc>
        <w:tc>
          <w:tcPr>
            <w:tcW w:w="1080" w:type="dxa"/>
            <w:tcBorders>
              <w:top w:val="nil"/>
              <w:left w:val="nil"/>
              <w:bottom w:val="single" w:sz="4" w:space="0" w:color="auto"/>
              <w:right w:val="double" w:sz="6" w:space="0" w:color="000000"/>
            </w:tcBorders>
            <w:vAlign w:val="center"/>
          </w:tcPr>
          <w:p w14:paraId="318A53BE" w14:textId="77777777" w:rsidR="0016010F" w:rsidRPr="000855B2" w:rsidRDefault="0016010F"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0.15</w:t>
            </w:r>
          </w:p>
        </w:tc>
      </w:tr>
    </w:tbl>
    <w:p w14:paraId="0AA12318" w14:textId="5C5C8AB5" w:rsidR="0083117C" w:rsidRPr="000855B2" w:rsidRDefault="0083117C" w:rsidP="008D1A83">
      <w:pPr>
        <w:pStyle w:val="Caption"/>
      </w:pPr>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76</w:t>
      </w:r>
      <w:r w:rsidR="00FB454C">
        <w:rPr>
          <w:noProof/>
        </w:rPr>
        <w:fldChar w:fldCharType="end"/>
      </w:r>
      <w:r w:rsidRPr="000855B2">
        <w:t xml:space="preserve">: </w:t>
      </w:r>
      <w:r w:rsidR="004B7227" w:rsidRPr="000855B2">
        <w:t xml:space="preserve">PCDD, PCDF </w:t>
      </w:r>
      <w:r w:rsidRPr="000855B2">
        <w:t>and PCB emission factors for heavy duty diesel vehicles, motorcycles and mopeds</w:t>
      </w:r>
    </w:p>
    <w:tbl>
      <w:tblPr>
        <w:tblW w:w="6999" w:type="dxa"/>
        <w:tblLook w:val="0000" w:firstRow="0" w:lastRow="0" w:firstColumn="0" w:lastColumn="0" w:noHBand="0" w:noVBand="0"/>
      </w:tblPr>
      <w:tblGrid>
        <w:gridCol w:w="1216"/>
        <w:gridCol w:w="1463"/>
        <w:gridCol w:w="1530"/>
        <w:gridCol w:w="1710"/>
        <w:gridCol w:w="1080"/>
      </w:tblGrid>
      <w:tr w:rsidR="0083117C" w:rsidRPr="000855B2" w14:paraId="2835F2D1" w14:textId="77777777" w:rsidTr="00887829">
        <w:trPr>
          <w:cantSplit/>
          <w:trHeight w:val="615"/>
        </w:trPr>
        <w:tc>
          <w:tcPr>
            <w:tcW w:w="1216" w:type="dxa"/>
            <w:tcBorders>
              <w:top w:val="double" w:sz="6" w:space="0" w:color="000000"/>
              <w:left w:val="double" w:sz="6" w:space="0" w:color="000000"/>
              <w:bottom w:val="single" w:sz="12" w:space="0" w:color="auto"/>
              <w:right w:val="single" w:sz="4" w:space="0" w:color="auto"/>
            </w:tcBorders>
            <w:vAlign w:val="center"/>
          </w:tcPr>
          <w:p w14:paraId="62CC03DE" w14:textId="77777777" w:rsidR="0083117C" w:rsidRPr="000855B2" w:rsidRDefault="0083117C"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lastRenderedPageBreak/>
              <w:t>Vehicle Category</w:t>
            </w:r>
          </w:p>
        </w:tc>
        <w:tc>
          <w:tcPr>
            <w:tcW w:w="1463" w:type="dxa"/>
            <w:tcBorders>
              <w:top w:val="double" w:sz="6" w:space="0" w:color="000000"/>
              <w:left w:val="single" w:sz="4" w:space="0" w:color="auto"/>
              <w:bottom w:val="single" w:sz="12" w:space="0" w:color="auto"/>
              <w:right w:val="single" w:sz="4" w:space="0" w:color="auto"/>
            </w:tcBorders>
            <w:vAlign w:val="center"/>
          </w:tcPr>
          <w:p w14:paraId="47BD45AC" w14:textId="77777777" w:rsidR="0083117C" w:rsidRPr="000855B2" w:rsidRDefault="0083117C"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Emission Standard</w:t>
            </w:r>
          </w:p>
        </w:tc>
        <w:tc>
          <w:tcPr>
            <w:tcW w:w="1530" w:type="dxa"/>
            <w:tcBorders>
              <w:top w:val="double" w:sz="6" w:space="0" w:color="000000"/>
              <w:left w:val="single" w:sz="4" w:space="0" w:color="auto"/>
              <w:bottom w:val="single" w:sz="12" w:space="0" w:color="auto"/>
              <w:right w:val="single" w:sz="4" w:space="0" w:color="auto"/>
            </w:tcBorders>
            <w:vAlign w:val="center"/>
          </w:tcPr>
          <w:p w14:paraId="4326B226" w14:textId="77777777" w:rsidR="0083117C" w:rsidRPr="000855B2" w:rsidRDefault="0083117C"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PCDD</w:t>
            </w:r>
          </w:p>
          <w:p w14:paraId="3E8D2D67" w14:textId="77777777" w:rsidR="0083117C" w:rsidRPr="000855B2" w:rsidRDefault="0083117C"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710" w:type="dxa"/>
            <w:tcBorders>
              <w:top w:val="double" w:sz="6" w:space="0" w:color="000000"/>
              <w:left w:val="single" w:sz="4" w:space="0" w:color="auto"/>
              <w:bottom w:val="single" w:sz="12" w:space="0" w:color="auto"/>
              <w:right w:val="single" w:sz="4" w:space="0" w:color="auto"/>
            </w:tcBorders>
            <w:vAlign w:val="center"/>
          </w:tcPr>
          <w:p w14:paraId="49139AD7" w14:textId="77777777" w:rsidR="0083117C" w:rsidRPr="000855B2" w:rsidRDefault="0083117C"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PCDF</w:t>
            </w:r>
          </w:p>
          <w:p w14:paraId="1027FC74" w14:textId="77777777" w:rsidR="0083117C" w:rsidRPr="000855B2" w:rsidRDefault="0083117C" w:rsidP="005C7955">
            <w:pPr>
              <w:keepNext/>
              <w:keepLines/>
              <w:suppressAutoHyphens/>
              <w:spacing w:line="240" w:lineRule="atLeast"/>
              <w:jc w:val="center"/>
              <w:rPr>
                <w:b/>
                <w:sz w:val="16"/>
                <w:szCs w:val="16"/>
                <w:lang w:val="en-GB" w:eastAsia="el-GR"/>
              </w:rPr>
            </w:pPr>
            <w:r w:rsidRPr="000855B2">
              <w:rPr>
                <w:b/>
                <w:bCs/>
                <w:color w:val="000000"/>
                <w:sz w:val="16"/>
                <w:szCs w:val="16"/>
                <w:lang w:val="en-GB" w:eastAsia="en-US"/>
              </w:rPr>
              <w:t>[pg I-Teq/km]</w:t>
            </w:r>
          </w:p>
        </w:tc>
        <w:tc>
          <w:tcPr>
            <w:tcW w:w="1080" w:type="dxa"/>
            <w:tcBorders>
              <w:top w:val="double" w:sz="6" w:space="0" w:color="000000"/>
              <w:left w:val="single" w:sz="4" w:space="0" w:color="auto"/>
              <w:right w:val="double" w:sz="6" w:space="0" w:color="000000"/>
            </w:tcBorders>
            <w:vAlign w:val="center"/>
          </w:tcPr>
          <w:p w14:paraId="690CB984" w14:textId="77777777" w:rsidR="0083117C" w:rsidRPr="000855B2" w:rsidRDefault="0083117C" w:rsidP="005C7955">
            <w:pPr>
              <w:keepNext/>
              <w:keepLines/>
              <w:suppressAutoHyphens/>
              <w:spacing w:line="240" w:lineRule="atLeast"/>
              <w:jc w:val="center"/>
              <w:rPr>
                <w:b/>
                <w:bCs/>
                <w:color w:val="000000"/>
                <w:sz w:val="16"/>
                <w:szCs w:val="16"/>
                <w:lang w:val="en-GB" w:eastAsia="en-US"/>
              </w:rPr>
            </w:pPr>
            <w:r w:rsidRPr="000855B2">
              <w:rPr>
                <w:b/>
                <w:bCs/>
                <w:color w:val="000000"/>
                <w:sz w:val="16"/>
                <w:szCs w:val="16"/>
                <w:lang w:val="en-GB" w:eastAsia="en-US"/>
              </w:rPr>
              <w:t>PCB [pg/km]</w:t>
            </w:r>
          </w:p>
        </w:tc>
      </w:tr>
      <w:tr w:rsidR="0083117C" w:rsidRPr="000855B2" w14:paraId="5FEE7F9E" w14:textId="77777777" w:rsidTr="00887829">
        <w:trPr>
          <w:cantSplit/>
          <w:trHeight w:val="255"/>
        </w:trPr>
        <w:tc>
          <w:tcPr>
            <w:tcW w:w="1216" w:type="dxa"/>
            <w:vMerge w:val="restart"/>
            <w:tcBorders>
              <w:top w:val="single" w:sz="12" w:space="0" w:color="auto"/>
              <w:left w:val="double" w:sz="6" w:space="0" w:color="000000"/>
              <w:bottom w:val="single" w:sz="4" w:space="0" w:color="auto"/>
              <w:right w:val="single" w:sz="4" w:space="0" w:color="auto"/>
            </w:tcBorders>
            <w:vAlign w:val="center"/>
          </w:tcPr>
          <w:p w14:paraId="38B10B0D"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Diesel Heavy Duty</w:t>
            </w:r>
          </w:p>
        </w:tc>
        <w:tc>
          <w:tcPr>
            <w:tcW w:w="1463" w:type="dxa"/>
            <w:tcBorders>
              <w:top w:val="single" w:sz="12" w:space="0" w:color="auto"/>
              <w:left w:val="nil"/>
              <w:bottom w:val="single" w:sz="4" w:space="0" w:color="auto"/>
              <w:right w:val="single" w:sz="4" w:space="0" w:color="auto"/>
            </w:tcBorders>
            <w:noWrap/>
            <w:vAlign w:val="center"/>
          </w:tcPr>
          <w:p w14:paraId="7B01C45E"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530" w:type="dxa"/>
            <w:tcBorders>
              <w:top w:val="single" w:sz="12" w:space="0" w:color="auto"/>
              <w:left w:val="nil"/>
              <w:bottom w:val="single" w:sz="4" w:space="0" w:color="auto"/>
              <w:right w:val="single" w:sz="4" w:space="0" w:color="auto"/>
            </w:tcBorders>
            <w:noWrap/>
            <w:vAlign w:val="center"/>
          </w:tcPr>
          <w:p w14:paraId="0DD7316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single" w:sz="12" w:space="0" w:color="auto"/>
              <w:left w:val="nil"/>
              <w:bottom w:val="single" w:sz="4" w:space="0" w:color="auto"/>
              <w:right w:val="single" w:sz="4" w:space="0" w:color="auto"/>
            </w:tcBorders>
            <w:noWrap/>
            <w:vAlign w:val="center"/>
          </w:tcPr>
          <w:p w14:paraId="138EFB9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single" w:sz="12" w:space="0" w:color="auto"/>
              <w:left w:val="nil"/>
              <w:bottom w:val="single" w:sz="4" w:space="0" w:color="auto"/>
              <w:right w:val="double" w:sz="6" w:space="0" w:color="000000"/>
            </w:tcBorders>
            <w:vAlign w:val="center"/>
          </w:tcPr>
          <w:p w14:paraId="6F5661B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10.9</w:t>
            </w:r>
          </w:p>
        </w:tc>
      </w:tr>
      <w:tr w:rsidR="0083117C" w:rsidRPr="000855B2" w14:paraId="17F826D0"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5BA2B2C7"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0BB16918"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1</w:t>
            </w:r>
          </w:p>
        </w:tc>
        <w:tc>
          <w:tcPr>
            <w:tcW w:w="1530" w:type="dxa"/>
            <w:tcBorders>
              <w:top w:val="nil"/>
              <w:left w:val="nil"/>
              <w:bottom w:val="single" w:sz="4" w:space="0" w:color="auto"/>
              <w:right w:val="single" w:sz="4" w:space="0" w:color="auto"/>
            </w:tcBorders>
            <w:noWrap/>
            <w:vAlign w:val="center"/>
          </w:tcPr>
          <w:p w14:paraId="3019674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599CEDE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745FBD9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2D10DB56"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25F5C9D0"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614BF8A4"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2</w:t>
            </w:r>
          </w:p>
        </w:tc>
        <w:tc>
          <w:tcPr>
            <w:tcW w:w="1530" w:type="dxa"/>
            <w:tcBorders>
              <w:top w:val="nil"/>
              <w:left w:val="nil"/>
              <w:bottom w:val="single" w:sz="4" w:space="0" w:color="auto"/>
              <w:right w:val="single" w:sz="4" w:space="0" w:color="auto"/>
            </w:tcBorders>
            <w:noWrap/>
            <w:vAlign w:val="center"/>
          </w:tcPr>
          <w:p w14:paraId="3A8EA1B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0CDFBAA9"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7E08A78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7BFD7DBC"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7ABB49AE"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7E069770"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 xml:space="preserve">Euro 3 </w:t>
            </w:r>
          </w:p>
        </w:tc>
        <w:tc>
          <w:tcPr>
            <w:tcW w:w="1530" w:type="dxa"/>
            <w:tcBorders>
              <w:top w:val="nil"/>
              <w:left w:val="nil"/>
              <w:bottom w:val="single" w:sz="4" w:space="0" w:color="auto"/>
              <w:right w:val="single" w:sz="4" w:space="0" w:color="auto"/>
            </w:tcBorders>
            <w:noWrap/>
            <w:vAlign w:val="center"/>
          </w:tcPr>
          <w:p w14:paraId="5DEC8E02"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5710D95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3C6EA6B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776D65FB"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46CD804B"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54BFA5C5"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530" w:type="dxa"/>
            <w:tcBorders>
              <w:top w:val="nil"/>
              <w:left w:val="nil"/>
              <w:bottom w:val="single" w:sz="4" w:space="0" w:color="auto"/>
              <w:right w:val="single" w:sz="4" w:space="0" w:color="auto"/>
            </w:tcBorders>
            <w:noWrap/>
            <w:vAlign w:val="center"/>
          </w:tcPr>
          <w:p w14:paraId="57475F5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25</w:t>
            </w:r>
          </w:p>
        </w:tc>
        <w:tc>
          <w:tcPr>
            <w:tcW w:w="1710" w:type="dxa"/>
            <w:tcBorders>
              <w:top w:val="nil"/>
              <w:left w:val="nil"/>
              <w:bottom w:val="single" w:sz="4" w:space="0" w:color="auto"/>
              <w:right w:val="single" w:sz="4" w:space="0" w:color="auto"/>
            </w:tcBorders>
            <w:noWrap/>
            <w:vAlign w:val="center"/>
          </w:tcPr>
          <w:p w14:paraId="68207DB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38</w:t>
            </w:r>
          </w:p>
        </w:tc>
        <w:tc>
          <w:tcPr>
            <w:tcW w:w="1080" w:type="dxa"/>
            <w:tcBorders>
              <w:top w:val="nil"/>
              <w:left w:val="nil"/>
              <w:bottom w:val="single" w:sz="4" w:space="0" w:color="auto"/>
              <w:right w:val="double" w:sz="6" w:space="0" w:color="000000"/>
            </w:tcBorders>
            <w:vAlign w:val="center"/>
          </w:tcPr>
          <w:p w14:paraId="4183C6C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12.6</w:t>
            </w:r>
          </w:p>
        </w:tc>
      </w:tr>
      <w:tr w:rsidR="0083117C" w:rsidRPr="000855B2" w14:paraId="7B46D8AB"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3AEE3609"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5F9BC7D1"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530" w:type="dxa"/>
            <w:tcBorders>
              <w:top w:val="nil"/>
              <w:left w:val="nil"/>
              <w:bottom w:val="single" w:sz="4" w:space="0" w:color="auto"/>
              <w:right w:val="single" w:sz="4" w:space="0" w:color="auto"/>
            </w:tcBorders>
            <w:noWrap/>
            <w:vAlign w:val="center"/>
          </w:tcPr>
          <w:p w14:paraId="764D80E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0.31</w:t>
            </w:r>
          </w:p>
        </w:tc>
        <w:tc>
          <w:tcPr>
            <w:tcW w:w="1710" w:type="dxa"/>
            <w:tcBorders>
              <w:top w:val="nil"/>
              <w:left w:val="nil"/>
              <w:bottom w:val="single" w:sz="4" w:space="0" w:color="auto"/>
              <w:right w:val="single" w:sz="4" w:space="0" w:color="auto"/>
            </w:tcBorders>
            <w:noWrap/>
            <w:vAlign w:val="center"/>
          </w:tcPr>
          <w:p w14:paraId="16561D6B"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0.45</w:t>
            </w:r>
          </w:p>
        </w:tc>
        <w:tc>
          <w:tcPr>
            <w:tcW w:w="1080" w:type="dxa"/>
            <w:tcBorders>
              <w:top w:val="nil"/>
              <w:left w:val="nil"/>
              <w:bottom w:val="single" w:sz="4" w:space="0" w:color="auto"/>
              <w:right w:val="double" w:sz="6" w:space="0" w:color="000000"/>
            </w:tcBorders>
            <w:vAlign w:val="center"/>
          </w:tcPr>
          <w:p w14:paraId="00B3581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0.15</w:t>
            </w:r>
          </w:p>
        </w:tc>
      </w:tr>
      <w:tr w:rsidR="0083117C" w:rsidRPr="000855B2" w14:paraId="793F798B"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67F31D6B"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74BC7CA4"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530" w:type="dxa"/>
            <w:tcBorders>
              <w:top w:val="nil"/>
              <w:left w:val="nil"/>
              <w:bottom w:val="single" w:sz="4" w:space="0" w:color="auto"/>
              <w:right w:val="single" w:sz="4" w:space="0" w:color="auto"/>
            </w:tcBorders>
            <w:noWrap/>
            <w:vAlign w:val="center"/>
          </w:tcPr>
          <w:p w14:paraId="7E06998F"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0.16</w:t>
            </w:r>
          </w:p>
        </w:tc>
        <w:tc>
          <w:tcPr>
            <w:tcW w:w="1710" w:type="dxa"/>
            <w:tcBorders>
              <w:top w:val="nil"/>
              <w:left w:val="nil"/>
              <w:bottom w:val="single" w:sz="4" w:space="0" w:color="auto"/>
              <w:right w:val="single" w:sz="4" w:space="0" w:color="auto"/>
            </w:tcBorders>
            <w:noWrap/>
            <w:vAlign w:val="center"/>
          </w:tcPr>
          <w:p w14:paraId="5E3DF81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0.24</w:t>
            </w:r>
          </w:p>
        </w:tc>
        <w:tc>
          <w:tcPr>
            <w:tcW w:w="1080" w:type="dxa"/>
            <w:tcBorders>
              <w:top w:val="nil"/>
              <w:left w:val="nil"/>
              <w:bottom w:val="single" w:sz="4" w:space="0" w:color="auto"/>
              <w:right w:val="double" w:sz="6" w:space="0" w:color="000000"/>
            </w:tcBorders>
            <w:vAlign w:val="center"/>
          </w:tcPr>
          <w:p w14:paraId="0A62540F"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0.08</w:t>
            </w:r>
          </w:p>
        </w:tc>
      </w:tr>
      <w:tr w:rsidR="0083117C" w:rsidRPr="000855B2" w14:paraId="133E522B" w14:textId="77777777" w:rsidTr="00887829">
        <w:trPr>
          <w:cantSplit/>
          <w:trHeight w:val="255"/>
        </w:trPr>
        <w:tc>
          <w:tcPr>
            <w:tcW w:w="1216" w:type="dxa"/>
            <w:vMerge w:val="restart"/>
            <w:tcBorders>
              <w:top w:val="nil"/>
              <w:left w:val="double" w:sz="6" w:space="0" w:color="000000"/>
              <w:bottom w:val="single" w:sz="4" w:space="0" w:color="auto"/>
              <w:right w:val="single" w:sz="4" w:space="0" w:color="auto"/>
            </w:tcBorders>
            <w:vAlign w:val="center"/>
          </w:tcPr>
          <w:p w14:paraId="1326CF3F"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Motorcycles</w:t>
            </w:r>
          </w:p>
        </w:tc>
        <w:tc>
          <w:tcPr>
            <w:tcW w:w="1463" w:type="dxa"/>
            <w:tcBorders>
              <w:top w:val="nil"/>
              <w:left w:val="nil"/>
              <w:bottom w:val="single" w:sz="4" w:space="0" w:color="auto"/>
              <w:right w:val="single" w:sz="4" w:space="0" w:color="auto"/>
            </w:tcBorders>
            <w:noWrap/>
            <w:vAlign w:val="center"/>
          </w:tcPr>
          <w:p w14:paraId="52E96034"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530" w:type="dxa"/>
            <w:tcBorders>
              <w:top w:val="nil"/>
              <w:left w:val="nil"/>
              <w:bottom w:val="single" w:sz="4" w:space="0" w:color="auto"/>
              <w:right w:val="single" w:sz="4" w:space="0" w:color="auto"/>
            </w:tcBorders>
            <w:noWrap/>
            <w:vAlign w:val="center"/>
          </w:tcPr>
          <w:p w14:paraId="5E1C8D32"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710" w:type="dxa"/>
            <w:tcBorders>
              <w:top w:val="nil"/>
              <w:left w:val="nil"/>
              <w:bottom w:val="single" w:sz="4" w:space="0" w:color="auto"/>
              <w:right w:val="single" w:sz="4" w:space="0" w:color="auto"/>
            </w:tcBorders>
            <w:noWrap/>
            <w:vAlign w:val="center"/>
          </w:tcPr>
          <w:p w14:paraId="08619CFF"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nil"/>
              <w:left w:val="nil"/>
              <w:bottom w:val="single" w:sz="4" w:space="0" w:color="auto"/>
              <w:right w:val="double" w:sz="6" w:space="0" w:color="000000"/>
            </w:tcBorders>
            <w:vAlign w:val="center"/>
          </w:tcPr>
          <w:p w14:paraId="23D0905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31.5</w:t>
            </w:r>
          </w:p>
        </w:tc>
      </w:tr>
      <w:tr w:rsidR="0083117C" w:rsidRPr="000855B2" w14:paraId="48286DB5"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58E2F910"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1679B28E"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1</w:t>
            </w:r>
          </w:p>
        </w:tc>
        <w:tc>
          <w:tcPr>
            <w:tcW w:w="1530" w:type="dxa"/>
            <w:tcBorders>
              <w:top w:val="nil"/>
              <w:left w:val="nil"/>
              <w:bottom w:val="single" w:sz="4" w:space="0" w:color="auto"/>
              <w:right w:val="single" w:sz="4" w:space="0" w:color="auto"/>
            </w:tcBorders>
            <w:noWrap/>
            <w:vAlign w:val="center"/>
          </w:tcPr>
          <w:p w14:paraId="55C3BFF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51A81A0E"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38FC752F"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75932C28"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5205863B"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38FB583B"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2</w:t>
            </w:r>
          </w:p>
        </w:tc>
        <w:tc>
          <w:tcPr>
            <w:tcW w:w="1530" w:type="dxa"/>
            <w:tcBorders>
              <w:top w:val="nil"/>
              <w:left w:val="nil"/>
              <w:bottom w:val="single" w:sz="4" w:space="0" w:color="auto"/>
              <w:right w:val="single" w:sz="4" w:space="0" w:color="auto"/>
            </w:tcBorders>
            <w:noWrap/>
            <w:vAlign w:val="center"/>
          </w:tcPr>
          <w:p w14:paraId="1D749E43"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1DE8271D"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6E3154E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5CE93C65"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2A11FFAE"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0F8A8783"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 xml:space="preserve">Euro 3 </w:t>
            </w:r>
          </w:p>
        </w:tc>
        <w:tc>
          <w:tcPr>
            <w:tcW w:w="1530" w:type="dxa"/>
            <w:tcBorders>
              <w:top w:val="nil"/>
              <w:left w:val="nil"/>
              <w:bottom w:val="single" w:sz="4" w:space="0" w:color="auto"/>
              <w:right w:val="single" w:sz="4" w:space="0" w:color="auto"/>
            </w:tcBorders>
            <w:noWrap/>
            <w:vAlign w:val="center"/>
          </w:tcPr>
          <w:p w14:paraId="507D6323"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7551188B"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43277CBD"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1A84E50F"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7ABED172"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0575EBB1"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530" w:type="dxa"/>
            <w:tcBorders>
              <w:top w:val="nil"/>
              <w:left w:val="nil"/>
              <w:bottom w:val="single" w:sz="4" w:space="0" w:color="auto"/>
              <w:right w:val="single" w:sz="4" w:space="0" w:color="auto"/>
            </w:tcBorders>
            <w:noWrap/>
            <w:vAlign w:val="center"/>
          </w:tcPr>
          <w:p w14:paraId="17DFA0B9"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79258E4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30CF448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53793A7C"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77542725"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726EA735"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530" w:type="dxa"/>
            <w:tcBorders>
              <w:top w:val="nil"/>
              <w:left w:val="nil"/>
              <w:bottom w:val="single" w:sz="4" w:space="0" w:color="auto"/>
              <w:right w:val="single" w:sz="4" w:space="0" w:color="auto"/>
            </w:tcBorders>
            <w:noWrap/>
            <w:vAlign w:val="center"/>
          </w:tcPr>
          <w:p w14:paraId="1A11845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2D0E6FE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1DE774D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6ADCA09D"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6CC5889A"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711668D0"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530" w:type="dxa"/>
            <w:tcBorders>
              <w:top w:val="nil"/>
              <w:left w:val="nil"/>
              <w:bottom w:val="single" w:sz="4" w:space="0" w:color="auto"/>
              <w:right w:val="single" w:sz="4" w:space="0" w:color="auto"/>
            </w:tcBorders>
            <w:noWrap/>
            <w:vAlign w:val="center"/>
          </w:tcPr>
          <w:p w14:paraId="03BFF0EC"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758A3CDD"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534DCDCA"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3EFEF5D9" w14:textId="77777777" w:rsidTr="00887829">
        <w:trPr>
          <w:cantSplit/>
          <w:trHeight w:val="255"/>
        </w:trPr>
        <w:tc>
          <w:tcPr>
            <w:tcW w:w="1216" w:type="dxa"/>
            <w:vMerge w:val="restart"/>
            <w:tcBorders>
              <w:top w:val="nil"/>
              <w:left w:val="double" w:sz="6" w:space="0" w:color="000000"/>
              <w:bottom w:val="single" w:sz="4" w:space="0" w:color="auto"/>
              <w:right w:val="single" w:sz="4" w:space="0" w:color="auto"/>
            </w:tcBorders>
            <w:vAlign w:val="center"/>
          </w:tcPr>
          <w:p w14:paraId="2D0A85E5"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Mopeds</w:t>
            </w:r>
          </w:p>
        </w:tc>
        <w:tc>
          <w:tcPr>
            <w:tcW w:w="1463" w:type="dxa"/>
            <w:tcBorders>
              <w:top w:val="nil"/>
              <w:left w:val="nil"/>
              <w:bottom w:val="single" w:sz="4" w:space="0" w:color="auto"/>
              <w:right w:val="single" w:sz="4" w:space="0" w:color="auto"/>
            </w:tcBorders>
            <w:noWrap/>
            <w:vAlign w:val="center"/>
          </w:tcPr>
          <w:p w14:paraId="07BF7A89"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530" w:type="dxa"/>
            <w:tcBorders>
              <w:top w:val="nil"/>
              <w:left w:val="single" w:sz="4" w:space="0" w:color="auto"/>
              <w:bottom w:val="single" w:sz="4" w:space="0" w:color="auto"/>
              <w:right w:val="single" w:sz="4" w:space="0" w:color="auto"/>
            </w:tcBorders>
            <w:noWrap/>
            <w:vAlign w:val="center"/>
          </w:tcPr>
          <w:p w14:paraId="57CC932A"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10.3</w:t>
            </w:r>
          </w:p>
        </w:tc>
        <w:tc>
          <w:tcPr>
            <w:tcW w:w="1710" w:type="dxa"/>
            <w:tcBorders>
              <w:top w:val="nil"/>
              <w:left w:val="nil"/>
              <w:bottom w:val="single" w:sz="4" w:space="0" w:color="auto"/>
              <w:right w:val="single" w:sz="4" w:space="0" w:color="auto"/>
            </w:tcBorders>
            <w:noWrap/>
            <w:vAlign w:val="center"/>
          </w:tcPr>
          <w:p w14:paraId="5E36915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21.2</w:t>
            </w:r>
          </w:p>
        </w:tc>
        <w:tc>
          <w:tcPr>
            <w:tcW w:w="1080" w:type="dxa"/>
            <w:tcBorders>
              <w:top w:val="nil"/>
              <w:left w:val="nil"/>
              <w:bottom w:val="single" w:sz="4" w:space="0" w:color="auto"/>
              <w:right w:val="double" w:sz="6" w:space="0" w:color="000000"/>
            </w:tcBorders>
            <w:vAlign w:val="center"/>
          </w:tcPr>
          <w:p w14:paraId="6E72A3B3"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31.5</w:t>
            </w:r>
          </w:p>
        </w:tc>
      </w:tr>
      <w:tr w:rsidR="0083117C" w:rsidRPr="000855B2" w14:paraId="620C10E6"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562A6E5B"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34D881CF"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1</w:t>
            </w:r>
          </w:p>
        </w:tc>
        <w:tc>
          <w:tcPr>
            <w:tcW w:w="1530" w:type="dxa"/>
            <w:tcBorders>
              <w:top w:val="nil"/>
              <w:left w:val="single" w:sz="4" w:space="0" w:color="auto"/>
              <w:bottom w:val="single" w:sz="4" w:space="0" w:color="auto"/>
              <w:right w:val="single" w:sz="4" w:space="0" w:color="auto"/>
            </w:tcBorders>
            <w:vAlign w:val="center"/>
          </w:tcPr>
          <w:p w14:paraId="70F8B97D"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10F0E1B4"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040F8272"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19F4ED66"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03F13E52"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58F07F71"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2</w:t>
            </w:r>
          </w:p>
        </w:tc>
        <w:tc>
          <w:tcPr>
            <w:tcW w:w="1530" w:type="dxa"/>
            <w:tcBorders>
              <w:top w:val="nil"/>
              <w:left w:val="single" w:sz="4" w:space="0" w:color="auto"/>
              <w:bottom w:val="single" w:sz="4" w:space="0" w:color="auto"/>
              <w:right w:val="single" w:sz="4" w:space="0" w:color="auto"/>
            </w:tcBorders>
            <w:vAlign w:val="center"/>
          </w:tcPr>
          <w:p w14:paraId="1D55FFF9"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w:t>
            </w:r>
          </w:p>
        </w:tc>
        <w:tc>
          <w:tcPr>
            <w:tcW w:w="1710" w:type="dxa"/>
            <w:tcBorders>
              <w:top w:val="nil"/>
              <w:left w:val="nil"/>
              <w:bottom w:val="single" w:sz="4" w:space="0" w:color="auto"/>
              <w:right w:val="single" w:sz="4" w:space="0" w:color="auto"/>
            </w:tcBorders>
            <w:noWrap/>
            <w:vAlign w:val="center"/>
          </w:tcPr>
          <w:p w14:paraId="0749B8D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19</w:t>
            </w:r>
          </w:p>
        </w:tc>
        <w:tc>
          <w:tcPr>
            <w:tcW w:w="1080" w:type="dxa"/>
            <w:tcBorders>
              <w:top w:val="nil"/>
              <w:left w:val="nil"/>
              <w:bottom w:val="single" w:sz="4" w:space="0" w:color="auto"/>
              <w:right w:val="double" w:sz="6" w:space="0" w:color="000000"/>
            </w:tcBorders>
            <w:vAlign w:val="center"/>
          </w:tcPr>
          <w:p w14:paraId="3244F19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6.4</w:t>
            </w:r>
          </w:p>
        </w:tc>
      </w:tr>
      <w:tr w:rsidR="0083117C" w:rsidRPr="000855B2" w14:paraId="6107F26A"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644416BA"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2328D203"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 xml:space="preserve">Euro 3 </w:t>
            </w:r>
          </w:p>
        </w:tc>
        <w:tc>
          <w:tcPr>
            <w:tcW w:w="1530" w:type="dxa"/>
            <w:tcBorders>
              <w:top w:val="nil"/>
              <w:left w:val="single" w:sz="4" w:space="0" w:color="auto"/>
              <w:bottom w:val="single" w:sz="4" w:space="0" w:color="auto"/>
              <w:right w:val="single" w:sz="4" w:space="0" w:color="auto"/>
            </w:tcBorders>
            <w:vAlign w:val="center"/>
          </w:tcPr>
          <w:p w14:paraId="700D7AE7"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5030EA8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7FA110A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50C822E5"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08EBA527"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532B7812"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530" w:type="dxa"/>
            <w:tcBorders>
              <w:top w:val="nil"/>
              <w:left w:val="single" w:sz="4" w:space="0" w:color="auto"/>
              <w:bottom w:val="single" w:sz="4" w:space="0" w:color="auto"/>
              <w:right w:val="single" w:sz="4" w:space="0" w:color="auto"/>
            </w:tcBorders>
            <w:vAlign w:val="center"/>
          </w:tcPr>
          <w:p w14:paraId="45AA3F8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2F530018"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1E37767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5E8B93F4" w14:textId="77777777" w:rsidTr="00887829">
        <w:trPr>
          <w:cantSplit/>
          <w:trHeight w:val="255"/>
        </w:trPr>
        <w:tc>
          <w:tcPr>
            <w:tcW w:w="1216" w:type="dxa"/>
            <w:vMerge/>
            <w:tcBorders>
              <w:top w:val="nil"/>
              <w:left w:val="double" w:sz="6" w:space="0" w:color="000000"/>
              <w:bottom w:val="single" w:sz="4" w:space="0" w:color="auto"/>
              <w:right w:val="single" w:sz="4" w:space="0" w:color="auto"/>
            </w:tcBorders>
            <w:vAlign w:val="center"/>
          </w:tcPr>
          <w:p w14:paraId="28EF9478"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single" w:sz="4" w:space="0" w:color="auto"/>
              <w:right w:val="single" w:sz="4" w:space="0" w:color="auto"/>
            </w:tcBorders>
            <w:noWrap/>
            <w:vAlign w:val="center"/>
          </w:tcPr>
          <w:p w14:paraId="0A1F7AF1"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530" w:type="dxa"/>
            <w:tcBorders>
              <w:top w:val="nil"/>
              <w:left w:val="single" w:sz="4" w:space="0" w:color="auto"/>
              <w:bottom w:val="single" w:sz="4" w:space="0" w:color="auto"/>
              <w:right w:val="single" w:sz="4" w:space="0" w:color="auto"/>
            </w:tcBorders>
            <w:vAlign w:val="center"/>
          </w:tcPr>
          <w:p w14:paraId="74BC1DA1"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single" w:sz="4" w:space="0" w:color="auto"/>
              <w:right w:val="single" w:sz="4" w:space="0" w:color="auto"/>
            </w:tcBorders>
            <w:noWrap/>
            <w:vAlign w:val="center"/>
          </w:tcPr>
          <w:p w14:paraId="6FC99E86"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single" w:sz="4" w:space="0" w:color="auto"/>
              <w:right w:val="double" w:sz="6" w:space="0" w:color="000000"/>
            </w:tcBorders>
            <w:vAlign w:val="center"/>
          </w:tcPr>
          <w:p w14:paraId="24D37065"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r w:rsidR="0083117C" w:rsidRPr="000855B2" w14:paraId="33B72EDE" w14:textId="77777777" w:rsidTr="00887829">
        <w:trPr>
          <w:cantSplit/>
          <w:trHeight w:val="255"/>
        </w:trPr>
        <w:tc>
          <w:tcPr>
            <w:tcW w:w="1216" w:type="dxa"/>
            <w:vMerge/>
            <w:tcBorders>
              <w:top w:val="nil"/>
              <w:left w:val="double" w:sz="6" w:space="0" w:color="000000"/>
              <w:bottom w:val="double" w:sz="6" w:space="0" w:color="000000"/>
              <w:right w:val="single" w:sz="4" w:space="0" w:color="auto"/>
            </w:tcBorders>
            <w:vAlign w:val="center"/>
          </w:tcPr>
          <w:p w14:paraId="2BB7D980" w14:textId="77777777" w:rsidR="0083117C" w:rsidRPr="000855B2" w:rsidRDefault="0083117C" w:rsidP="005C7955">
            <w:pPr>
              <w:keepNext/>
              <w:keepLines/>
              <w:suppressAutoHyphens/>
              <w:spacing w:line="240" w:lineRule="atLeast"/>
              <w:rPr>
                <w:sz w:val="16"/>
                <w:szCs w:val="16"/>
                <w:lang w:val="en-GB" w:eastAsia="el-GR"/>
              </w:rPr>
            </w:pPr>
          </w:p>
        </w:tc>
        <w:tc>
          <w:tcPr>
            <w:tcW w:w="1463" w:type="dxa"/>
            <w:tcBorders>
              <w:top w:val="nil"/>
              <w:left w:val="nil"/>
              <w:bottom w:val="double" w:sz="6" w:space="0" w:color="000000"/>
              <w:right w:val="single" w:sz="4" w:space="0" w:color="auto"/>
            </w:tcBorders>
            <w:noWrap/>
            <w:vAlign w:val="center"/>
          </w:tcPr>
          <w:p w14:paraId="471FBF84" w14:textId="77777777" w:rsidR="0083117C" w:rsidRPr="000855B2" w:rsidRDefault="0083117C"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530" w:type="dxa"/>
            <w:tcBorders>
              <w:top w:val="nil"/>
              <w:left w:val="single" w:sz="4" w:space="0" w:color="auto"/>
              <w:bottom w:val="double" w:sz="6" w:space="0" w:color="000000"/>
              <w:right w:val="single" w:sz="4" w:space="0" w:color="auto"/>
            </w:tcBorders>
            <w:vAlign w:val="center"/>
          </w:tcPr>
          <w:p w14:paraId="280317C0"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2.7</w:t>
            </w:r>
          </w:p>
        </w:tc>
        <w:tc>
          <w:tcPr>
            <w:tcW w:w="1710" w:type="dxa"/>
            <w:tcBorders>
              <w:top w:val="nil"/>
              <w:left w:val="nil"/>
              <w:bottom w:val="double" w:sz="6" w:space="0" w:color="000000"/>
              <w:right w:val="single" w:sz="4" w:space="0" w:color="auto"/>
            </w:tcBorders>
            <w:noWrap/>
            <w:vAlign w:val="center"/>
          </w:tcPr>
          <w:p w14:paraId="19B2F0B3"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4.1</w:t>
            </w:r>
          </w:p>
        </w:tc>
        <w:tc>
          <w:tcPr>
            <w:tcW w:w="1080" w:type="dxa"/>
            <w:tcBorders>
              <w:top w:val="nil"/>
              <w:left w:val="nil"/>
              <w:bottom w:val="double" w:sz="6" w:space="0" w:color="000000"/>
              <w:right w:val="double" w:sz="6" w:space="0" w:color="000000"/>
            </w:tcBorders>
            <w:vAlign w:val="center"/>
          </w:tcPr>
          <w:p w14:paraId="00C8D59A" w14:textId="77777777" w:rsidR="0083117C" w:rsidRPr="000855B2" w:rsidRDefault="0083117C" w:rsidP="005C7955">
            <w:pPr>
              <w:keepNext/>
              <w:keepLines/>
              <w:suppressAutoHyphens/>
              <w:spacing w:line="240" w:lineRule="atLeast"/>
              <w:jc w:val="center"/>
              <w:rPr>
                <w:color w:val="000000"/>
                <w:sz w:val="16"/>
                <w:szCs w:val="16"/>
                <w:lang w:val="en-GB" w:eastAsia="en-US"/>
              </w:rPr>
            </w:pPr>
            <w:r w:rsidRPr="000855B2">
              <w:rPr>
                <w:color w:val="000000"/>
                <w:sz w:val="16"/>
                <w:szCs w:val="16"/>
                <w:lang w:val="en-GB" w:eastAsia="en-US"/>
              </w:rPr>
              <w:t>1.36</w:t>
            </w:r>
          </w:p>
        </w:tc>
      </w:tr>
    </w:tbl>
    <w:p w14:paraId="158DBDCA" w14:textId="77777777" w:rsidR="0083117C" w:rsidRPr="000855B2" w:rsidRDefault="0083117C" w:rsidP="005A7A89">
      <w:pPr>
        <w:pStyle w:val="BodyText"/>
      </w:pPr>
      <w:r w:rsidRPr="000855B2">
        <w:t xml:space="preserve">With regard to HCB, emission factors are not given due to </w:t>
      </w:r>
      <w:r w:rsidR="00F73BA1" w:rsidRPr="000855B2">
        <w:t>a</w:t>
      </w:r>
      <w:r w:rsidRPr="000855B2">
        <w:t xml:space="preserve"> complete lack of relevant data from road transport. </w:t>
      </w:r>
      <w:r w:rsidR="004F7A18" w:rsidRPr="000855B2">
        <w:t xml:space="preserve"> </w:t>
      </w:r>
      <w:r w:rsidRPr="000855B2">
        <w:t>An initial approach was to gather the emission factors from other sources (industrial, waste combustion, ship engines, etc.).</w:t>
      </w:r>
      <w:r w:rsidR="004F7A18" w:rsidRPr="000855B2">
        <w:t xml:space="preserve"> </w:t>
      </w:r>
      <w:r w:rsidRPr="000855B2">
        <w:t xml:space="preserve"> However, </w:t>
      </w:r>
      <w:r w:rsidR="00282575" w:rsidRPr="000855B2">
        <w:t xml:space="preserve">due to the </w:t>
      </w:r>
      <w:r w:rsidR="004F7A18" w:rsidRPr="000855B2">
        <w:t>high</w:t>
      </w:r>
      <w:r w:rsidR="00282575" w:rsidRPr="000855B2">
        <w:t xml:space="preserve"> variance of the emission factors from these sources, it was decided that more relevant testing is needed to develop emission factors that </w:t>
      </w:r>
      <w:r w:rsidR="00F73BA1" w:rsidRPr="000855B2">
        <w:t xml:space="preserve">better </w:t>
      </w:r>
      <w:r w:rsidR="00282575" w:rsidRPr="000855B2">
        <w:t>represent</w:t>
      </w:r>
      <w:r w:rsidR="00A31B80" w:rsidRPr="000855B2">
        <w:t xml:space="preserve"> </w:t>
      </w:r>
      <w:r w:rsidR="00282575" w:rsidRPr="000855B2">
        <w:t>road v</w:t>
      </w:r>
      <w:r w:rsidR="00CD5312" w:rsidRPr="000855B2">
        <w:t>ehicles. When compared to the m</w:t>
      </w:r>
      <w:r w:rsidR="00282575" w:rsidRPr="000855B2">
        <w:t>ost similar source found, a ship’s engine,</w:t>
      </w:r>
      <w:r w:rsidR="00F73BA1" w:rsidRPr="000855B2">
        <w:t xml:space="preserve"> it cannot be considered that</w:t>
      </w:r>
      <w:r w:rsidR="00282575" w:rsidRPr="000855B2">
        <w:t xml:space="preserve"> </w:t>
      </w:r>
      <w:r w:rsidR="00F73BA1" w:rsidRPr="000855B2">
        <w:t xml:space="preserve">a typical </w:t>
      </w:r>
      <w:r w:rsidR="00282575" w:rsidRPr="000855B2">
        <w:t xml:space="preserve">road vehicle’s combustion </w:t>
      </w:r>
      <w:r w:rsidR="00F73BA1" w:rsidRPr="000855B2">
        <w:t>is similar</w:t>
      </w:r>
      <w:r w:rsidR="00CD5312" w:rsidRPr="000855B2">
        <w:t>.</w:t>
      </w:r>
      <w:r w:rsidR="004F7A18" w:rsidRPr="000855B2">
        <w:t xml:space="preserve"> </w:t>
      </w:r>
      <w:r w:rsidR="00F73BA1" w:rsidRPr="000855B2">
        <w:t>In addition,</w:t>
      </w:r>
      <w:r w:rsidR="00282575" w:rsidRPr="000855B2">
        <w:t xml:space="preserve"> the ambien</w:t>
      </w:r>
      <w:r w:rsidR="004F7A18" w:rsidRPr="000855B2">
        <w:t>t</w:t>
      </w:r>
      <w:r w:rsidR="00282575" w:rsidRPr="000855B2">
        <w:t xml:space="preserve"> air that a ship uses has a much higher concentration of chlorine than that of an average road vehicle, a factor that is connected to the formation of polychlorinated substances.  It was therefore decided to suspend the development of emission factors for HCB from road vehic</w:t>
      </w:r>
      <w:r w:rsidR="00CD5312" w:rsidRPr="000855B2">
        <w:t>les until more relevant data have</w:t>
      </w:r>
      <w:r w:rsidR="00282575" w:rsidRPr="000855B2">
        <w:t xml:space="preserve"> become available. </w:t>
      </w:r>
    </w:p>
    <w:p w14:paraId="79B6A3C4" w14:textId="77777777" w:rsidR="001D2587" w:rsidRPr="000855B2" w:rsidRDefault="001D2587" w:rsidP="00B019EC">
      <w:pPr>
        <w:pStyle w:val="Heading4"/>
      </w:pPr>
      <w:r w:rsidRPr="000855B2">
        <w:t>Fuel consumption dependant emission factors</w:t>
      </w:r>
    </w:p>
    <w:p w14:paraId="6EB5934B" w14:textId="4DD6AE24" w:rsidR="001D2587" w:rsidRPr="000855B2" w:rsidRDefault="001D2587" w:rsidP="0083104A">
      <w:pPr>
        <w:pStyle w:val="BodyText"/>
      </w:pPr>
      <w:r w:rsidRPr="000855B2">
        <w:t>Emissions of heavy metals are calculated by means of equation</w:t>
      </w:r>
      <w:bookmarkStart w:id="264" w:name="writing"/>
      <w:bookmarkEnd w:id="264"/>
      <w:r w:rsidR="006A5155">
        <w:t xml:space="preserve"> </w:t>
      </w:r>
      <w:r w:rsidR="00E17971">
        <w:fldChar w:fldCharType="begin"/>
      </w:r>
      <w:r w:rsidR="006A5155">
        <w:instrText xml:space="preserve"> REF _Ref480916931 \h </w:instrText>
      </w:r>
      <w:r w:rsidR="00E17971">
        <w:fldChar w:fldCharType="separate"/>
      </w:r>
      <w:r w:rsidR="0071604C" w:rsidRPr="000855B2">
        <w:t>(</w:t>
      </w:r>
      <w:r w:rsidR="0071604C">
        <w:rPr>
          <w:noProof/>
        </w:rPr>
        <w:t>21</w:t>
      </w:r>
      <w:r w:rsidR="00E17971">
        <w:fldChar w:fldCharType="end"/>
      </w:r>
      <w:r w:rsidR="006A5155">
        <w:t>)</w:t>
      </w:r>
      <w:r w:rsidRPr="000855B2">
        <w:t xml:space="preserve">. </w:t>
      </w:r>
      <w:r w:rsidR="00FB454C">
        <w:fldChar w:fldCharType="begin"/>
      </w:r>
      <w:r w:rsidR="00FB454C">
        <w:instrText xml:space="preserve"> REF _Ref140414708 \h  \* MERGEFORMAT </w:instrText>
      </w:r>
      <w:r w:rsidR="00FB454C">
        <w:fldChar w:fldCharType="separate"/>
      </w:r>
      <w:r w:rsidR="0071604C" w:rsidRPr="00EA3292">
        <w:t>Table </w:t>
      </w:r>
      <w:r w:rsidR="0071604C">
        <w:t>3</w:t>
      </w:r>
      <w:r w:rsidR="0071604C" w:rsidRPr="00EA3292">
        <w:t>.</w:t>
      </w:r>
      <w:r w:rsidR="0071604C">
        <w:t>77</w:t>
      </w:r>
      <w:r w:rsidR="00FB454C">
        <w:fldChar w:fldCharType="end"/>
      </w:r>
      <w:r w:rsidRPr="000855B2">
        <w:t xml:space="preserve"> </w:t>
      </w:r>
      <w:r w:rsidR="006A5155">
        <w:t xml:space="preserve">presents the </w:t>
      </w:r>
      <w:r w:rsidR="00CD0161" w:rsidRPr="000855B2">
        <w:t xml:space="preserve">apparent heavy metal </w:t>
      </w:r>
      <w:r w:rsidR="006A5155">
        <w:t xml:space="preserve">emission </w:t>
      </w:r>
      <w:r w:rsidR="00CD0161" w:rsidRPr="000855B2">
        <w:t>factors. These values have been calculated by encompassing the impact of engine wear to the heavy metal emissions. Therefore, by multiplying these apparent factors with fuel consumption, it is expected that the combined emissions of fuel</w:t>
      </w:r>
      <w:r w:rsidR="006A5155">
        <w:t xml:space="preserve"> and engine wear are estimated.</w:t>
      </w:r>
    </w:p>
    <w:p w14:paraId="46E09ADC" w14:textId="4990B851" w:rsidR="001D2587" w:rsidRPr="00EA3292" w:rsidRDefault="00A040D1" w:rsidP="008D1A83">
      <w:pPr>
        <w:pStyle w:val="Caption"/>
      </w:pPr>
      <w:bookmarkStart w:id="265" w:name="_Ref140414708"/>
      <w:r w:rsidRPr="00EA3292">
        <w:lastRenderedPageBreak/>
        <w:t>Table </w:t>
      </w:r>
      <w:r w:rsidR="00FB454C" w:rsidRPr="00EA3292">
        <w:fldChar w:fldCharType="begin"/>
      </w:r>
      <w:r w:rsidR="00FB454C" w:rsidRPr="00EA3292">
        <w:instrText xml:space="preserve"> STYLEREF 1 \s </w:instrText>
      </w:r>
      <w:r w:rsidR="00FB454C" w:rsidRPr="00EA3292">
        <w:fldChar w:fldCharType="separate"/>
      </w:r>
      <w:r w:rsidR="0071604C">
        <w:rPr>
          <w:noProof/>
        </w:rPr>
        <w:t>3</w:t>
      </w:r>
      <w:r w:rsidR="00FB454C" w:rsidRPr="00EA3292">
        <w:rPr>
          <w:noProof/>
        </w:rPr>
        <w:fldChar w:fldCharType="end"/>
      </w:r>
      <w:r w:rsidR="00131917" w:rsidRPr="00EA3292">
        <w:t>.</w:t>
      </w:r>
      <w:r w:rsidR="00FB454C" w:rsidRPr="00EA3292">
        <w:fldChar w:fldCharType="begin"/>
      </w:r>
      <w:r w:rsidR="00FB454C" w:rsidRPr="00EA3292">
        <w:instrText xml:space="preserve"> SEQ Table \* ARABIC \s 1 </w:instrText>
      </w:r>
      <w:r w:rsidR="00FB454C" w:rsidRPr="00EA3292">
        <w:fldChar w:fldCharType="separate"/>
      </w:r>
      <w:r w:rsidR="0071604C">
        <w:rPr>
          <w:noProof/>
        </w:rPr>
        <w:t>77</w:t>
      </w:r>
      <w:r w:rsidR="00FB454C" w:rsidRPr="00EA3292">
        <w:rPr>
          <w:noProof/>
        </w:rPr>
        <w:fldChar w:fldCharType="end"/>
      </w:r>
      <w:bookmarkEnd w:id="265"/>
      <w:r w:rsidR="001D2587" w:rsidRPr="00EA3292">
        <w:t xml:space="preserve">: Heavy metal emission factors for all vehicle categories in </w:t>
      </w:r>
      <w:r w:rsidR="006A5155" w:rsidRPr="00EA3292">
        <w:t>ppm</w:t>
      </w:r>
      <w:r w:rsidR="001D2587" w:rsidRPr="00EA3292">
        <w:t>/</w:t>
      </w:r>
      <w:r w:rsidR="006A5155" w:rsidRPr="00EA3292">
        <w:t>wt</w:t>
      </w:r>
      <w:r w:rsidR="001D2587" w:rsidRPr="00EA3292">
        <w:t xml:space="preserve"> fuel</w:t>
      </w:r>
    </w:p>
    <w:tbl>
      <w:tblPr>
        <w:tblW w:w="8451" w:type="dxa"/>
        <w:tblLayout w:type="fixed"/>
        <w:tblCellMar>
          <w:left w:w="28" w:type="dxa"/>
          <w:right w:w="28" w:type="dxa"/>
        </w:tblCellMar>
        <w:tblLook w:val="0000" w:firstRow="0" w:lastRow="0" w:firstColumn="0" w:lastColumn="0" w:noHBand="0" w:noVBand="0"/>
      </w:tblPr>
      <w:tblGrid>
        <w:gridCol w:w="2331"/>
        <w:gridCol w:w="680"/>
        <w:gridCol w:w="680"/>
        <w:gridCol w:w="680"/>
        <w:gridCol w:w="680"/>
        <w:gridCol w:w="680"/>
        <w:gridCol w:w="680"/>
        <w:gridCol w:w="680"/>
        <w:gridCol w:w="680"/>
        <w:gridCol w:w="680"/>
      </w:tblGrid>
      <w:tr w:rsidR="006A5155" w:rsidRPr="00EA3292" w14:paraId="458CF192" w14:textId="77777777" w:rsidTr="006A5155">
        <w:trPr>
          <w:trHeight w:val="240"/>
        </w:trPr>
        <w:tc>
          <w:tcPr>
            <w:tcW w:w="2331" w:type="dxa"/>
            <w:tcBorders>
              <w:top w:val="double" w:sz="6" w:space="0" w:color="auto"/>
              <w:left w:val="double" w:sz="6" w:space="0" w:color="auto"/>
              <w:bottom w:val="single" w:sz="12" w:space="0" w:color="auto"/>
            </w:tcBorders>
            <w:vAlign w:val="center"/>
          </w:tcPr>
          <w:p w14:paraId="31A1B214" w14:textId="77777777" w:rsidR="006A5155" w:rsidRPr="00EA3292" w:rsidRDefault="006A5155" w:rsidP="005C7955">
            <w:pPr>
              <w:pStyle w:val="Table"/>
              <w:spacing w:line="240" w:lineRule="atLeast"/>
              <w:jc w:val="center"/>
              <w:rPr>
                <w:rFonts w:ascii="Open Sans" w:hAnsi="Open Sans" w:cs="Open Sans"/>
                <w:b/>
                <w:sz w:val="18"/>
                <w:szCs w:val="18"/>
                <w:lang w:val="en-GB"/>
              </w:rPr>
            </w:pPr>
            <w:r w:rsidRPr="00EA3292">
              <w:rPr>
                <w:rFonts w:ascii="Open Sans" w:hAnsi="Open Sans" w:cs="Open Sans"/>
                <w:b/>
                <w:sz w:val="18"/>
                <w:szCs w:val="18"/>
                <w:lang w:val="en-GB"/>
              </w:rPr>
              <w:t>Category</w:t>
            </w:r>
          </w:p>
        </w:tc>
        <w:tc>
          <w:tcPr>
            <w:tcW w:w="680" w:type="dxa"/>
            <w:tcBorders>
              <w:top w:val="double" w:sz="6" w:space="0" w:color="auto"/>
              <w:left w:val="single" w:sz="2" w:space="0" w:color="000000"/>
              <w:bottom w:val="single" w:sz="12" w:space="0" w:color="auto"/>
            </w:tcBorders>
            <w:vAlign w:val="bottom"/>
          </w:tcPr>
          <w:p w14:paraId="23398009"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Pb</w:t>
            </w:r>
          </w:p>
        </w:tc>
        <w:tc>
          <w:tcPr>
            <w:tcW w:w="680" w:type="dxa"/>
            <w:tcBorders>
              <w:top w:val="double" w:sz="6" w:space="0" w:color="auto"/>
              <w:left w:val="single" w:sz="2" w:space="0" w:color="000000"/>
              <w:bottom w:val="single" w:sz="12" w:space="0" w:color="auto"/>
              <w:right w:val="single" w:sz="2" w:space="0" w:color="000000"/>
            </w:tcBorders>
            <w:vAlign w:val="bottom"/>
          </w:tcPr>
          <w:p w14:paraId="6FF199C8"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Cd</w:t>
            </w:r>
          </w:p>
        </w:tc>
        <w:tc>
          <w:tcPr>
            <w:tcW w:w="680" w:type="dxa"/>
            <w:tcBorders>
              <w:top w:val="double" w:sz="6" w:space="0" w:color="auto"/>
              <w:left w:val="single" w:sz="2" w:space="0" w:color="000000"/>
              <w:bottom w:val="single" w:sz="12" w:space="0" w:color="auto"/>
              <w:right w:val="single" w:sz="2" w:space="0" w:color="000000"/>
            </w:tcBorders>
            <w:vAlign w:val="bottom"/>
          </w:tcPr>
          <w:p w14:paraId="22A5768F"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Cu</w:t>
            </w:r>
          </w:p>
        </w:tc>
        <w:tc>
          <w:tcPr>
            <w:tcW w:w="680" w:type="dxa"/>
            <w:tcBorders>
              <w:top w:val="double" w:sz="6" w:space="0" w:color="auto"/>
              <w:left w:val="single" w:sz="2" w:space="0" w:color="000000"/>
              <w:bottom w:val="single" w:sz="12" w:space="0" w:color="auto"/>
              <w:right w:val="single" w:sz="2" w:space="0" w:color="000000"/>
            </w:tcBorders>
            <w:vAlign w:val="bottom"/>
          </w:tcPr>
          <w:p w14:paraId="40C20AD0"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Cr</w:t>
            </w:r>
          </w:p>
        </w:tc>
        <w:tc>
          <w:tcPr>
            <w:tcW w:w="680" w:type="dxa"/>
            <w:tcBorders>
              <w:top w:val="double" w:sz="6" w:space="0" w:color="auto"/>
              <w:left w:val="single" w:sz="2" w:space="0" w:color="000000"/>
              <w:bottom w:val="single" w:sz="12" w:space="0" w:color="auto"/>
              <w:right w:val="single" w:sz="2" w:space="0" w:color="000000"/>
            </w:tcBorders>
            <w:vAlign w:val="bottom"/>
          </w:tcPr>
          <w:p w14:paraId="6F25B69C"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Ni</w:t>
            </w:r>
          </w:p>
        </w:tc>
        <w:tc>
          <w:tcPr>
            <w:tcW w:w="680" w:type="dxa"/>
            <w:tcBorders>
              <w:top w:val="double" w:sz="6" w:space="0" w:color="auto"/>
              <w:left w:val="single" w:sz="2" w:space="0" w:color="000000"/>
              <w:bottom w:val="single" w:sz="12" w:space="0" w:color="auto"/>
              <w:right w:val="single" w:sz="2" w:space="0" w:color="000000"/>
            </w:tcBorders>
            <w:vAlign w:val="bottom"/>
          </w:tcPr>
          <w:p w14:paraId="14DB71D7"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Se</w:t>
            </w:r>
          </w:p>
        </w:tc>
        <w:tc>
          <w:tcPr>
            <w:tcW w:w="680" w:type="dxa"/>
            <w:tcBorders>
              <w:top w:val="double" w:sz="6" w:space="0" w:color="auto"/>
              <w:left w:val="single" w:sz="2" w:space="0" w:color="000000"/>
              <w:bottom w:val="single" w:sz="12" w:space="0" w:color="auto"/>
              <w:right w:val="single" w:sz="2" w:space="0" w:color="000000"/>
            </w:tcBorders>
            <w:vAlign w:val="bottom"/>
          </w:tcPr>
          <w:p w14:paraId="41AAFFA0"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Zn</w:t>
            </w:r>
          </w:p>
        </w:tc>
        <w:tc>
          <w:tcPr>
            <w:tcW w:w="680" w:type="dxa"/>
            <w:tcBorders>
              <w:top w:val="double" w:sz="6" w:space="0" w:color="auto"/>
              <w:left w:val="single" w:sz="2" w:space="0" w:color="000000"/>
              <w:bottom w:val="single" w:sz="12" w:space="0" w:color="auto"/>
              <w:right w:val="single" w:sz="2" w:space="0" w:color="000000"/>
            </w:tcBorders>
            <w:vAlign w:val="bottom"/>
          </w:tcPr>
          <w:p w14:paraId="581D71A5"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Hg</w:t>
            </w:r>
          </w:p>
        </w:tc>
        <w:tc>
          <w:tcPr>
            <w:tcW w:w="680" w:type="dxa"/>
            <w:tcBorders>
              <w:top w:val="double" w:sz="6" w:space="0" w:color="auto"/>
              <w:left w:val="nil"/>
              <w:bottom w:val="single" w:sz="12" w:space="0" w:color="auto"/>
              <w:right w:val="double" w:sz="6" w:space="0" w:color="auto"/>
            </w:tcBorders>
            <w:vAlign w:val="bottom"/>
          </w:tcPr>
          <w:p w14:paraId="7C9D9C95"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As</w:t>
            </w:r>
          </w:p>
        </w:tc>
      </w:tr>
      <w:tr w:rsidR="006A5155" w:rsidRPr="00EA3292" w14:paraId="321E6BE3" w14:textId="77777777" w:rsidTr="006A5155">
        <w:trPr>
          <w:trHeight w:val="240"/>
        </w:trPr>
        <w:tc>
          <w:tcPr>
            <w:tcW w:w="2331" w:type="dxa"/>
            <w:tcBorders>
              <w:top w:val="single" w:sz="12" w:space="0" w:color="auto"/>
              <w:left w:val="double" w:sz="6" w:space="0" w:color="auto"/>
              <w:bottom w:val="single" w:sz="2" w:space="0" w:color="000000"/>
            </w:tcBorders>
            <w:vAlign w:val="center"/>
          </w:tcPr>
          <w:p w14:paraId="4B1C482D"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petrol</w:t>
            </w:r>
          </w:p>
        </w:tc>
        <w:tc>
          <w:tcPr>
            <w:tcW w:w="680" w:type="dxa"/>
            <w:tcBorders>
              <w:top w:val="single" w:sz="12" w:space="0" w:color="auto"/>
              <w:left w:val="single" w:sz="2" w:space="0" w:color="000000"/>
              <w:bottom w:val="single" w:sz="2" w:space="0" w:color="000000"/>
            </w:tcBorders>
            <w:vAlign w:val="bottom"/>
          </w:tcPr>
          <w:p w14:paraId="1709D3E5"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12" w:space="0" w:color="auto"/>
              <w:left w:val="single" w:sz="2" w:space="0" w:color="000000"/>
              <w:bottom w:val="single" w:sz="2" w:space="0" w:color="000000"/>
              <w:right w:val="single" w:sz="2" w:space="0" w:color="000000"/>
            </w:tcBorders>
            <w:vAlign w:val="bottom"/>
          </w:tcPr>
          <w:p w14:paraId="6F12C118"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12" w:space="0" w:color="auto"/>
              <w:left w:val="single" w:sz="2" w:space="0" w:color="000000"/>
              <w:bottom w:val="single" w:sz="2" w:space="0" w:color="000000"/>
              <w:right w:val="single" w:sz="2" w:space="0" w:color="000000"/>
            </w:tcBorders>
            <w:vAlign w:val="bottom"/>
          </w:tcPr>
          <w:p w14:paraId="3D86ABCE"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12" w:space="0" w:color="auto"/>
              <w:left w:val="single" w:sz="2" w:space="0" w:color="000000"/>
              <w:bottom w:val="single" w:sz="2" w:space="0" w:color="000000"/>
              <w:right w:val="single" w:sz="2" w:space="0" w:color="000000"/>
            </w:tcBorders>
            <w:vAlign w:val="bottom"/>
          </w:tcPr>
          <w:p w14:paraId="7279E1DD"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12" w:space="0" w:color="auto"/>
              <w:left w:val="single" w:sz="2" w:space="0" w:color="000000"/>
              <w:bottom w:val="single" w:sz="2" w:space="0" w:color="000000"/>
              <w:right w:val="single" w:sz="2" w:space="0" w:color="000000"/>
            </w:tcBorders>
            <w:vAlign w:val="bottom"/>
          </w:tcPr>
          <w:p w14:paraId="48DAC7EE"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12" w:space="0" w:color="auto"/>
              <w:left w:val="single" w:sz="2" w:space="0" w:color="000000"/>
              <w:bottom w:val="single" w:sz="2" w:space="0" w:color="000000"/>
              <w:right w:val="single" w:sz="2" w:space="0" w:color="000000"/>
            </w:tcBorders>
            <w:vAlign w:val="bottom"/>
          </w:tcPr>
          <w:p w14:paraId="0C34DDFD"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12" w:space="0" w:color="auto"/>
              <w:left w:val="single" w:sz="2" w:space="0" w:color="000000"/>
              <w:bottom w:val="single" w:sz="2" w:space="0" w:color="000000"/>
              <w:right w:val="single" w:sz="2" w:space="0" w:color="000000"/>
            </w:tcBorders>
            <w:vAlign w:val="bottom"/>
          </w:tcPr>
          <w:p w14:paraId="6334F54B"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12" w:space="0" w:color="auto"/>
              <w:left w:val="single" w:sz="2" w:space="0" w:color="000000"/>
              <w:bottom w:val="single" w:sz="2" w:space="0" w:color="000000"/>
              <w:right w:val="single" w:sz="2" w:space="0" w:color="000000"/>
            </w:tcBorders>
            <w:vAlign w:val="bottom"/>
          </w:tcPr>
          <w:p w14:paraId="01B33BE8"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12" w:space="0" w:color="auto"/>
              <w:left w:val="nil"/>
              <w:bottom w:val="single" w:sz="2" w:space="0" w:color="000000"/>
              <w:right w:val="double" w:sz="6" w:space="0" w:color="auto"/>
            </w:tcBorders>
            <w:vAlign w:val="bottom"/>
          </w:tcPr>
          <w:p w14:paraId="540DD7D8" w14:textId="77777777" w:rsidR="006A5155" w:rsidRPr="00EA3292" w:rsidRDefault="006A5155">
            <w:pPr>
              <w:jc w:val="right"/>
              <w:rPr>
                <w:rFonts w:cs="Open Sans"/>
                <w:color w:val="000000"/>
                <w:szCs w:val="18"/>
              </w:rPr>
            </w:pPr>
            <w:r w:rsidRPr="00EA3292">
              <w:rPr>
                <w:rFonts w:cs="Open Sans"/>
                <w:color w:val="000000"/>
                <w:szCs w:val="18"/>
              </w:rPr>
              <w:t>0.0003</w:t>
            </w:r>
          </w:p>
        </w:tc>
      </w:tr>
      <w:tr w:rsidR="006A5155" w:rsidRPr="00EA3292" w14:paraId="01870800"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541DBBF4"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diesel</w:t>
            </w:r>
          </w:p>
        </w:tc>
        <w:tc>
          <w:tcPr>
            <w:tcW w:w="680" w:type="dxa"/>
            <w:tcBorders>
              <w:top w:val="single" w:sz="2" w:space="0" w:color="000000"/>
              <w:left w:val="single" w:sz="2" w:space="0" w:color="000000"/>
              <w:bottom w:val="single" w:sz="2" w:space="0" w:color="000000"/>
            </w:tcBorders>
            <w:vAlign w:val="bottom"/>
          </w:tcPr>
          <w:p w14:paraId="13C06D57" w14:textId="77777777" w:rsidR="006A5155" w:rsidRPr="00EA3292" w:rsidRDefault="006A5155">
            <w:pPr>
              <w:jc w:val="right"/>
              <w:rPr>
                <w:rFonts w:cs="Open Sans"/>
                <w:color w:val="000000"/>
                <w:szCs w:val="18"/>
              </w:rPr>
            </w:pPr>
            <w:r w:rsidRPr="00EA3292">
              <w:rPr>
                <w:rFonts w:cs="Open Sans"/>
                <w:color w:val="000000"/>
                <w:szCs w:val="18"/>
              </w:rPr>
              <w:t>0.0005</w:t>
            </w:r>
          </w:p>
        </w:tc>
        <w:tc>
          <w:tcPr>
            <w:tcW w:w="680" w:type="dxa"/>
            <w:tcBorders>
              <w:top w:val="single" w:sz="2" w:space="0" w:color="000000"/>
              <w:left w:val="single" w:sz="2" w:space="0" w:color="000000"/>
              <w:bottom w:val="single" w:sz="2" w:space="0" w:color="000000"/>
              <w:right w:val="single" w:sz="2" w:space="0" w:color="000000"/>
            </w:tcBorders>
            <w:vAlign w:val="bottom"/>
          </w:tcPr>
          <w:p w14:paraId="582F5315" w14:textId="77777777" w:rsidR="006A5155" w:rsidRPr="00EA3292" w:rsidRDefault="006A5155" w:rsidP="006A5155">
            <w:pPr>
              <w:jc w:val="right"/>
              <w:rPr>
                <w:rFonts w:cs="Open Sans"/>
                <w:color w:val="000000"/>
                <w:szCs w:val="18"/>
              </w:rPr>
            </w:pPr>
            <w:r w:rsidRPr="00EA3292">
              <w:rPr>
                <w:rFonts w:cs="Open Sans"/>
                <w:color w:val="000000"/>
                <w:szCs w:val="18"/>
              </w:rPr>
              <w:t>5 E-05</w:t>
            </w:r>
          </w:p>
        </w:tc>
        <w:tc>
          <w:tcPr>
            <w:tcW w:w="680" w:type="dxa"/>
            <w:tcBorders>
              <w:top w:val="single" w:sz="2" w:space="0" w:color="000000"/>
              <w:left w:val="single" w:sz="2" w:space="0" w:color="000000"/>
              <w:bottom w:val="single" w:sz="2" w:space="0" w:color="000000"/>
              <w:right w:val="single" w:sz="2" w:space="0" w:color="000000"/>
            </w:tcBorders>
            <w:vAlign w:val="bottom"/>
          </w:tcPr>
          <w:p w14:paraId="2A933A7A" w14:textId="77777777" w:rsidR="006A5155" w:rsidRPr="00EA3292" w:rsidRDefault="006A5155">
            <w:pPr>
              <w:jc w:val="right"/>
              <w:rPr>
                <w:rFonts w:cs="Open Sans"/>
                <w:color w:val="000000"/>
                <w:szCs w:val="18"/>
              </w:rPr>
            </w:pPr>
            <w:r w:rsidRPr="00EA3292">
              <w:rPr>
                <w:rFonts w:cs="Open Sans"/>
                <w:color w:val="000000"/>
                <w:szCs w:val="18"/>
              </w:rPr>
              <w:t>0.0057</w:t>
            </w:r>
          </w:p>
        </w:tc>
        <w:tc>
          <w:tcPr>
            <w:tcW w:w="680" w:type="dxa"/>
            <w:tcBorders>
              <w:top w:val="single" w:sz="2" w:space="0" w:color="000000"/>
              <w:left w:val="single" w:sz="2" w:space="0" w:color="000000"/>
              <w:bottom w:val="single" w:sz="2" w:space="0" w:color="000000"/>
              <w:right w:val="single" w:sz="2" w:space="0" w:color="000000"/>
            </w:tcBorders>
            <w:vAlign w:val="bottom"/>
          </w:tcPr>
          <w:p w14:paraId="6D3718BC" w14:textId="77777777" w:rsidR="006A5155" w:rsidRPr="00EA3292" w:rsidRDefault="006A5155">
            <w:pPr>
              <w:jc w:val="right"/>
              <w:rPr>
                <w:rFonts w:cs="Open Sans"/>
                <w:color w:val="000000"/>
                <w:szCs w:val="18"/>
              </w:rPr>
            </w:pPr>
            <w:r w:rsidRPr="00EA3292">
              <w:rPr>
                <w:rFonts w:cs="Open Sans"/>
                <w:color w:val="000000"/>
                <w:szCs w:val="18"/>
              </w:rPr>
              <w:t>0.0085</w:t>
            </w:r>
          </w:p>
        </w:tc>
        <w:tc>
          <w:tcPr>
            <w:tcW w:w="680" w:type="dxa"/>
            <w:tcBorders>
              <w:top w:val="single" w:sz="2" w:space="0" w:color="000000"/>
              <w:left w:val="single" w:sz="2" w:space="0" w:color="000000"/>
              <w:bottom w:val="single" w:sz="2" w:space="0" w:color="000000"/>
              <w:right w:val="single" w:sz="2" w:space="0" w:color="000000"/>
            </w:tcBorders>
            <w:vAlign w:val="bottom"/>
          </w:tcPr>
          <w:p w14:paraId="75BCC9E6"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669A6215" w14:textId="77777777" w:rsidR="006A5155" w:rsidRPr="00EA3292" w:rsidRDefault="006A5155">
            <w:pPr>
              <w:jc w:val="right"/>
              <w:rPr>
                <w:rFonts w:cs="Open Sans"/>
                <w:color w:val="000000"/>
                <w:szCs w:val="18"/>
              </w:rPr>
            </w:pPr>
            <w:r w:rsidRPr="00EA3292">
              <w:rPr>
                <w:rFonts w:cs="Open Sans"/>
                <w:color w:val="000000"/>
                <w:szCs w:val="18"/>
              </w:rPr>
              <w:t>0.0001</w:t>
            </w:r>
          </w:p>
        </w:tc>
        <w:tc>
          <w:tcPr>
            <w:tcW w:w="680" w:type="dxa"/>
            <w:tcBorders>
              <w:top w:val="single" w:sz="2" w:space="0" w:color="000000"/>
              <w:left w:val="single" w:sz="2" w:space="0" w:color="000000"/>
              <w:bottom w:val="single" w:sz="2" w:space="0" w:color="000000"/>
              <w:right w:val="single" w:sz="2" w:space="0" w:color="000000"/>
            </w:tcBorders>
            <w:vAlign w:val="bottom"/>
          </w:tcPr>
          <w:p w14:paraId="4BB19E43" w14:textId="77777777" w:rsidR="006A5155" w:rsidRPr="00EA3292" w:rsidRDefault="006A5155">
            <w:pPr>
              <w:jc w:val="right"/>
              <w:rPr>
                <w:rFonts w:cs="Open Sans"/>
                <w:color w:val="000000"/>
                <w:szCs w:val="18"/>
              </w:rPr>
            </w:pPr>
            <w:r w:rsidRPr="00EA3292">
              <w:rPr>
                <w:rFonts w:cs="Open Sans"/>
                <w:color w:val="000000"/>
                <w:szCs w:val="18"/>
              </w:rPr>
              <w:t>0.018</w:t>
            </w:r>
          </w:p>
        </w:tc>
        <w:tc>
          <w:tcPr>
            <w:tcW w:w="680" w:type="dxa"/>
            <w:tcBorders>
              <w:top w:val="single" w:sz="2" w:space="0" w:color="000000"/>
              <w:left w:val="single" w:sz="2" w:space="0" w:color="000000"/>
              <w:bottom w:val="single" w:sz="2" w:space="0" w:color="000000"/>
              <w:right w:val="single" w:sz="2" w:space="0" w:color="000000"/>
            </w:tcBorders>
            <w:vAlign w:val="bottom"/>
          </w:tcPr>
          <w:p w14:paraId="781159FC" w14:textId="77777777" w:rsidR="006A5155" w:rsidRPr="00EA3292" w:rsidRDefault="006A5155">
            <w:pPr>
              <w:jc w:val="right"/>
              <w:rPr>
                <w:rFonts w:cs="Open Sans"/>
                <w:color w:val="000000"/>
                <w:szCs w:val="18"/>
              </w:rPr>
            </w:pPr>
            <w:r w:rsidRPr="00EA3292">
              <w:rPr>
                <w:rFonts w:cs="Open Sans"/>
                <w:color w:val="000000"/>
                <w:szCs w:val="18"/>
              </w:rPr>
              <w:t>0.0053</w:t>
            </w:r>
          </w:p>
        </w:tc>
        <w:tc>
          <w:tcPr>
            <w:tcW w:w="680" w:type="dxa"/>
            <w:tcBorders>
              <w:top w:val="single" w:sz="2" w:space="0" w:color="000000"/>
              <w:left w:val="nil"/>
              <w:bottom w:val="single" w:sz="2" w:space="0" w:color="000000"/>
              <w:right w:val="double" w:sz="6" w:space="0" w:color="auto"/>
            </w:tcBorders>
            <w:vAlign w:val="bottom"/>
          </w:tcPr>
          <w:p w14:paraId="4CB61D18" w14:textId="77777777" w:rsidR="006A5155" w:rsidRPr="00EA3292" w:rsidRDefault="006A5155">
            <w:pPr>
              <w:jc w:val="right"/>
              <w:rPr>
                <w:rFonts w:cs="Open Sans"/>
                <w:color w:val="000000"/>
                <w:szCs w:val="18"/>
              </w:rPr>
            </w:pPr>
            <w:r w:rsidRPr="00EA3292">
              <w:rPr>
                <w:rFonts w:cs="Open Sans"/>
                <w:color w:val="000000"/>
                <w:szCs w:val="18"/>
              </w:rPr>
              <w:t>0.0001</w:t>
            </w:r>
          </w:p>
        </w:tc>
      </w:tr>
      <w:tr w:rsidR="006A5155" w:rsidRPr="00EA3292" w14:paraId="499BD292"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344A9927"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petrol</w:t>
            </w:r>
          </w:p>
        </w:tc>
        <w:tc>
          <w:tcPr>
            <w:tcW w:w="680" w:type="dxa"/>
            <w:tcBorders>
              <w:top w:val="single" w:sz="2" w:space="0" w:color="000000"/>
              <w:left w:val="single" w:sz="2" w:space="0" w:color="000000"/>
              <w:bottom w:val="single" w:sz="2" w:space="0" w:color="000000"/>
            </w:tcBorders>
            <w:vAlign w:val="bottom"/>
          </w:tcPr>
          <w:p w14:paraId="2CE24D01"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2" w:space="0" w:color="000000"/>
              <w:left w:val="single" w:sz="2" w:space="0" w:color="000000"/>
              <w:bottom w:val="single" w:sz="2" w:space="0" w:color="000000"/>
              <w:right w:val="single" w:sz="2" w:space="0" w:color="000000"/>
            </w:tcBorders>
            <w:vAlign w:val="bottom"/>
          </w:tcPr>
          <w:p w14:paraId="00B0EA8F"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1E231AD9"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2" w:space="0" w:color="000000"/>
              <w:left w:val="single" w:sz="2" w:space="0" w:color="000000"/>
              <w:bottom w:val="single" w:sz="2" w:space="0" w:color="000000"/>
              <w:right w:val="single" w:sz="2" w:space="0" w:color="000000"/>
            </w:tcBorders>
            <w:vAlign w:val="bottom"/>
          </w:tcPr>
          <w:p w14:paraId="43C9BD14"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2" w:space="0" w:color="000000"/>
              <w:left w:val="single" w:sz="2" w:space="0" w:color="000000"/>
              <w:bottom w:val="single" w:sz="2" w:space="0" w:color="000000"/>
              <w:right w:val="single" w:sz="2" w:space="0" w:color="000000"/>
            </w:tcBorders>
            <w:vAlign w:val="bottom"/>
          </w:tcPr>
          <w:p w14:paraId="2D67857A"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2" w:space="0" w:color="000000"/>
              <w:left w:val="single" w:sz="2" w:space="0" w:color="000000"/>
              <w:bottom w:val="single" w:sz="2" w:space="0" w:color="000000"/>
              <w:right w:val="single" w:sz="2" w:space="0" w:color="000000"/>
            </w:tcBorders>
            <w:vAlign w:val="bottom"/>
          </w:tcPr>
          <w:p w14:paraId="777871A8"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62AD4027"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2" w:space="0" w:color="000000"/>
              <w:left w:val="single" w:sz="2" w:space="0" w:color="000000"/>
              <w:bottom w:val="single" w:sz="2" w:space="0" w:color="000000"/>
              <w:right w:val="single" w:sz="2" w:space="0" w:color="000000"/>
            </w:tcBorders>
            <w:vAlign w:val="bottom"/>
          </w:tcPr>
          <w:p w14:paraId="2B82F767"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2" w:space="0" w:color="000000"/>
              <w:left w:val="nil"/>
              <w:bottom w:val="single" w:sz="2" w:space="0" w:color="000000"/>
              <w:right w:val="double" w:sz="6" w:space="0" w:color="auto"/>
            </w:tcBorders>
            <w:vAlign w:val="bottom"/>
          </w:tcPr>
          <w:p w14:paraId="5A59FF16" w14:textId="77777777" w:rsidR="006A5155" w:rsidRPr="00EA3292" w:rsidRDefault="006A5155">
            <w:pPr>
              <w:jc w:val="right"/>
              <w:rPr>
                <w:rFonts w:cs="Open Sans"/>
                <w:color w:val="000000"/>
                <w:szCs w:val="18"/>
              </w:rPr>
            </w:pPr>
            <w:r w:rsidRPr="00EA3292">
              <w:rPr>
                <w:rFonts w:cs="Open Sans"/>
                <w:color w:val="000000"/>
                <w:szCs w:val="18"/>
              </w:rPr>
              <w:t>0.0003</w:t>
            </w:r>
          </w:p>
        </w:tc>
      </w:tr>
      <w:tr w:rsidR="006A5155" w:rsidRPr="00EA3292" w14:paraId="3956EA20"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79EA143C"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diesel</w:t>
            </w:r>
          </w:p>
        </w:tc>
        <w:tc>
          <w:tcPr>
            <w:tcW w:w="680" w:type="dxa"/>
            <w:tcBorders>
              <w:top w:val="single" w:sz="2" w:space="0" w:color="000000"/>
              <w:left w:val="single" w:sz="2" w:space="0" w:color="000000"/>
              <w:bottom w:val="single" w:sz="2" w:space="0" w:color="000000"/>
            </w:tcBorders>
            <w:vAlign w:val="bottom"/>
          </w:tcPr>
          <w:p w14:paraId="241742E6" w14:textId="77777777" w:rsidR="006A5155" w:rsidRPr="00EA3292" w:rsidRDefault="006A5155">
            <w:pPr>
              <w:jc w:val="right"/>
              <w:rPr>
                <w:rFonts w:cs="Open Sans"/>
                <w:color w:val="000000"/>
                <w:szCs w:val="18"/>
              </w:rPr>
            </w:pPr>
            <w:r w:rsidRPr="00EA3292">
              <w:rPr>
                <w:rFonts w:cs="Open Sans"/>
                <w:color w:val="000000"/>
                <w:szCs w:val="18"/>
              </w:rPr>
              <w:t>0.0005</w:t>
            </w:r>
          </w:p>
        </w:tc>
        <w:tc>
          <w:tcPr>
            <w:tcW w:w="680" w:type="dxa"/>
            <w:tcBorders>
              <w:top w:val="single" w:sz="2" w:space="0" w:color="000000"/>
              <w:left w:val="single" w:sz="2" w:space="0" w:color="000000"/>
              <w:bottom w:val="single" w:sz="2" w:space="0" w:color="000000"/>
              <w:right w:val="single" w:sz="2" w:space="0" w:color="000000"/>
            </w:tcBorders>
            <w:vAlign w:val="bottom"/>
          </w:tcPr>
          <w:p w14:paraId="2B6E4A32" w14:textId="77777777" w:rsidR="006A5155" w:rsidRPr="00EA3292" w:rsidRDefault="006A5155" w:rsidP="006A5155">
            <w:pPr>
              <w:jc w:val="right"/>
              <w:rPr>
                <w:rFonts w:cs="Open Sans"/>
                <w:color w:val="000000"/>
                <w:szCs w:val="18"/>
              </w:rPr>
            </w:pPr>
            <w:r w:rsidRPr="00EA3292">
              <w:rPr>
                <w:rFonts w:cs="Open Sans"/>
                <w:color w:val="000000"/>
                <w:szCs w:val="18"/>
              </w:rPr>
              <w:t>5 E-05</w:t>
            </w:r>
          </w:p>
        </w:tc>
        <w:tc>
          <w:tcPr>
            <w:tcW w:w="680" w:type="dxa"/>
            <w:tcBorders>
              <w:top w:val="single" w:sz="2" w:space="0" w:color="000000"/>
              <w:left w:val="single" w:sz="2" w:space="0" w:color="000000"/>
              <w:bottom w:val="single" w:sz="2" w:space="0" w:color="000000"/>
              <w:right w:val="single" w:sz="2" w:space="0" w:color="000000"/>
            </w:tcBorders>
            <w:vAlign w:val="bottom"/>
          </w:tcPr>
          <w:p w14:paraId="4121356F" w14:textId="77777777" w:rsidR="006A5155" w:rsidRPr="00EA3292" w:rsidRDefault="006A5155">
            <w:pPr>
              <w:jc w:val="right"/>
              <w:rPr>
                <w:rFonts w:cs="Open Sans"/>
                <w:color w:val="000000"/>
                <w:szCs w:val="18"/>
              </w:rPr>
            </w:pPr>
            <w:r w:rsidRPr="00EA3292">
              <w:rPr>
                <w:rFonts w:cs="Open Sans"/>
                <w:color w:val="000000"/>
                <w:szCs w:val="18"/>
              </w:rPr>
              <w:t>0.0057</w:t>
            </w:r>
          </w:p>
        </w:tc>
        <w:tc>
          <w:tcPr>
            <w:tcW w:w="680" w:type="dxa"/>
            <w:tcBorders>
              <w:top w:val="single" w:sz="2" w:space="0" w:color="000000"/>
              <w:left w:val="single" w:sz="2" w:space="0" w:color="000000"/>
              <w:bottom w:val="single" w:sz="2" w:space="0" w:color="000000"/>
              <w:right w:val="single" w:sz="2" w:space="0" w:color="000000"/>
            </w:tcBorders>
            <w:vAlign w:val="bottom"/>
          </w:tcPr>
          <w:p w14:paraId="320BB1ED" w14:textId="77777777" w:rsidR="006A5155" w:rsidRPr="00EA3292" w:rsidRDefault="006A5155">
            <w:pPr>
              <w:jc w:val="right"/>
              <w:rPr>
                <w:rFonts w:cs="Open Sans"/>
                <w:color w:val="000000"/>
                <w:szCs w:val="18"/>
              </w:rPr>
            </w:pPr>
            <w:r w:rsidRPr="00EA3292">
              <w:rPr>
                <w:rFonts w:cs="Open Sans"/>
                <w:color w:val="000000"/>
                <w:szCs w:val="18"/>
              </w:rPr>
              <w:t>0.0085</w:t>
            </w:r>
          </w:p>
        </w:tc>
        <w:tc>
          <w:tcPr>
            <w:tcW w:w="680" w:type="dxa"/>
            <w:tcBorders>
              <w:top w:val="single" w:sz="2" w:space="0" w:color="000000"/>
              <w:left w:val="single" w:sz="2" w:space="0" w:color="000000"/>
              <w:bottom w:val="single" w:sz="2" w:space="0" w:color="000000"/>
              <w:right w:val="single" w:sz="2" w:space="0" w:color="000000"/>
            </w:tcBorders>
            <w:vAlign w:val="bottom"/>
          </w:tcPr>
          <w:p w14:paraId="05B59955"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22C80941" w14:textId="77777777" w:rsidR="006A5155" w:rsidRPr="00EA3292" w:rsidRDefault="006A5155">
            <w:pPr>
              <w:jc w:val="right"/>
              <w:rPr>
                <w:rFonts w:cs="Open Sans"/>
                <w:color w:val="000000"/>
                <w:szCs w:val="18"/>
              </w:rPr>
            </w:pPr>
            <w:r w:rsidRPr="00EA3292">
              <w:rPr>
                <w:rFonts w:cs="Open Sans"/>
                <w:color w:val="000000"/>
                <w:szCs w:val="18"/>
              </w:rPr>
              <w:t>0.0001</w:t>
            </w:r>
          </w:p>
        </w:tc>
        <w:tc>
          <w:tcPr>
            <w:tcW w:w="680" w:type="dxa"/>
            <w:tcBorders>
              <w:top w:val="single" w:sz="2" w:space="0" w:color="000000"/>
              <w:left w:val="single" w:sz="2" w:space="0" w:color="000000"/>
              <w:bottom w:val="single" w:sz="2" w:space="0" w:color="000000"/>
              <w:right w:val="single" w:sz="2" w:space="0" w:color="000000"/>
            </w:tcBorders>
            <w:vAlign w:val="bottom"/>
          </w:tcPr>
          <w:p w14:paraId="6F17BF01" w14:textId="77777777" w:rsidR="006A5155" w:rsidRPr="00EA3292" w:rsidRDefault="006A5155">
            <w:pPr>
              <w:jc w:val="right"/>
              <w:rPr>
                <w:rFonts w:cs="Open Sans"/>
                <w:color w:val="000000"/>
                <w:szCs w:val="18"/>
              </w:rPr>
            </w:pPr>
            <w:r w:rsidRPr="00EA3292">
              <w:rPr>
                <w:rFonts w:cs="Open Sans"/>
                <w:color w:val="000000"/>
                <w:szCs w:val="18"/>
              </w:rPr>
              <w:t>0.018</w:t>
            </w:r>
          </w:p>
        </w:tc>
        <w:tc>
          <w:tcPr>
            <w:tcW w:w="680" w:type="dxa"/>
            <w:tcBorders>
              <w:top w:val="single" w:sz="2" w:space="0" w:color="000000"/>
              <w:left w:val="single" w:sz="2" w:space="0" w:color="000000"/>
              <w:bottom w:val="single" w:sz="2" w:space="0" w:color="000000"/>
              <w:right w:val="single" w:sz="2" w:space="0" w:color="000000"/>
            </w:tcBorders>
            <w:vAlign w:val="bottom"/>
          </w:tcPr>
          <w:p w14:paraId="7D0772A2" w14:textId="77777777" w:rsidR="006A5155" w:rsidRPr="00EA3292" w:rsidRDefault="006A5155">
            <w:pPr>
              <w:jc w:val="right"/>
              <w:rPr>
                <w:rFonts w:cs="Open Sans"/>
                <w:color w:val="000000"/>
                <w:szCs w:val="18"/>
              </w:rPr>
            </w:pPr>
            <w:r w:rsidRPr="00EA3292">
              <w:rPr>
                <w:rFonts w:cs="Open Sans"/>
                <w:color w:val="000000"/>
                <w:szCs w:val="18"/>
              </w:rPr>
              <w:t>0.0053</w:t>
            </w:r>
          </w:p>
        </w:tc>
        <w:tc>
          <w:tcPr>
            <w:tcW w:w="680" w:type="dxa"/>
            <w:tcBorders>
              <w:top w:val="single" w:sz="2" w:space="0" w:color="000000"/>
              <w:left w:val="nil"/>
              <w:bottom w:val="single" w:sz="2" w:space="0" w:color="000000"/>
              <w:right w:val="double" w:sz="6" w:space="0" w:color="auto"/>
            </w:tcBorders>
            <w:vAlign w:val="bottom"/>
          </w:tcPr>
          <w:p w14:paraId="21C5B900" w14:textId="77777777" w:rsidR="006A5155" w:rsidRPr="00EA3292" w:rsidRDefault="006A5155">
            <w:pPr>
              <w:jc w:val="right"/>
              <w:rPr>
                <w:rFonts w:cs="Open Sans"/>
                <w:color w:val="000000"/>
                <w:szCs w:val="18"/>
              </w:rPr>
            </w:pPr>
            <w:r w:rsidRPr="00EA3292">
              <w:rPr>
                <w:rFonts w:cs="Open Sans"/>
                <w:color w:val="000000"/>
                <w:szCs w:val="18"/>
              </w:rPr>
              <w:t>0.0001</w:t>
            </w:r>
          </w:p>
        </w:tc>
      </w:tr>
      <w:tr w:rsidR="006A5155" w:rsidRPr="00EA3292" w14:paraId="08036853"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56609F25"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petrol</w:t>
            </w:r>
          </w:p>
        </w:tc>
        <w:tc>
          <w:tcPr>
            <w:tcW w:w="680" w:type="dxa"/>
            <w:tcBorders>
              <w:top w:val="single" w:sz="2" w:space="0" w:color="000000"/>
              <w:left w:val="single" w:sz="2" w:space="0" w:color="000000"/>
              <w:bottom w:val="single" w:sz="2" w:space="0" w:color="000000"/>
            </w:tcBorders>
            <w:vAlign w:val="bottom"/>
          </w:tcPr>
          <w:p w14:paraId="53C64042"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2" w:space="0" w:color="000000"/>
              <w:left w:val="single" w:sz="2" w:space="0" w:color="000000"/>
              <w:bottom w:val="single" w:sz="2" w:space="0" w:color="000000"/>
              <w:right w:val="single" w:sz="2" w:space="0" w:color="000000"/>
            </w:tcBorders>
            <w:vAlign w:val="bottom"/>
          </w:tcPr>
          <w:p w14:paraId="779BFA71"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35E3B26B"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2" w:space="0" w:color="000000"/>
              <w:left w:val="single" w:sz="2" w:space="0" w:color="000000"/>
              <w:bottom w:val="single" w:sz="2" w:space="0" w:color="000000"/>
              <w:right w:val="single" w:sz="2" w:space="0" w:color="000000"/>
            </w:tcBorders>
            <w:vAlign w:val="bottom"/>
          </w:tcPr>
          <w:p w14:paraId="7B4085F7"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2" w:space="0" w:color="000000"/>
              <w:left w:val="single" w:sz="2" w:space="0" w:color="000000"/>
              <w:bottom w:val="single" w:sz="2" w:space="0" w:color="000000"/>
              <w:right w:val="single" w:sz="2" w:space="0" w:color="000000"/>
            </w:tcBorders>
            <w:vAlign w:val="bottom"/>
          </w:tcPr>
          <w:p w14:paraId="75603F6D"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2" w:space="0" w:color="000000"/>
              <w:left w:val="single" w:sz="2" w:space="0" w:color="000000"/>
              <w:bottom w:val="single" w:sz="2" w:space="0" w:color="000000"/>
              <w:right w:val="single" w:sz="2" w:space="0" w:color="000000"/>
            </w:tcBorders>
            <w:vAlign w:val="bottom"/>
          </w:tcPr>
          <w:p w14:paraId="086E2B9E"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058BF8FC"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2" w:space="0" w:color="000000"/>
              <w:left w:val="single" w:sz="2" w:space="0" w:color="000000"/>
              <w:bottom w:val="single" w:sz="2" w:space="0" w:color="000000"/>
              <w:right w:val="single" w:sz="2" w:space="0" w:color="000000"/>
            </w:tcBorders>
            <w:vAlign w:val="bottom"/>
          </w:tcPr>
          <w:p w14:paraId="65DB91F1"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2" w:space="0" w:color="000000"/>
              <w:left w:val="nil"/>
              <w:bottom w:val="single" w:sz="2" w:space="0" w:color="000000"/>
              <w:right w:val="double" w:sz="6" w:space="0" w:color="auto"/>
            </w:tcBorders>
            <w:vAlign w:val="bottom"/>
          </w:tcPr>
          <w:p w14:paraId="337AC5CF" w14:textId="77777777" w:rsidR="006A5155" w:rsidRPr="00EA3292" w:rsidRDefault="006A5155">
            <w:pPr>
              <w:jc w:val="right"/>
              <w:rPr>
                <w:rFonts w:cs="Open Sans"/>
                <w:color w:val="000000"/>
                <w:szCs w:val="18"/>
              </w:rPr>
            </w:pPr>
            <w:r w:rsidRPr="00EA3292">
              <w:rPr>
                <w:rFonts w:cs="Open Sans"/>
                <w:color w:val="000000"/>
                <w:szCs w:val="18"/>
              </w:rPr>
              <w:t>0.0003</w:t>
            </w:r>
          </w:p>
        </w:tc>
      </w:tr>
      <w:tr w:rsidR="006A5155" w:rsidRPr="00EA3292" w14:paraId="3818AB1E"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05C5EEA1"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diesel</w:t>
            </w:r>
          </w:p>
        </w:tc>
        <w:tc>
          <w:tcPr>
            <w:tcW w:w="680" w:type="dxa"/>
            <w:tcBorders>
              <w:top w:val="single" w:sz="2" w:space="0" w:color="000000"/>
              <w:left w:val="single" w:sz="2" w:space="0" w:color="000000"/>
              <w:bottom w:val="single" w:sz="2" w:space="0" w:color="000000"/>
            </w:tcBorders>
            <w:vAlign w:val="bottom"/>
          </w:tcPr>
          <w:p w14:paraId="15604BFD" w14:textId="77777777" w:rsidR="006A5155" w:rsidRPr="00EA3292" w:rsidRDefault="006A5155">
            <w:pPr>
              <w:jc w:val="right"/>
              <w:rPr>
                <w:rFonts w:cs="Open Sans"/>
                <w:color w:val="000000"/>
                <w:szCs w:val="18"/>
              </w:rPr>
            </w:pPr>
            <w:r w:rsidRPr="00EA3292">
              <w:rPr>
                <w:rFonts w:cs="Open Sans"/>
                <w:color w:val="000000"/>
                <w:szCs w:val="18"/>
              </w:rPr>
              <w:t>0.0005</w:t>
            </w:r>
          </w:p>
        </w:tc>
        <w:tc>
          <w:tcPr>
            <w:tcW w:w="680" w:type="dxa"/>
            <w:tcBorders>
              <w:top w:val="single" w:sz="2" w:space="0" w:color="000000"/>
              <w:left w:val="single" w:sz="2" w:space="0" w:color="000000"/>
              <w:bottom w:val="single" w:sz="2" w:space="0" w:color="000000"/>
              <w:right w:val="single" w:sz="2" w:space="0" w:color="000000"/>
            </w:tcBorders>
            <w:vAlign w:val="bottom"/>
          </w:tcPr>
          <w:p w14:paraId="2A4FF6EA" w14:textId="77777777" w:rsidR="006A5155" w:rsidRPr="00EA3292" w:rsidRDefault="006A5155" w:rsidP="006A5155">
            <w:pPr>
              <w:jc w:val="right"/>
              <w:rPr>
                <w:rFonts w:cs="Open Sans"/>
                <w:color w:val="000000"/>
                <w:szCs w:val="18"/>
              </w:rPr>
            </w:pPr>
            <w:r w:rsidRPr="00EA3292">
              <w:rPr>
                <w:rFonts w:cs="Open Sans"/>
                <w:color w:val="000000"/>
                <w:szCs w:val="18"/>
              </w:rPr>
              <w:t>5 E-05</w:t>
            </w:r>
          </w:p>
        </w:tc>
        <w:tc>
          <w:tcPr>
            <w:tcW w:w="680" w:type="dxa"/>
            <w:tcBorders>
              <w:top w:val="single" w:sz="2" w:space="0" w:color="000000"/>
              <w:left w:val="single" w:sz="2" w:space="0" w:color="000000"/>
              <w:bottom w:val="single" w:sz="2" w:space="0" w:color="000000"/>
              <w:right w:val="single" w:sz="2" w:space="0" w:color="000000"/>
            </w:tcBorders>
            <w:vAlign w:val="bottom"/>
          </w:tcPr>
          <w:p w14:paraId="58C025DB" w14:textId="77777777" w:rsidR="006A5155" w:rsidRPr="00EA3292" w:rsidRDefault="006A5155">
            <w:pPr>
              <w:jc w:val="right"/>
              <w:rPr>
                <w:rFonts w:cs="Open Sans"/>
                <w:color w:val="000000"/>
                <w:szCs w:val="18"/>
              </w:rPr>
            </w:pPr>
            <w:r w:rsidRPr="00EA3292">
              <w:rPr>
                <w:rFonts w:cs="Open Sans"/>
                <w:color w:val="000000"/>
                <w:szCs w:val="18"/>
              </w:rPr>
              <w:t>0.0057</w:t>
            </w:r>
          </w:p>
        </w:tc>
        <w:tc>
          <w:tcPr>
            <w:tcW w:w="680" w:type="dxa"/>
            <w:tcBorders>
              <w:top w:val="single" w:sz="2" w:space="0" w:color="000000"/>
              <w:left w:val="single" w:sz="2" w:space="0" w:color="000000"/>
              <w:bottom w:val="single" w:sz="2" w:space="0" w:color="000000"/>
              <w:right w:val="single" w:sz="2" w:space="0" w:color="000000"/>
            </w:tcBorders>
            <w:vAlign w:val="bottom"/>
          </w:tcPr>
          <w:p w14:paraId="5E791AE6" w14:textId="77777777" w:rsidR="006A5155" w:rsidRPr="00EA3292" w:rsidRDefault="006A5155">
            <w:pPr>
              <w:jc w:val="right"/>
              <w:rPr>
                <w:rFonts w:cs="Open Sans"/>
                <w:color w:val="000000"/>
                <w:szCs w:val="18"/>
              </w:rPr>
            </w:pPr>
            <w:r w:rsidRPr="00EA3292">
              <w:rPr>
                <w:rFonts w:cs="Open Sans"/>
                <w:color w:val="000000"/>
                <w:szCs w:val="18"/>
              </w:rPr>
              <w:t>0.0085</w:t>
            </w:r>
          </w:p>
        </w:tc>
        <w:tc>
          <w:tcPr>
            <w:tcW w:w="680" w:type="dxa"/>
            <w:tcBorders>
              <w:top w:val="single" w:sz="2" w:space="0" w:color="000000"/>
              <w:left w:val="single" w:sz="2" w:space="0" w:color="000000"/>
              <w:bottom w:val="single" w:sz="2" w:space="0" w:color="000000"/>
              <w:right w:val="single" w:sz="2" w:space="0" w:color="000000"/>
            </w:tcBorders>
            <w:vAlign w:val="bottom"/>
          </w:tcPr>
          <w:p w14:paraId="6709C950"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single" w:sz="2" w:space="0" w:color="000000"/>
              <w:right w:val="single" w:sz="2" w:space="0" w:color="000000"/>
            </w:tcBorders>
            <w:vAlign w:val="bottom"/>
          </w:tcPr>
          <w:p w14:paraId="7D7CE125" w14:textId="77777777" w:rsidR="006A5155" w:rsidRPr="00EA3292" w:rsidRDefault="006A5155">
            <w:pPr>
              <w:jc w:val="right"/>
              <w:rPr>
                <w:rFonts w:cs="Open Sans"/>
                <w:color w:val="000000"/>
                <w:szCs w:val="18"/>
              </w:rPr>
            </w:pPr>
            <w:r w:rsidRPr="00EA3292">
              <w:rPr>
                <w:rFonts w:cs="Open Sans"/>
                <w:color w:val="000000"/>
                <w:szCs w:val="18"/>
              </w:rPr>
              <w:t>0.0001</w:t>
            </w:r>
          </w:p>
        </w:tc>
        <w:tc>
          <w:tcPr>
            <w:tcW w:w="680" w:type="dxa"/>
            <w:tcBorders>
              <w:top w:val="single" w:sz="2" w:space="0" w:color="000000"/>
              <w:left w:val="single" w:sz="2" w:space="0" w:color="000000"/>
              <w:bottom w:val="single" w:sz="2" w:space="0" w:color="000000"/>
              <w:right w:val="single" w:sz="2" w:space="0" w:color="000000"/>
            </w:tcBorders>
            <w:vAlign w:val="bottom"/>
          </w:tcPr>
          <w:p w14:paraId="3AD6358A" w14:textId="77777777" w:rsidR="006A5155" w:rsidRPr="00EA3292" w:rsidRDefault="006A5155">
            <w:pPr>
              <w:jc w:val="right"/>
              <w:rPr>
                <w:rFonts w:cs="Open Sans"/>
                <w:color w:val="000000"/>
                <w:szCs w:val="18"/>
              </w:rPr>
            </w:pPr>
            <w:r w:rsidRPr="00EA3292">
              <w:rPr>
                <w:rFonts w:cs="Open Sans"/>
                <w:color w:val="000000"/>
                <w:szCs w:val="18"/>
              </w:rPr>
              <w:t>0.018</w:t>
            </w:r>
          </w:p>
        </w:tc>
        <w:tc>
          <w:tcPr>
            <w:tcW w:w="680" w:type="dxa"/>
            <w:tcBorders>
              <w:top w:val="single" w:sz="2" w:space="0" w:color="000000"/>
              <w:left w:val="single" w:sz="2" w:space="0" w:color="000000"/>
              <w:bottom w:val="single" w:sz="2" w:space="0" w:color="000000"/>
              <w:right w:val="single" w:sz="2" w:space="0" w:color="000000"/>
            </w:tcBorders>
            <w:vAlign w:val="bottom"/>
          </w:tcPr>
          <w:p w14:paraId="46D0B497" w14:textId="77777777" w:rsidR="006A5155" w:rsidRPr="00EA3292" w:rsidRDefault="006A5155">
            <w:pPr>
              <w:jc w:val="right"/>
              <w:rPr>
                <w:rFonts w:cs="Open Sans"/>
                <w:color w:val="000000"/>
                <w:szCs w:val="18"/>
              </w:rPr>
            </w:pPr>
            <w:r w:rsidRPr="00EA3292">
              <w:rPr>
                <w:rFonts w:cs="Open Sans"/>
                <w:color w:val="000000"/>
                <w:szCs w:val="18"/>
              </w:rPr>
              <w:t>0.0053</w:t>
            </w:r>
          </w:p>
        </w:tc>
        <w:tc>
          <w:tcPr>
            <w:tcW w:w="680" w:type="dxa"/>
            <w:tcBorders>
              <w:top w:val="single" w:sz="2" w:space="0" w:color="000000"/>
              <w:left w:val="nil"/>
              <w:bottom w:val="single" w:sz="2" w:space="0" w:color="000000"/>
              <w:right w:val="double" w:sz="6" w:space="0" w:color="auto"/>
            </w:tcBorders>
            <w:vAlign w:val="bottom"/>
          </w:tcPr>
          <w:p w14:paraId="4FACED4E" w14:textId="77777777" w:rsidR="006A5155" w:rsidRPr="00EA3292" w:rsidRDefault="006A5155">
            <w:pPr>
              <w:jc w:val="right"/>
              <w:rPr>
                <w:rFonts w:cs="Open Sans"/>
                <w:color w:val="000000"/>
                <w:szCs w:val="18"/>
              </w:rPr>
            </w:pPr>
            <w:r w:rsidRPr="00EA3292">
              <w:rPr>
                <w:rFonts w:cs="Open Sans"/>
                <w:color w:val="000000"/>
                <w:szCs w:val="18"/>
              </w:rPr>
              <w:t>0.0001</w:t>
            </w:r>
          </w:p>
        </w:tc>
      </w:tr>
      <w:tr w:rsidR="006A5155" w:rsidRPr="00EA3292" w14:paraId="2A428561" w14:textId="77777777" w:rsidTr="006A5155">
        <w:trPr>
          <w:trHeight w:val="240"/>
        </w:trPr>
        <w:tc>
          <w:tcPr>
            <w:tcW w:w="2331" w:type="dxa"/>
            <w:tcBorders>
              <w:top w:val="single" w:sz="2" w:space="0" w:color="000000"/>
              <w:left w:val="double" w:sz="6" w:space="0" w:color="auto"/>
              <w:bottom w:val="double" w:sz="6" w:space="0" w:color="auto"/>
            </w:tcBorders>
            <w:vAlign w:val="center"/>
          </w:tcPr>
          <w:p w14:paraId="25697950"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Motorcycles</w:t>
            </w:r>
          </w:p>
        </w:tc>
        <w:tc>
          <w:tcPr>
            <w:tcW w:w="680" w:type="dxa"/>
            <w:tcBorders>
              <w:top w:val="single" w:sz="2" w:space="0" w:color="000000"/>
              <w:left w:val="single" w:sz="2" w:space="0" w:color="000000"/>
              <w:bottom w:val="double" w:sz="6" w:space="0" w:color="auto"/>
            </w:tcBorders>
            <w:vAlign w:val="bottom"/>
          </w:tcPr>
          <w:p w14:paraId="5A5FBC9D" w14:textId="77777777" w:rsidR="006A5155" w:rsidRPr="00EA3292" w:rsidRDefault="006A5155">
            <w:pPr>
              <w:jc w:val="right"/>
              <w:rPr>
                <w:rFonts w:cs="Open Sans"/>
                <w:color w:val="000000"/>
                <w:szCs w:val="18"/>
              </w:rPr>
            </w:pPr>
            <w:r w:rsidRPr="00EA3292">
              <w:rPr>
                <w:rFonts w:cs="Open Sans"/>
                <w:color w:val="000000"/>
                <w:szCs w:val="18"/>
              </w:rPr>
              <w:t>0.0016</w:t>
            </w:r>
          </w:p>
        </w:tc>
        <w:tc>
          <w:tcPr>
            <w:tcW w:w="680" w:type="dxa"/>
            <w:tcBorders>
              <w:top w:val="single" w:sz="2" w:space="0" w:color="000000"/>
              <w:left w:val="single" w:sz="2" w:space="0" w:color="000000"/>
              <w:bottom w:val="double" w:sz="6" w:space="0" w:color="auto"/>
              <w:right w:val="single" w:sz="2" w:space="0" w:color="000000"/>
            </w:tcBorders>
            <w:vAlign w:val="bottom"/>
          </w:tcPr>
          <w:p w14:paraId="25D3C8F9"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double" w:sz="6" w:space="0" w:color="auto"/>
              <w:right w:val="single" w:sz="2" w:space="0" w:color="000000"/>
            </w:tcBorders>
            <w:vAlign w:val="bottom"/>
          </w:tcPr>
          <w:p w14:paraId="48D1CE8D" w14:textId="77777777" w:rsidR="006A5155" w:rsidRPr="00EA3292" w:rsidRDefault="006A5155">
            <w:pPr>
              <w:jc w:val="right"/>
              <w:rPr>
                <w:rFonts w:cs="Open Sans"/>
                <w:color w:val="000000"/>
                <w:szCs w:val="18"/>
              </w:rPr>
            </w:pPr>
            <w:r w:rsidRPr="00EA3292">
              <w:rPr>
                <w:rFonts w:cs="Open Sans"/>
                <w:color w:val="000000"/>
                <w:szCs w:val="18"/>
              </w:rPr>
              <w:t>0.0045</w:t>
            </w:r>
          </w:p>
        </w:tc>
        <w:tc>
          <w:tcPr>
            <w:tcW w:w="680" w:type="dxa"/>
            <w:tcBorders>
              <w:top w:val="single" w:sz="2" w:space="0" w:color="000000"/>
              <w:left w:val="single" w:sz="2" w:space="0" w:color="000000"/>
              <w:bottom w:val="double" w:sz="6" w:space="0" w:color="auto"/>
              <w:right w:val="single" w:sz="2" w:space="0" w:color="000000"/>
            </w:tcBorders>
            <w:vAlign w:val="bottom"/>
          </w:tcPr>
          <w:p w14:paraId="33EDC5C0" w14:textId="77777777" w:rsidR="006A5155" w:rsidRPr="00EA3292" w:rsidRDefault="006A5155">
            <w:pPr>
              <w:jc w:val="right"/>
              <w:rPr>
                <w:rFonts w:cs="Open Sans"/>
                <w:color w:val="000000"/>
                <w:szCs w:val="18"/>
              </w:rPr>
            </w:pPr>
            <w:r w:rsidRPr="00EA3292">
              <w:rPr>
                <w:rFonts w:cs="Open Sans"/>
                <w:color w:val="000000"/>
                <w:szCs w:val="18"/>
              </w:rPr>
              <w:t>0.0063</w:t>
            </w:r>
          </w:p>
        </w:tc>
        <w:tc>
          <w:tcPr>
            <w:tcW w:w="680" w:type="dxa"/>
            <w:tcBorders>
              <w:top w:val="single" w:sz="2" w:space="0" w:color="000000"/>
              <w:left w:val="single" w:sz="2" w:space="0" w:color="000000"/>
              <w:bottom w:val="double" w:sz="6" w:space="0" w:color="auto"/>
              <w:right w:val="single" w:sz="2" w:space="0" w:color="000000"/>
            </w:tcBorders>
            <w:vAlign w:val="bottom"/>
          </w:tcPr>
          <w:p w14:paraId="43C81803" w14:textId="77777777" w:rsidR="006A5155" w:rsidRPr="00EA3292" w:rsidRDefault="006A5155">
            <w:pPr>
              <w:jc w:val="right"/>
              <w:rPr>
                <w:rFonts w:cs="Open Sans"/>
                <w:color w:val="000000"/>
                <w:szCs w:val="18"/>
              </w:rPr>
            </w:pPr>
            <w:r w:rsidRPr="00EA3292">
              <w:rPr>
                <w:rFonts w:cs="Open Sans"/>
                <w:color w:val="000000"/>
                <w:szCs w:val="18"/>
              </w:rPr>
              <w:t>0.0023</w:t>
            </w:r>
          </w:p>
        </w:tc>
        <w:tc>
          <w:tcPr>
            <w:tcW w:w="680" w:type="dxa"/>
            <w:tcBorders>
              <w:top w:val="single" w:sz="2" w:space="0" w:color="000000"/>
              <w:left w:val="single" w:sz="2" w:space="0" w:color="000000"/>
              <w:bottom w:val="double" w:sz="6" w:space="0" w:color="auto"/>
              <w:right w:val="single" w:sz="2" w:space="0" w:color="000000"/>
            </w:tcBorders>
            <w:vAlign w:val="bottom"/>
          </w:tcPr>
          <w:p w14:paraId="6E4E0CF2" w14:textId="77777777" w:rsidR="006A5155" w:rsidRPr="00EA3292" w:rsidRDefault="006A5155">
            <w:pPr>
              <w:jc w:val="right"/>
              <w:rPr>
                <w:rFonts w:cs="Open Sans"/>
                <w:color w:val="000000"/>
                <w:szCs w:val="18"/>
              </w:rPr>
            </w:pPr>
            <w:r w:rsidRPr="00EA3292">
              <w:rPr>
                <w:rFonts w:cs="Open Sans"/>
                <w:color w:val="000000"/>
                <w:szCs w:val="18"/>
              </w:rPr>
              <w:t>0.0002</w:t>
            </w:r>
          </w:p>
        </w:tc>
        <w:tc>
          <w:tcPr>
            <w:tcW w:w="680" w:type="dxa"/>
            <w:tcBorders>
              <w:top w:val="single" w:sz="2" w:space="0" w:color="000000"/>
              <w:left w:val="single" w:sz="2" w:space="0" w:color="000000"/>
              <w:bottom w:val="double" w:sz="6" w:space="0" w:color="auto"/>
              <w:right w:val="single" w:sz="2" w:space="0" w:color="000000"/>
            </w:tcBorders>
            <w:vAlign w:val="bottom"/>
          </w:tcPr>
          <w:p w14:paraId="4353824C" w14:textId="77777777" w:rsidR="006A5155" w:rsidRPr="00EA3292" w:rsidRDefault="006A5155">
            <w:pPr>
              <w:jc w:val="right"/>
              <w:rPr>
                <w:rFonts w:cs="Open Sans"/>
                <w:color w:val="000000"/>
                <w:szCs w:val="18"/>
              </w:rPr>
            </w:pPr>
            <w:r w:rsidRPr="00EA3292">
              <w:rPr>
                <w:rFonts w:cs="Open Sans"/>
                <w:color w:val="000000"/>
                <w:szCs w:val="18"/>
              </w:rPr>
              <w:t>0.033</w:t>
            </w:r>
          </w:p>
        </w:tc>
        <w:tc>
          <w:tcPr>
            <w:tcW w:w="680" w:type="dxa"/>
            <w:tcBorders>
              <w:top w:val="single" w:sz="2" w:space="0" w:color="000000"/>
              <w:left w:val="single" w:sz="2" w:space="0" w:color="000000"/>
              <w:bottom w:val="double" w:sz="6" w:space="0" w:color="auto"/>
              <w:right w:val="single" w:sz="2" w:space="0" w:color="000000"/>
            </w:tcBorders>
            <w:vAlign w:val="bottom"/>
          </w:tcPr>
          <w:p w14:paraId="75BA641D" w14:textId="77777777" w:rsidR="006A5155" w:rsidRPr="00EA3292" w:rsidRDefault="006A5155">
            <w:pPr>
              <w:jc w:val="right"/>
              <w:rPr>
                <w:rFonts w:cs="Open Sans"/>
                <w:color w:val="000000"/>
                <w:szCs w:val="18"/>
              </w:rPr>
            </w:pPr>
            <w:r w:rsidRPr="00EA3292">
              <w:rPr>
                <w:rFonts w:cs="Open Sans"/>
                <w:color w:val="000000"/>
                <w:szCs w:val="18"/>
              </w:rPr>
              <w:t>0.0087</w:t>
            </w:r>
          </w:p>
        </w:tc>
        <w:tc>
          <w:tcPr>
            <w:tcW w:w="680" w:type="dxa"/>
            <w:tcBorders>
              <w:top w:val="single" w:sz="2" w:space="0" w:color="000000"/>
              <w:left w:val="nil"/>
              <w:bottom w:val="double" w:sz="6" w:space="0" w:color="auto"/>
              <w:right w:val="double" w:sz="6" w:space="0" w:color="auto"/>
            </w:tcBorders>
            <w:vAlign w:val="bottom"/>
          </w:tcPr>
          <w:p w14:paraId="0A9FA9D2" w14:textId="77777777" w:rsidR="006A5155" w:rsidRPr="00EA3292" w:rsidRDefault="006A5155">
            <w:pPr>
              <w:jc w:val="right"/>
              <w:rPr>
                <w:rFonts w:cs="Open Sans"/>
                <w:color w:val="000000"/>
                <w:szCs w:val="18"/>
              </w:rPr>
            </w:pPr>
            <w:r w:rsidRPr="00EA3292">
              <w:rPr>
                <w:rFonts w:cs="Open Sans"/>
                <w:color w:val="000000"/>
                <w:szCs w:val="18"/>
              </w:rPr>
              <w:t>0.0003</w:t>
            </w:r>
          </w:p>
        </w:tc>
      </w:tr>
    </w:tbl>
    <w:p w14:paraId="55039488" w14:textId="77777777" w:rsidR="00676AA1" w:rsidRPr="00EA3292" w:rsidRDefault="00676AA1" w:rsidP="00676AA1">
      <w:pPr>
        <w:pStyle w:val="Heading4"/>
      </w:pPr>
      <w:r w:rsidRPr="00EA3292">
        <w:t>Lubricant consumption dependant emission factors</w:t>
      </w:r>
    </w:p>
    <w:p w14:paraId="05660B63" w14:textId="5E534BF8" w:rsidR="00676AA1" w:rsidRPr="00EA3292" w:rsidRDefault="00676AA1" w:rsidP="00676AA1">
      <w:pPr>
        <w:pStyle w:val="BodyText"/>
      </w:pPr>
      <w:r w:rsidRPr="00EA3292">
        <w:t>Emissions of heavy metals</w:t>
      </w:r>
      <w:r w:rsidR="006A5155" w:rsidRPr="00EA3292">
        <w:t xml:space="preserve"> from lubricant consumption</w:t>
      </w:r>
      <w:r w:rsidRPr="00EA3292">
        <w:t xml:space="preserve"> are calculated by means of equation</w:t>
      </w:r>
      <w:r w:rsidR="00AC3AEB" w:rsidRPr="00EA3292">
        <w:t xml:space="preserve"> </w:t>
      </w:r>
      <w:r w:rsidR="00E17971" w:rsidRPr="00EA3292">
        <w:fldChar w:fldCharType="begin"/>
      </w:r>
      <w:r w:rsidR="00AC3AEB" w:rsidRPr="00EA3292">
        <w:instrText xml:space="preserve"> REF _Ref480917642 \h </w:instrText>
      </w:r>
      <w:r w:rsidR="00EA3292">
        <w:instrText xml:space="preserve"> \* MERGEFORMAT </w:instrText>
      </w:r>
      <w:r w:rsidR="00E17971" w:rsidRPr="00EA3292">
        <w:fldChar w:fldCharType="separate"/>
      </w:r>
      <w:r w:rsidR="0071604C" w:rsidRPr="000855B2">
        <w:t>(</w:t>
      </w:r>
      <w:r w:rsidR="0071604C">
        <w:rPr>
          <w:noProof/>
        </w:rPr>
        <w:t>22</w:t>
      </w:r>
      <w:r w:rsidR="0071604C" w:rsidRPr="000855B2">
        <w:t>)</w:t>
      </w:r>
      <w:r w:rsidR="00E17971" w:rsidRPr="00EA3292">
        <w:fldChar w:fldCharType="end"/>
      </w:r>
      <w:r w:rsidR="00AC3AEB" w:rsidRPr="00EA3292">
        <w:t xml:space="preserve">. </w:t>
      </w:r>
      <w:r w:rsidR="00E17971" w:rsidRPr="00EA3292">
        <w:fldChar w:fldCharType="begin"/>
      </w:r>
      <w:r w:rsidR="006A5155" w:rsidRPr="00EA3292">
        <w:instrText xml:space="preserve"> REF _Ref480917406 \h </w:instrText>
      </w:r>
      <w:r w:rsidR="00EA3292">
        <w:instrText xml:space="preserve"> \* MERGEFORMAT </w:instrText>
      </w:r>
      <w:r w:rsidR="00E17971" w:rsidRPr="00EA3292">
        <w:fldChar w:fldCharType="separate"/>
      </w:r>
      <w:r w:rsidR="0071604C" w:rsidRPr="00EA3292">
        <w:t>Table </w:t>
      </w:r>
      <w:r w:rsidR="0071604C">
        <w:t>3</w:t>
      </w:r>
      <w:r w:rsidR="0071604C" w:rsidRPr="00EA3292">
        <w:t>.</w:t>
      </w:r>
      <w:r w:rsidR="0071604C">
        <w:t>78</w:t>
      </w:r>
      <w:r w:rsidR="00E17971" w:rsidRPr="00EA3292">
        <w:fldChar w:fldCharType="end"/>
      </w:r>
      <w:r w:rsidR="006A5155" w:rsidRPr="00EA3292">
        <w:t xml:space="preserve"> presents the apparent heavy metal emission factors.</w:t>
      </w:r>
    </w:p>
    <w:p w14:paraId="36CF909C" w14:textId="109196A6" w:rsidR="00676AA1" w:rsidRPr="00EA3292" w:rsidRDefault="00676AA1" w:rsidP="00676AA1">
      <w:pPr>
        <w:pStyle w:val="Caption"/>
      </w:pPr>
      <w:bookmarkStart w:id="266" w:name="_Ref480917406"/>
      <w:r w:rsidRPr="00EA3292">
        <w:t>Table </w:t>
      </w:r>
      <w:r w:rsidR="00FB454C" w:rsidRPr="00EA3292">
        <w:fldChar w:fldCharType="begin"/>
      </w:r>
      <w:r w:rsidR="00FB454C" w:rsidRPr="00EA3292">
        <w:instrText xml:space="preserve"> STYLEREF 1 \s </w:instrText>
      </w:r>
      <w:r w:rsidR="00FB454C" w:rsidRPr="00EA3292">
        <w:fldChar w:fldCharType="separate"/>
      </w:r>
      <w:r w:rsidR="0071604C">
        <w:rPr>
          <w:noProof/>
        </w:rPr>
        <w:t>3</w:t>
      </w:r>
      <w:r w:rsidR="00FB454C" w:rsidRPr="00EA3292">
        <w:rPr>
          <w:noProof/>
        </w:rPr>
        <w:fldChar w:fldCharType="end"/>
      </w:r>
      <w:r w:rsidR="00131917" w:rsidRPr="00EA3292">
        <w:t>.</w:t>
      </w:r>
      <w:r w:rsidR="00FB454C" w:rsidRPr="00EA3292">
        <w:fldChar w:fldCharType="begin"/>
      </w:r>
      <w:r w:rsidR="00FB454C" w:rsidRPr="00EA3292">
        <w:instrText xml:space="preserve"> SEQ Table \* ARABIC \s 1 </w:instrText>
      </w:r>
      <w:r w:rsidR="00FB454C" w:rsidRPr="00EA3292">
        <w:fldChar w:fldCharType="separate"/>
      </w:r>
      <w:r w:rsidR="0071604C">
        <w:rPr>
          <w:noProof/>
        </w:rPr>
        <w:t>78</w:t>
      </w:r>
      <w:r w:rsidR="00FB454C" w:rsidRPr="00EA3292">
        <w:rPr>
          <w:noProof/>
        </w:rPr>
        <w:fldChar w:fldCharType="end"/>
      </w:r>
      <w:bookmarkEnd w:id="266"/>
      <w:r w:rsidRPr="00EA3292">
        <w:t xml:space="preserve">: Heavy metal emission factors for all vehicle </w:t>
      </w:r>
      <w:r w:rsidR="006A5155" w:rsidRPr="00EA3292">
        <w:t>categories in ppm/wt</w:t>
      </w:r>
      <w:r w:rsidR="0043533D" w:rsidRPr="00EA3292">
        <w:t xml:space="preserve"> lubricant</w:t>
      </w:r>
    </w:p>
    <w:tbl>
      <w:tblPr>
        <w:tblW w:w="8451" w:type="dxa"/>
        <w:tblLayout w:type="fixed"/>
        <w:tblCellMar>
          <w:left w:w="28" w:type="dxa"/>
          <w:right w:w="28" w:type="dxa"/>
        </w:tblCellMar>
        <w:tblLook w:val="0000" w:firstRow="0" w:lastRow="0" w:firstColumn="0" w:lastColumn="0" w:noHBand="0" w:noVBand="0"/>
      </w:tblPr>
      <w:tblGrid>
        <w:gridCol w:w="2331"/>
        <w:gridCol w:w="680"/>
        <w:gridCol w:w="680"/>
        <w:gridCol w:w="680"/>
        <w:gridCol w:w="680"/>
        <w:gridCol w:w="680"/>
        <w:gridCol w:w="680"/>
        <w:gridCol w:w="680"/>
        <w:gridCol w:w="680"/>
        <w:gridCol w:w="680"/>
      </w:tblGrid>
      <w:tr w:rsidR="006A5155" w:rsidRPr="00EA3292" w14:paraId="4C480E78" w14:textId="77777777" w:rsidTr="006A5155">
        <w:trPr>
          <w:trHeight w:val="240"/>
        </w:trPr>
        <w:tc>
          <w:tcPr>
            <w:tcW w:w="2331" w:type="dxa"/>
            <w:tcBorders>
              <w:top w:val="double" w:sz="6" w:space="0" w:color="auto"/>
              <w:left w:val="double" w:sz="6" w:space="0" w:color="auto"/>
              <w:bottom w:val="single" w:sz="12" w:space="0" w:color="auto"/>
            </w:tcBorders>
            <w:vAlign w:val="center"/>
          </w:tcPr>
          <w:p w14:paraId="53EB7AA0" w14:textId="77777777" w:rsidR="006A5155" w:rsidRPr="00EA3292" w:rsidRDefault="006A5155" w:rsidP="006A5155">
            <w:pPr>
              <w:pStyle w:val="Table"/>
              <w:spacing w:line="240" w:lineRule="atLeast"/>
              <w:jc w:val="center"/>
              <w:rPr>
                <w:rFonts w:ascii="Open Sans" w:hAnsi="Open Sans" w:cs="Open Sans"/>
                <w:b/>
                <w:sz w:val="18"/>
                <w:szCs w:val="18"/>
                <w:lang w:val="en-GB"/>
              </w:rPr>
            </w:pPr>
            <w:r w:rsidRPr="00EA3292">
              <w:rPr>
                <w:rFonts w:ascii="Open Sans" w:hAnsi="Open Sans" w:cs="Open Sans"/>
                <w:b/>
                <w:sz w:val="18"/>
                <w:szCs w:val="18"/>
                <w:lang w:val="en-GB"/>
              </w:rPr>
              <w:t>Category</w:t>
            </w:r>
          </w:p>
        </w:tc>
        <w:tc>
          <w:tcPr>
            <w:tcW w:w="680" w:type="dxa"/>
            <w:tcBorders>
              <w:top w:val="double" w:sz="6" w:space="0" w:color="auto"/>
              <w:left w:val="single" w:sz="2" w:space="0" w:color="000000"/>
              <w:bottom w:val="single" w:sz="12" w:space="0" w:color="auto"/>
            </w:tcBorders>
            <w:vAlign w:val="bottom"/>
          </w:tcPr>
          <w:p w14:paraId="0BCC30AF"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Pb</w:t>
            </w:r>
          </w:p>
        </w:tc>
        <w:tc>
          <w:tcPr>
            <w:tcW w:w="680" w:type="dxa"/>
            <w:tcBorders>
              <w:top w:val="double" w:sz="6" w:space="0" w:color="auto"/>
              <w:left w:val="single" w:sz="2" w:space="0" w:color="000000"/>
              <w:bottom w:val="single" w:sz="12" w:space="0" w:color="auto"/>
              <w:right w:val="single" w:sz="2" w:space="0" w:color="000000"/>
            </w:tcBorders>
            <w:vAlign w:val="bottom"/>
          </w:tcPr>
          <w:p w14:paraId="337453E9"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Cd</w:t>
            </w:r>
          </w:p>
        </w:tc>
        <w:tc>
          <w:tcPr>
            <w:tcW w:w="680" w:type="dxa"/>
            <w:tcBorders>
              <w:top w:val="double" w:sz="6" w:space="0" w:color="auto"/>
              <w:left w:val="single" w:sz="2" w:space="0" w:color="000000"/>
              <w:bottom w:val="single" w:sz="12" w:space="0" w:color="auto"/>
              <w:right w:val="single" w:sz="2" w:space="0" w:color="000000"/>
            </w:tcBorders>
            <w:vAlign w:val="bottom"/>
          </w:tcPr>
          <w:p w14:paraId="10C3DD2D"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Cu</w:t>
            </w:r>
          </w:p>
        </w:tc>
        <w:tc>
          <w:tcPr>
            <w:tcW w:w="680" w:type="dxa"/>
            <w:tcBorders>
              <w:top w:val="double" w:sz="6" w:space="0" w:color="auto"/>
              <w:left w:val="single" w:sz="2" w:space="0" w:color="000000"/>
              <w:bottom w:val="single" w:sz="12" w:space="0" w:color="auto"/>
              <w:right w:val="single" w:sz="2" w:space="0" w:color="000000"/>
            </w:tcBorders>
            <w:vAlign w:val="bottom"/>
          </w:tcPr>
          <w:p w14:paraId="4508BE6C"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Cr</w:t>
            </w:r>
          </w:p>
        </w:tc>
        <w:tc>
          <w:tcPr>
            <w:tcW w:w="680" w:type="dxa"/>
            <w:tcBorders>
              <w:top w:val="double" w:sz="6" w:space="0" w:color="auto"/>
              <w:left w:val="single" w:sz="2" w:space="0" w:color="000000"/>
              <w:bottom w:val="single" w:sz="12" w:space="0" w:color="auto"/>
              <w:right w:val="single" w:sz="2" w:space="0" w:color="000000"/>
            </w:tcBorders>
            <w:vAlign w:val="bottom"/>
          </w:tcPr>
          <w:p w14:paraId="7B7DFC1D"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Ni</w:t>
            </w:r>
          </w:p>
        </w:tc>
        <w:tc>
          <w:tcPr>
            <w:tcW w:w="680" w:type="dxa"/>
            <w:tcBorders>
              <w:top w:val="double" w:sz="6" w:space="0" w:color="auto"/>
              <w:left w:val="single" w:sz="2" w:space="0" w:color="000000"/>
              <w:bottom w:val="single" w:sz="12" w:space="0" w:color="auto"/>
              <w:right w:val="single" w:sz="2" w:space="0" w:color="000000"/>
            </w:tcBorders>
            <w:vAlign w:val="bottom"/>
          </w:tcPr>
          <w:p w14:paraId="2B3DDE4C"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Se</w:t>
            </w:r>
          </w:p>
        </w:tc>
        <w:tc>
          <w:tcPr>
            <w:tcW w:w="680" w:type="dxa"/>
            <w:tcBorders>
              <w:top w:val="double" w:sz="6" w:space="0" w:color="auto"/>
              <w:left w:val="single" w:sz="2" w:space="0" w:color="000000"/>
              <w:bottom w:val="single" w:sz="12" w:space="0" w:color="auto"/>
              <w:right w:val="single" w:sz="2" w:space="0" w:color="000000"/>
            </w:tcBorders>
            <w:vAlign w:val="bottom"/>
          </w:tcPr>
          <w:p w14:paraId="7F85C387"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Zn</w:t>
            </w:r>
          </w:p>
        </w:tc>
        <w:tc>
          <w:tcPr>
            <w:tcW w:w="680" w:type="dxa"/>
            <w:tcBorders>
              <w:top w:val="double" w:sz="6" w:space="0" w:color="auto"/>
              <w:left w:val="single" w:sz="2" w:space="0" w:color="000000"/>
              <w:bottom w:val="single" w:sz="12" w:space="0" w:color="auto"/>
              <w:right w:val="single" w:sz="2" w:space="0" w:color="000000"/>
            </w:tcBorders>
            <w:vAlign w:val="bottom"/>
          </w:tcPr>
          <w:p w14:paraId="49AAFB8B"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Hg</w:t>
            </w:r>
          </w:p>
        </w:tc>
        <w:tc>
          <w:tcPr>
            <w:tcW w:w="680" w:type="dxa"/>
            <w:tcBorders>
              <w:top w:val="double" w:sz="6" w:space="0" w:color="auto"/>
              <w:left w:val="nil"/>
              <w:bottom w:val="single" w:sz="12" w:space="0" w:color="auto"/>
              <w:right w:val="double" w:sz="6" w:space="0" w:color="auto"/>
            </w:tcBorders>
            <w:vAlign w:val="bottom"/>
          </w:tcPr>
          <w:p w14:paraId="3F80D3BF" w14:textId="77777777" w:rsidR="006A5155" w:rsidRPr="00EA3292" w:rsidRDefault="006A5155" w:rsidP="006A5155">
            <w:pPr>
              <w:jc w:val="center"/>
              <w:rPr>
                <w:rFonts w:ascii="Calibri" w:hAnsi="Calibri" w:cs="Calibri"/>
                <w:b/>
                <w:color w:val="000000"/>
                <w:sz w:val="22"/>
                <w:szCs w:val="22"/>
              </w:rPr>
            </w:pPr>
            <w:r w:rsidRPr="00EA3292">
              <w:rPr>
                <w:rFonts w:ascii="Calibri" w:hAnsi="Calibri" w:cs="Calibri"/>
                <w:b/>
                <w:color w:val="000000"/>
                <w:sz w:val="22"/>
                <w:szCs w:val="22"/>
              </w:rPr>
              <w:t>As</w:t>
            </w:r>
          </w:p>
        </w:tc>
      </w:tr>
      <w:tr w:rsidR="006A5155" w:rsidRPr="00EA3292" w14:paraId="697F8169" w14:textId="77777777" w:rsidTr="006A5155">
        <w:trPr>
          <w:trHeight w:val="240"/>
        </w:trPr>
        <w:tc>
          <w:tcPr>
            <w:tcW w:w="2331" w:type="dxa"/>
            <w:tcBorders>
              <w:top w:val="single" w:sz="12" w:space="0" w:color="auto"/>
              <w:left w:val="double" w:sz="6" w:space="0" w:color="auto"/>
              <w:bottom w:val="single" w:sz="2" w:space="0" w:color="000000"/>
            </w:tcBorders>
            <w:vAlign w:val="center"/>
          </w:tcPr>
          <w:p w14:paraId="035FE165"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petrol</w:t>
            </w:r>
          </w:p>
        </w:tc>
        <w:tc>
          <w:tcPr>
            <w:tcW w:w="680" w:type="dxa"/>
            <w:tcBorders>
              <w:top w:val="single" w:sz="12" w:space="0" w:color="auto"/>
              <w:left w:val="single" w:sz="2" w:space="0" w:color="000000"/>
              <w:bottom w:val="single" w:sz="2" w:space="0" w:color="000000"/>
            </w:tcBorders>
          </w:tcPr>
          <w:p w14:paraId="1056A454" w14:textId="77777777" w:rsidR="006A5155" w:rsidRPr="00EA3292" w:rsidRDefault="006A5155" w:rsidP="0043533D">
            <w:pPr>
              <w:jc w:val="right"/>
            </w:pPr>
            <w:r w:rsidRPr="00EA3292">
              <w:t>0.0332</w:t>
            </w:r>
          </w:p>
        </w:tc>
        <w:tc>
          <w:tcPr>
            <w:tcW w:w="680" w:type="dxa"/>
            <w:tcBorders>
              <w:top w:val="single" w:sz="12" w:space="0" w:color="auto"/>
              <w:left w:val="single" w:sz="2" w:space="0" w:color="000000"/>
              <w:bottom w:val="single" w:sz="2" w:space="0" w:color="000000"/>
              <w:right w:val="single" w:sz="2" w:space="0" w:color="000000"/>
            </w:tcBorders>
          </w:tcPr>
          <w:p w14:paraId="66EAECAD" w14:textId="77777777" w:rsidR="006A5155" w:rsidRPr="00EA3292" w:rsidRDefault="006A5155" w:rsidP="0043533D">
            <w:pPr>
              <w:jc w:val="right"/>
            </w:pPr>
            <w:r w:rsidRPr="00EA3292">
              <w:t>4.56</w:t>
            </w:r>
          </w:p>
        </w:tc>
        <w:tc>
          <w:tcPr>
            <w:tcW w:w="680" w:type="dxa"/>
            <w:tcBorders>
              <w:top w:val="single" w:sz="12" w:space="0" w:color="auto"/>
              <w:left w:val="single" w:sz="2" w:space="0" w:color="000000"/>
              <w:bottom w:val="single" w:sz="2" w:space="0" w:color="000000"/>
              <w:right w:val="single" w:sz="2" w:space="0" w:color="000000"/>
            </w:tcBorders>
          </w:tcPr>
          <w:p w14:paraId="5D869199" w14:textId="77777777" w:rsidR="006A5155" w:rsidRPr="00EA3292" w:rsidRDefault="006A5155" w:rsidP="0043533D">
            <w:pPr>
              <w:jc w:val="right"/>
            </w:pPr>
            <w:r w:rsidRPr="00EA3292">
              <w:t>778</w:t>
            </w:r>
          </w:p>
        </w:tc>
        <w:tc>
          <w:tcPr>
            <w:tcW w:w="680" w:type="dxa"/>
            <w:tcBorders>
              <w:top w:val="single" w:sz="12" w:space="0" w:color="auto"/>
              <w:left w:val="single" w:sz="2" w:space="0" w:color="000000"/>
              <w:bottom w:val="single" w:sz="2" w:space="0" w:color="000000"/>
              <w:right w:val="single" w:sz="2" w:space="0" w:color="000000"/>
            </w:tcBorders>
          </w:tcPr>
          <w:p w14:paraId="0E8C71E0" w14:textId="77777777" w:rsidR="006A5155" w:rsidRPr="00EA3292" w:rsidRDefault="006A5155" w:rsidP="0043533D">
            <w:pPr>
              <w:jc w:val="right"/>
            </w:pPr>
            <w:r w:rsidRPr="00EA3292">
              <w:t>19.2</w:t>
            </w:r>
          </w:p>
        </w:tc>
        <w:tc>
          <w:tcPr>
            <w:tcW w:w="680" w:type="dxa"/>
            <w:tcBorders>
              <w:top w:val="single" w:sz="12" w:space="0" w:color="auto"/>
              <w:left w:val="single" w:sz="2" w:space="0" w:color="000000"/>
              <w:bottom w:val="single" w:sz="2" w:space="0" w:color="000000"/>
              <w:right w:val="single" w:sz="2" w:space="0" w:color="000000"/>
            </w:tcBorders>
          </w:tcPr>
          <w:p w14:paraId="3CF9694E" w14:textId="77777777" w:rsidR="006A5155" w:rsidRPr="00EA3292" w:rsidRDefault="006A5155" w:rsidP="0043533D">
            <w:pPr>
              <w:jc w:val="right"/>
            </w:pPr>
            <w:r w:rsidRPr="00EA3292">
              <w:t>31.89</w:t>
            </w:r>
          </w:p>
        </w:tc>
        <w:tc>
          <w:tcPr>
            <w:tcW w:w="680" w:type="dxa"/>
            <w:tcBorders>
              <w:top w:val="single" w:sz="12" w:space="0" w:color="auto"/>
              <w:left w:val="single" w:sz="2" w:space="0" w:color="000000"/>
              <w:bottom w:val="single" w:sz="2" w:space="0" w:color="000000"/>
              <w:right w:val="single" w:sz="2" w:space="0" w:color="000000"/>
            </w:tcBorders>
          </w:tcPr>
          <w:p w14:paraId="4749A163" w14:textId="77777777" w:rsidR="006A5155" w:rsidRPr="00EA3292" w:rsidRDefault="006A5155" w:rsidP="0043533D">
            <w:pPr>
              <w:jc w:val="right"/>
            </w:pPr>
            <w:r w:rsidRPr="00EA3292">
              <w:t>4.54</w:t>
            </w:r>
          </w:p>
        </w:tc>
        <w:tc>
          <w:tcPr>
            <w:tcW w:w="680" w:type="dxa"/>
            <w:tcBorders>
              <w:top w:val="single" w:sz="12" w:space="0" w:color="auto"/>
              <w:left w:val="single" w:sz="2" w:space="0" w:color="000000"/>
              <w:bottom w:val="single" w:sz="2" w:space="0" w:color="000000"/>
              <w:right w:val="single" w:sz="2" w:space="0" w:color="000000"/>
            </w:tcBorders>
          </w:tcPr>
          <w:p w14:paraId="6EC13AD0" w14:textId="77777777" w:rsidR="006A5155" w:rsidRPr="00EA3292" w:rsidRDefault="006A5155" w:rsidP="0043533D">
            <w:pPr>
              <w:jc w:val="right"/>
            </w:pPr>
            <w:r w:rsidRPr="00EA3292">
              <w:t>450.2</w:t>
            </w:r>
          </w:p>
        </w:tc>
        <w:tc>
          <w:tcPr>
            <w:tcW w:w="680" w:type="dxa"/>
            <w:tcBorders>
              <w:top w:val="single" w:sz="12" w:space="0" w:color="auto"/>
              <w:left w:val="single" w:sz="2" w:space="0" w:color="000000"/>
              <w:bottom w:val="single" w:sz="2" w:space="0" w:color="000000"/>
              <w:right w:val="single" w:sz="2" w:space="0" w:color="000000"/>
            </w:tcBorders>
          </w:tcPr>
          <w:p w14:paraId="05FA3454" w14:textId="77777777" w:rsidR="006A5155" w:rsidRPr="00EA3292" w:rsidRDefault="006A5155" w:rsidP="0043533D">
            <w:pPr>
              <w:jc w:val="right"/>
            </w:pPr>
            <w:r w:rsidRPr="00EA3292">
              <w:t>0</w:t>
            </w:r>
          </w:p>
        </w:tc>
        <w:tc>
          <w:tcPr>
            <w:tcW w:w="680" w:type="dxa"/>
            <w:tcBorders>
              <w:top w:val="single" w:sz="12" w:space="0" w:color="auto"/>
              <w:left w:val="nil"/>
              <w:bottom w:val="single" w:sz="2" w:space="0" w:color="000000"/>
              <w:right w:val="double" w:sz="6" w:space="0" w:color="auto"/>
            </w:tcBorders>
          </w:tcPr>
          <w:p w14:paraId="6AB62A3E" w14:textId="77777777" w:rsidR="006A5155" w:rsidRPr="00EA3292" w:rsidRDefault="006A5155" w:rsidP="0043533D">
            <w:pPr>
              <w:jc w:val="right"/>
            </w:pPr>
            <w:r w:rsidRPr="00EA3292">
              <w:t>0</w:t>
            </w:r>
          </w:p>
        </w:tc>
      </w:tr>
      <w:tr w:rsidR="006A5155" w:rsidRPr="00EA3292" w14:paraId="374359C0"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5B9480C5"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Passenger cars, diesel</w:t>
            </w:r>
          </w:p>
        </w:tc>
        <w:tc>
          <w:tcPr>
            <w:tcW w:w="680" w:type="dxa"/>
            <w:tcBorders>
              <w:top w:val="single" w:sz="2" w:space="0" w:color="000000"/>
              <w:left w:val="single" w:sz="2" w:space="0" w:color="000000"/>
              <w:bottom w:val="single" w:sz="2" w:space="0" w:color="000000"/>
            </w:tcBorders>
          </w:tcPr>
          <w:p w14:paraId="6B1CE76C"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4EE6FC9D"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0E75FFE9"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5FE73E32"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4549F8FA"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41E16F7A"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007E814D"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1033229E"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14C3D15B" w14:textId="77777777" w:rsidR="006A5155" w:rsidRPr="00EA3292" w:rsidRDefault="006A5155" w:rsidP="0043533D">
            <w:pPr>
              <w:jc w:val="right"/>
            </w:pPr>
            <w:r w:rsidRPr="00EA3292">
              <w:t>0</w:t>
            </w:r>
          </w:p>
        </w:tc>
      </w:tr>
      <w:tr w:rsidR="006A5155" w:rsidRPr="00EA3292" w14:paraId="71CFC5D4"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2DD6FA19"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petrol</w:t>
            </w:r>
          </w:p>
        </w:tc>
        <w:tc>
          <w:tcPr>
            <w:tcW w:w="680" w:type="dxa"/>
            <w:tcBorders>
              <w:top w:val="single" w:sz="2" w:space="0" w:color="000000"/>
              <w:left w:val="single" w:sz="2" w:space="0" w:color="000000"/>
              <w:bottom w:val="single" w:sz="2" w:space="0" w:color="000000"/>
            </w:tcBorders>
          </w:tcPr>
          <w:p w14:paraId="2B455D10"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1F0FE955"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40773666"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386EBCB3"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0B49EA1C"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2DA6E7CD"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77175CB7"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564CCFFD"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5BD41252" w14:textId="77777777" w:rsidR="006A5155" w:rsidRPr="00EA3292" w:rsidRDefault="006A5155" w:rsidP="0043533D">
            <w:pPr>
              <w:jc w:val="right"/>
            </w:pPr>
            <w:r w:rsidRPr="00EA3292">
              <w:t>0</w:t>
            </w:r>
          </w:p>
        </w:tc>
      </w:tr>
      <w:tr w:rsidR="006A5155" w:rsidRPr="00EA3292" w14:paraId="14465AC5"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4AE54163"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LCVs, diesel</w:t>
            </w:r>
          </w:p>
        </w:tc>
        <w:tc>
          <w:tcPr>
            <w:tcW w:w="680" w:type="dxa"/>
            <w:tcBorders>
              <w:top w:val="single" w:sz="2" w:space="0" w:color="000000"/>
              <w:left w:val="single" w:sz="2" w:space="0" w:color="000000"/>
              <w:bottom w:val="single" w:sz="2" w:space="0" w:color="000000"/>
            </w:tcBorders>
          </w:tcPr>
          <w:p w14:paraId="580A580B"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1FE0791C"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0192FC38"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7EE2AA09"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58A2163A"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5D3B974B"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52280B7C"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654D7BD2"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68941714" w14:textId="77777777" w:rsidR="006A5155" w:rsidRPr="00EA3292" w:rsidRDefault="006A5155" w:rsidP="0043533D">
            <w:pPr>
              <w:jc w:val="right"/>
            </w:pPr>
            <w:r w:rsidRPr="00EA3292">
              <w:t>0</w:t>
            </w:r>
          </w:p>
        </w:tc>
      </w:tr>
      <w:tr w:rsidR="006A5155" w:rsidRPr="00EA3292" w14:paraId="66B333FD"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6A14FEBF"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petrol</w:t>
            </w:r>
          </w:p>
        </w:tc>
        <w:tc>
          <w:tcPr>
            <w:tcW w:w="680" w:type="dxa"/>
            <w:tcBorders>
              <w:top w:val="single" w:sz="2" w:space="0" w:color="000000"/>
              <w:left w:val="single" w:sz="2" w:space="0" w:color="000000"/>
              <w:bottom w:val="single" w:sz="2" w:space="0" w:color="000000"/>
            </w:tcBorders>
          </w:tcPr>
          <w:p w14:paraId="427DD4A8"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705400C1"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61ADD024"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6416E1CC"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5CE13E74"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4825BED5"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6B16D149"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6567CA8A"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59D1F50F" w14:textId="77777777" w:rsidR="006A5155" w:rsidRPr="00EA3292" w:rsidRDefault="006A5155" w:rsidP="0043533D">
            <w:pPr>
              <w:jc w:val="right"/>
            </w:pPr>
            <w:r w:rsidRPr="00EA3292">
              <w:t>0</w:t>
            </w:r>
          </w:p>
        </w:tc>
      </w:tr>
      <w:tr w:rsidR="006A5155" w:rsidRPr="00EA3292" w14:paraId="3AE0A15D" w14:textId="77777777" w:rsidTr="006A5155">
        <w:trPr>
          <w:trHeight w:val="240"/>
        </w:trPr>
        <w:tc>
          <w:tcPr>
            <w:tcW w:w="2331" w:type="dxa"/>
            <w:tcBorders>
              <w:top w:val="single" w:sz="2" w:space="0" w:color="000000"/>
              <w:left w:val="double" w:sz="6" w:space="0" w:color="auto"/>
              <w:bottom w:val="single" w:sz="2" w:space="0" w:color="000000"/>
            </w:tcBorders>
            <w:vAlign w:val="center"/>
          </w:tcPr>
          <w:p w14:paraId="03DE4E33" w14:textId="77777777" w:rsidR="006A5155" w:rsidRPr="00EA3292" w:rsidRDefault="006A5155" w:rsidP="006A51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HDVs, diesel</w:t>
            </w:r>
          </w:p>
        </w:tc>
        <w:tc>
          <w:tcPr>
            <w:tcW w:w="680" w:type="dxa"/>
            <w:tcBorders>
              <w:top w:val="single" w:sz="2" w:space="0" w:color="000000"/>
              <w:left w:val="single" w:sz="2" w:space="0" w:color="000000"/>
              <w:bottom w:val="single" w:sz="2" w:space="0" w:color="000000"/>
            </w:tcBorders>
          </w:tcPr>
          <w:p w14:paraId="026AB37A"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single" w:sz="2" w:space="0" w:color="000000"/>
              <w:right w:val="single" w:sz="2" w:space="0" w:color="000000"/>
            </w:tcBorders>
          </w:tcPr>
          <w:p w14:paraId="52740498"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single" w:sz="2" w:space="0" w:color="000000"/>
              <w:right w:val="single" w:sz="2" w:space="0" w:color="000000"/>
            </w:tcBorders>
          </w:tcPr>
          <w:p w14:paraId="47E11AAE"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single" w:sz="2" w:space="0" w:color="000000"/>
              <w:right w:val="single" w:sz="2" w:space="0" w:color="000000"/>
            </w:tcBorders>
          </w:tcPr>
          <w:p w14:paraId="21C95F6D"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single" w:sz="2" w:space="0" w:color="000000"/>
              <w:right w:val="single" w:sz="2" w:space="0" w:color="000000"/>
            </w:tcBorders>
          </w:tcPr>
          <w:p w14:paraId="455EA6BF"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single" w:sz="2" w:space="0" w:color="000000"/>
              <w:right w:val="single" w:sz="2" w:space="0" w:color="000000"/>
            </w:tcBorders>
          </w:tcPr>
          <w:p w14:paraId="5B2FD888"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single" w:sz="2" w:space="0" w:color="000000"/>
              <w:right w:val="single" w:sz="2" w:space="0" w:color="000000"/>
            </w:tcBorders>
          </w:tcPr>
          <w:p w14:paraId="5592CFDE"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single" w:sz="2" w:space="0" w:color="000000"/>
              <w:right w:val="single" w:sz="2" w:space="0" w:color="000000"/>
            </w:tcBorders>
          </w:tcPr>
          <w:p w14:paraId="7C3D5827" w14:textId="77777777" w:rsidR="006A5155" w:rsidRPr="00EA3292" w:rsidRDefault="006A5155" w:rsidP="0043533D">
            <w:pPr>
              <w:jc w:val="right"/>
            </w:pPr>
            <w:r w:rsidRPr="00EA3292">
              <w:t>0</w:t>
            </w:r>
          </w:p>
        </w:tc>
        <w:tc>
          <w:tcPr>
            <w:tcW w:w="680" w:type="dxa"/>
            <w:tcBorders>
              <w:top w:val="single" w:sz="2" w:space="0" w:color="000000"/>
              <w:left w:val="nil"/>
              <w:bottom w:val="single" w:sz="2" w:space="0" w:color="000000"/>
              <w:right w:val="double" w:sz="6" w:space="0" w:color="auto"/>
            </w:tcBorders>
          </w:tcPr>
          <w:p w14:paraId="586BCE92" w14:textId="77777777" w:rsidR="006A5155" w:rsidRPr="00EA3292" w:rsidRDefault="006A5155" w:rsidP="0043533D">
            <w:pPr>
              <w:jc w:val="right"/>
            </w:pPr>
            <w:r w:rsidRPr="00EA3292">
              <w:t>0</w:t>
            </w:r>
          </w:p>
        </w:tc>
      </w:tr>
      <w:tr w:rsidR="006A5155" w:rsidRPr="00EA3292" w14:paraId="42C6926E" w14:textId="77777777" w:rsidTr="006A5155">
        <w:trPr>
          <w:trHeight w:val="240"/>
        </w:trPr>
        <w:tc>
          <w:tcPr>
            <w:tcW w:w="2331" w:type="dxa"/>
            <w:tcBorders>
              <w:top w:val="single" w:sz="2" w:space="0" w:color="000000"/>
              <w:left w:val="double" w:sz="6" w:space="0" w:color="auto"/>
              <w:bottom w:val="double" w:sz="6" w:space="0" w:color="auto"/>
            </w:tcBorders>
            <w:vAlign w:val="center"/>
          </w:tcPr>
          <w:p w14:paraId="569B3CF5" w14:textId="77777777" w:rsidR="006A5155" w:rsidRPr="00EA3292" w:rsidRDefault="006A5155" w:rsidP="005C7955">
            <w:pPr>
              <w:pStyle w:val="Table"/>
              <w:spacing w:line="240" w:lineRule="atLeast"/>
              <w:rPr>
                <w:rFonts w:ascii="Open Sans" w:hAnsi="Open Sans" w:cs="Open Sans"/>
                <w:sz w:val="18"/>
                <w:szCs w:val="18"/>
                <w:lang w:val="en-GB"/>
              </w:rPr>
            </w:pPr>
            <w:r w:rsidRPr="00EA3292">
              <w:rPr>
                <w:rFonts w:ascii="Open Sans" w:hAnsi="Open Sans" w:cs="Open Sans"/>
                <w:sz w:val="18"/>
                <w:szCs w:val="18"/>
                <w:lang w:val="en-GB"/>
              </w:rPr>
              <w:t>Motorcycles</w:t>
            </w:r>
          </w:p>
        </w:tc>
        <w:tc>
          <w:tcPr>
            <w:tcW w:w="680" w:type="dxa"/>
            <w:tcBorders>
              <w:top w:val="single" w:sz="2" w:space="0" w:color="000000"/>
              <w:left w:val="single" w:sz="2" w:space="0" w:color="000000"/>
              <w:bottom w:val="double" w:sz="6" w:space="0" w:color="auto"/>
            </w:tcBorders>
          </w:tcPr>
          <w:p w14:paraId="1C7E6A7B" w14:textId="77777777" w:rsidR="006A5155" w:rsidRPr="00EA3292" w:rsidRDefault="006A5155" w:rsidP="0043533D">
            <w:pPr>
              <w:jc w:val="right"/>
            </w:pPr>
            <w:r w:rsidRPr="00EA3292">
              <w:t>0.0332</w:t>
            </w:r>
          </w:p>
        </w:tc>
        <w:tc>
          <w:tcPr>
            <w:tcW w:w="680" w:type="dxa"/>
            <w:tcBorders>
              <w:top w:val="single" w:sz="2" w:space="0" w:color="000000"/>
              <w:left w:val="single" w:sz="2" w:space="0" w:color="000000"/>
              <w:bottom w:val="double" w:sz="6" w:space="0" w:color="auto"/>
              <w:right w:val="single" w:sz="2" w:space="0" w:color="000000"/>
            </w:tcBorders>
          </w:tcPr>
          <w:p w14:paraId="38C7C49B" w14:textId="77777777" w:rsidR="006A5155" w:rsidRPr="00EA3292" w:rsidRDefault="006A5155" w:rsidP="0043533D">
            <w:pPr>
              <w:jc w:val="right"/>
            </w:pPr>
            <w:r w:rsidRPr="00EA3292">
              <w:t>4.56</w:t>
            </w:r>
          </w:p>
        </w:tc>
        <w:tc>
          <w:tcPr>
            <w:tcW w:w="680" w:type="dxa"/>
            <w:tcBorders>
              <w:top w:val="single" w:sz="2" w:space="0" w:color="000000"/>
              <w:left w:val="single" w:sz="2" w:space="0" w:color="000000"/>
              <w:bottom w:val="double" w:sz="6" w:space="0" w:color="auto"/>
              <w:right w:val="single" w:sz="2" w:space="0" w:color="000000"/>
            </w:tcBorders>
          </w:tcPr>
          <w:p w14:paraId="62CE3291" w14:textId="77777777" w:rsidR="006A5155" w:rsidRPr="00EA3292" w:rsidRDefault="006A5155" w:rsidP="0043533D">
            <w:pPr>
              <w:jc w:val="right"/>
            </w:pPr>
            <w:r w:rsidRPr="00EA3292">
              <w:t>778</w:t>
            </w:r>
          </w:p>
        </w:tc>
        <w:tc>
          <w:tcPr>
            <w:tcW w:w="680" w:type="dxa"/>
            <w:tcBorders>
              <w:top w:val="single" w:sz="2" w:space="0" w:color="000000"/>
              <w:left w:val="single" w:sz="2" w:space="0" w:color="000000"/>
              <w:bottom w:val="double" w:sz="6" w:space="0" w:color="auto"/>
              <w:right w:val="single" w:sz="2" w:space="0" w:color="000000"/>
            </w:tcBorders>
          </w:tcPr>
          <w:p w14:paraId="1B76D0BA" w14:textId="77777777" w:rsidR="006A5155" w:rsidRPr="00EA3292" w:rsidRDefault="006A5155" w:rsidP="0043533D">
            <w:pPr>
              <w:jc w:val="right"/>
            </w:pPr>
            <w:r w:rsidRPr="00EA3292">
              <w:t>19.2</w:t>
            </w:r>
          </w:p>
        </w:tc>
        <w:tc>
          <w:tcPr>
            <w:tcW w:w="680" w:type="dxa"/>
            <w:tcBorders>
              <w:top w:val="single" w:sz="2" w:space="0" w:color="000000"/>
              <w:left w:val="single" w:sz="2" w:space="0" w:color="000000"/>
              <w:bottom w:val="double" w:sz="6" w:space="0" w:color="auto"/>
              <w:right w:val="single" w:sz="2" w:space="0" w:color="000000"/>
            </w:tcBorders>
          </w:tcPr>
          <w:p w14:paraId="38322033" w14:textId="77777777" w:rsidR="006A5155" w:rsidRPr="00EA3292" w:rsidRDefault="006A5155" w:rsidP="0043533D">
            <w:pPr>
              <w:jc w:val="right"/>
            </w:pPr>
            <w:r w:rsidRPr="00EA3292">
              <w:t>31.89</w:t>
            </w:r>
          </w:p>
        </w:tc>
        <w:tc>
          <w:tcPr>
            <w:tcW w:w="680" w:type="dxa"/>
            <w:tcBorders>
              <w:top w:val="single" w:sz="2" w:space="0" w:color="000000"/>
              <w:left w:val="single" w:sz="2" w:space="0" w:color="000000"/>
              <w:bottom w:val="double" w:sz="6" w:space="0" w:color="auto"/>
              <w:right w:val="single" w:sz="2" w:space="0" w:color="000000"/>
            </w:tcBorders>
          </w:tcPr>
          <w:p w14:paraId="760A19F1" w14:textId="77777777" w:rsidR="006A5155" w:rsidRPr="00EA3292" w:rsidRDefault="006A5155" w:rsidP="0043533D">
            <w:pPr>
              <w:jc w:val="right"/>
            </w:pPr>
            <w:r w:rsidRPr="00EA3292">
              <w:t>4.54</w:t>
            </w:r>
          </w:p>
        </w:tc>
        <w:tc>
          <w:tcPr>
            <w:tcW w:w="680" w:type="dxa"/>
            <w:tcBorders>
              <w:top w:val="single" w:sz="2" w:space="0" w:color="000000"/>
              <w:left w:val="single" w:sz="2" w:space="0" w:color="000000"/>
              <w:bottom w:val="double" w:sz="6" w:space="0" w:color="auto"/>
              <w:right w:val="single" w:sz="2" w:space="0" w:color="000000"/>
            </w:tcBorders>
          </w:tcPr>
          <w:p w14:paraId="7C923572" w14:textId="77777777" w:rsidR="006A5155" w:rsidRPr="00EA3292" w:rsidRDefault="006A5155" w:rsidP="0043533D">
            <w:pPr>
              <w:jc w:val="right"/>
            </w:pPr>
            <w:r w:rsidRPr="00EA3292">
              <w:t>450.2</w:t>
            </w:r>
          </w:p>
        </w:tc>
        <w:tc>
          <w:tcPr>
            <w:tcW w:w="680" w:type="dxa"/>
            <w:tcBorders>
              <w:top w:val="single" w:sz="2" w:space="0" w:color="000000"/>
              <w:left w:val="single" w:sz="2" w:space="0" w:color="000000"/>
              <w:bottom w:val="double" w:sz="6" w:space="0" w:color="auto"/>
              <w:right w:val="single" w:sz="2" w:space="0" w:color="000000"/>
            </w:tcBorders>
          </w:tcPr>
          <w:p w14:paraId="10196335" w14:textId="77777777" w:rsidR="006A5155" w:rsidRPr="00EA3292" w:rsidRDefault="006A5155" w:rsidP="0043533D">
            <w:pPr>
              <w:jc w:val="right"/>
            </w:pPr>
            <w:r w:rsidRPr="00EA3292">
              <w:t>0</w:t>
            </w:r>
          </w:p>
        </w:tc>
        <w:tc>
          <w:tcPr>
            <w:tcW w:w="680" w:type="dxa"/>
            <w:tcBorders>
              <w:top w:val="single" w:sz="2" w:space="0" w:color="000000"/>
              <w:left w:val="nil"/>
              <w:bottom w:val="double" w:sz="6" w:space="0" w:color="auto"/>
              <w:right w:val="double" w:sz="6" w:space="0" w:color="auto"/>
            </w:tcBorders>
          </w:tcPr>
          <w:p w14:paraId="38FFA76B" w14:textId="77777777" w:rsidR="006A5155" w:rsidRPr="00EA3292" w:rsidRDefault="006A5155" w:rsidP="0043533D">
            <w:pPr>
              <w:jc w:val="right"/>
            </w:pPr>
            <w:r w:rsidRPr="00EA3292">
              <w:t>0</w:t>
            </w:r>
          </w:p>
        </w:tc>
      </w:tr>
    </w:tbl>
    <w:p w14:paraId="56EC68A4" w14:textId="77777777" w:rsidR="001D2587" w:rsidRPr="000855B2" w:rsidRDefault="001D2587" w:rsidP="00B019EC">
      <w:pPr>
        <w:pStyle w:val="Heading4"/>
      </w:pPr>
      <w:r w:rsidRPr="00EA3292">
        <w:t>Emission degradation functions</w:t>
      </w:r>
    </w:p>
    <w:bookmarkEnd w:id="207"/>
    <w:bookmarkEnd w:id="208"/>
    <w:p w14:paraId="46773DE2" w14:textId="2402F9F3" w:rsidR="00E42177" w:rsidRPr="000855B2" w:rsidRDefault="00E17971" w:rsidP="0083104A">
      <w:pPr>
        <w:pStyle w:val="BodyText"/>
      </w:pPr>
      <w:r w:rsidRPr="000855B2">
        <w:fldChar w:fldCharType="begin"/>
      </w:r>
      <w:r w:rsidR="00C81D7C" w:rsidRPr="000855B2">
        <w:instrText xml:space="preserve"> REF _Ref200289593 \h </w:instrText>
      </w:r>
      <w:r w:rsidR="0083104A" w:rsidRPr="000855B2">
        <w:instrText xml:space="preserve"> \* MERGEFORMAT </w:instrText>
      </w:r>
      <w:r w:rsidRPr="000855B2">
        <w:fldChar w:fldCharType="separate"/>
      </w:r>
      <w:r w:rsidR="0071604C" w:rsidRPr="000855B2">
        <w:t>Table </w:t>
      </w:r>
      <w:r w:rsidR="0071604C">
        <w:t>3.79</w:t>
      </w:r>
      <w:r w:rsidRPr="000855B2">
        <w:fldChar w:fldCharType="end"/>
      </w:r>
      <w:r w:rsidR="00C81D7C" w:rsidRPr="000855B2">
        <w:t xml:space="preserve"> and </w:t>
      </w:r>
      <w:r w:rsidR="00FB454C">
        <w:fldChar w:fldCharType="begin"/>
      </w:r>
      <w:r w:rsidR="00FB454C">
        <w:instrText xml:space="preserve"> REF _Ref200289595 \h  \* MERGEFORMAT </w:instrText>
      </w:r>
      <w:r w:rsidR="00FB454C">
        <w:fldChar w:fldCharType="separate"/>
      </w:r>
      <w:r w:rsidR="0071604C" w:rsidRPr="000855B2">
        <w:t>Table </w:t>
      </w:r>
      <w:r w:rsidR="0071604C">
        <w:t>3.80</w:t>
      </w:r>
      <w:r w:rsidR="00FB454C">
        <w:fldChar w:fldCharType="end"/>
      </w:r>
      <w:r w:rsidR="001D2587" w:rsidRPr="000855B2">
        <w:t xml:space="preserve"> provide the degradation functions to be used for simulating the deterioration of emission performance of </w:t>
      </w:r>
      <w:r w:rsidR="005E4DC4">
        <w:t>petrol</w:t>
      </w:r>
      <w:r w:rsidR="001D2587" w:rsidRPr="000855B2">
        <w:t xml:space="preserve"> passenger cars and </w:t>
      </w:r>
      <w:r w:rsidR="00CF67A4" w:rsidRPr="000855B2">
        <w:t>light commercial</w:t>
      </w:r>
      <w:r w:rsidR="001D2587" w:rsidRPr="000855B2">
        <w:t xml:space="preserve"> vehicles equ</w:t>
      </w:r>
      <w:r w:rsidR="005E1FDD">
        <w:t>ipped with three way catalysts.</w:t>
      </w:r>
    </w:p>
    <w:p w14:paraId="678DECED" w14:textId="6FD57D37" w:rsidR="001D2587" w:rsidRPr="000855B2" w:rsidRDefault="00A040D1" w:rsidP="008D1A83">
      <w:pPr>
        <w:pStyle w:val="Caption"/>
      </w:pPr>
      <w:bookmarkStart w:id="267" w:name="_Ref200289593"/>
      <w:bookmarkStart w:id="268" w:name="_Toc482876855"/>
      <w:bookmarkStart w:id="269" w:name="_Toc496265309"/>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79</w:t>
      </w:r>
      <w:r w:rsidR="00FB454C">
        <w:rPr>
          <w:noProof/>
        </w:rPr>
        <w:fldChar w:fldCharType="end"/>
      </w:r>
      <w:bookmarkEnd w:id="267"/>
      <w:r w:rsidR="001D2587" w:rsidRPr="000855B2">
        <w:t xml:space="preserve">: Emission degradation due to vehicle age for Euro </w:t>
      </w:r>
      <w:r w:rsidR="00BA06B9" w:rsidRPr="000855B2">
        <w:t>1</w:t>
      </w:r>
      <w:r w:rsidR="001D2587" w:rsidRPr="000855B2">
        <w:t xml:space="preserve"> and Euro </w:t>
      </w:r>
      <w:r w:rsidR="00BA06B9" w:rsidRPr="000855B2">
        <w:t>2</w:t>
      </w:r>
      <w:r w:rsidR="001D2587" w:rsidRPr="000855B2">
        <w:t xml:space="preserve"> </w:t>
      </w:r>
      <w:r w:rsidR="005E4DC4">
        <w:t>petrol</w:t>
      </w:r>
      <w:r w:rsidR="001D2587" w:rsidRPr="000855B2">
        <w:t xml:space="preserve"> passenger cars and </w:t>
      </w:r>
      <w:r w:rsidR="00CF67A4" w:rsidRPr="000855B2">
        <w:t>light commercial</w:t>
      </w:r>
      <w:r w:rsidR="001D2587" w:rsidRPr="000855B2">
        <w:t xml:space="preserve"> vehicles</w:t>
      </w:r>
      <w:bookmarkEnd w:id="268"/>
      <w:bookmarkEnd w:id="269"/>
    </w:p>
    <w:tbl>
      <w:tblPr>
        <w:tblW w:w="8520"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ook w:val="0000" w:firstRow="0" w:lastRow="0" w:firstColumn="0" w:lastColumn="0" w:noHBand="0" w:noVBand="0"/>
      </w:tblPr>
      <w:tblGrid>
        <w:gridCol w:w="2058"/>
        <w:gridCol w:w="1117"/>
        <w:gridCol w:w="1528"/>
        <w:gridCol w:w="1115"/>
        <w:gridCol w:w="1525"/>
        <w:gridCol w:w="1177"/>
      </w:tblGrid>
      <w:tr w:rsidR="001D2587" w:rsidRPr="000855B2" w14:paraId="0A907DC4" w14:textId="77777777" w:rsidTr="00887829">
        <w:trPr>
          <w:cantSplit/>
          <w:trHeight w:val="285"/>
        </w:trPr>
        <w:tc>
          <w:tcPr>
            <w:tcW w:w="2080" w:type="dxa"/>
            <w:vMerge w:val="restart"/>
            <w:vAlign w:val="center"/>
          </w:tcPr>
          <w:p w14:paraId="4AC73A88"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MC = A</w:t>
            </w:r>
            <w:r w:rsidRPr="000855B2">
              <w:rPr>
                <w:b/>
                <w:bCs/>
                <w:szCs w:val="18"/>
                <w:vertAlign w:val="superscript"/>
                <w:lang w:val="en-GB"/>
              </w:rPr>
              <w:t xml:space="preserve">M </w:t>
            </w:r>
            <w:r w:rsidRPr="000855B2">
              <w:rPr>
                <w:b/>
                <w:bCs/>
                <w:szCs w:val="18"/>
                <w:lang w:val="en-GB"/>
              </w:rPr>
              <w:t>× M</w:t>
            </w:r>
            <w:r w:rsidRPr="000855B2">
              <w:rPr>
                <w:b/>
                <w:bCs/>
                <w:szCs w:val="18"/>
                <w:vertAlign w:val="superscript"/>
                <w:lang w:val="en-GB"/>
              </w:rPr>
              <w:t xml:space="preserve">MEAN </w:t>
            </w:r>
            <w:r w:rsidRPr="000855B2">
              <w:rPr>
                <w:b/>
                <w:bCs/>
                <w:szCs w:val="18"/>
                <w:lang w:val="en-GB"/>
              </w:rPr>
              <w:t>+ B</w:t>
            </w:r>
            <w:r w:rsidRPr="000855B2">
              <w:rPr>
                <w:b/>
                <w:bCs/>
                <w:szCs w:val="18"/>
                <w:vertAlign w:val="superscript"/>
                <w:lang w:val="en-GB"/>
              </w:rPr>
              <w:t>M</w:t>
            </w:r>
          </w:p>
        </w:tc>
        <w:tc>
          <w:tcPr>
            <w:tcW w:w="1120" w:type="dxa"/>
            <w:vMerge w:val="restart"/>
            <w:vAlign w:val="center"/>
          </w:tcPr>
          <w:p w14:paraId="581D459A"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Capacity </w:t>
            </w:r>
            <w:r w:rsidR="000210A8" w:rsidRPr="000855B2">
              <w:rPr>
                <w:b/>
                <w:bCs/>
                <w:szCs w:val="18"/>
                <w:lang w:val="en-GB"/>
              </w:rPr>
              <w:t>c</w:t>
            </w:r>
            <w:r w:rsidRPr="000855B2">
              <w:rPr>
                <w:b/>
                <w:bCs/>
                <w:szCs w:val="18"/>
                <w:lang w:val="en-GB"/>
              </w:rPr>
              <w:t>lass [l]</w:t>
            </w:r>
          </w:p>
        </w:tc>
        <w:tc>
          <w:tcPr>
            <w:tcW w:w="1540" w:type="dxa"/>
            <w:vMerge w:val="restart"/>
            <w:vAlign w:val="center"/>
          </w:tcPr>
          <w:p w14:paraId="760408BF"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Average </w:t>
            </w:r>
            <w:r w:rsidR="000210A8" w:rsidRPr="000855B2">
              <w:rPr>
                <w:b/>
                <w:bCs/>
                <w:szCs w:val="18"/>
                <w:lang w:val="en-GB"/>
              </w:rPr>
              <w:t>m</w:t>
            </w:r>
            <w:r w:rsidRPr="000855B2">
              <w:rPr>
                <w:b/>
                <w:bCs/>
                <w:szCs w:val="18"/>
                <w:lang w:val="en-GB"/>
              </w:rPr>
              <w:t>ileage [km]</w:t>
            </w:r>
          </w:p>
        </w:tc>
        <w:tc>
          <w:tcPr>
            <w:tcW w:w="1120" w:type="dxa"/>
            <w:vMerge w:val="restart"/>
            <w:vAlign w:val="center"/>
          </w:tcPr>
          <w:p w14:paraId="13D0857E"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A</w:t>
            </w:r>
            <w:r w:rsidRPr="000855B2">
              <w:rPr>
                <w:b/>
                <w:bCs/>
                <w:szCs w:val="18"/>
                <w:vertAlign w:val="superscript"/>
                <w:lang w:val="en-GB"/>
              </w:rPr>
              <w:t>M</w:t>
            </w:r>
          </w:p>
        </w:tc>
        <w:tc>
          <w:tcPr>
            <w:tcW w:w="1540" w:type="dxa"/>
            <w:vAlign w:val="center"/>
          </w:tcPr>
          <w:p w14:paraId="419E0139"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B</w:t>
            </w:r>
            <w:r w:rsidRPr="000855B2">
              <w:rPr>
                <w:b/>
                <w:bCs/>
                <w:szCs w:val="18"/>
                <w:vertAlign w:val="superscript"/>
                <w:lang w:val="en-GB"/>
              </w:rPr>
              <w:t>M</w:t>
            </w:r>
          </w:p>
        </w:tc>
        <w:tc>
          <w:tcPr>
            <w:tcW w:w="1120" w:type="dxa"/>
            <w:vMerge w:val="restart"/>
            <w:vAlign w:val="center"/>
          </w:tcPr>
          <w:p w14:paraId="65A1C85D"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 120</w:t>
            </w:r>
            <w:r w:rsidR="00D02C42" w:rsidRPr="000855B2">
              <w:rPr>
                <w:b/>
                <w:bCs/>
                <w:szCs w:val="18"/>
                <w:lang w:val="en-GB"/>
              </w:rPr>
              <w:t> </w:t>
            </w:r>
            <w:r w:rsidRPr="000855B2">
              <w:rPr>
                <w:b/>
                <w:bCs/>
                <w:szCs w:val="18"/>
                <w:lang w:val="en-GB"/>
              </w:rPr>
              <w:t>000</w:t>
            </w:r>
            <w:r w:rsidR="004A3634" w:rsidRPr="000855B2">
              <w:rPr>
                <w:b/>
                <w:bCs/>
                <w:szCs w:val="18"/>
                <w:lang w:val="en-GB"/>
              </w:rPr>
              <w:t> km</w:t>
            </w:r>
          </w:p>
        </w:tc>
      </w:tr>
      <w:tr w:rsidR="001D2587" w:rsidRPr="000855B2" w14:paraId="415DED7B" w14:textId="77777777" w:rsidTr="00887829">
        <w:trPr>
          <w:cantSplit/>
          <w:trHeight w:val="270"/>
        </w:trPr>
        <w:tc>
          <w:tcPr>
            <w:tcW w:w="2080" w:type="dxa"/>
            <w:vMerge/>
            <w:vAlign w:val="center"/>
          </w:tcPr>
          <w:p w14:paraId="643583D8"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740FE5C9" w14:textId="77777777" w:rsidR="001D2587" w:rsidRPr="000855B2" w:rsidRDefault="001D2587" w:rsidP="005C7955">
            <w:pPr>
              <w:keepNext/>
              <w:keepLines/>
              <w:suppressAutoHyphens/>
              <w:spacing w:line="240" w:lineRule="atLeast"/>
              <w:jc w:val="center"/>
              <w:rPr>
                <w:b/>
                <w:bCs/>
                <w:szCs w:val="18"/>
                <w:lang w:val="en-GB"/>
              </w:rPr>
            </w:pPr>
          </w:p>
        </w:tc>
        <w:tc>
          <w:tcPr>
            <w:tcW w:w="1540" w:type="dxa"/>
            <w:vMerge/>
            <w:vAlign w:val="center"/>
          </w:tcPr>
          <w:p w14:paraId="20EF3493"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13C0BC41" w14:textId="77777777" w:rsidR="001D2587" w:rsidRPr="000855B2" w:rsidRDefault="001D2587" w:rsidP="005C7955">
            <w:pPr>
              <w:keepNext/>
              <w:keepLines/>
              <w:suppressAutoHyphens/>
              <w:spacing w:line="240" w:lineRule="atLeast"/>
              <w:jc w:val="center"/>
              <w:rPr>
                <w:b/>
                <w:bCs/>
                <w:szCs w:val="18"/>
                <w:lang w:val="en-GB"/>
              </w:rPr>
            </w:pPr>
          </w:p>
        </w:tc>
        <w:tc>
          <w:tcPr>
            <w:tcW w:w="1540" w:type="dxa"/>
            <w:vAlign w:val="center"/>
          </w:tcPr>
          <w:p w14:paraId="6402BCB6"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0</w:t>
            </w:r>
            <w:r w:rsidR="004A3634" w:rsidRPr="000855B2">
              <w:rPr>
                <w:b/>
                <w:bCs/>
                <w:szCs w:val="18"/>
                <w:lang w:val="en-GB"/>
              </w:rPr>
              <w:t> km</w:t>
            </w:r>
            <w:r w:rsidRPr="000855B2">
              <w:rPr>
                <w:b/>
                <w:bCs/>
                <w:szCs w:val="18"/>
                <w:lang w:val="en-GB"/>
              </w:rPr>
              <w:t>)</w:t>
            </w:r>
          </w:p>
        </w:tc>
        <w:tc>
          <w:tcPr>
            <w:tcW w:w="1120" w:type="dxa"/>
            <w:vMerge/>
            <w:vAlign w:val="center"/>
          </w:tcPr>
          <w:p w14:paraId="580E8DAC" w14:textId="77777777" w:rsidR="001D2587" w:rsidRPr="000855B2" w:rsidRDefault="001D2587" w:rsidP="005C7955">
            <w:pPr>
              <w:keepNext/>
              <w:keepLines/>
              <w:suppressAutoHyphens/>
              <w:spacing w:line="240" w:lineRule="atLeast"/>
              <w:jc w:val="center"/>
              <w:rPr>
                <w:b/>
                <w:bCs/>
                <w:szCs w:val="18"/>
                <w:lang w:val="en-GB"/>
              </w:rPr>
            </w:pPr>
          </w:p>
        </w:tc>
      </w:tr>
      <w:tr w:rsidR="001D2587" w:rsidRPr="000855B2" w14:paraId="15E0BAA2" w14:textId="77777777" w:rsidTr="00887829">
        <w:trPr>
          <w:trHeight w:val="450"/>
        </w:trPr>
        <w:tc>
          <w:tcPr>
            <w:tcW w:w="8520" w:type="dxa"/>
            <w:gridSpan w:val="6"/>
            <w:vAlign w:val="center"/>
          </w:tcPr>
          <w:p w14:paraId="4B6C5409"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D205E2" w:rsidRPr="000855B2">
              <w:rPr>
                <w:b/>
                <w:bCs/>
                <w:szCs w:val="18"/>
                <w:lang w:val="en-GB"/>
              </w:rPr>
              <w:t>&lt; </w:t>
            </w:r>
            <w:r w:rsidRPr="000855B2">
              <w:rPr>
                <w:b/>
                <w:bCs/>
                <w:szCs w:val="18"/>
                <w:lang w:val="en-GB"/>
              </w:rPr>
              <w:t>19</w:t>
            </w:r>
            <w:r w:rsidR="004A3634" w:rsidRPr="000855B2">
              <w:rPr>
                <w:b/>
                <w:bCs/>
                <w:szCs w:val="18"/>
                <w:lang w:val="en-GB"/>
              </w:rPr>
              <w:t> km</w:t>
            </w:r>
            <w:r w:rsidRPr="000855B2">
              <w:rPr>
                <w:b/>
                <w:bCs/>
                <w:szCs w:val="18"/>
                <w:lang w:val="en-GB"/>
              </w:rPr>
              <w:t>/h (MC</w:t>
            </w:r>
            <w:r w:rsidRPr="000855B2">
              <w:rPr>
                <w:b/>
                <w:bCs/>
                <w:szCs w:val="18"/>
                <w:vertAlign w:val="subscript"/>
                <w:lang w:val="en-GB"/>
              </w:rPr>
              <w:t>URBAN</w:t>
            </w:r>
            <w:r w:rsidRPr="000855B2">
              <w:rPr>
                <w:b/>
                <w:bCs/>
                <w:szCs w:val="18"/>
                <w:lang w:val="en-GB"/>
              </w:rPr>
              <w:t>)</w:t>
            </w:r>
          </w:p>
        </w:tc>
      </w:tr>
      <w:tr w:rsidR="001D2587" w:rsidRPr="000855B2" w14:paraId="4FC19617" w14:textId="77777777" w:rsidTr="00887829">
        <w:trPr>
          <w:cantSplit/>
          <w:trHeight w:val="300"/>
        </w:trPr>
        <w:tc>
          <w:tcPr>
            <w:tcW w:w="2080" w:type="dxa"/>
            <w:vMerge w:val="restart"/>
            <w:vAlign w:val="center"/>
          </w:tcPr>
          <w:p w14:paraId="696498C3"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53456EB8" w14:textId="77777777" w:rsidR="001D2587" w:rsidRPr="000855B2" w:rsidRDefault="00373B48" w:rsidP="005C7955">
            <w:pPr>
              <w:keepNext/>
              <w:keepLines/>
              <w:suppressAutoHyphens/>
              <w:spacing w:line="240" w:lineRule="atLeast"/>
              <w:jc w:val="center"/>
              <w:rPr>
                <w:szCs w:val="18"/>
                <w:lang w:val="en-GB"/>
              </w:rPr>
            </w:pPr>
            <w:r w:rsidRPr="000855B2">
              <w:rPr>
                <w:szCs w:val="18"/>
                <w:lang w:val="en-GB"/>
              </w:rPr>
              <w:t>0.8</w:t>
            </w:r>
            <w:r w:rsidRPr="000855B2">
              <w:rPr>
                <w:szCs w:val="20"/>
                <w:lang w:val="en-GB"/>
              </w:rPr>
              <w:t>–</w:t>
            </w:r>
            <w:r w:rsidR="001D2587" w:rsidRPr="000855B2">
              <w:rPr>
                <w:szCs w:val="18"/>
                <w:lang w:val="en-GB"/>
              </w:rPr>
              <w:t>1.4</w:t>
            </w:r>
          </w:p>
        </w:tc>
        <w:tc>
          <w:tcPr>
            <w:tcW w:w="1540" w:type="dxa"/>
            <w:vAlign w:val="center"/>
          </w:tcPr>
          <w:p w14:paraId="29B568A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2F7D9AE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1.523E-05</w:t>
            </w:r>
          </w:p>
        </w:tc>
        <w:tc>
          <w:tcPr>
            <w:tcW w:w="1540" w:type="dxa"/>
            <w:vAlign w:val="center"/>
          </w:tcPr>
          <w:p w14:paraId="00AC528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0.557</w:t>
            </w:r>
          </w:p>
        </w:tc>
        <w:tc>
          <w:tcPr>
            <w:tcW w:w="1120" w:type="dxa"/>
            <w:vAlign w:val="center"/>
          </w:tcPr>
          <w:p w14:paraId="6DE6F13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2.39</w:t>
            </w:r>
          </w:p>
        </w:tc>
      </w:tr>
      <w:tr w:rsidR="001D2587" w:rsidRPr="000855B2" w14:paraId="0955E4F8" w14:textId="77777777" w:rsidTr="00887829">
        <w:trPr>
          <w:cantSplit/>
          <w:trHeight w:val="285"/>
        </w:trPr>
        <w:tc>
          <w:tcPr>
            <w:tcW w:w="2080" w:type="dxa"/>
            <w:vMerge/>
            <w:vAlign w:val="center"/>
          </w:tcPr>
          <w:p w14:paraId="50A7C925"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4FDC73A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574D6DA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5074DBB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1.148E-05</w:t>
            </w:r>
          </w:p>
        </w:tc>
        <w:tc>
          <w:tcPr>
            <w:tcW w:w="1540" w:type="dxa"/>
            <w:vAlign w:val="center"/>
          </w:tcPr>
          <w:p w14:paraId="2E1EB85B"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0.543</w:t>
            </w:r>
          </w:p>
        </w:tc>
        <w:tc>
          <w:tcPr>
            <w:tcW w:w="1120" w:type="dxa"/>
            <w:vAlign w:val="center"/>
          </w:tcPr>
          <w:p w14:paraId="6B93349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1.92</w:t>
            </w:r>
          </w:p>
        </w:tc>
      </w:tr>
      <w:tr w:rsidR="001D2587" w:rsidRPr="000855B2" w14:paraId="39F9165D" w14:textId="77777777" w:rsidTr="00887829">
        <w:trPr>
          <w:cantSplit/>
          <w:trHeight w:val="270"/>
        </w:trPr>
        <w:tc>
          <w:tcPr>
            <w:tcW w:w="2080" w:type="dxa"/>
            <w:vMerge/>
            <w:vAlign w:val="center"/>
          </w:tcPr>
          <w:p w14:paraId="3F3DBCA9"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3E7B6C92"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2000FA5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6090217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9.243E-06</w:t>
            </w:r>
          </w:p>
        </w:tc>
        <w:tc>
          <w:tcPr>
            <w:tcW w:w="1540" w:type="dxa"/>
            <w:vAlign w:val="center"/>
          </w:tcPr>
          <w:p w14:paraId="1460878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0.565</w:t>
            </w:r>
          </w:p>
        </w:tc>
        <w:tc>
          <w:tcPr>
            <w:tcW w:w="1120" w:type="dxa"/>
            <w:vAlign w:val="center"/>
          </w:tcPr>
          <w:p w14:paraId="563B3F5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1.67</w:t>
            </w:r>
          </w:p>
        </w:tc>
      </w:tr>
      <w:tr w:rsidR="001D2587" w:rsidRPr="000855B2" w14:paraId="20C54177" w14:textId="77777777" w:rsidTr="00887829">
        <w:trPr>
          <w:trHeight w:val="300"/>
        </w:trPr>
        <w:tc>
          <w:tcPr>
            <w:tcW w:w="2080" w:type="dxa"/>
            <w:vAlign w:val="center"/>
          </w:tcPr>
          <w:p w14:paraId="23DBC501"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41217B5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ALL</w:t>
            </w:r>
            <w:r w:rsidR="00373B48" w:rsidRPr="000855B2">
              <w:rPr>
                <w:szCs w:val="18"/>
                <w:lang w:val="en-GB"/>
              </w:rPr>
              <w:t>&gt; 0.8</w:t>
            </w:r>
          </w:p>
        </w:tc>
        <w:tc>
          <w:tcPr>
            <w:tcW w:w="1540" w:type="dxa"/>
            <w:vAlign w:val="center"/>
          </w:tcPr>
          <w:p w14:paraId="3C84EF5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44</w:t>
            </w:r>
            <w:r w:rsidR="00D02C42" w:rsidRPr="000855B2">
              <w:rPr>
                <w:szCs w:val="18"/>
                <w:lang w:val="en-GB"/>
              </w:rPr>
              <w:t> </w:t>
            </w:r>
            <w:r w:rsidRPr="000855B2">
              <w:rPr>
                <w:szCs w:val="18"/>
                <w:lang w:val="en-GB"/>
              </w:rPr>
              <w:t>931</w:t>
            </w:r>
          </w:p>
        </w:tc>
        <w:tc>
          <w:tcPr>
            <w:tcW w:w="1120" w:type="dxa"/>
            <w:vAlign w:val="center"/>
          </w:tcPr>
          <w:p w14:paraId="52DE2AA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1.598E-05</w:t>
            </w:r>
          </w:p>
        </w:tc>
        <w:tc>
          <w:tcPr>
            <w:tcW w:w="1540" w:type="dxa"/>
            <w:vAlign w:val="center"/>
          </w:tcPr>
          <w:p w14:paraId="3016366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0.282</w:t>
            </w:r>
          </w:p>
        </w:tc>
        <w:tc>
          <w:tcPr>
            <w:tcW w:w="1120" w:type="dxa"/>
            <w:vAlign w:val="center"/>
          </w:tcPr>
          <w:p w14:paraId="5F321E6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2.20</w:t>
            </w:r>
          </w:p>
        </w:tc>
      </w:tr>
      <w:tr w:rsidR="001D2587" w:rsidRPr="000855B2" w14:paraId="56939022" w14:textId="77777777" w:rsidTr="00887829">
        <w:trPr>
          <w:cantSplit/>
          <w:trHeight w:val="300"/>
        </w:trPr>
        <w:tc>
          <w:tcPr>
            <w:tcW w:w="2080" w:type="dxa"/>
            <w:vMerge w:val="restart"/>
            <w:vAlign w:val="center"/>
          </w:tcPr>
          <w:p w14:paraId="4A6D4939"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5D9EE52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33C8D92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3B3FE03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1.215E-05</w:t>
            </w:r>
          </w:p>
        </w:tc>
        <w:tc>
          <w:tcPr>
            <w:tcW w:w="1540" w:type="dxa"/>
            <w:vAlign w:val="center"/>
          </w:tcPr>
          <w:p w14:paraId="1C8AAF6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0.647</w:t>
            </w:r>
          </w:p>
        </w:tc>
        <w:tc>
          <w:tcPr>
            <w:tcW w:w="1120" w:type="dxa"/>
            <w:vAlign w:val="center"/>
          </w:tcPr>
          <w:p w14:paraId="0F76AB3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2.10</w:t>
            </w:r>
          </w:p>
        </w:tc>
      </w:tr>
      <w:tr w:rsidR="001D2587" w:rsidRPr="000855B2" w14:paraId="661F386F" w14:textId="77777777" w:rsidTr="00887829">
        <w:trPr>
          <w:cantSplit/>
          <w:trHeight w:val="285"/>
        </w:trPr>
        <w:tc>
          <w:tcPr>
            <w:tcW w:w="2080" w:type="dxa"/>
            <w:vMerge/>
            <w:vAlign w:val="center"/>
          </w:tcPr>
          <w:p w14:paraId="760D4DCD"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776EAF6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6C4CCF7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59C03DE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1.232E-05</w:t>
            </w:r>
          </w:p>
        </w:tc>
        <w:tc>
          <w:tcPr>
            <w:tcW w:w="1540" w:type="dxa"/>
            <w:vAlign w:val="center"/>
          </w:tcPr>
          <w:p w14:paraId="3F14BFB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0.509</w:t>
            </w:r>
          </w:p>
        </w:tc>
        <w:tc>
          <w:tcPr>
            <w:tcW w:w="1120" w:type="dxa"/>
            <w:vAlign w:val="center"/>
          </w:tcPr>
          <w:p w14:paraId="1A0C54D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1.99</w:t>
            </w:r>
          </w:p>
        </w:tc>
      </w:tr>
      <w:tr w:rsidR="001D2587" w:rsidRPr="000855B2" w14:paraId="48622839" w14:textId="77777777" w:rsidTr="00887829">
        <w:trPr>
          <w:cantSplit/>
          <w:trHeight w:val="270"/>
        </w:trPr>
        <w:tc>
          <w:tcPr>
            <w:tcW w:w="2080" w:type="dxa"/>
            <w:vMerge/>
            <w:vAlign w:val="center"/>
          </w:tcPr>
          <w:p w14:paraId="56C4D7FC"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589EBA55"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5C5F3C4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4C982AC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1.208E-05</w:t>
            </w:r>
          </w:p>
        </w:tc>
        <w:tc>
          <w:tcPr>
            <w:tcW w:w="1540" w:type="dxa"/>
            <w:vAlign w:val="center"/>
          </w:tcPr>
          <w:p w14:paraId="04AD52C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0.432</w:t>
            </w:r>
          </w:p>
        </w:tc>
        <w:tc>
          <w:tcPr>
            <w:tcW w:w="1120" w:type="dxa"/>
            <w:vAlign w:val="center"/>
          </w:tcPr>
          <w:p w14:paraId="084E8C1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1.88</w:t>
            </w:r>
          </w:p>
        </w:tc>
      </w:tr>
      <w:tr w:rsidR="001D2587" w:rsidRPr="000855B2" w14:paraId="45F36A87" w14:textId="77777777" w:rsidTr="00887829">
        <w:trPr>
          <w:trHeight w:val="285"/>
        </w:trPr>
        <w:tc>
          <w:tcPr>
            <w:tcW w:w="8520" w:type="dxa"/>
            <w:gridSpan w:val="6"/>
            <w:vAlign w:val="center"/>
          </w:tcPr>
          <w:p w14:paraId="78ADFDED"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972A38" w:rsidRPr="000855B2">
              <w:rPr>
                <w:b/>
                <w:bCs/>
                <w:szCs w:val="18"/>
                <w:lang w:val="en-GB"/>
              </w:rPr>
              <w:t>&gt; </w:t>
            </w:r>
            <w:r w:rsidRPr="000855B2">
              <w:rPr>
                <w:b/>
                <w:bCs/>
                <w:szCs w:val="18"/>
                <w:lang w:val="en-GB"/>
              </w:rPr>
              <w:t>63</w:t>
            </w:r>
            <w:r w:rsidR="004A3634" w:rsidRPr="000855B2">
              <w:rPr>
                <w:b/>
                <w:bCs/>
                <w:szCs w:val="18"/>
                <w:lang w:val="en-GB"/>
              </w:rPr>
              <w:t> km</w:t>
            </w:r>
            <w:r w:rsidRPr="000855B2">
              <w:rPr>
                <w:b/>
                <w:bCs/>
                <w:szCs w:val="18"/>
                <w:lang w:val="en-GB"/>
              </w:rPr>
              <w:t>/h (MC</w:t>
            </w:r>
            <w:r w:rsidRPr="000855B2">
              <w:rPr>
                <w:b/>
                <w:bCs/>
                <w:szCs w:val="18"/>
                <w:vertAlign w:val="subscript"/>
                <w:lang w:val="en-GB"/>
              </w:rPr>
              <w:t>ROAD</w:t>
            </w:r>
            <w:r w:rsidRPr="000855B2">
              <w:rPr>
                <w:b/>
                <w:bCs/>
                <w:szCs w:val="18"/>
                <w:lang w:val="en-GB"/>
              </w:rPr>
              <w:t>)</w:t>
            </w:r>
          </w:p>
        </w:tc>
      </w:tr>
      <w:tr w:rsidR="001D2587" w:rsidRPr="000855B2" w14:paraId="4E0869E0" w14:textId="77777777" w:rsidTr="00887829">
        <w:trPr>
          <w:cantSplit/>
          <w:trHeight w:val="300"/>
        </w:trPr>
        <w:tc>
          <w:tcPr>
            <w:tcW w:w="2080" w:type="dxa"/>
            <w:vMerge w:val="restart"/>
            <w:vAlign w:val="center"/>
          </w:tcPr>
          <w:p w14:paraId="264A9995"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16F2A91F" w14:textId="77777777" w:rsidR="001D2587" w:rsidRPr="000855B2" w:rsidRDefault="00373B48" w:rsidP="005C7955">
            <w:pPr>
              <w:keepNext/>
              <w:keepLines/>
              <w:suppressAutoHyphens/>
              <w:spacing w:line="240" w:lineRule="atLeast"/>
              <w:jc w:val="center"/>
              <w:rPr>
                <w:szCs w:val="18"/>
                <w:lang w:val="en-GB"/>
              </w:rPr>
            </w:pPr>
            <w:r w:rsidRPr="000855B2">
              <w:rPr>
                <w:szCs w:val="18"/>
                <w:lang w:val="en-GB"/>
              </w:rPr>
              <w:t>0.8</w:t>
            </w:r>
            <w:r w:rsidRPr="000855B2">
              <w:rPr>
                <w:szCs w:val="20"/>
                <w:lang w:val="en-GB"/>
              </w:rPr>
              <w:t>–</w:t>
            </w:r>
            <w:r w:rsidR="001D2587" w:rsidRPr="000855B2">
              <w:rPr>
                <w:szCs w:val="18"/>
                <w:lang w:val="en-GB"/>
              </w:rPr>
              <w:t>1.4</w:t>
            </w:r>
          </w:p>
        </w:tc>
        <w:tc>
          <w:tcPr>
            <w:tcW w:w="1540" w:type="dxa"/>
            <w:vAlign w:val="center"/>
          </w:tcPr>
          <w:p w14:paraId="764EC26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4684055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1.689E-05</w:t>
            </w:r>
          </w:p>
        </w:tc>
        <w:tc>
          <w:tcPr>
            <w:tcW w:w="1540" w:type="dxa"/>
            <w:vAlign w:val="center"/>
          </w:tcPr>
          <w:p w14:paraId="51CCB47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0.509</w:t>
            </w:r>
          </w:p>
        </w:tc>
        <w:tc>
          <w:tcPr>
            <w:tcW w:w="1120" w:type="dxa"/>
            <w:vAlign w:val="center"/>
          </w:tcPr>
          <w:p w14:paraId="353504D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2.54</w:t>
            </w:r>
          </w:p>
        </w:tc>
      </w:tr>
      <w:tr w:rsidR="001D2587" w:rsidRPr="000855B2" w14:paraId="3E28A86A" w14:textId="77777777" w:rsidTr="00887829">
        <w:trPr>
          <w:cantSplit/>
          <w:trHeight w:val="270"/>
        </w:trPr>
        <w:tc>
          <w:tcPr>
            <w:tcW w:w="2080" w:type="dxa"/>
            <w:vMerge/>
            <w:vAlign w:val="center"/>
          </w:tcPr>
          <w:p w14:paraId="33D29D2D"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31E4A94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2C3EF22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05DC37C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9.607E-06</w:t>
            </w:r>
          </w:p>
        </w:tc>
        <w:tc>
          <w:tcPr>
            <w:tcW w:w="1540" w:type="dxa"/>
            <w:vAlign w:val="center"/>
          </w:tcPr>
          <w:p w14:paraId="6C53B76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0.617</w:t>
            </w:r>
          </w:p>
        </w:tc>
        <w:tc>
          <w:tcPr>
            <w:tcW w:w="1120" w:type="dxa"/>
            <w:vAlign w:val="center"/>
          </w:tcPr>
          <w:p w14:paraId="62B112B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1.77</w:t>
            </w:r>
          </w:p>
        </w:tc>
      </w:tr>
      <w:tr w:rsidR="001D2587" w:rsidRPr="000855B2" w14:paraId="241B681B" w14:textId="77777777" w:rsidTr="00887829">
        <w:trPr>
          <w:cantSplit/>
          <w:trHeight w:val="270"/>
        </w:trPr>
        <w:tc>
          <w:tcPr>
            <w:tcW w:w="2080" w:type="dxa"/>
            <w:vMerge/>
            <w:vAlign w:val="center"/>
          </w:tcPr>
          <w:p w14:paraId="38D1B67C"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605293ED"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5B01E5FB"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72E0A3D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2.704E-06</w:t>
            </w:r>
          </w:p>
        </w:tc>
        <w:tc>
          <w:tcPr>
            <w:tcW w:w="1540" w:type="dxa"/>
            <w:vAlign w:val="center"/>
          </w:tcPr>
          <w:p w14:paraId="2EF9C71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0.873</w:t>
            </w:r>
          </w:p>
        </w:tc>
        <w:tc>
          <w:tcPr>
            <w:tcW w:w="1120" w:type="dxa"/>
            <w:vAlign w:val="center"/>
          </w:tcPr>
          <w:p w14:paraId="3F57BDD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1.20</w:t>
            </w:r>
          </w:p>
        </w:tc>
      </w:tr>
      <w:tr w:rsidR="001D2587" w:rsidRPr="000855B2" w14:paraId="65543A8C" w14:textId="77777777" w:rsidTr="00887829">
        <w:trPr>
          <w:trHeight w:val="300"/>
        </w:trPr>
        <w:tc>
          <w:tcPr>
            <w:tcW w:w="2080" w:type="dxa"/>
            <w:vAlign w:val="center"/>
          </w:tcPr>
          <w:p w14:paraId="4A759CB7"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1D09E83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ALL</w:t>
            </w:r>
            <w:r w:rsidR="00373B48" w:rsidRPr="000855B2">
              <w:rPr>
                <w:szCs w:val="18"/>
                <w:lang w:val="en-GB"/>
              </w:rPr>
              <w:t>&gt; 0.8</w:t>
            </w:r>
          </w:p>
        </w:tc>
        <w:tc>
          <w:tcPr>
            <w:tcW w:w="1540" w:type="dxa"/>
            <w:vAlign w:val="center"/>
          </w:tcPr>
          <w:p w14:paraId="201DF6E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186</w:t>
            </w:r>
          </w:p>
        </w:tc>
        <w:tc>
          <w:tcPr>
            <w:tcW w:w="1120" w:type="dxa"/>
            <w:vAlign w:val="center"/>
          </w:tcPr>
          <w:p w14:paraId="3896820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1.220E-05</w:t>
            </w:r>
          </w:p>
        </w:tc>
        <w:tc>
          <w:tcPr>
            <w:tcW w:w="1540" w:type="dxa"/>
            <w:vAlign w:val="center"/>
          </w:tcPr>
          <w:p w14:paraId="0106BBD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0.424</w:t>
            </w:r>
          </w:p>
        </w:tc>
        <w:tc>
          <w:tcPr>
            <w:tcW w:w="1120" w:type="dxa"/>
            <w:vAlign w:val="center"/>
          </w:tcPr>
          <w:p w14:paraId="7A608ED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1.89</w:t>
            </w:r>
          </w:p>
        </w:tc>
      </w:tr>
      <w:tr w:rsidR="001D2587" w:rsidRPr="000855B2" w14:paraId="74DFC677" w14:textId="77777777" w:rsidTr="00887829">
        <w:trPr>
          <w:cantSplit/>
          <w:trHeight w:val="300"/>
        </w:trPr>
        <w:tc>
          <w:tcPr>
            <w:tcW w:w="2080" w:type="dxa"/>
            <w:vMerge w:val="restart"/>
            <w:vAlign w:val="center"/>
          </w:tcPr>
          <w:p w14:paraId="6B570903"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0501B779" w14:textId="77777777" w:rsidR="001D2587" w:rsidRPr="000855B2" w:rsidRDefault="00373B48" w:rsidP="005C7955">
            <w:pPr>
              <w:keepNext/>
              <w:keepLines/>
              <w:suppressAutoHyphens/>
              <w:spacing w:line="240" w:lineRule="atLeast"/>
              <w:jc w:val="center"/>
              <w:rPr>
                <w:szCs w:val="18"/>
                <w:lang w:val="en-GB"/>
              </w:rPr>
            </w:pPr>
            <w:r w:rsidRPr="000855B2">
              <w:rPr>
                <w:szCs w:val="18"/>
                <w:lang w:val="en-GB"/>
              </w:rPr>
              <w:t>0.8</w:t>
            </w:r>
            <w:r w:rsidRPr="000855B2">
              <w:rPr>
                <w:szCs w:val="20"/>
                <w:lang w:val="en-GB"/>
              </w:rPr>
              <w:t>–</w:t>
            </w:r>
            <w:r w:rsidR="001D2587" w:rsidRPr="000855B2">
              <w:rPr>
                <w:szCs w:val="18"/>
                <w:lang w:val="en-GB"/>
              </w:rPr>
              <w:t>1.4</w:t>
            </w:r>
          </w:p>
        </w:tc>
        <w:tc>
          <w:tcPr>
            <w:tcW w:w="1540" w:type="dxa"/>
            <w:vAlign w:val="center"/>
          </w:tcPr>
          <w:p w14:paraId="2DE8485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29</w:t>
            </w:r>
            <w:r w:rsidR="00D02C42" w:rsidRPr="000855B2">
              <w:rPr>
                <w:szCs w:val="18"/>
                <w:lang w:val="en-GB"/>
              </w:rPr>
              <w:t> </w:t>
            </w:r>
            <w:r w:rsidRPr="000855B2">
              <w:rPr>
                <w:szCs w:val="18"/>
                <w:lang w:val="en-GB"/>
              </w:rPr>
              <w:t>057</w:t>
            </w:r>
          </w:p>
        </w:tc>
        <w:tc>
          <w:tcPr>
            <w:tcW w:w="1120" w:type="dxa"/>
            <w:vAlign w:val="center"/>
          </w:tcPr>
          <w:p w14:paraId="432C11F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6.570E-06</w:t>
            </w:r>
          </w:p>
        </w:tc>
        <w:tc>
          <w:tcPr>
            <w:tcW w:w="1540" w:type="dxa"/>
            <w:vAlign w:val="center"/>
          </w:tcPr>
          <w:p w14:paraId="0CB9FAD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0.809</w:t>
            </w:r>
          </w:p>
        </w:tc>
        <w:tc>
          <w:tcPr>
            <w:tcW w:w="1120" w:type="dxa"/>
            <w:vAlign w:val="center"/>
          </w:tcPr>
          <w:p w14:paraId="55D8AFD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1.60</w:t>
            </w:r>
          </w:p>
        </w:tc>
      </w:tr>
      <w:tr w:rsidR="001D2587" w:rsidRPr="000855B2" w14:paraId="6580F804" w14:textId="77777777" w:rsidTr="00887829">
        <w:trPr>
          <w:cantSplit/>
          <w:trHeight w:val="270"/>
        </w:trPr>
        <w:tc>
          <w:tcPr>
            <w:tcW w:w="2080" w:type="dxa"/>
            <w:vMerge/>
            <w:vAlign w:val="center"/>
          </w:tcPr>
          <w:p w14:paraId="47CDB5DF"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39C7028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w:t>
            </w:r>
            <w:r w:rsidR="00D02C42" w:rsidRPr="000855B2">
              <w:rPr>
                <w:szCs w:val="20"/>
                <w:lang w:val="en-GB"/>
              </w:rPr>
              <w:t>–</w:t>
            </w:r>
            <w:r w:rsidRPr="000855B2">
              <w:rPr>
                <w:szCs w:val="18"/>
                <w:lang w:val="en-GB"/>
              </w:rPr>
              <w:t>2.0</w:t>
            </w:r>
          </w:p>
        </w:tc>
        <w:tc>
          <w:tcPr>
            <w:tcW w:w="1540" w:type="dxa"/>
            <w:vAlign w:val="center"/>
          </w:tcPr>
          <w:p w14:paraId="22B9D38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w:t>
            </w:r>
            <w:r w:rsidR="00D02C42" w:rsidRPr="000855B2">
              <w:rPr>
                <w:szCs w:val="18"/>
                <w:lang w:val="en-GB"/>
              </w:rPr>
              <w:t> </w:t>
            </w:r>
            <w:r w:rsidRPr="000855B2">
              <w:rPr>
                <w:szCs w:val="18"/>
                <w:lang w:val="en-GB"/>
              </w:rPr>
              <w:t>837</w:t>
            </w:r>
          </w:p>
        </w:tc>
        <w:tc>
          <w:tcPr>
            <w:tcW w:w="1120" w:type="dxa"/>
            <w:vAlign w:val="center"/>
          </w:tcPr>
          <w:p w14:paraId="4DF5E3D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9.815E-06</w:t>
            </w:r>
          </w:p>
        </w:tc>
        <w:tc>
          <w:tcPr>
            <w:tcW w:w="1540" w:type="dxa"/>
            <w:vAlign w:val="center"/>
          </w:tcPr>
          <w:p w14:paraId="6D32DFE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0.609</w:t>
            </w:r>
          </w:p>
        </w:tc>
        <w:tc>
          <w:tcPr>
            <w:tcW w:w="1120" w:type="dxa"/>
            <w:vAlign w:val="center"/>
          </w:tcPr>
          <w:p w14:paraId="53C5C77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1.79</w:t>
            </w:r>
          </w:p>
        </w:tc>
      </w:tr>
      <w:tr w:rsidR="001D2587" w:rsidRPr="000855B2" w14:paraId="54294D9B" w14:textId="77777777" w:rsidTr="00887829">
        <w:trPr>
          <w:cantSplit/>
          <w:trHeight w:val="270"/>
        </w:trPr>
        <w:tc>
          <w:tcPr>
            <w:tcW w:w="2080" w:type="dxa"/>
            <w:vMerge/>
            <w:vAlign w:val="center"/>
          </w:tcPr>
          <w:p w14:paraId="1FB7939D"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60A69F90"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2.0</w:t>
            </w:r>
          </w:p>
        </w:tc>
        <w:tc>
          <w:tcPr>
            <w:tcW w:w="1540" w:type="dxa"/>
            <w:vAlign w:val="center"/>
          </w:tcPr>
          <w:p w14:paraId="7344339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47</w:t>
            </w:r>
            <w:r w:rsidR="00D02C42" w:rsidRPr="000855B2">
              <w:rPr>
                <w:szCs w:val="18"/>
                <w:lang w:val="en-GB"/>
              </w:rPr>
              <w:t> </w:t>
            </w:r>
            <w:r w:rsidRPr="000855B2">
              <w:rPr>
                <w:szCs w:val="18"/>
                <w:lang w:val="en-GB"/>
              </w:rPr>
              <w:t>028</w:t>
            </w:r>
          </w:p>
        </w:tc>
        <w:tc>
          <w:tcPr>
            <w:tcW w:w="1120" w:type="dxa"/>
            <w:vAlign w:val="center"/>
          </w:tcPr>
          <w:p w14:paraId="1A7D529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6.224E-06</w:t>
            </w:r>
          </w:p>
        </w:tc>
        <w:tc>
          <w:tcPr>
            <w:tcW w:w="1540" w:type="dxa"/>
            <w:vAlign w:val="center"/>
          </w:tcPr>
          <w:p w14:paraId="54D595F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0.707</w:t>
            </w:r>
          </w:p>
        </w:tc>
        <w:tc>
          <w:tcPr>
            <w:tcW w:w="1120" w:type="dxa"/>
            <w:vAlign w:val="center"/>
          </w:tcPr>
          <w:p w14:paraId="20E6DFE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1.45</w:t>
            </w:r>
          </w:p>
        </w:tc>
      </w:tr>
    </w:tbl>
    <w:p w14:paraId="4F930A3A" w14:textId="5332D3BA" w:rsidR="001D2587" w:rsidRPr="000855B2" w:rsidRDefault="00A040D1" w:rsidP="008D1A83">
      <w:pPr>
        <w:pStyle w:val="Caption"/>
      </w:pPr>
      <w:bookmarkStart w:id="270" w:name="_Ref140416834"/>
      <w:bookmarkStart w:id="271" w:name="_Ref200289595"/>
      <w:bookmarkStart w:id="272" w:name="_Toc482876856"/>
      <w:bookmarkStart w:id="273" w:name="_Toc496265310"/>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80</w:t>
      </w:r>
      <w:r w:rsidR="00FB454C">
        <w:rPr>
          <w:noProof/>
        </w:rPr>
        <w:fldChar w:fldCharType="end"/>
      </w:r>
      <w:bookmarkEnd w:id="270"/>
      <w:bookmarkEnd w:id="271"/>
      <w:r w:rsidR="001D2587" w:rsidRPr="000855B2">
        <w:t xml:space="preserve">: Emission degradation due to vehicle age for Euro </w:t>
      </w:r>
      <w:r w:rsidR="00BA06B9" w:rsidRPr="000855B2">
        <w:t>3</w:t>
      </w:r>
      <w:r w:rsidR="001D2587" w:rsidRPr="000855B2">
        <w:t xml:space="preserve"> and Euro </w:t>
      </w:r>
      <w:r w:rsidR="00BA06B9" w:rsidRPr="000855B2">
        <w:t>4</w:t>
      </w:r>
      <w:r w:rsidR="001D2587" w:rsidRPr="000855B2">
        <w:t xml:space="preserve"> </w:t>
      </w:r>
      <w:r w:rsidR="005E4DC4">
        <w:t>petrol</w:t>
      </w:r>
      <w:r w:rsidR="001D2587" w:rsidRPr="000855B2">
        <w:t xml:space="preserve"> passenger cars and </w:t>
      </w:r>
      <w:r w:rsidR="00CF67A4" w:rsidRPr="000855B2">
        <w:t>light commercial</w:t>
      </w:r>
      <w:r w:rsidR="001D2587" w:rsidRPr="000855B2">
        <w:t xml:space="preserve"> vehicles (and Euro </w:t>
      </w:r>
      <w:r w:rsidR="00BA06B9" w:rsidRPr="000855B2">
        <w:t>1</w:t>
      </w:r>
      <w:r w:rsidR="001D2587" w:rsidRPr="000855B2">
        <w:t xml:space="preserve"> </w:t>
      </w:r>
      <w:r w:rsidR="00670618" w:rsidRPr="000855B2">
        <w:t>and</w:t>
      </w:r>
      <w:r w:rsidR="001D2587" w:rsidRPr="000855B2">
        <w:t xml:space="preserve"> </w:t>
      </w:r>
      <w:r w:rsidR="00BA06B9" w:rsidRPr="000855B2">
        <w:t>2</w:t>
      </w:r>
      <w:r w:rsidR="001D2587" w:rsidRPr="000855B2">
        <w:t xml:space="preserve"> vehicles in case of an enhanced I</w:t>
      </w:r>
      <w:r w:rsidR="00670618" w:rsidRPr="000855B2">
        <w:t>and</w:t>
      </w:r>
      <w:r w:rsidR="001D2587" w:rsidRPr="000855B2">
        <w:t>M scheme)</w:t>
      </w:r>
      <w:bookmarkEnd w:id="272"/>
      <w:bookmarkEnd w:id="273"/>
    </w:p>
    <w:tbl>
      <w:tblPr>
        <w:tblW w:w="8520"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ook w:val="0000" w:firstRow="0" w:lastRow="0" w:firstColumn="0" w:lastColumn="0" w:noHBand="0" w:noVBand="0"/>
      </w:tblPr>
      <w:tblGrid>
        <w:gridCol w:w="2058"/>
        <w:gridCol w:w="1117"/>
        <w:gridCol w:w="1528"/>
        <w:gridCol w:w="1115"/>
        <w:gridCol w:w="1525"/>
        <w:gridCol w:w="1177"/>
      </w:tblGrid>
      <w:tr w:rsidR="001D2587" w:rsidRPr="000855B2" w14:paraId="7BABA385" w14:textId="77777777" w:rsidTr="00887829">
        <w:trPr>
          <w:cantSplit/>
          <w:trHeight w:val="480"/>
        </w:trPr>
        <w:tc>
          <w:tcPr>
            <w:tcW w:w="2080" w:type="dxa"/>
            <w:vMerge w:val="restart"/>
            <w:vAlign w:val="center"/>
          </w:tcPr>
          <w:p w14:paraId="56FC2185"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MC = A</w:t>
            </w:r>
            <w:r w:rsidRPr="000855B2">
              <w:rPr>
                <w:b/>
                <w:bCs/>
                <w:szCs w:val="18"/>
                <w:vertAlign w:val="superscript"/>
                <w:lang w:val="en-GB"/>
              </w:rPr>
              <w:t xml:space="preserve">M </w:t>
            </w:r>
            <w:r w:rsidRPr="000855B2">
              <w:rPr>
                <w:b/>
                <w:bCs/>
                <w:szCs w:val="18"/>
                <w:lang w:val="en-GB"/>
              </w:rPr>
              <w:t>× M</w:t>
            </w:r>
            <w:r w:rsidRPr="000855B2">
              <w:rPr>
                <w:b/>
                <w:bCs/>
                <w:szCs w:val="18"/>
                <w:vertAlign w:val="superscript"/>
                <w:lang w:val="en-GB"/>
              </w:rPr>
              <w:t xml:space="preserve">MEAN </w:t>
            </w:r>
            <w:r w:rsidRPr="000855B2">
              <w:rPr>
                <w:b/>
                <w:bCs/>
                <w:szCs w:val="18"/>
                <w:lang w:val="en-GB"/>
              </w:rPr>
              <w:t>+ B</w:t>
            </w:r>
            <w:r w:rsidRPr="000855B2">
              <w:rPr>
                <w:b/>
                <w:bCs/>
                <w:szCs w:val="18"/>
                <w:vertAlign w:val="superscript"/>
                <w:lang w:val="en-GB"/>
              </w:rPr>
              <w:t>M</w:t>
            </w:r>
          </w:p>
        </w:tc>
        <w:tc>
          <w:tcPr>
            <w:tcW w:w="1120" w:type="dxa"/>
            <w:vMerge w:val="restart"/>
            <w:vAlign w:val="center"/>
          </w:tcPr>
          <w:p w14:paraId="219ECBFA"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Capacity </w:t>
            </w:r>
            <w:r w:rsidR="000210A8" w:rsidRPr="000855B2">
              <w:rPr>
                <w:b/>
                <w:bCs/>
                <w:szCs w:val="18"/>
                <w:lang w:val="en-GB"/>
              </w:rPr>
              <w:t>c</w:t>
            </w:r>
            <w:r w:rsidRPr="000855B2">
              <w:rPr>
                <w:b/>
                <w:bCs/>
                <w:szCs w:val="18"/>
                <w:lang w:val="en-GB"/>
              </w:rPr>
              <w:t>lass [l]</w:t>
            </w:r>
          </w:p>
        </w:tc>
        <w:tc>
          <w:tcPr>
            <w:tcW w:w="1540" w:type="dxa"/>
            <w:vMerge w:val="restart"/>
            <w:vAlign w:val="center"/>
          </w:tcPr>
          <w:p w14:paraId="6403F56F"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Average </w:t>
            </w:r>
            <w:r w:rsidR="000210A8" w:rsidRPr="000855B2">
              <w:rPr>
                <w:b/>
                <w:bCs/>
                <w:szCs w:val="18"/>
                <w:lang w:val="en-GB"/>
              </w:rPr>
              <w:t>m</w:t>
            </w:r>
            <w:r w:rsidRPr="000855B2">
              <w:rPr>
                <w:b/>
                <w:bCs/>
                <w:szCs w:val="18"/>
                <w:lang w:val="en-GB"/>
              </w:rPr>
              <w:t>ileage [km]</w:t>
            </w:r>
          </w:p>
        </w:tc>
        <w:tc>
          <w:tcPr>
            <w:tcW w:w="1120" w:type="dxa"/>
            <w:vMerge w:val="restart"/>
            <w:vAlign w:val="center"/>
          </w:tcPr>
          <w:p w14:paraId="06EB8556"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A</w:t>
            </w:r>
            <w:r w:rsidRPr="000855B2">
              <w:rPr>
                <w:b/>
                <w:bCs/>
                <w:szCs w:val="18"/>
                <w:vertAlign w:val="superscript"/>
                <w:lang w:val="en-GB"/>
              </w:rPr>
              <w:t>M</w:t>
            </w:r>
          </w:p>
        </w:tc>
        <w:tc>
          <w:tcPr>
            <w:tcW w:w="1540" w:type="dxa"/>
            <w:vAlign w:val="center"/>
          </w:tcPr>
          <w:p w14:paraId="1466D7D6"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B</w:t>
            </w:r>
            <w:r w:rsidRPr="000855B2">
              <w:rPr>
                <w:b/>
                <w:bCs/>
                <w:szCs w:val="18"/>
                <w:vertAlign w:val="superscript"/>
                <w:lang w:val="en-GB"/>
              </w:rPr>
              <w:t>M</w:t>
            </w:r>
          </w:p>
        </w:tc>
        <w:tc>
          <w:tcPr>
            <w:tcW w:w="1120" w:type="dxa"/>
            <w:vMerge w:val="restart"/>
            <w:vAlign w:val="center"/>
          </w:tcPr>
          <w:p w14:paraId="4872EAEF"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 160</w:t>
            </w:r>
            <w:r w:rsidR="000210A8" w:rsidRPr="000855B2">
              <w:rPr>
                <w:b/>
                <w:bCs/>
                <w:szCs w:val="18"/>
                <w:lang w:val="en-GB"/>
              </w:rPr>
              <w:t>,</w:t>
            </w:r>
            <w:r w:rsidRPr="000855B2">
              <w:rPr>
                <w:b/>
                <w:bCs/>
                <w:szCs w:val="18"/>
                <w:lang w:val="en-GB"/>
              </w:rPr>
              <w:t>000</w:t>
            </w:r>
            <w:r w:rsidR="004A3634" w:rsidRPr="000855B2">
              <w:rPr>
                <w:b/>
                <w:bCs/>
                <w:szCs w:val="18"/>
                <w:lang w:val="en-GB"/>
              </w:rPr>
              <w:t> km</w:t>
            </w:r>
          </w:p>
        </w:tc>
      </w:tr>
      <w:tr w:rsidR="001D2587" w:rsidRPr="000855B2" w14:paraId="37599322" w14:textId="77777777" w:rsidTr="00887829">
        <w:trPr>
          <w:cantSplit/>
          <w:trHeight w:val="270"/>
        </w:trPr>
        <w:tc>
          <w:tcPr>
            <w:tcW w:w="2080" w:type="dxa"/>
            <w:vMerge/>
            <w:vAlign w:val="center"/>
          </w:tcPr>
          <w:p w14:paraId="02AD1736"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456029B1" w14:textId="77777777" w:rsidR="001D2587" w:rsidRPr="000855B2" w:rsidRDefault="001D2587" w:rsidP="005C7955">
            <w:pPr>
              <w:keepNext/>
              <w:keepLines/>
              <w:suppressAutoHyphens/>
              <w:spacing w:line="240" w:lineRule="atLeast"/>
              <w:jc w:val="center"/>
              <w:rPr>
                <w:b/>
                <w:bCs/>
                <w:szCs w:val="18"/>
                <w:lang w:val="en-GB"/>
              </w:rPr>
            </w:pPr>
          </w:p>
        </w:tc>
        <w:tc>
          <w:tcPr>
            <w:tcW w:w="1540" w:type="dxa"/>
            <w:vMerge/>
            <w:vAlign w:val="center"/>
          </w:tcPr>
          <w:p w14:paraId="152C3230" w14:textId="77777777" w:rsidR="001D2587" w:rsidRPr="000855B2" w:rsidRDefault="001D2587" w:rsidP="005C7955">
            <w:pPr>
              <w:keepNext/>
              <w:keepLines/>
              <w:suppressAutoHyphens/>
              <w:spacing w:line="240" w:lineRule="atLeast"/>
              <w:jc w:val="center"/>
              <w:rPr>
                <w:b/>
                <w:bCs/>
                <w:szCs w:val="18"/>
                <w:lang w:val="en-GB"/>
              </w:rPr>
            </w:pPr>
          </w:p>
        </w:tc>
        <w:tc>
          <w:tcPr>
            <w:tcW w:w="1120" w:type="dxa"/>
            <w:vMerge/>
            <w:vAlign w:val="center"/>
          </w:tcPr>
          <w:p w14:paraId="5B8E1F79" w14:textId="77777777" w:rsidR="001D2587" w:rsidRPr="000855B2" w:rsidRDefault="001D2587" w:rsidP="005C7955">
            <w:pPr>
              <w:keepNext/>
              <w:keepLines/>
              <w:suppressAutoHyphens/>
              <w:spacing w:line="240" w:lineRule="atLeast"/>
              <w:jc w:val="center"/>
              <w:rPr>
                <w:b/>
                <w:bCs/>
                <w:szCs w:val="18"/>
                <w:lang w:val="en-GB"/>
              </w:rPr>
            </w:pPr>
          </w:p>
        </w:tc>
        <w:tc>
          <w:tcPr>
            <w:tcW w:w="1540" w:type="dxa"/>
            <w:vAlign w:val="center"/>
          </w:tcPr>
          <w:p w14:paraId="765A3C18"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(Value at 0</w:t>
            </w:r>
            <w:r w:rsidR="004A3634" w:rsidRPr="000855B2">
              <w:rPr>
                <w:b/>
                <w:bCs/>
                <w:szCs w:val="18"/>
                <w:lang w:val="en-GB"/>
              </w:rPr>
              <w:t> km</w:t>
            </w:r>
            <w:r w:rsidRPr="000855B2">
              <w:rPr>
                <w:b/>
                <w:bCs/>
                <w:szCs w:val="18"/>
                <w:lang w:val="en-GB"/>
              </w:rPr>
              <w:t>)</w:t>
            </w:r>
          </w:p>
        </w:tc>
        <w:tc>
          <w:tcPr>
            <w:tcW w:w="1120" w:type="dxa"/>
            <w:vMerge/>
            <w:vAlign w:val="center"/>
          </w:tcPr>
          <w:p w14:paraId="7EC06E6F" w14:textId="77777777" w:rsidR="001D2587" w:rsidRPr="000855B2" w:rsidRDefault="001D2587" w:rsidP="005C7955">
            <w:pPr>
              <w:keepNext/>
              <w:keepLines/>
              <w:suppressAutoHyphens/>
              <w:spacing w:line="240" w:lineRule="atLeast"/>
              <w:jc w:val="center"/>
              <w:rPr>
                <w:b/>
                <w:bCs/>
                <w:szCs w:val="18"/>
                <w:lang w:val="en-GB"/>
              </w:rPr>
            </w:pPr>
          </w:p>
        </w:tc>
      </w:tr>
      <w:tr w:rsidR="001D2587" w:rsidRPr="000855B2" w14:paraId="5CB7119D" w14:textId="77777777" w:rsidTr="00887829">
        <w:trPr>
          <w:trHeight w:val="315"/>
        </w:trPr>
        <w:tc>
          <w:tcPr>
            <w:tcW w:w="8520" w:type="dxa"/>
            <w:gridSpan w:val="6"/>
            <w:vAlign w:val="center"/>
          </w:tcPr>
          <w:p w14:paraId="026E4E1B"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D205E2" w:rsidRPr="000855B2">
              <w:rPr>
                <w:b/>
                <w:bCs/>
                <w:szCs w:val="18"/>
                <w:lang w:val="en-GB"/>
              </w:rPr>
              <w:t>&lt; </w:t>
            </w:r>
            <w:r w:rsidRPr="000855B2">
              <w:rPr>
                <w:b/>
                <w:bCs/>
                <w:szCs w:val="18"/>
                <w:lang w:val="en-GB"/>
              </w:rPr>
              <w:t>19</w:t>
            </w:r>
            <w:r w:rsidR="004A3634" w:rsidRPr="000855B2">
              <w:rPr>
                <w:b/>
                <w:bCs/>
                <w:szCs w:val="18"/>
                <w:lang w:val="en-GB"/>
              </w:rPr>
              <w:t> km</w:t>
            </w:r>
            <w:r w:rsidRPr="000855B2">
              <w:rPr>
                <w:b/>
                <w:bCs/>
                <w:szCs w:val="18"/>
                <w:lang w:val="en-GB"/>
              </w:rPr>
              <w:t>/h (MC</w:t>
            </w:r>
            <w:r w:rsidRPr="000855B2">
              <w:rPr>
                <w:b/>
                <w:bCs/>
                <w:szCs w:val="18"/>
                <w:vertAlign w:val="subscript"/>
                <w:lang w:val="en-GB"/>
              </w:rPr>
              <w:t>URBAN</w:t>
            </w:r>
            <w:r w:rsidRPr="000855B2">
              <w:rPr>
                <w:b/>
                <w:bCs/>
                <w:szCs w:val="18"/>
                <w:lang w:val="en-GB"/>
              </w:rPr>
              <w:t>)</w:t>
            </w:r>
          </w:p>
        </w:tc>
      </w:tr>
      <w:tr w:rsidR="001D2587" w:rsidRPr="000855B2" w14:paraId="4895BE03" w14:textId="77777777" w:rsidTr="00887829">
        <w:trPr>
          <w:cantSplit/>
          <w:trHeight w:val="315"/>
        </w:trPr>
        <w:tc>
          <w:tcPr>
            <w:tcW w:w="2080" w:type="dxa"/>
            <w:vMerge w:val="restart"/>
            <w:vAlign w:val="center"/>
          </w:tcPr>
          <w:p w14:paraId="762B8987"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7F47FA8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0763CC77"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32</w:t>
            </w:r>
            <w:r w:rsidR="00106C64" w:rsidRPr="000855B2">
              <w:rPr>
                <w:szCs w:val="18"/>
                <w:lang w:val="en-GB"/>
              </w:rPr>
              <w:t> </w:t>
            </w:r>
            <w:r w:rsidRPr="000855B2">
              <w:rPr>
                <w:szCs w:val="18"/>
                <w:lang w:val="en-GB"/>
              </w:rPr>
              <w:t>407</w:t>
            </w:r>
          </w:p>
        </w:tc>
        <w:tc>
          <w:tcPr>
            <w:tcW w:w="1120" w:type="dxa"/>
            <w:vAlign w:val="center"/>
          </w:tcPr>
          <w:p w14:paraId="1AA7B19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7.129E-06</w:t>
            </w:r>
          </w:p>
        </w:tc>
        <w:tc>
          <w:tcPr>
            <w:tcW w:w="1540" w:type="dxa"/>
            <w:vAlign w:val="center"/>
          </w:tcPr>
          <w:p w14:paraId="2E54EF2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0.769</w:t>
            </w:r>
          </w:p>
        </w:tc>
        <w:tc>
          <w:tcPr>
            <w:tcW w:w="1120" w:type="dxa"/>
            <w:vAlign w:val="center"/>
          </w:tcPr>
          <w:p w14:paraId="0B68A52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1.91</w:t>
            </w:r>
          </w:p>
        </w:tc>
      </w:tr>
      <w:tr w:rsidR="001D2587" w:rsidRPr="000855B2" w14:paraId="71B57521" w14:textId="77777777" w:rsidTr="00887829">
        <w:trPr>
          <w:cantSplit/>
          <w:trHeight w:val="270"/>
        </w:trPr>
        <w:tc>
          <w:tcPr>
            <w:tcW w:w="2080" w:type="dxa"/>
            <w:vMerge/>
            <w:vAlign w:val="center"/>
          </w:tcPr>
          <w:p w14:paraId="33A74CF0"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343F507B"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7BFF487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w:t>
            </w:r>
            <w:r w:rsidR="00106C64" w:rsidRPr="000855B2">
              <w:rPr>
                <w:szCs w:val="18"/>
                <w:lang w:val="en-GB"/>
              </w:rPr>
              <w:t> </w:t>
            </w:r>
            <w:r w:rsidRPr="000855B2">
              <w:rPr>
                <w:szCs w:val="18"/>
                <w:lang w:val="en-GB"/>
              </w:rPr>
              <w:t>993</w:t>
            </w:r>
          </w:p>
        </w:tc>
        <w:tc>
          <w:tcPr>
            <w:tcW w:w="1120" w:type="dxa"/>
            <w:vAlign w:val="center"/>
          </w:tcPr>
          <w:p w14:paraId="0B8CBA0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2.670E-06</w:t>
            </w:r>
          </w:p>
        </w:tc>
        <w:tc>
          <w:tcPr>
            <w:tcW w:w="1540" w:type="dxa"/>
            <w:vAlign w:val="center"/>
          </w:tcPr>
          <w:p w14:paraId="30C9777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0.955</w:t>
            </w:r>
          </w:p>
        </w:tc>
        <w:tc>
          <w:tcPr>
            <w:tcW w:w="1120" w:type="dxa"/>
            <w:vAlign w:val="center"/>
          </w:tcPr>
          <w:p w14:paraId="3BF99AD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1.38</w:t>
            </w:r>
          </w:p>
        </w:tc>
      </w:tr>
      <w:tr w:rsidR="001D2587" w:rsidRPr="000855B2" w14:paraId="3960B6D3" w14:textId="77777777" w:rsidTr="00887829">
        <w:trPr>
          <w:cantSplit/>
          <w:trHeight w:val="300"/>
        </w:trPr>
        <w:tc>
          <w:tcPr>
            <w:tcW w:w="2080" w:type="dxa"/>
            <w:vMerge w:val="restart"/>
            <w:vAlign w:val="center"/>
          </w:tcPr>
          <w:p w14:paraId="595B6314"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21F4EC4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4C193CD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31</w:t>
            </w:r>
            <w:r w:rsidR="00106C64" w:rsidRPr="000855B2">
              <w:rPr>
                <w:szCs w:val="18"/>
                <w:lang w:val="en-GB"/>
              </w:rPr>
              <w:t> </w:t>
            </w:r>
            <w:r w:rsidRPr="000855B2">
              <w:rPr>
                <w:szCs w:val="18"/>
                <w:lang w:val="en-GB"/>
              </w:rPr>
              <w:t>313</w:t>
            </w:r>
          </w:p>
        </w:tc>
        <w:tc>
          <w:tcPr>
            <w:tcW w:w="1120" w:type="dxa"/>
            <w:vAlign w:val="center"/>
          </w:tcPr>
          <w:p w14:paraId="7F4067F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64E1305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2E09647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0855B2" w14:paraId="02A87669" w14:textId="77777777" w:rsidTr="00887829">
        <w:trPr>
          <w:cantSplit/>
          <w:trHeight w:val="300"/>
        </w:trPr>
        <w:tc>
          <w:tcPr>
            <w:tcW w:w="2080" w:type="dxa"/>
            <w:vMerge/>
            <w:vAlign w:val="center"/>
          </w:tcPr>
          <w:p w14:paraId="4E5284F5"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4EC38FB5"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3F6CF16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16</w:t>
            </w:r>
            <w:r w:rsidR="00106C64" w:rsidRPr="000855B2">
              <w:rPr>
                <w:szCs w:val="18"/>
                <w:lang w:val="en-GB"/>
              </w:rPr>
              <w:t> </w:t>
            </w:r>
            <w:r w:rsidRPr="000855B2">
              <w:rPr>
                <w:szCs w:val="18"/>
                <w:lang w:val="en-GB"/>
              </w:rPr>
              <w:t>993</w:t>
            </w:r>
          </w:p>
        </w:tc>
        <w:tc>
          <w:tcPr>
            <w:tcW w:w="1120" w:type="dxa"/>
            <w:vAlign w:val="center"/>
          </w:tcPr>
          <w:p w14:paraId="51754C9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3.986E-06</w:t>
            </w:r>
          </w:p>
        </w:tc>
        <w:tc>
          <w:tcPr>
            <w:tcW w:w="1540" w:type="dxa"/>
            <w:vAlign w:val="center"/>
          </w:tcPr>
          <w:p w14:paraId="1C09013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0.932</w:t>
            </w:r>
          </w:p>
        </w:tc>
        <w:tc>
          <w:tcPr>
            <w:tcW w:w="1120" w:type="dxa"/>
            <w:vAlign w:val="center"/>
          </w:tcPr>
          <w:p w14:paraId="2080A78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1.57</w:t>
            </w:r>
          </w:p>
        </w:tc>
      </w:tr>
      <w:tr w:rsidR="001D2587" w:rsidRPr="000855B2" w14:paraId="2CF847DA" w14:textId="77777777" w:rsidTr="00887829">
        <w:trPr>
          <w:cantSplit/>
          <w:trHeight w:val="300"/>
        </w:trPr>
        <w:tc>
          <w:tcPr>
            <w:tcW w:w="2080" w:type="dxa"/>
            <w:vMerge w:val="restart"/>
            <w:vAlign w:val="center"/>
          </w:tcPr>
          <w:p w14:paraId="13D357BD"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URBAN</w:t>
            </w:r>
          </w:p>
        </w:tc>
        <w:tc>
          <w:tcPr>
            <w:tcW w:w="1120" w:type="dxa"/>
            <w:vAlign w:val="center"/>
          </w:tcPr>
          <w:p w14:paraId="2DD9ACF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12CDCFF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31</w:t>
            </w:r>
            <w:r w:rsidR="00106C64" w:rsidRPr="000855B2">
              <w:rPr>
                <w:szCs w:val="18"/>
                <w:lang w:val="en-GB"/>
              </w:rPr>
              <w:t> </w:t>
            </w:r>
            <w:r w:rsidRPr="000855B2">
              <w:rPr>
                <w:szCs w:val="18"/>
                <w:lang w:val="en-GB"/>
              </w:rPr>
              <w:t>972</w:t>
            </w:r>
          </w:p>
        </w:tc>
        <w:tc>
          <w:tcPr>
            <w:tcW w:w="1120" w:type="dxa"/>
            <w:vAlign w:val="center"/>
          </w:tcPr>
          <w:p w14:paraId="7CAFBB5F"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3.419E-06</w:t>
            </w:r>
          </w:p>
        </w:tc>
        <w:tc>
          <w:tcPr>
            <w:tcW w:w="1540" w:type="dxa"/>
            <w:vAlign w:val="center"/>
          </w:tcPr>
          <w:p w14:paraId="7CB435C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0.891</w:t>
            </w:r>
          </w:p>
        </w:tc>
        <w:tc>
          <w:tcPr>
            <w:tcW w:w="1120" w:type="dxa"/>
            <w:vAlign w:val="center"/>
          </w:tcPr>
          <w:p w14:paraId="287F0BE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1.44</w:t>
            </w:r>
          </w:p>
        </w:tc>
      </w:tr>
      <w:tr w:rsidR="001D2587" w:rsidRPr="000855B2" w14:paraId="1DA30676" w14:textId="77777777" w:rsidTr="00887829">
        <w:trPr>
          <w:cantSplit/>
          <w:trHeight w:val="300"/>
        </w:trPr>
        <w:tc>
          <w:tcPr>
            <w:tcW w:w="2080" w:type="dxa"/>
            <w:vMerge/>
            <w:vAlign w:val="center"/>
          </w:tcPr>
          <w:p w14:paraId="4BE9531B" w14:textId="77777777" w:rsidR="001D2587" w:rsidRPr="000855B2" w:rsidRDefault="001D2587" w:rsidP="005C7955">
            <w:pPr>
              <w:keepNext/>
              <w:keepLines/>
              <w:suppressAutoHyphens/>
              <w:spacing w:line="240" w:lineRule="atLeast"/>
              <w:jc w:val="center"/>
              <w:rPr>
                <w:b/>
                <w:bCs/>
                <w:szCs w:val="18"/>
                <w:lang w:val="en-GB"/>
              </w:rPr>
            </w:pPr>
          </w:p>
        </w:tc>
        <w:tc>
          <w:tcPr>
            <w:tcW w:w="1120" w:type="dxa"/>
            <w:vAlign w:val="center"/>
          </w:tcPr>
          <w:p w14:paraId="512615A3"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3D18FE7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17</w:t>
            </w:r>
            <w:r w:rsidR="00106C64" w:rsidRPr="000855B2">
              <w:rPr>
                <w:szCs w:val="18"/>
                <w:lang w:val="en-GB"/>
              </w:rPr>
              <w:t> </w:t>
            </w:r>
            <w:r w:rsidRPr="000855B2">
              <w:rPr>
                <w:szCs w:val="18"/>
                <w:lang w:val="en-GB"/>
              </w:rPr>
              <w:t>913</w:t>
            </w:r>
          </w:p>
        </w:tc>
        <w:tc>
          <w:tcPr>
            <w:tcW w:w="1120" w:type="dxa"/>
            <w:vAlign w:val="center"/>
          </w:tcPr>
          <w:p w14:paraId="02E6AC1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6664C32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42A06081"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0855B2" w14:paraId="16C07C3B" w14:textId="77777777" w:rsidTr="00887829">
        <w:trPr>
          <w:trHeight w:val="285"/>
        </w:trPr>
        <w:tc>
          <w:tcPr>
            <w:tcW w:w="8520" w:type="dxa"/>
            <w:gridSpan w:val="6"/>
            <w:vAlign w:val="center"/>
          </w:tcPr>
          <w:p w14:paraId="123BAF4B"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Correction for V</w:t>
            </w:r>
            <w:r w:rsidR="00972A38" w:rsidRPr="000855B2">
              <w:rPr>
                <w:b/>
                <w:bCs/>
                <w:szCs w:val="18"/>
                <w:lang w:val="en-GB"/>
              </w:rPr>
              <w:t>&gt; </w:t>
            </w:r>
            <w:r w:rsidRPr="000855B2">
              <w:rPr>
                <w:b/>
                <w:bCs/>
                <w:szCs w:val="18"/>
                <w:lang w:val="en-GB"/>
              </w:rPr>
              <w:t>63</w:t>
            </w:r>
            <w:r w:rsidR="004A3634" w:rsidRPr="000855B2">
              <w:rPr>
                <w:b/>
                <w:bCs/>
                <w:szCs w:val="18"/>
                <w:lang w:val="en-GB"/>
              </w:rPr>
              <w:t> km</w:t>
            </w:r>
            <w:r w:rsidRPr="000855B2">
              <w:rPr>
                <w:b/>
                <w:bCs/>
                <w:szCs w:val="18"/>
                <w:lang w:val="en-GB"/>
              </w:rPr>
              <w:t>/h (MC</w:t>
            </w:r>
            <w:r w:rsidRPr="000855B2">
              <w:rPr>
                <w:b/>
                <w:bCs/>
                <w:szCs w:val="18"/>
                <w:vertAlign w:val="subscript"/>
                <w:lang w:val="en-GB"/>
              </w:rPr>
              <w:t>ROAD</w:t>
            </w:r>
            <w:r w:rsidRPr="000855B2">
              <w:rPr>
                <w:b/>
                <w:bCs/>
                <w:szCs w:val="18"/>
                <w:lang w:val="en-GB"/>
              </w:rPr>
              <w:t>)</w:t>
            </w:r>
          </w:p>
        </w:tc>
      </w:tr>
      <w:tr w:rsidR="001D2587" w:rsidRPr="000855B2" w14:paraId="52625DCA" w14:textId="77777777" w:rsidTr="00887829">
        <w:trPr>
          <w:cantSplit/>
          <w:trHeight w:val="300"/>
        </w:trPr>
        <w:tc>
          <w:tcPr>
            <w:tcW w:w="2080" w:type="dxa"/>
            <w:vMerge w:val="restart"/>
            <w:vAlign w:val="center"/>
          </w:tcPr>
          <w:p w14:paraId="716AAECF"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CO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24C13110"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w:t>
            </w:r>
            <w:r w:rsidR="00D02C42" w:rsidRPr="000855B2">
              <w:rPr>
                <w:szCs w:val="18"/>
                <w:lang w:val="en-GB"/>
              </w:rPr>
              <w:t> </w:t>
            </w:r>
            <w:r w:rsidRPr="000855B2">
              <w:rPr>
                <w:szCs w:val="18"/>
                <w:lang w:val="en-GB"/>
              </w:rPr>
              <w:t>1.4</w:t>
            </w:r>
          </w:p>
        </w:tc>
        <w:tc>
          <w:tcPr>
            <w:tcW w:w="1540" w:type="dxa"/>
            <w:vAlign w:val="center"/>
          </w:tcPr>
          <w:p w14:paraId="2284020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30</w:t>
            </w:r>
            <w:r w:rsidR="00106C64" w:rsidRPr="000855B2">
              <w:rPr>
                <w:szCs w:val="18"/>
                <w:lang w:val="en-GB"/>
              </w:rPr>
              <w:t> </w:t>
            </w:r>
            <w:r w:rsidRPr="000855B2">
              <w:rPr>
                <w:szCs w:val="18"/>
                <w:lang w:val="en-GB"/>
              </w:rPr>
              <w:t>123</w:t>
            </w:r>
          </w:p>
        </w:tc>
        <w:tc>
          <w:tcPr>
            <w:tcW w:w="1120" w:type="dxa"/>
            <w:vAlign w:val="center"/>
          </w:tcPr>
          <w:p w14:paraId="3D4E06B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1.502E-06</w:t>
            </w:r>
          </w:p>
        </w:tc>
        <w:tc>
          <w:tcPr>
            <w:tcW w:w="1540" w:type="dxa"/>
            <w:vAlign w:val="center"/>
          </w:tcPr>
          <w:p w14:paraId="75640A85"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0.955</w:t>
            </w:r>
          </w:p>
        </w:tc>
        <w:tc>
          <w:tcPr>
            <w:tcW w:w="1120" w:type="dxa"/>
            <w:vAlign w:val="center"/>
          </w:tcPr>
          <w:p w14:paraId="19F47612"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1.20</w:t>
            </w:r>
          </w:p>
        </w:tc>
      </w:tr>
      <w:tr w:rsidR="001D2587" w:rsidRPr="000855B2" w14:paraId="720D5B47" w14:textId="77777777" w:rsidTr="00887829">
        <w:trPr>
          <w:cantSplit/>
          <w:trHeight w:val="285"/>
        </w:trPr>
        <w:tc>
          <w:tcPr>
            <w:tcW w:w="2080" w:type="dxa"/>
            <w:vMerge/>
            <w:vAlign w:val="center"/>
          </w:tcPr>
          <w:p w14:paraId="22B4F2A4" w14:textId="77777777" w:rsidR="001D2587" w:rsidRPr="000855B2" w:rsidRDefault="001D2587" w:rsidP="005C7955">
            <w:pPr>
              <w:keepNext/>
              <w:keepLines/>
              <w:suppressAutoHyphens/>
              <w:spacing w:line="240" w:lineRule="atLeast"/>
              <w:rPr>
                <w:b/>
                <w:bCs/>
                <w:szCs w:val="18"/>
                <w:lang w:val="en-GB"/>
              </w:rPr>
            </w:pPr>
          </w:p>
        </w:tc>
        <w:tc>
          <w:tcPr>
            <w:tcW w:w="1120" w:type="dxa"/>
            <w:vAlign w:val="center"/>
          </w:tcPr>
          <w:p w14:paraId="12CD3268"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1.4</w:t>
            </w:r>
          </w:p>
        </w:tc>
        <w:tc>
          <w:tcPr>
            <w:tcW w:w="1540" w:type="dxa"/>
            <w:vAlign w:val="center"/>
          </w:tcPr>
          <w:p w14:paraId="6513756E"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26</w:t>
            </w:r>
            <w:r w:rsidR="00106C64" w:rsidRPr="000855B2">
              <w:rPr>
                <w:szCs w:val="18"/>
                <w:lang w:val="en-GB"/>
              </w:rPr>
              <w:t> </w:t>
            </w:r>
            <w:r w:rsidRPr="000855B2">
              <w:rPr>
                <w:szCs w:val="18"/>
                <w:lang w:val="en-GB"/>
              </w:rPr>
              <w:t>150</w:t>
            </w:r>
          </w:p>
        </w:tc>
        <w:tc>
          <w:tcPr>
            <w:tcW w:w="1120" w:type="dxa"/>
            <w:vAlign w:val="center"/>
          </w:tcPr>
          <w:p w14:paraId="368CD8E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5469C48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78A521C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0855B2" w14:paraId="1307FB00" w14:textId="77777777" w:rsidTr="00887829">
        <w:trPr>
          <w:trHeight w:val="315"/>
        </w:trPr>
        <w:tc>
          <w:tcPr>
            <w:tcW w:w="2080" w:type="dxa"/>
            <w:vAlign w:val="center"/>
          </w:tcPr>
          <w:p w14:paraId="0573B566"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NO</w:t>
            </w:r>
            <w:r w:rsidRPr="000855B2">
              <w:rPr>
                <w:b/>
                <w:bCs/>
                <w:szCs w:val="18"/>
                <w:vertAlign w:val="subscript"/>
                <w:lang w:val="en-GB"/>
              </w:rPr>
              <w:t>x</w:t>
            </w:r>
            <w:r w:rsidRPr="000855B2">
              <w:rPr>
                <w:b/>
                <w:bCs/>
                <w:szCs w:val="18"/>
                <w:lang w:val="en-GB"/>
              </w:rPr>
              <w:t xml:space="preserve">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4302AE3F" w14:textId="77777777" w:rsidR="001D2587" w:rsidRPr="000855B2" w:rsidRDefault="001D2587" w:rsidP="005C7955">
            <w:pPr>
              <w:keepNext/>
              <w:keepLines/>
              <w:suppressAutoHyphens/>
              <w:spacing w:line="240" w:lineRule="atLeast"/>
              <w:jc w:val="center"/>
              <w:rPr>
                <w:szCs w:val="18"/>
                <w:lang w:val="en-GB"/>
              </w:rPr>
            </w:pPr>
            <w:smartTag w:uri="urn:schemas-microsoft-com:office:smarttags" w:element="stockticker">
              <w:r w:rsidRPr="000855B2">
                <w:rPr>
                  <w:szCs w:val="18"/>
                  <w:lang w:val="en-GB"/>
                </w:rPr>
                <w:t>ALL</w:t>
              </w:r>
            </w:smartTag>
          </w:p>
        </w:tc>
        <w:tc>
          <w:tcPr>
            <w:tcW w:w="1540" w:type="dxa"/>
            <w:vAlign w:val="center"/>
          </w:tcPr>
          <w:p w14:paraId="58E3767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26</w:t>
            </w:r>
            <w:r w:rsidR="00106C64" w:rsidRPr="000855B2">
              <w:rPr>
                <w:szCs w:val="18"/>
                <w:lang w:val="en-GB"/>
              </w:rPr>
              <w:t> </w:t>
            </w:r>
            <w:r w:rsidRPr="000855B2">
              <w:rPr>
                <w:szCs w:val="18"/>
                <w:lang w:val="en-GB"/>
              </w:rPr>
              <w:t>150</w:t>
            </w:r>
          </w:p>
        </w:tc>
        <w:tc>
          <w:tcPr>
            <w:tcW w:w="1120" w:type="dxa"/>
            <w:vAlign w:val="center"/>
          </w:tcPr>
          <w:p w14:paraId="294462F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3F9545E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5CA72374"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r w:rsidR="001D2587" w:rsidRPr="000855B2" w14:paraId="70EC280B" w14:textId="77777777" w:rsidTr="00887829">
        <w:trPr>
          <w:trHeight w:val="315"/>
        </w:trPr>
        <w:tc>
          <w:tcPr>
            <w:tcW w:w="2080" w:type="dxa"/>
            <w:vAlign w:val="center"/>
          </w:tcPr>
          <w:p w14:paraId="3434EB05" w14:textId="77777777" w:rsidR="001D2587" w:rsidRPr="000855B2" w:rsidRDefault="001D2587" w:rsidP="005C7955">
            <w:pPr>
              <w:keepNext/>
              <w:keepLines/>
              <w:suppressAutoHyphens/>
              <w:spacing w:line="240" w:lineRule="atLeast"/>
              <w:rPr>
                <w:b/>
                <w:bCs/>
                <w:szCs w:val="18"/>
                <w:lang w:val="en-GB"/>
              </w:rPr>
            </w:pPr>
            <w:r w:rsidRPr="000855B2">
              <w:rPr>
                <w:b/>
                <w:bCs/>
                <w:szCs w:val="18"/>
                <w:lang w:val="en-GB"/>
              </w:rPr>
              <w:t xml:space="preserve">HC </w:t>
            </w:r>
            <w:r w:rsidR="00505C7C" w:rsidRPr="000855B2">
              <w:rPr>
                <w:b/>
                <w:bCs/>
                <w:szCs w:val="18"/>
                <w:lang w:val="en-GB"/>
              </w:rPr>
              <w:t>–</w:t>
            </w:r>
            <w:r w:rsidRPr="000855B2">
              <w:rPr>
                <w:b/>
                <w:bCs/>
                <w:szCs w:val="18"/>
                <w:lang w:val="en-GB"/>
              </w:rPr>
              <w:t xml:space="preserve"> MC</w:t>
            </w:r>
            <w:r w:rsidRPr="000855B2">
              <w:rPr>
                <w:b/>
                <w:bCs/>
                <w:szCs w:val="18"/>
                <w:vertAlign w:val="subscript"/>
                <w:lang w:val="en-GB"/>
              </w:rPr>
              <w:t>ROAD</w:t>
            </w:r>
          </w:p>
        </w:tc>
        <w:tc>
          <w:tcPr>
            <w:tcW w:w="1120" w:type="dxa"/>
            <w:vAlign w:val="center"/>
          </w:tcPr>
          <w:p w14:paraId="6D28E53F" w14:textId="77777777" w:rsidR="001D2587" w:rsidRPr="000855B2" w:rsidRDefault="001D2587" w:rsidP="005C7955">
            <w:pPr>
              <w:keepNext/>
              <w:keepLines/>
              <w:suppressAutoHyphens/>
              <w:spacing w:line="240" w:lineRule="atLeast"/>
              <w:jc w:val="center"/>
              <w:rPr>
                <w:szCs w:val="18"/>
                <w:lang w:val="en-GB"/>
              </w:rPr>
            </w:pPr>
            <w:smartTag w:uri="urn:schemas-microsoft-com:office:smarttags" w:element="stockticker">
              <w:r w:rsidRPr="000855B2">
                <w:rPr>
                  <w:szCs w:val="18"/>
                  <w:lang w:val="en-GB"/>
                </w:rPr>
                <w:t>ALL</w:t>
              </w:r>
            </w:smartTag>
          </w:p>
        </w:tc>
        <w:tc>
          <w:tcPr>
            <w:tcW w:w="1540" w:type="dxa"/>
            <w:vAlign w:val="center"/>
          </w:tcPr>
          <w:p w14:paraId="54EF9833"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28</w:t>
            </w:r>
            <w:r w:rsidR="00106C64" w:rsidRPr="000855B2">
              <w:rPr>
                <w:szCs w:val="18"/>
                <w:lang w:val="en-GB"/>
              </w:rPr>
              <w:t> </w:t>
            </w:r>
            <w:r w:rsidRPr="000855B2">
              <w:rPr>
                <w:szCs w:val="18"/>
                <w:lang w:val="en-GB"/>
              </w:rPr>
              <w:t>042</w:t>
            </w:r>
          </w:p>
        </w:tc>
        <w:tc>
          <w:tcPr>
            <w:tcW w:w="1120" w:type="dxa"/>
            <w:vAlign w:val="center"/>
          </w:tcPr>
          <w:p w14:paraId="06AEAF2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0</w:t>
            </w:r>
          </w:p>
        </w:tc>
        <w:tc>
          <w:tcPr>
            <w:tcW w:w="1540" w:type="dxa"/>
            <w:vAlign w:val="center"/>
          </w:tcPr>
          <w:p w14:paraId="7683123C"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c>
          <w:tcPr>
            <w:tcW w:w="1120" w:type="dxa"/>
            <w:vAlign w:val="center"/>
          </w:tcPr>
          <w:p w14:paraId="1D5F6D2D"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w:t>
            </w:r>
          </w:p>
        </w:tc>
      </w:tr>
    </w:tbl>
    <w:p w14:paraId="2EC91FE3" w14:textId="4AA3CAA8" w:rsidR="001D2587" w:rsidRPr="000855B2" w:rsidRDefault="00A040D1" w:rsidP="008D1A83">
      <w:pPr>
        <w:pStyle w:val="Caption"/>
      </w:pPr>
      <w:bookmarkStart w:id="274" w:name="_Ref140416837"/>
      <w:bookmarkStart w:id="275" w:name="_Ref197845063"/>
      <w:bookmarkStart w:id="276" w:name="_Toc95893950"/>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81</w:t>
      </w:r>
      <w:r w:rsidR="00FB454C">
        <w:rPr>
          <w:noProof/>
        </w:rPr>
        <w:fldChar w:fldCharType="end"/>
      </w:r>
      <w:bookmarkEnd w:id="274"/>
      <w:bookmarkEnd w:id="275"/>
      <w:r w:rsidR="001D2587" w:rsidRPr="000855B2">
        <w:t>: Emission degradation correction factor as a function of speed</w:t>
      </w:r>
      <w:bookmarkEnd w:id="276"/>
    </w:p>
    <w:tbl>
      <w:tblPr>
        <w:tblW w:w="6407" w:type="dxa"/>
        <w:tblBorders>
          <w:top w:val="double" w:sz="6" w:space="0" w:color="000000"/>
          <w:left w:val="double" w:sz="6" w:space="0" w:color="000000"/>
          <w:bottom w:val="double" w:sz="6" w:space="0" w:color="000000"/>
          <w:right w:val="double" w:sz="6" w:space="0" w:color="000000"/>
          <w:insideH w:val="single" w:sz="2" w:space="0" w:color="000000"/>
          <w:insideV w:val="single" w:sz="2" w:space="0" w:color="000000"/>
        </w:tblBorders>
        <w:tblLayout w:type="fixed"/>
        <w:tblLook w:val="0000" w:firstRow="0" w:lastRow="0" w:firstColumn="0" w:lastColumn="0" w:noHBand="0" w:noVBand="0"/>
      </w:tblPr>
      <w:tblGrid>
        <w:gridCol w:w="1727"/>
        <w:gridCol w:w="4680"/>
      </w:tblGrid>
      <w:tr w:rsidR="001D2587" w:rsidRPr="000855B2" w14:paraId="6E4C2404" w14:textId="77777777" w:rsidTr="008D2AFB">
        <w:trPr>
          <w:trHeight w:val="382"/>
        </w:trPr>
        <w:tc>
          <w:tcPr>
            <w:tcW w:w="1727" w:type="dxa"/>
            <w:tcBorders>
              <w:bottom w:val="single" w:sz="12" w:space="0" w:color="auto"/>
            </w:tcBorders>
            <w:vAlign w:val="center"/>
          </w:tcPr>
          <w:p w14:paraId="74D924E6"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lastRenderedPageBreak/>
              <w:t xml:space="preserve">Speed </w:t>
            </w:r>
            <w:r w:rsidR="00575996" w:rsidRPr="000855B2">
              <w:rPr>
                <w:szCs w:val="20"/>
                <w:lang w:val="en-GB"/>
              </w:rPr>
              <w:t>—</w:t>
            </w:r>
            <w:r w:rsidRPr="000855B2">
              <w:rPr>
                <w:b/>
                <w:bCs/>
                <w:szCs w:val="18"/>
                <w:lang w:val="en-GB"/>
              </w:rPr>
              <w:t xml:space="preserve"> V [km/h]</w:t>
            </w:r>
          </w:p>
        </w:tc>
        <w:tc>
          <w:tcPr>
            <w:tcW w:w="4680" w:type="dxa"/>
            <w:tcBorders>
              <w:bottom w:val="single" w:sz="12" w:space="0" w:color="auto"/>
            </w:tcBorders>
            <w:vAlign w:val="center"/>
          </w:tcPr>
          <w:p w14:paraId="496978CD" w14:textId="77777777" w:rsidR="001D2587" w:rsidRPr="000855B2" w:rsidRDefault="001D2587" w:rsidP="005C7955">
            <w:pPr>
              <w:keepNext/>
              <w:keepLines/>
              <w:suppressAutoHyphens/>
              <w:spacing w:line="240" w:lineRule="atLeast"/>
              <w:jc w:val="center"/>
              <w:rPr>
                <w:b/>
                <w:bCs/>
                <w:szCs w:val="18"/>
                <w:lang w:val="en-GB"/>
              </w:rPr>
            </w:pPr>
            <w:r w:rsidRPr="000855B2">
              <w:rPr>
                <w:b/>
                <w:bCs/>
                <w:szCs w:val="18"/>
                <w:lang w:val="en-GB"/>
              </w:rPr>
              <w:t xml:space="preserve">Mileage </w:t>
            </w:r>
            <w:r w:rsidR="000210A8" w:rsidRPr="000855B2">
              <w:rPr>
                <w:b/>
                <w:bCs/>
                <w:szCs w:val="18"/>
                <w:lang w:val="en-GB"/>
              </w:rPr>
              <w:t>c</w:t>
            </w:r>
            <w:r w:rsidRPr="000855B2">
              <w:rPr>
                <w:b/>
                <w:bCs/>
                <w:szCs w:val="18"/>
                <w:lang w:val="en-GB"/>
              </w:rPr>
              <w:t xml:space="preserve">orrection </w:t>
            </w:r>
            <w:r w:rsidR="00575996" w:rsidRPr="000855B2">
              <w:rPr>
                <w:szCs w:val="20"/>
                <w:lang w:val="en-GB"/>
              </w:rPr>
              <w:t>—</w:t>
            </w:r>
            <w:r w:rsidRPr="000855B2">
              <w:rPr>
                <w:b/>
                <w:bCs/>
                <w:szCs w:val="18"/>
                <w:lang w:val="en-GB"/>
              </w:rPr>
              <w:t xml:space="preserve"> M</w:t>
            </w:r>
            <w:r w:rsidR="00505C7C" w:rsidRPr="000855B2">
              <w:rPr>
                <w:b/>
                <w:bCs/>
                <w:szCs w:val="18"/>
                <w:lang w:val="en-GB"/>
              </w:rPr>
              <w:t>c</w:t>
            </w:r>
            <w:r w:rsidRPr="000855B2">
              <w:rPr>
                <w:b/>
                <w:bCs/>
                <w:szCs w:val="18"/>
                <w:lang w:val="en-GB"/>
              </w:rPr>
              <w:t>orr [-]</w:t>
            </w:r>
          </w:p>
        </w:tc>
      </w:tr>
      <w:tr w:rsidR="001D2587" w:rsidRPr="000855B2" w14:paraId="09A3FDF3" w14:textId="77777777" w:rsidTr="008D2AFB">
        <w:trPr>
          <w:trHeight w:val="270"/>
        </w:trPr>
        <w:tc>
          <w:tcPr>
            <w:tcW w:w="1727" w:type="dxa"/>
            <w:tcBorders>
              <w:top w:val="single" w:sz="12" w:space="0" w:color="auto"/>
            </w:tcBorders>
          </w:tcPr>
          <w:p w14:paraId="7A0E9B98"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≤19</w:t>
            </w:r>
          </w:p>
        </w:tc>
        <w:tc>
          <w:tcPr>
            <w:tcW w:w="4680" w:type="dxa"/>
            <w:tcBorders>
              <w:top w:val="single" w:sz="12" w:space="0" w:color="auto"/>
            </w:tcBorders>
          </w:tcPr>
          <w:p w14:paraId="1D741706"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M</w:t>
            </w:r>
            <w:r w:rsidRPr="000855B2">
              <w:rPr>
                <w:szCs w:val="18"/>
                <w:vertAlign w:val="subscript"/>
                <w:lang w:val="en-GB"/>
              </w:rPr>
              <w:t>URBAN</w:t>
            </w:r>
          </w:p>
        </w:tc>
      </w:tr>
      <w:tr w:rsidR="001D2587" w:rsidRPr="000855B2" w14:paraId="3CF31C1A" w14:textId="77777777" w:rsidTr="00887829">
        <w:trPr>
          <w:trHeight w:val="270"/>
        </w:trPr>
        <w:tc>
          <w:tcPr>
            <w:tcW w:w="1727" w:type="dxa"/>
          </w:tcPr>
          <w:p w14:paraId="735212AA"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≥63</w:t>
            </w:r>
          </w:p>
        </w:tc>
        <w:tc>
          <w:tcPr>
            <w:tcW w:w="4680" w:type="dxa"/>
          </w:tcPr>
          <w:p w14:paraId="2EA2F739" w14:textId="77777777" w:rsidR="001D2587" w:rsidRPr="000855B2" w:rsidRDefault="001D2587" w:rsidP="005C7955">
            <w:pPr>
              <w:keepNext/>
              <w:keepLines/>
              <w:suppressAutoHyphens/>
              <w:spacing w:line="240" w:lineRule="atLeast"/>
              <w:jc w:val="center"/>
              <w:rPr>
                <w:szCs w:val="18"/>
                <w:lang w:val="en-GB"/>
              </w:rPr>
            </w:pPr>
            <w:r w:rsidRPr="000855B2">
              <w:rPr>
                <w:szCs w:val="18"/>
                <w:lang w:val="en-GB"/>
              </w:rPr>
              <w:t>M</w:t>
            </w:r>
            <w:r w:rsidRPr="000855B2">
              <w:rPr>
                <w:szCs w:val="18"/>
                <w:vertAlign w:val="subscript"/>
                <w:lang w:val="en-GB"/>
              </w:rPr>
              <w:t>ROAD</w:t>
            </w:r>
          </w:p>
        </w:tc>
      </w:tr>
      <w:tr w:rsidR="001D2587" w:rsidRPr="000855B2" w14:paraId="703FD001" w14:textId="77777777" w:rsidTr="00887829">
        <w:trPr>
          <w:trHeight w:val="270"/>
        </w:trPr>
        <w:tc>
          <w:tcPr>
            <w:tcW w:w="1727" w:type="dxa"/>
          </w:tcPr>
          <w:p w14:paraId="5589D57B" w14:textId="77777777" w:rsidR="001D2587" w:rsidRPr="000855B2" w:rsidRDefault="00972A38" w:rsidP="005C7955">
            <w:pPr>
              <w:keepNext/>
              <w:keepLines/>
              <w:suppressAutoHyphens/>
              <w:spacing w:line="240" w:lineRule="atLeast"/>
              <w:jc w:val="center"/>
              <w:rPr>
                <w:szCs w:val="18"/>
                <w:lang w:val="en-GB"/>
              </w:rPr>
            </w:pPr>
            <w:r w:rsidRPr="000855B2">
              <w:rPr>
                <w:szCs w:val="18"/>
                <w:lang w:val="en-GB"/>
              </w:rPr>
              <w:t>&gt; </w:t>
            </w:r>
            <w:r w:rsidR="001D2587" w:rsidRPr="000855B2">
              <w:rPr>
                <w:szCs w:val="18"/>
                <w:lang w:val="en-GB"/>
              </w:rPr>
              <w:t xml:space="preserve">19 and </w:t>
            </w:r>
            <w:r w:rsidR="00D205E2" w:rsidRPr="000855B2">
              <w:rPr>
                <w:szCs w:val="18"/>
                <w:lang w:val="en-GB"/>
              </w:rPr>
              <w:t>&lt; </w:t>
            </w:r>
            <w:r w:rsidR="001D2587" w:rsidRPr="000855B2">
              <w:rPr>
                <w:szCs w:val="18"/>
                <w:lang w:val="en-GB"/>
              </w:rPr>
              <w:t>63</w:t>
            </w:r>
          </w:p>
        </w:tc>
        <w:tc>
          <w:tcPr>
            <w:tcW w:w="4680" w:type="dxa"/>
          </w:tcPr>
          <w:p w14:paraId="23CFA6D4" w14:textId="77777777" w:rsidR="001D2587" w:rsidRPr="000855B2" w:rsidRDefault="0008044E" w:rsidP="005C7955">
            <w:pPr>
              <w:keepNext/>
              <w:keepLines/>
              <w:suppressAutoHyphens/>
              <w:spacing w:line="240" w:lineRule="atLeast"/>
              <w:jc w:val="center"/>
              <w:rPr>
                <w:szCs w:val="18"/>
                <w:lang w:val="en-GB"/>
              </w:rPr>
            </w:pPr>
            <w:r w:rsidRPr="000855B2">
              <w:rPr>
                <w:position w:val="-22"/>
                <w:szCs w:val="22"/>
                <w:lang w:val="en-GB"/>
              </w:rPr>
              <w:object w:dxaOrig="4239" w:dyaOrig="580" w14:anchorId="2AA70B3B">
                <v:shape id="_x0000_i1043" type="#_x0000_t75" style="width:171.7pt;height:23.55pt" o:ole="" fillcolor="window">
                  <v:imagedata r:id="rId53" o:title=""/>
                </v:shape>
                <o:OLEObject Type="Embed" ProgID="Equation.3" ShapeID="_x0000_i1043" DrawAspect="Content" ObjectID="_1555746406" r:id="rId54"/>
              </w:object>
            </w:r>
          </w:p>
        </w:tc>
      </w:tr>
    </w:tbl>
    <w:p w14:paraId="5B1BB105" w14:textId="77777777" w:rsidR="001D2587" w:rsidRPr="000855B2" w:rsidRDefault="001D2587" w:rsidP="00B019EC">
      <w:pPr>
        <w:pStyle w:val="Heading4"/>
      </w:pPr>
      <w:r w:rsidRPr="000855B2">
        <w:t>Fuel effects</w:t>
      </w:r>
    </w:p>
    <w:p w14:paraId="5062F3FE" w14:textId="661A75DC" w:rsidR="001D2587" w:rsidRPr="000855B2" w:rsidRDefault="00FB454C" w:rsidP="0083104A">
      <w:pPr>
        <w:pStyle w:val="BodyText"/>
      </w:pPr>
      <w:r>
        <w:fldChar w:fldCharType="begin"/>
      </w:r>
      <w:r>
        <w:instrText xml:space="preserve"> REF _Ref140413093 \h  \* MERGEFORMAT </w:instrText>
      </w:r>
      <w:r>
        <w:fldChar w:fldCharType="separate"/>
      </w:r>
      <w:r w:rsidR="0071604C" w:rsidRPr="000855B2">
        <w:t>Table </w:t>
      </w:r>
      <w:r w:rsidR="0071604C">
        <w:t>3.82</w:t>
      </w:r>
      <w:r>
        <w:fldChar w:fldCharType="end"/>
      </w:r>
      <w:r w:rsidR="001D2587" w:rsidRPr="000855B2">
        <w:t xml:space="preserve">, </w:t>
      </w:r>
      <w:r>
        <w:fldChar w:fldCharType="begin"/>
      </w:r>
      <w:r>
        <w:instrText xml:space="preserve"> REF _Ref140413094 \h  \* MERGEFORMAT </w:instrText>
      </w:r>
      <w:r>
        <w:fldChar w:fldCharType="separate"/>
      </w:r>
      <w:r w:rsidR="0071604C" w:rsidRPr="000855B2">
        <w:t>Table </w:t>
      </w:r>
      <w:r w:rsidR="0071604C">
        <w:t>3.83</w:t>
      </w:r>
      <w:r>
        <w:fldChar w:fldCharType="end"/>
      </w:r>
      <w:r w:rsidR="001D2587" w:rsidRPr="000855B2">
        <w:t xml:space="preserve"> and </w:t>
      </w:r>
      <w:r>
        <w:fldChar w:fldCharType="begin"/>
      </w:r>
      <w:r>
        <w:instrText xml:space="preserve"> REF _Ref140413096 \h  \* MERGEFORMAT </w:instrText>
      </w:r>
      <w:r>
        <w:fldChar w:fldCharType="separate"/>
      </w:r>
      <w:r w:rsidR="0071604C" w:rsidRPr="000855B2">
        <w:t>Table </w:t>
      </w:r>
      <w:r w:rsidR="0071604C">
        <w:t>3.84</w:t>
      </w:r>
      <w:r>
        <w:fldChar w:fldCharType="end"/>
      </w:r>
      <w:r w:rsidR="001D2587" w:rsidRPr="000855B2">
        <w:t xml:space="preserve"> provide the correction functions required to estimate the effect of fuel properties on emissions</w:t>
      </w:r>
      <w:r w:rsidR="000210A8" w:rsidRPr="000855B2">
        <w:t>,</w:t>
      </w:r>
      <w:r w:rsidR="001D2587" w:rsidRPr="000855B2">
        <w:t xml:space="preserve"> according to </w:t>
      </w:r>
      <w:r w:rsidR="00106C64" w:rsidRPr="000855B2">
        <w:t>sub</w:t>
      </w:r>
      <w:r w:rsidR="001D2587" w:rsidRPr="000855B2">
        <w:t xml:space="preserve">section </w:t>
      </w:r>
      <w:r>
        <w:fldChar w:fldCharType="begin"/>
      </w:r>
      <w:r>
        <w:instrText xml:space="preserve"> REF _Ref197498186 \r \h  \* MERGEFORMAT </w:instrText>
      </w:r>
      <w:r>
        <w:fldChar w:fldCharType="separate"/>
      </w:r>
      <w:r w:rsidR="0071604C">
        <w:t>4.6</w:t>
      </w:r>
      <w:r>
        <w:fldChar w:fldCharType="end"/>
      </w:r>
      <w:r w:rsidR="001D2587" w:rsidRPr="000855B2">
        <w:t>.</w:t>
      </w:r>
    </w:p>
    <w:p w14:paraId="7F3735AE" w14:textId="42A6BA6B" w:rsidR="001D2587" w:rsidRPr="000855B2" w:rsidRDefault="002C2FA6" w:rsidP="0083104A">
      <w:pPr>
        <w:pStyle w:val="BodyText"/>
      </w:pPr>
      <w:r w:rsidRPr="000855B2">
        <w:t>The u</w:t>
      </w:r>
      <w:r w:rsidR="001D2587" w:rsidRPr="000855B2">
        <w:t xml:space="preserve">se of biodiesel as a blend with diesel may also lead to some change in emissions. The values proposed in </w:t>
      </w:r>
      <w:r w:rsidR="00FB454C">
        <w:fldChar w:fldCharType="begin"/>
      </w:r>
      <w:r w:rsidR="00FB454C">
        <w:instrText xml:space="preserve"> REF _Ref172059625 \h  \* MERGEFORMAT </w:instrText>
      </w:r>
      <w:r w:rsidR="00FB454C">
        <w:fldChar w:fldCharType="separate"/>
      </w:r>
      <w:r w:rsidR="0071604C" w:rsidRPr="000855B2">
        <w:t>Table </w:t>
      </w:r>
      <w:r w:rsidR="0071604C">
        <w:t>3.85</w:t>
      </w:r>
      <w:r w:rsidR="00FB454C">
        <w:fldChar w:fldCharType="end"/>
      </w:r>
      <w:r w:rsidR="001D2587" w:rsidRPr="000855B2">
        <w:t xml:space="preserve"> are differences in emissions caused by different blends </w:t>
      </w:r>
      <w:r w:rsidRPr="000855B2">
        <w:t>with</w:t>
      </w:r>
      <w:r w:rsidR="001D2587" w:rsidRPr="000855B2">
        <w:t xml:space="preserve"> fossil diesel</w:t>
      </w:r>
      <w:r w:rsidRPr="000855B2">
        <w:t>,</w:t>
      </w:r>
      <w:r w:rsidR="001D2587" w:rsidRPr="000855B2">
        <w:t xml:space="preserve"> and correspond to a Euro 3 vehicle/engine technology. The effect of biodiesel on other technologies may vary</w:t>
      </w:r>
      <w:r w:rsidRPr="000855B2">
        <w:t>,</w:t>
      </w:r>
      <w:r w:rsidR="001D2587" w:rsidRPr="000855B2">
        <w:t xml:space="preserve"> but the extent of the variation is difficult to estimate in the absence of detailed data. With regard to NO</w:t>
      </w:r>
      <w:r w:rsidR="001D2587" w:rsidRPr="000855B2">
        <w:rPr>
          <w:vertAlign w:val="subscript"/>
        </w:rPr>
        <w:t>x</w:t>
      </w:r>
      <w:r w:rsidR="001D2587" w:rsidRPr="000855B2">
        <w:t>, CO</w:t>
      </w:r>
      <w:r w:rsidR="001D2587" w:rsidRPr="000855B2">
        <w:rPr>
          <w:vertAlign w:val="subscript"/>
        </w:rPr>
        <w:t>2</w:t>
      </w:r>
      <w:r w:rsidR="001D2587" w:rsidRPr="000855B2">
        <w:t xml:space="preserve"> and CO, any effect of technology should be negligible, given the marginal effect of biodiesel on these pollutants in general. The effect of biodiesel on PM for different technologies is more difficult to assess. For older diesel technologies with no advanced combustion concepts and aftertreatment systems, biodiesel may lead to a higher reduction than the one shown in </w:t>
      </w:r>
      <w:r w:rsidR="00FB454C">
        <w:fldChar w:fldCharType="begin"/>
      </w:r>
      <w:r w:rsidR="00FB454C">
        <w:instrText xml:space="preserve"> REF _Ref172059625 \h  \* MERGEFORMAT </w:instrText>
      </w:r>
      <w:r w:rsidR="00FB454C">
        <w:fldChar w:fldCharType="separate"/>
      </w:r>
      <w:r w:rsidR="0071604C" w:rsidRPr="000855B2">
        <w:t>Table </w:t>
      </w:r>
      <w:r w:rsidR="0071604C">
        <w:t>3.85</w:t>
      </w:r>
      <w:r w:rsidR="00FB454C">
        <w:fldChar w:fldCharType="end"/>
      </w:r>
      <w:r w:rsidRPr="000855B2">
        <w:t>,</w:t>
      </w:r>
      <w:r w:rsidR="001D2587" w:rsidRPr="000855B2">
        <w:t xml:space="preserve"> because the presence of a carbon-</w:t>
      </w:r>
      <w:r w:rsidR="000D44AA" w:rsidRPr="000855B2">
        <w:t>oxygen</w:t>
      </w:r>
      <w:r w:rsidR="001D2587" w:rsidRPr="000855B2">
        <w:t xml:space="preserve"> chemical bond reduces the PM formation by intervening on its chemical mechanism. For more recent technologies, with ultra</w:t>
      </w:r>
      <w:r w:rsidRPr="000855B2">
        <w:t>-</w:t>
      </w:r>
      <w:r w:rsidR="001D2587" w:rsidRPr="000855B2">
        <w:t>high</w:t>
      </w:r>
      <w:r w:rsidRPr="000855B2">
        <w:t>-</w:t>
      </w:r>
      <w:r w:rsidR="001D2587" w:rsidRPr="000855B2">
        <w:t xml:space="preserve">pressure combustion and aftertreatment, the biodiesel effect is difficult to predict. On one hand the chemical mechanism demotes PM formation. On the other hand, the different physical properties of the fuel (viscosity, surface tension, gum content, </w:t>
      </w:r>
      <w:r w:rsidR="00D73F59" w:rsidRPr="000855B2">
        <w:t>etc</w:t>
      </w:r>
      <w:r w:rsidR="001D2587" w:rsidRPr="000855B2">
        <w:rPr>
          <w:i/>
        </w:rPr>
        <w:t>.</w:t>
      </w:r>
      <w:r w:rsidR="001D2587" w:rsidRPr="000855B2">
        <w:t xml:space="preserve">) may change the flow characteristics and affect the in-cylinder spray development. This may lead to poor combustion and increase soot formation. Hence, the </w:t>
      </w:r>
      <w:r w:rsidRPr="000855B2">
        <w:t xml:space="preserve">values </w:t>
      </w:r>
      <w:r w:rsidR="001D2587" w:rsidRPr="000855B2">
        <w:t xml:space="preserve">proposed </w:t>
      </w:r>
      <w:r w:rsidRPr="000855B2">
        <w:t>in</w:t>
      </w:r>
      <w:r w:rsidR="001D2587" w:rsidRPr="000855B2">
        <w:t xml:space="preserve"> </w:t>
      </w:r>
      <w:r w:rsidR="00FB454C">
        <w:fldChar w:fldCharType="begin"/>
      </w:r>
      <w:r w:rsidR="00FB454C">
        <w:instrText xml:space="preserve"> REF _Ref172059625 \h  \* MERGEFORMAT </w:instrText>
      </w:r>
      <w:r w:rsidR="00FB454C">
        <w:fldChar w:fldCharType="separate"/>
      </w:r>
      <w:r w:rsidR="0071604C" w:rsidRPr="000855B2">
        <w:t>Table </w:t>
      </w:r>
      <w:r w:rsidR="0071604C">
        <w:t>3.85</w:t>
      </w:r>
      <w:r w:rsidR="00FB454C">
        <w:fldChar w:fldCharType="end"/>
      </w:r>
      <w:r w:rsidR="001D2587" w:rsidRPr="000855B2">
        <w:t xml:space="preserve"> should be used with care for post Euro 3 diesel technologies</w:t>
      </w:r>
      <w:r w:rsidRPr="000855B2">
        <w:t>.</w:t>
      </w:r>
    </w:p>
    <w:p w14:paraId="04134F52" w14:textId="5017A4DF" w:rsidR="001D2587" w:rsidRPr="000855B2" w:rsidRDefault="00A040D1" w:rsidP="008D1A83">
      <w:pPr>
        <w:pStyle w:val="Caption"/>
      </w:pPr>
      <w:bookmarkStart w:id="277" w:name="_Ref140413093"/>
      <w:bookmarkStart w:id="278" w:name="_Toc496265315"/>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82</w:t>
      </w:r>
      <w:r w:rsidR="00FB454C">
        <w:rPr>
          <w:noProof/>
        </w:rPr>
        <w:fldChar w:fldCharType="end"/>
      </w:r>
      <w:bookmarkEnd w:id="277"/>
      <w:r w:rsidR="001D2587" w:rsidRPr="000855B2">
        <w:t xml:space="preserve">: Relations between emissions and fuel properties for passenger cars and </w:t>
      </w:r>
      <w:r w:rsidR="00CF67A4" w:rsidRPr="000855B2">
        <w:t>light commercial</w:t>
      </w:r>
      <w:r w:rsidR="001D2587" w:rsidRPr="000855B2">
        <w:t xml:space="preserve"> vehicles</w:t>
      </w:r>
      <w:bookmarkEnd w:id="278"/>
    </w:p>
    <w:tbl>
      <w:tblPr>
        <w:tblW w:w="8482"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134"/>
        <w:gridCol w:w="7348"/>
      </w:tblGrid>
      <w:tr w:rsidR="001D2587" w:rsidRPr="000855B2" w14:paraId="1DDFCDED" w14:textId="77777777" w:rsidTr="00AF4A3C">
        <w:trPr>
          <w:trHeight w:val="20"/>
        </w:trPr>
        <w:tc>
          <w:tcPr>
            <w:tcW w:w="1134" w:type="dxa"/>
            <w:tcBorders>
              <w:top w:val="double" w:sz="2" w:space="0" w:color="000000"/>
              <w:left w:val="double" w:sz="2" w:space="0" w:color="000000"/>
              <w:bottom w:val="single" w:sz="12" w:space="0" w:color="000000"/>
              <w:right w:val="single" w:sz="2" w:space="0" w:color="000000"/>
            </w:tcBorders>
            <w:tcMar>
              <w:left w:w="85" w:type="dxa"/>
              <w:right w:w="85" w:type="dxa"/>
            </w:tcMar>
            <w:vAlign w:val="center"/>
          </w:tcPr>
          <w:p w14:paraId="73D6C10C" w14:textId="77777777" w:rsidR="001D2587" w:rsidRPr="000855B2" w:rsidRDefault="001D2587" w:rsidP="005C7955">
            <w:pPr>
              <w:pStyle w:val="Table"/>
              <w:spacing w:line="240" w:lineRule="atLeast"/>
              <w:jc w:val="center"/>
              <w:rPr>
                <w:rFonts w:ascii="Open Sans" w:hAnsi="Open Sans" w:cs="Open Sans"/>
                <w:b/>
                <w:sz w:val="18"/>
                <w:szCs w:val="18"/>
                <w:lang w:val="en-GB"/>
              </w:rPr>
            </w:pPr>
            <w:r w:rsidRPr="000855B2">
              <w:rPr>
                <w:rFonts w:ascii="Open Sans" w:hAnsi="Open Sans" w:cs="Open Sans"/>
                <w:b/>
                <w:sz w:val="18"/>
                <w:szCs w:val="18"/>
                <w:lang w:val="en-GB"/>
              </w:rPr>
              <w:t>Pollutant</w:t>
            </w:r>
          </w:p>
        </w:tc>
        <w:tc>
          <w:tcPr>
            <w:tcW w:w="7348" w:type="dxa"/>
            <w:tcBorders>
              <w:top w:val="double" w:sz="2" w:space="0" w:color="000000"/>
              <w:left w:val="nil"/>
              <w:bottom w:val="single" w:sz="12" w:space="0" w:color="000000"/>
              <w:right w:val="double" w:sz="2" w:space="0" w:color="000000"/>
            </w:tcBorders>
            <w:tcMar>
              <w:left w:w="85" w:type="dxa"/>
              <w:right w:w="85" w:type="dxa"/>
            </w:tcMar>
            <w:vAlign w:val="center"/>
          </w:tcPr>
          <w:p w14:paraId="10B8D569" w14:textId="77777777" w:rsidR="001D2587" w:rsidRPr="000855B2" w:rsidRDefault="001D2587" w:rsidP="005C7955">
            <w:pPr>
              <w:pStyle w:val="Table"/>
              <w:spacing w:line="240" w:lineRule="atLeast"/>
              <w:jc w:val="center"/>
              <w:rPr>
                <w:rFonts w:ascii="Open Sans" w:hAnsi="Open Sans" w:cs="Open Sans"/>
                <w:b/>
                <w:sz w:val="18"/>
                <w:szCs w:val="18"/>
                <w:lang w:val="en-GB"/>
              </w:rPr>
            </w:pPr>
            <w:r w:rsidRPr="000855B2">
              <w:rPr>
                <w:rFonts w:ascii="Open Sans" w:hAnsi="Open Sans" w:cs="Open Sans"/>
                <w:b/>
                <w:sz w:val="18"/>
                <w:szCs w:val="18"/>
                <w:lang w:val="en-GB"/>
              </w:rPr>
              <w:t>Correction factor equation</w:t>
            </w:r>
          </w:p>
        </w:tc>
      </w:tr>
      <w:tr w:rsidR="001D2587" w:rsidRPr="000855B2" w14:paraId="36DA3F68" w14:textId="77777777" w:rsidTr="00AF4A3C">
        <w:trPr>
          <w:trHeight w:val="20"/>
        </w:trPr>
        <w:tc>
          <w:tcPr>
            <w:tcW w:w="1134" w:type="dxa"/>
            <w:tcBorders>
              <w:top w:val="nil"/>
              <w:left w:val="double" w:sz="2" w:space="0" w:color="000000"/>
              <w:bottom w:val="single" w:sz="6" w:space="0" w:color="000000"/>
              <w:right w:val="single" w:sz="2" w:space="0" w:color="000000"/>
            </w:tcBorders>
            <w:tcMar>
              <w:left w:w="85" w:type="dxa"/>
              <w:right w:w="85" w:type="dxa"/>
            </w:tcMar>
            <w:vAlign w:val="center"/>
          </w:tcPr>
          <w:p w14:paraId="2DEBBA17" w14:textId="77777777" w:rsidR="001D2587" w:rsidRPr="000855B2" w:rsidRDefault="001D2587" w:rsidP="005C7955">
            <w:pPr>
              <w:pStyle w:val="Table"/>
              <w:spacing w:line="240" w:lineRule="atLeast"/>
              <w:rPr>
                <w:rFonts w:ascii="Open Sans" w:hAnsi="Open Sans" w:cs="Open Sans"/>
                <w:sz w:val="18"/>
                <w:szCs w:val="18"/>
                <w:lang w:val="en-GB"/>
              </w:rPr>
            </w:pPr>
            <w:r w:rsidRPr="000855B2">
              <w:rPr>
                <w:rFonts w:ascii="Open Sans" w:hAnsi="Open Sans" w:cs="Open Sans"/>
                <w:sz w:val="18"/>
                <w:szCs w:val="18"/>
                <w:lang w:val="en-GB"/>
              </w:rPr>
              <w:t>CO</w:t>
            </w:r>
          </w:p>
        </w:tc>
        <w:tc>
          <w:tcPr>
            <w:tcW w:w="7348" w:type="dxa"/>
            <w:tcBorders>
              <w:top w:val="nil"/>
              <w:left w:val="nil"/>
              <w:bottom w:val="single" w:sz="6" w:space="0" w:color="000000"/>
              <w:right w:val="double" w:sz="2" w:space="0" w:color="000000"/>
            </w:tcBorders>
            <w:tcMar>
              <w:left w:w="85" w:type="dxa"/>
              <w:right w:w="85" w:type="dxa"/>
            </w:tcMar>
            <w:vAlign w:val="center"/>
          </w:tcPr>
          <w:p w14:paraId="474ED8A6" w14:textId="77777777" w:rsidR="001D2587" w:rsidRPr="00A54B80" w:rsidRDefault="001D2587" w:rsidP="005C7955">
            <w:pPr>
              <w:keepNext/>
              <w:keepLines/>
              <w:suppressAutoHyphens/>
              <w:spacing w:line="240" w:lineRule="atLeast"/>
              <w:jc w:val="center"/>
              <w:rPr>
                <w:lang w:val="it-IT"/>
              </w:rPr>
            </w:pPr>
            <w:r w:rsidRPr="00A54B80">
              <w:rPr>
                <w:lang w:val="it-IT"/>
              </w:rPr>
              <w:t>F</w:t>
            </w:r>
            <w:r w:rsidR="00505C7C" w:rsidRPr="00A54B80">
              <w:rPr>
                <w:lang w:val="it-IT"/>
              </w:rPr>
              <w:t>c</w:t>
            </w:r>
            <w:r w:rsidRPr="00A54B80">
              <w:rPr>
                <w:lang w:val="it-IT"/>
              </w:rPr>
              <w:t xml:space="preserve">orr = [2.459 </w:t>
            </w:r>
            <w:r w:rsidR="00505C7C" w:rsidRPr="00A54B80">
              <w:rPr>
                <w:lang w:val="it-IT"/>
              </w:rPr>
              <w:t>–</w:t>
            </w:r>
            <w:r w:rsidRPr="00A54B80">
              <w:rPr>
                <w:lang w:val="it-IT"/>
              </w:rPr>
              <w:t xml:space="preserve"> 0.05513 </w:t>
            </w:r>
            <w:r w:rsidRPr="000855B2">
              <w:rPr>
                <w:lang w:val="en-GB"/>
              </w:rPr>
              <w:sym w:font="Symbol" w:char="F0B4"/>
            </w:r>
            <w:r w:rsidRPr="00A54B80">
              <w:rPr>
                <w:lang w:val="it-IT"/>
              </w:rPr>
              <w:t xml:space="preserve"> (E100) + 0.0005343 </w:t>
            </w:r>
            <w:r w:rsidRPr="000855B2">
              <w:rPr>
                <w:lang w:val="en-GB"/>
              </w:rPr>
              <w:sym w:font="Symbol" w:char="F0B4"/>
            </w:r>
            <w:r w:rsidRPr="00A54B80">
              <w:rPr>
                <w:lang w:val="it-IT"/>
              </w:rPr>
              <w:t xml:space="preserve"> (E100)</w:t>
            </w:r>
            <w:r w:rsidRPr="00A54B80">
              <w:rPr>
                <w:vertAlign w:val="superscript"/>
                <w:lang w:val="it-IT"/>
              </w:rPr>
              <w:t>2</w:t>
            </w:r>
            <w:r w:rsidRPr="00A54B80">
              <w:rPr>
                <w:lang w:val="it-IT"/>
              </w:rPr>
              <w:t xml:space="preserve"> + 0.009226 </w:t>
            </w:r>
            <w:r w:rsidRPr="000855B2">
              <w:rPr>
                <w:lang w:val="en-GB"/>
              </w:rPr>
              <w:sym w:font="Symbol" w:char="F0B4"/>
            </w:r>
            <w:r w:rsidRPr="00A54B80">
              <w:rPr>
                <w:lang w:val="it-IT"/>
              </w:rPr>
              <w:t xml:space="preserve"> (ARO)-0.0003101 </w:t>
            </w:r>
            <w:r w:rsidRPr="000855B2">
              <w:rPr>
                <w:lang w:val="en-GB"/>
              </w:rPr>
              <w:sym w:font="Symbol" w:char="F0B4"/>
            </w:r>
            <w:r w:rsidRPr="00A54B80">
              <w:rPr>
                <w:lang w:val="it-IT"/>
              </w:rPr>
              <w:t xml:space="preserve"> (97-S)] </w:t>
            </w:r>
            <w:r w:rsidRPr="000855B2">
              <w:rPr>
                <w:lang w:val="en-GB"/>
              </w:rPr>
              <w:sym w:font="Symbol" w:char="F0B4"/>
            </w:r>
            <w:r w:rsidRPr="00A54B80">
              <w:rPr>
                <w:lang w:val="it-IT"/>
              </w:rPr>
              <w:t xml:space="preserve"> [1-0.037 </w:t>
            </w:r>
            <w:r w:rsidRPr="000855B2">
              <w:rPr>
                <w:lang w:val="en-GB"/>
              </w:rPr>
              <w:sym w:font="Symbol" w:char="F0B4"/>
            </w:r>
            <w:r w:rsidRPr="00A54B80">
              <w:rPr>
                <w:lang w:val="it-IT"/>
              </w:rPr>
              <w:t xml:space="preserve"> (O</w:t>
            </w:r>
            <w:r w:rsidRPr="00A54B80">
              <w:rPr>
                <w:vertAlign w:val="subscript"/>
                <w:lang w:val="it-IT"/>
              </w:rPr>
              <w:t>2</w:t>
            </w:r>
            <w:r w:rsidRPr="00A54B80">
              <w:rPr>
                <w:lang w:val="it-IT"/>
              </w:rPr>
              <w:t xml:space="preserve"> </w:t>
            </w:r>
            <w:r w:rsidR="00505C7C" w:rsidRPr="00A54B80">
              <w:rPr>
                <w:lang w:val="it-IT"/>
              </w:rPr>
              <w:t>–</w:t>
            </w:r>
            <w:r w:rsidRPr="00A54B80">
              <w:rPr>
                <w:lang w:val="it-IT"/>
              </w:rPr>
              <w:t xml:space="preserve"> 1.75)] </w:t>
            </w:r>
            <w:r w:rsidRPr="000855B2">
              <w:rPr>
                <w:lang w:val="en-GB"/>
              </w:rPr>
              <w:sym w:font="Symbol" w:char="F0B4"/>
            </w:r>
            <w:r w:rsidRPr="00A54B80">
              <w:rPr>
                <w:lang w:val="it-IT"/>
              </w:rPr>
              <w:t xml:space="preserve"> [1-0.008 </w:t>
            </w:r>
            <w:r w:rsidRPr="000855B2">
              <w:rPr>
                <w:lang w:val="en-GB"/>
              </w:rPr>
              <w:sym w:font="Symbol" w:char="F0B4"/>
            </w:r>
            <w:r w:rsidRPr="00A54B80">
              <w:rPr>
                <w:lang w:val="it-IT"/>
              </w:rPr>
              <w:t xml:space="preserve"> (E150 </w:t>
            </w:r>
            <w:r w:rsidR="00505C7C" w:rsidRPr="00A54B80">
              <w:rPr>
                <w:lang w:val="it-IT"/>
              </w:rPr>
              <w:t>–</w:t>
            </w:r>
            <w:r w:rsidRPr="00A54B80">
              <w:rPr>
                <w:lang w:val="it-IT"/>
              </w:rPr>
              <w:t xml:space="preserve"> 90.2)]</w:t>
            </w:r>
          </w:p>
        </w:tc>
      </w:tr>
      <w:tr w:rsidR="001D2587" w:rsidRPr="000855B2" w14:paraId="37DF925D" w14:textId="77777777" w:rsidTr="00AF4A3C">
        <w:trPr>
          <w:trHeight w:val="20"/>
        </w:trPr>
        <w:tc>
          <w:tcPr>
            <w:tcW w:w="1134"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6DBF5038" w14:textId="77777777" w:rsidR="001D2587" w:rsidRPr="000855B2" w:rsidRDefault="001D2587" w:rsidP="005C7955">
            <w:pPr>
              <w:pStyle w:val="Table"/>
              <w:spacing w:line="240" w:lineRule="atLeast"/>
              <w:rPr>
                <w:rFonts w:ascii="Open Sans" w:hAnsi="Open Sans" w:cs="Open Sans"/>
                <w:sz w:val="18"/>
                <w:szCs w:val="18"/>
                <w:lang w:val="en-GB"/>
              </w:rPr>
            </w:pPr>
            <w:r w:rsidRPr="000855B2">
              <w:rPr>
                <w:rFonts w:ascii="Open Sans" w:hAnsi="Open Sans" w:cs="Open Sans"/>
                <w:sz w:val="18"/>
                <w:szCs w:val="18"/>
                <w:lang w:val="en-GB"/>
              </w:rPr>
              <w:t>VOC</w:t>
            </w:r>
          </w:p>
        </w:tc>
        <w:tc>
          <w:tcPr>
            <w:tcW w:w="7348" w:type="dxa"/>
            <w:tcBorders>
              <w:top w:val="single" w:sz="6" w:space="0" w:color="000000"/>
              <w:left w:val="nil"/>
              <w:bottom w:val="single" w:sz="6" w:space="0" w:color="000000"/>
              <w:right w:val="double" w:sz="2" w:space="0" w:color="000000"/>
            </w:tcBorders>
            <w:tcMar>
              <w:left w:w="85" w:type="dxa"/>
              <w:right w:w="85" w:type="dxa"/>
            </w:tcMar>
            <w:vAlign w:val="center"/>
          </w:tcPr>
          <w:p w14:paraId="5F757392" w14:textId="77777777" w:rsidR="001D2587" w:rsidRPr="00A54B80" w:rsidRDefault="001D2587" w:rsidP="005C7955">
            <w:pPr>
              <w:keepNext/>
              <w:keepLines/>
              <w:suppressAutoHyphens/>
              <w:spacing w:line="240" w:lineRule="atLeast"/>
              <w:jc w:val="center"/>
              <w:rPr>
                <w:lang w:val="it-IT"/>
              </w:rPr>
            </w:pPr>
            <w:r w:rsidRPr="00A54B80">
              <w:rPr>
                <w:lang w:val="it-IT"/>
              </w:rPr>
              <w:t>F</w:t>
            </w:r>
            <w:r w:rsidR="00505C7C" w:rsidRPr="00A54B80">
              <w:rPr>
                <w:lang w:val="it-IT"/>
              </w:rPr>
              <w:t>c</w:t>
            </w:r>
            <w:r w:rsidRPr="00A54B80">
              <w:rPr>
                <w:lang w:val="it-IT"/>
              </w:rPr>
              <w:t xml:space="preserve">orr = [0.1347 + 0.0005489 </w:t>
            </w:r>
            <w:r w:rsidRPr="000855B2">
              <w:rPr>
                <w:lang w:val="en-GB"/>
              </w:rPr>
              <w:sym w:font="Symbol" w:char="F0B4"/>
            </w:r>
            <w:r w:rsidRPr="00A54B80">
              <w:rPr>
                <w:lang w:val="it-IT"/>
              </w:rPr>
              <w:t xml:space="preserve"> (ARO) + 25.7 </w:t>
            </w:r>
            <w:r w:rsidRPr="000855B2">
              <w:rPr>
                <w:lang w:val="en-GB"/>
              </w:rPr>
              <w:sym w:font="Symbol" w:char="F0B4"/>
            </w:r>
            <w:r w:rsidRPr="00A54B80">
              <w:rPr>
                <w:lang w:val="it-IT"/>
              </w:rPr>
              <w:t xml:space="preserve"> (ARO) </w:t>
            </w:r>
            <w:r w:rsidRPr="000855B2">
              <w:rPr>
                <w:lang w:val="en-GB"/>
              </w:rPr>
              <w:sym w:font="Symbol" w:char="F0B4"/>
            </w:r>
            <w:r w:rsidRPr="00A54B80">
              <w:rPr>
                <w:lang w:val="it-IT"/>
              </w:rPr>
              <w:t xml:space="preserve"> e</w:t>
            </w:r>
            <w:r w:rsidRPr="00A54B80">
              <w:rPr>
                <w:vertAlign w:val="superscript"/>
                <w:lang w:val="it-IT"/>
              </w:rPr>
              <w:t>(-0.2642 (E100))</w:t>
            </w:r>
            <w:r w:rsidRPr="00A54B80">
              <w:rPr>
                <w:lang w:val="it-IT"/>
              </w:rPr>
              <w:t xml:space="preserve"> </w:t>
            </w:r>
            <w:r w:rsidR="00505C7C" w:rsidRPr="00A54B80">
              <w:rPr>
                <w:lang w:val="it-IT"/>
              </w:rPr>
              <w:t>–</w:t>
            </w:r>
            <w:r w:rsidRPr="00A54B80">
              <w:rPr>
                <w:lang w:val="it-IT"/>
              </w:rPr>
              <w:t xml:space="preserve"> 0.0000406 </w:t>
            </w:r>
            <w:r w:rsidRPr="000855B2">
              <w:rPr>
                <w:lang w:val="en-GB"/>
              </w:rPr>
              <w:sym w:font="Symbol" w:char="F0B4"/>
            </w:r>
            <w:r w:rsidRPr="00A54B80">
              <w:rPr>
                <w:lang w:val="it-IT"/>
              </w:rPr>
              <w:t xml:space="preserve"> (97-S)] </w:t>
            </w:r>
            <w:r w:rsidRPr="000855B2">
              <w:rPr>
                <w:lang w:val="en-GB"/>
              </w:rPr>
              <w:sym w:font="Symbol" w:char="F0B4"/>
            </w:r>
            <w:r w:rsidRPr="00A54B80">
              <w:rPr>
                <w:lang w:val="it-IT"/>
              </w:rPr>
              <w:t xml:space="preserve"> [1-0.004 </w:t>
            </w:r>
            <w:r w:rsidRPr="000855B2">
              <w:rPr>
                <w:lang w:val="en-GB"/>
              </w:rPr>
              <w:sym w:font="Symbol" w:char="F0B4"/>
            </w:r>
            <w:r w:rsidRPr="00A54B80">
              <w:rPr>
                <w:lang w:val="it-IT"/>
              </w:rPr>
              <w:t xml:space="preserve"> (OLEFIN </w:t>
            </w:r>
            <w:r w:rsidR="00505C7C" w:rsidRPr="00A54B80">
              <w:rPr>
                <w:lang w:val="it-IT"/>
              </w:rPr>
              <w:t>–</w:t>
            </w:r>
            <w:r w:rsidRPr="00A54B80">
              <w:rPr>
                <w:lang w:val="it-IT"/>
              </w:rPr>
              <w:t xml:space="preserve"> 4.97)] </w:t>
            </w:r>
            <w:r w:rsidRPr="000855B2">
              <w:rPr>
                <w:lang w:val="en-GB"/>
              </w:rPr>
              <w:sym w:font="Symbol" w:char="F0B4"/>
            </w:r>
            <w:r w:rsidRPr="00A54B80">
              <w:rPr>
                <w:lang w:val="it-IT"/>
              </w:rPr>
              <w:t xml:space="preserve"> [1-0.022 </w:t>
            </w:r>
            <w:r w:rsidRPr="000855B2">
              <w:rPr>
                <w:lang w:val="en-GB"/>
              </w:rPr>
              <w:sym w:font="Symbol" w:char="F0B4"/>
            </w:r>
            <w:r w:rsidRPr="00A54B80">
              <w:rPr>
                <w:lang w:val="it-IT"/>
              </w:rPr>
              <w:t xml:space="preserve"> (O</w:t>
            </w:r>
            <w:r w:rsidRPr="00A54B80">
              <w:rPr>
                <w:vertAlign w:val="subscript"/>
                <w:lang w:val="it-IT"/>
              </w:rPr>
              <w:t>2</w:t>
            </w:r>
            <w:r w:rsidRPr="00A54B80">
              <w:rPr>
                <w:lang w:val="it-IT"/>
              </w:rPr>
              <w:t xml:space="preserve"> </w:t>
            </w:r>
            <w:r w:rsidR="00505C7C" w:rsidRPr="00A54B80">
              <w:rPr>
                <w:lang w:val="it-IT"/>
              </w:rPr>
              <w:t>–</w:t>
            </w:r>
            <w:r w:rsidRPr="00A54B80">
              <w:rPr>
                <w:lang w:val="it-IT"/>
              </w:rPr>
              <w:t xml:space="preserve"> 1.75)] </w:t>
            </w:r>
            <w:r w:rsidRPr="000855B2">
              <w:rPr>
                <w:lang w:val="en-GB"/>
              </w:rPr>
              <w:sym w:font="Symbol" w:char="F0B4"/>
            </w:r>
            <w:r w:rsidRPr="00A54B80">
              <w:rPr>
                <w:lang w:val="it-IT"/>
              </w:rPr>
              <w:t xml:space="preserve"> [1-0.01 </w:t>
            </w:r>
            <w:r w:rsidRPr="000855B2">
              <w:rPr>
                <w:lang w:val="en-GB"/>
              </w:rPr>
              <w:sym w:font="Symbol" w:char="F0B4"/>
            </w:r>
            <w:r w:rsidRPr="00A54B80">
              <w:rPr>
                <w:lang w:val="it-IT"/>
              </w:rPr>
              <w:t xml:space="preserve"> (E150 </w:t>
            </w:r>
            <w:r w:rsidR="00505C7C" w:rsidRPr="00A54B80">
              <w:rPr>
                <w:lang w:val="it-IT"/>
              </w:rPr>
              <w:t>–</w:t>
            </w:r>
            <w:r w:rsidRPr="00A54B80">
              <w:rPr>
                <w:lang w:val="it-IT"/>
              </w:rPr>
              <w:t xml:space="preserve"> 90.2)]</w:t>
            </w:r>
          </w:p>
        </w:tc>
      </w:tr>
      <w:tr w:rsidR="001D2587" w:rsidRPr="000855B2" w14:paraId="790A799A" w14:textId="77777777" w:rsidTr="00AF4A3C">
        <w:trPr>
          <w:trHeight w:val="20"/>
        </w:trPr>
        <w:tc>
          <w:tcPr>
            <w:tcW w:w="1134" w:type="dxa"/>
            <w:tcBorders>
              <w:top w:val="single" w:sz="6" w:space="0" w:color="000000"/>
              <w:left w:val="double" w:sz="2" w:space="0" w:color="000000"/>
              <w:bottom w:val="double" w:sz="2" w:space="0" w:color="000000"/>
              <w:right w:val="single" w:sz="2" w:space="0" w:color="000000"/>
            </w:tcBorders>
            <w:tcMar>
              <w:left w:w="85" w:type="dxa"/>
              <w:right w:w="85" w:type="dxa"/>
            </w:tcMar>
            <w:vAlign w:val="center"/>
          </w:tcPr>
          <w:p w14:paraId="16FEC9F6" w14:textId="77777777" w:rsidR="001D2587" w:rsidRPr="000855B2" w:rsidRDefault="001D2587" w:rsidP="005C7955">
            <w:pPr>
              <w:pStyle w:val="Table"/>
              <w:spacing w:line="240" w:lineRule="atLeast"/>
              <w:rPr>
                <w:rFonts w:ascii="Open Sans" w:hAnsi="Open Sans" w:cs="Open Sans"/>
                <w:sz w:val="18"/>
                <w:szCs w:val="18"/>
                <w:lang w:val="en-GB"/>
              </w:rPr>
            </w:pPr>
            <w:r w:rsidRPr="000855B2">
              <w:rPr>
                <w:rFonts w:ascii="Open Sans" w:hAnsi="Open Sans" w:cs="Open Sans"/>
                <w:sz w:val="18"/>
                <w:szCs w:val="18"/>
                <w:lang w:val="en-GB"/>
              </w:rPr>
              <w:t>NO</w:t>
            </w:r>
            <w:r w:rsidRPr="000855B2">
              <w:rPr>
                <w:rFonts w:ascii="Open Sans" w:hAnsi="Open Sans" w:cs="Open Sans"/>
                <w:sz w:val="18"/>
                <w:szCs w:val="18"/>
                <w:vertAlign w:val="subscript"/>
                <w:lang w:val="en-GB"/>
              </w:rPr>
              <w:t>x</w:t>
            </w:r>
          </w:p>
        </w:tc>
        <w:tc>
          <w:tcPr>
            <w:tcW w:w="7348" w:type="dxa"/>
            <w:tcBorders>
              <w:top w:val="single" w:sz="6" w:space="0" w:color="000000"/>
              <w:left w:val="nil"/>
              <w:bottom w:val="double" w:sz="2" w:space="0" w:color="000000"/>
              <w:right w:val="double" w:sz="2" w:space="0" w:color="000000"/>
            </w:tcBorders>
            <w:tcMar>
              <w:left w:w="85" w:type="dxa"/>
              <w:right w:w="85" w:type="dxa"/>
            </w:tcMar>
            <w:vAlign w:val="center"/>
          </w:tcPr>
          <w:p w14:paraId="4796A37B" w14:textId="77777777" w:rsidR="001D2587" w:rsidRPr="00A54B80" w:rsidRDefault="001D2587" w:rsidP="005C7955">
            <w:pPr>
              <w:keepNext/>
              <w:keepLines/>
              <w:suppressAutoHyphens/>
              <w:spacing w:line="240" w:lineRule="atLeast"/>
              <w:jc w:val="center"/>
              <w:rPr>
                <w:lang w:val="it-IT"/>
              </w:rPr>
            </w:pPr>
            <w:r w:rsidRPr="00A54B80">
              <w:rPr>
                <w:lang w:val="it-IT"/>
              </w:rPr>
              <w:t>F</w:t>
            </w:r>
            <w:r w:rsidR="00505C7C" w:rsidRPr="00A54B80">
              <w:rPr>
                <w:lang w:val="it-IT"/>
              </w:rPr>
              <w:t>c</w:t>
            </w:r>
            <w:r w:rsidRPr="00A54B80">
              <w:rPr>
                <w:lang w:val="it-IT"/>
              </w:rPr>
              <w:t xml:space="preserve">orr = [0.1884 </w:t>
            </w:r>
            <w:r w:rsidR="00505C7C" w:rsidRPr="00A54B80">
              <w:rPr>
                <w:lang w:val="it-IT"/>
              </w:rPr>
              <w:t>–</w:t>
            </w:r>
            <w:r w:rsidRPr="00A54B80">
              <w:rPr>
                <w:lang w:val="it-IT"/>
              </w:rPr>
              <w:t xml:space="preserve"> 0.001438 </w:t>
            </w:r>
            <w:r w:rsidRPr="000855B2">
              <w:rPr>
                <w:lang w:val="en-GB"/>
              </w:rPr>
              <w:sym w:font="Symbol" w:char="F0B4"/>
            </w:r>
            <w:r w:rsidRPr="00A54B80">
              <w:rPr>
                <w:lang w:val="it-IT"/>
              </w:rPr>
              <w:t xml:space="preserve"> (ARO) + 0.00001959 </w:t>
            </w:r>
            <w:r w:rsidRPr="000855B2">
              <w:rPr>
                <w:lang w:val="en-GB"/>
              </w:rPr>
              <w:sym w:font="Symbol" w:char="F0B4"/>
            </w:r>
            <w:r w:rsidRPr="00A54B80">
              <w:rPr>
                <w:lang w:val="it-IT"/>
              </w:rPr>
              <w:t xml:space="preserve"> (ARO) </w:t>
            </w:r>
            <w:r w:rsidRPr="000855B2">
              <w:rPr>
                <w:lang w:val="en-GB"/>
              </w:rPr>
              <w:sym w:font="Symbol" w:char="F0B4"/>
            </w:r>
            <w:r w:rsidRPr="00A54B80">
              <w:rPr>
                <w:lang w:val="it-IT"/>
              </w:rPr>
              <w:t xml:space="preserve"> (E100) </w:t>
            </w:r>
            <w:r w:rsidR="00505C7C" w:rsidRPr="00A54B80">
              <w:rPr>
                <w:lang w:val="it-IT"/>
              </w:rPr>
              <w:t>–</w:t>
            </w:r>
            <w:r w:rsidRPr="00A54B80">
              <w:rPr>
                <w:lang w:val="it-IT"/>
              </w:rPr>
              <w:t xml:space="preserve"> 0.00005302 </w:t>
            </w:r>
            <w:r w:rsidRPr="000855B2">
              <w:rPr>
                <w:lang w:val="en-GB"/>
              </w:rPr>
              <w:sym w:font="Symbol" w:char="F0B4"/>
            </w:r>
            <w:r w:rsidRPr="00A54B80">
              <w:rPr>
                <w:vertAlign w:val="superscript"/>
                <w:lang w:val="it-IT"/>
              </w:rPr>
              <w:t xml:space="preserve"> </w:t>
            </w:r>
            <w:r w:rsidRPr="00A54B80">
              <w:rPr>
                <w:lang w:val="it-IT"/>
              </w:rPr>
              <w:t xml:space="preserve">(97 </w:t>
            </w:r>
            <w:r w:rsidR="00505C7C" w:rsidRPr="00A54B80">
              <w:rPr>
                <w:lang w:val="it-IT"/>
              </w:rPr>
              <w:t>–</w:t>
            </w:r>
            <w:r w:rsidRPr="00A54B80">
              <w:rPr>
                <w:lang w:val="it-IT"/>
              </w:rPr>
              <w:t xml:space="preserve"> S)] </w:t>
            </w:r>
            <w:r w:rsidRPr="000855B2">
              <w:rPr>
                <w:lang w:val="en-GB"/>
              </w:rPr>
              <w:sym w:font="Symbol" w:char="F0B4"/>
            </w:r>
            <w:r w:rsidRPr="00A54B80">
              <w:rPr>
                <w:lang w:val="it-IT"/>
              </w:rPr>
              <w:t xml:space="preserve"> [1+0.004 </w:t>
            </w:r>
            <w:r w:rsidRPr="000855B2">
              <w:rPr>
                <w:lang w:val="en-GB"/>
              </w:rPr>
              <w:sym w:font="Symbol" w:char="F0B4"/>
            </w:r>
            <w:r w:rsidRPr="00A54B80">
              <w:rPr>
                <w:lang w:val="it-IT"/>
              </w:rPr>
              <w:t xml:space="preserve"> (OLEFIN </w:t>
            </w:r>
            <w:r w:rsidR="00505C7C" w:rsidRPr="00A54B80">
              <w:rPr>
                <w:lang w:val="it-IT"/>
              </w:rPr>
              <w:t>–</w:t>
            </w:r>
            <w:r w:rsidRPr="00A54B80">
              <w:rPr>
                <w:lang w:val="it-IT"/>
              </w:rPr>
              <w:t xml:space="preserve"> 4.97)] </w:t>
            </w:r>
            <w:r w:rsidRPr="000855B2">
              <w:rPr>
                <w:lang w:val="en-GB"/>
              </w:rPr>
              <w:sym w:font="Symbol" w:char="F0B4"/>
            </w:r>
            <w:r w:rsidRPr="00A54B80">
              <w:rPr>
                <w:lang w:val="it-IT"/>
              </w:rPr>
              <w:t xml:space="preserve"> [1+0.001 </w:t>
            </w:r>
            <w:r w:rsidRPr="000855B2">
              <w:rPr>
                <w:lang w:val="en-GB"/>
              </w:rPr>
              <w:sym w:font="Symbol" w:char="F0B4"/>
            </w:r>
            <w:r w:rsidRPr="00A54B80">
              <w:rPr>
                <w:lang w:val="it-IT"/>
              </w:rPr>
              <w:t xml:space="preserve"> (O</w:t>
            </w:r>
            <w:r w:rsidRPr="00A54B80">
              <w:rPr>
                <w:vertAlign w:val="subscript"/>
                <w:lang w:val="it-IT"/>
              </w:rPr>
              <w:t>2</w:t>
            </w:r>
            <w:r w:rsidRPr="00A54B80">
              <w:rPr>
                <w:lang w:val="it-IT"/>
              </w:rPr>
              <w:t xml:space="preserve"> </w:t>
            </w:r>
            <w:r w:rsidR="00505C7C" w:rsidRPr="00A54B80">
              <w:rPr>
                <w:lang w:val="it-IT"/>
              </w:rPr>
              <w:t>–</w:t>
            </w:r>
            <w:r w:rsidRPr="00A54B80">
              <w:rPr>
                <w:lang w:val="it-IT"/>
              </w:rPr>
              <w:t xml:space="preserve"> 1.75)] </w:t>
            </w:r>
            <w:r w:rsidRPr="000855B2">
              <w:rPr>
                <w:lang w:val="en-GB"/>
              </w:rPr>
              <w:sym w:font="Symbol" w:char="F0B4"/>
            </w:r>
            <w:r w:rsidRPr="00A54B80">
              <w:rPr>
                <w:lang w:val="it-IT"/>
              </w:rPr>
              <w:t xml:space="preserve"> [1+0.008 </w:t>
            </w:r>
            <w:r w:rsidRPr="000855B2">
              <w:rPr>
                <w:lang w:val="en-GB"/>
              </w:rPr>
              <w:sym w:font="Symbol" w:char="F0B4"/>
            </w:r>
            <w:r w:rsidRPr="00A54B80">
              <w:rPr>
                <w:lang w:val="it-IT"/>
              </w:rPr>
              <w:t xml:space="preserve"> (E150 </w:t>
            </w:r>
            <w:r w:rsidR="00505C7C" w:rsidRPr="00A54B80">
              <w:rPr>
                <w:lang w:val="it-IT"/>
              </w:rPr>
              <w:t>–</w:t>
            </w:r>
            <w:r w:rsidRPr="00A54B80">
              <w:rPr>
                <w:lang w:val="it-IT"/>
              </w:rPr>
              <w:t xml:space="preserve"> 90.2)]</w:t>
            </w:r>
          </w:p>
        </w:tc>
      </w:tr>
    </w:tbl>
    <w:p w14:paraId="21E7F392" w14:textId="77777777" w:rsidR="0048755A" w:rsidRPr="000855B2" w:rsidRDefault="0048755A" w:rsidP="0048755A">
      <w:pPr>
        <w:pStyle w:val="EquatChar"/>
        <w:tabs>
          <w:tab w:val="left" w:pos="720"/>
        </w:tabs>
        <w:spacing w:before="0" w:after="0" w:line="240" w:lineRule="auto"/>
        <w:ind w:left="720" w:hanging="720"/>
        <w:rPr>
          <w:rFonts w:ascii="Open Sans" w:hAnsi="Open Sans" w:cs="Open Sans"/>
          <w:b/>
          <w:noProof w:val="0"/>
          <w:sz w:val="16"/>
          <w:lang w:val="en-GB"/>
        </w:rPr>
      </w:pPr>
      <w:r w:rsidRPr="000855B2">
        <w:rPr>
          <w:rFonts w:ascii="Open Sans" w:hAnsi="Open Sans" w:cs="Open Sans"/>
          <w:b/>
          <w:noProof w:val="0"/>
          <w:sz w:val="16"/>
          <w:lang w:val="en-GB"/>
        </w:rPr>
        <w:t>Note</w:t>
      </w:r>
      <w:r w:rsidR="001D2587" w:rsidRPr="000855B2">
        <w:rPr>
          <w:rFonts w:ascii="Open Sans" w:hAnsi="Open Sans" w:cs="Open Sans"/>
          <w:b/>
          <w:noProof w:val="0"/>
          <w:sz w:val="16"/>
          <w:lang w:val="en-GB"/>
        </w:rPr>
        <w:t>:</w:t>
      </w:r>
      <w:r w:rsidR="001D2587" w:rsidRPr="000855B2">
        <w:rPr>
          <w:rFonts w:ascii="Open Sans" w:hAnsi="Open Sans" w:cs="Open Sans"/>
          <w:b/>
          <w:noProof w:val="0"/>
          <w:sz w:val="16"/>
          <w:lang w:val="en-GB"/>
        </w:rPr>
        <w:tab/>
      </w:r>
    </w:p>
    <w:p w14:paraId="5A77EDCC" w14:textId="77777777" w:rsidR="001D2587" w:rsidRPr="000855B2" w:rsidRDefault="001D2587" w:rsidP="0048755A">
      <w:pPr>
        <w:pStyle w:val="EquatChar"/>
        <w:tabs>
          <w:tab w:val="left" w:pos="0"/>
        </w:tabs>
        <w:spacing w:before="0" w:after="0" w:line="240" w:lineRule="auto"/>
        <w:rPr>
          <w:rFonts w:ascii="Open Sans" w:hAnsi="Open Sans" w:cs="Open Sans"/>
          <w:noProof w:val="0"/>
          <w:sz w:val="16"/>
          <w:lang w:val="en-GB"/>
        </w:rPr>
      </w:pPr>
      <w:r w:rsidRPr="000855B2">
        <w:rPr>
          <w:rFonts w:ascii="Open Sans" w:hAnsi="Open Sans" w:cs="Open Sans"/>
          <w:noProof w:val="0"/>
          <w:sz w:val="16"/>
          <w:lang w:val="en-GB"/>
        </w:rPr>
        <w:t>O</w:t>
      </w:r>
      <w:r w:rsidRPr="000855B2">
        <w:rPr>
          <w:rFonts w:ascii="Open Sans" w:hAnsi="Open Sans" w:cs="Open Sans"/>
          <w:noProof w:val="0"/>
          <w:sz w:val="16"/>
          <w:vertAlign w:val="subscript"/>
          <w:lang w:val="en-GB"/>
        </w:rPr>
        <w:t>2</w:t>
      </w:r>
      <w:r w:rsidRPr="000855B2">
        <w:rPr>
          <w:rFonts w:ascii="Open Sans" w:hAnsi="Open Sans" w:cs="Open Sans"/>
          <w:noProof w:val="0"/>
          <w:sz w:val="16"/>
          <w:lang w:val="en-GB"/>
        </w:rPr>
        <w:t xml:space="preserve"> = Oxygenates in %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S = Sulphur content in ppm</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ARO = Aromatics content in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OLEFIN</w:t>
      </w:r>
      <w:r w:rsidR="0048755A" w:rsidRPr="000855B2">
        <w:rPr>
          <w:rFonts w:ascii="Open Sans" w:hAnsi="Open Sans" w:cs="Open Sans"/>
          <w:noProof w:val="0"/>
          <w:sz w:val="16"/>
          <w:lang w:val="en-GB"/>
        </w:rPr>
        <w:t> </w:t>
      </w:r>
      <w:r w:rsidRPr="000855B2">
        <w:rPr>
          <w:rFonts w:ascii="Open Sans" w:hAnsi="Open Sans" w:cs="Open Sans"/>
          <w:noProof w:val="0"/>
          <w:sz w:val="16"/>
          <w:lang w:val="en-GB"/>
        </w:rPr>
        <w:t>=</w:t>
      </w:r>
      <w:r w:rsidR="0048755A" w:rsidRPr="000855B2">
        <w:rPr>
          <w:rFonts w:ascii="Open Sans" w:hAnsi="Open Sans" w:cs="Open Sans"/>
          <w:noProof w:val="0"/>
          <w:sz w:val="16"/>
          <w:lang w:val="en-GB"/>
        </w:rPr>
        <w:t> </w:t>
      </w:r>
      <w:r w:rsidRPr="000855B2">
        <w:rPr>
          <w:rFonts w:ascii="Open Sans" w:hAnsi="Open Sans" w:cs="Open Sans"/>
          <w:noProof w:val="0"/>
          <w:sz w:val="16"/>
          <w:lang w:val="en-GB"/>
        </w:rPr>
        <w:t>Olefins content in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E100 = Mid range volatility in %</w:t>
      </w:r>
      <w:r w:rsidR="00344DF0" w:rsidRPr="000855B2">
        <w:rPr>
          <w:rFonts w:ascii="Open Sans" w:hAnsi="Open Sans" w:cs="Open Sans"/>
          <w:noProof w:val="0"/>
          <w:sz w:val="16"/>
          <w:lang w:val="en-GB"/>
        </w:rPr>
        <w:t>, E150 = Tail</w:t>
      </w:r>
      <w:r w:rsidR="0008044E" w:rsidRPr="000855B2">
        <w:rPr>
          <w:rFonts w:ascii="Open Sans" w:hAnsi="Open Sans" w:cs="Open Sans"/>
          <w:noProof w:val="0"/>
          <w:sz w:val="16"/>
          <w:lang w:val="en-GB"/>
        </w:rPr>
        <w:t>-</w:t>
      </w:r>
      <w:r w:rsidRPr="000855B2">
        <w:rPr>
          <w:rFonts w:ascii="Open Sans" w:hAnsi="Open Sans" w:cs="Open Sans"/>
          <w:noProof w:val="0"/>
          <w:sz w:val="16"/>
          <w:lang w:val="en-GB"/>
        </w:rPr>
        <w:t>end volatility in %</w:t>
      </w:r>
    </w:p>
    <w:p w14:paraId="45EA8912" w14:textId="47F8D990" w:rsidR="001D2587" w:rsidRPr="000855B2" w:rsidRDefault="00A040D1" w:rsidP="008D1A83">
      <w:pPr>
        <w:pStyle w:val="Caption"/>
      </w:pPr>
      <w:bookmarkStart w:id="279" w:name="_Ref140413094"/>
      <w:bookmarkStart w:id="280" w:name="_Toc482876862"/>
      <w:bookmarkStart w:id="281" w:name="_Toc496265316"/>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83</w:t>
      </w:r>
      <w:r w:rsidR="00FB454C">
        <w:rPr>
          <w:noProof/>
        </w:rPr>
        <w:fldChar w:fldCharType="end"/>
      </w:r>
      <w:bookmarkEnd w:id="279"/>
      <w:r w:rsidR="001D2587" w:rsidRPr="000855B2">
        <w:t xml:space="preserve">: Relations between emissions and fuel properties for </w:t>
      </w:r>
      <w:r w:rsidR="00106C64" w:rsidRPr="000855B2">
        <w:t>d</w:t>
      </w:r>
      <w:r w:rsidR="001D2587" w:rsidRPr="000855B2">
        <w:t xml:space="preserve">iesel passenger cars and light </w:t>
      </w:r>
      <w:r w:rsidR="00373B48" w:rsidRPr="000855B2">
        <w:t xml:space="preserve">commercial </w:t>
      </w:r>
      <w:r w:rsidR="001D2587" w:rsidRPr="000855B2">
        <w:t>vehicles</w:t>
      </w:r>
      <w:bookmarkEnd w:id="280"/>
      <w:bookmarkEnd w:id="281"/>
    </w:p>
    <w:tbl>
      <w:tblPr>
        <w:tblW w:w="826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33"/>
        <w:gridCol w:w="7228"/>
      </w:tblGrid>
      <w:tr w:rsidR="001D2587" w:rsidRPr="004A7F36" w14:paraId="194DE780" w14:textId="77777777" w:rsidTr="008D2AFB">
        <w:trPr>
          <w:trHeight w:val="482"/>
        </w:trPr>
        <w:tc>
          <w:tcPr>
            <w:tcW w:w="1033" w:type="dxa"/>
            <w:tcBorders>
              <w:top w:val="double" w:sz="2" w:space="0" w:color="000000"/>
              <w:left w:val="double" w:sz="2" w:space="0" w:color="000000"/>
              <w:bottom w:val="single" w:sz="12" w:space="0" w:color="000000"/>
              <w:right w:val="single" w:sz="2" w:space="0" w:color="000000"/>
            </w:tcBorders>
            <w:tcMar>
              <w:left w:w="85" w:type="dxa"/>
              <w:right w:w="85" w:type="dxa"/>
            </w:tcMar>
            <w:vAlign w:val="center"/>
          </w:tcPr>
          <w:p w14:paraId="519948D6" w14:textId="77777777" w:rsidR="001D2587" w:rsidRPr="008D2AFB" w:rsidRDefault="001D2587" w:rsidP="005C7955">
            <w:pPr>
              <w:keepNext/>
              <w:keepLines/>
              <w:suppressAutoHyphens/>
              <w:spacing w:line="240" w:lineRule="atLeast"/>
              <w:jc w:val="center"/>
              <w:rPr>
                <w:b/>
              </w:rPr>
            </w:pPr>
            <w:r w:rsidRPr="008D2AFB">
              <w:rPr>
                <w:b/>
              </w:rPr>
              <w:t>Pollutant</w:t>
            </w:r>
          </w:p>
        </w:tc>
        <w:tc>
          <w:tcPr>
            <w:tcW w:w="7228" w:type="dxa"/>
            <w:tcBorders>
              <w:top w:val="double" w:sz="2" w:space="0" w:color="000000"/>
              <w:left w:val="nil"/>
              <w:bottom w:val="single" w:sz="12" w:space="0" w:color="000000"/>
              <w:right w:val="double" w:sz="2" w:space="0" w:color="000000"/>
            </w:tcBorders>
            <w:tcMar>
              <w:left w:w="85" w:type="dxa"/>
              <w:right w:w="85" w:type="dxa"/>
            </w:tcMar>
            <w:vAlign w:val="center"/>
          </w:tcPr>
          <w:p w14:paraId="008C16A8" w14:textId="77777777" w:rsidR="001D2587" w:rsidRPr="008D2AFB" w:rsidRDefault="001D2587" w:rsidP="005C7955">
            <w:pPr>
              <w:keepNext/>
              <w:keepLines/>
              <w:suppressAutoHyphens/>
              <w:spacing w:line="240" w:lineRule="atLeast"/>
              <w:jc w:val="center"/>
              <w:rPr>
                <w:b/>
              </w:rPr>
            </w:pPr>
            <w:r w:rsidRPr="008D2AFB">
              <w:rPr>
                <w:b/>
              </w:rPr>
              <w:t>Correction factor equation</w:t>
            </w:r>
          </w:p>
        </w:tc>
      </w:tr>
      <w:tr w:rsidR="001D2587" w:rsidRPr="004A7F36" w14:paraId="352CF8A8" w14:textId="77777777" w:rsidTr="00AF4A3C">
        <w:trPr>
          <w:trHeight w:val="624"/>
        </w:trPr>
        <w:tc>
          <w:tcPr>
            <w:tcW w:w="1033" w:type="dxa"/>
            <w:tcBorders>
              <w:top w:val="nil"/>
              <w:left w:val="double" w:sz="2" w:space="0" w:color="000000"/>
              <w:bottom w:val="single" w:sz="6" w:space="0" w:color="000000"/>
              <w:right w:val="single" w:sz="2" w:space="0" w:color="000000"/>
            </w:tcBorders>
            <w:tcMar>
              <w:left w:w="85" w:type="dxa"/>
              <w:right w:w="85" w:type="dxa"/>
            </w:tcMar>
            <w:vAlign w:val="center"/>
          </w:tcPr>
          <w:p w14:paraId="5CB6E361" w14:textId="77777777" w:rsidR="001D2587" w:rsidRPr="004A7F36" w:rsidRDefault="001D2587" w:rsidP="005C7955">
            <w:pPr>
              <w:keepNext/>
              <w:keepLines/>
              <w:suppressAutoHyphens/>
              <w:spacing w:line="240" w:lineRule="atLeast"/>
            </w:pPr>
            <w:r w:rsidRPr="004A7F36">
              <w:t>CO</w:t>
            </w:r>
          </w:p>
        </w:tc>
        <w:tc>
          <w:tcPr>
            <w:tcW w:w="7228" w:type="dxa"/>
            <w:tcBorders>
              <w:top w:val="nil"/>
              <w:left w:val="nil"/>
              <w:bottom w:val="single" w:sz="6" w:space="0" w:color="000000"/>
              <w:right w:val="double" w:sz="2" w:space="0" w:color="000000"/>
            </w:tcBorders>
            <w:tcMar>
              <w:left w:w="85" w:type="dxa"/>
              <w:right w:w="85" w:type="dxa"/>
            </w:tcMar>
            <w:vAlign w:val="center"/>
          </w:tcPr>
          <w:p w14:paraId="6F3DE953"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orr=-1.3250726 + 0.003037 </w:t>
            </w:r>
            <w:r w:rsidRPr="004A7F36">
              <w:sym w:font="Symbol" w:char="F0B4"/>
            </w:r>
            <w:r w:rsidRPr="004A7F36">
              <w:t xml:space="preserve"> DEN </w:t>
            </w:r>
            <w:r w:rsidR="00505C7C" w:rsidRPr="004A7F36">
              <w:t>–</w:t>
            </w:r>
            <w:r w:rsidRPr="004A7F36">
              <w:t xml:space="preserve"> 0.0025643 </w:t>
            </w:r>
            <w:r w:rsidRPr="004A7F36">
              <w:sym w:font="Symbol" w:char="F0B4"/>
            </w:r>
            <w:r w:rsidRPr="004A7F36">
              <w:t xml:space="preserve"> PAH </w:t>
            </w:r>
            <w:r w:rsidR="00505C7C" w:rsidRPr="004A7F36">
              <w:t>–</w:t>
            </w:r>
            <w:r w:rsidRPr="004A7F36">
              <w:t xml:space="preserve"> 0.015856 </w:t>
            </w:r>
            <w:r w:rsidRPr="004A7F36">
              <w:sym w:font="Symbol" w:char="F0B4"/>
            </w:r>
            <w:r w:rsidRPr="004A7F36">
              <w:t xml:space="preserve"> CN + 0.0001706 </w:t>
            </w:r>
            <w:r w:rsidRPr="004A7F36">
              <w:sym w:font="Symbol" w:char="F0B4"/>
            </w:r>
            <w:r w:rsidRPr="004A7F36">
              <w:t xml:space="preserve"> T95</w:t>
            </w:r>
          </w:p>
        </w:tc>
      </w:tr>
      <w:tr w:rsidR="001D2587" w:rsidRPr="004A7F36" w14:paraId="0792C0B9" w14:textId="77777777" w:rsidTr="00AF4A3C">
        <w:trPr>
          <w:trHeight w:val="624"/>
        </w:trPr>
        <w:tc>
          <w:tcPr>
            <w:tcW w:w="1033"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194C2744" w14:textId="77777777" w:rsidR="001D2587" w:rsidRPr="004A7F36" w:rsidRDefault="001D2587" w:rsidP="005C7955">
            <w:pPr>
              <w:keepNext/>
              <w:keepLines/>
              <w:suppressAutoHyphens/>
              <w:spacing w:line="240" w:lineRule="atLeast"/>
            </w:pPr>
            <w:r w:rsidRPr="004A7F36">
              <w:t>VOC</w:t>
            </w:r>
          </w:p>
        </w:tc>
        <w:tc>
          <w:tcPr>
            <w:tcW w:w="7228" w:type="dxa"/>
            <w:tcBorders>
              <w:top w:val="single" w:sz="6" w:space="0" w:color="000000"/>
              <w:left w:val="nil"/>
              <w:bottom w:val="single" w:sz="6" w:space="0" w:color="000000"/>
              <w:right w:val="double" w:sz="2" w:space="0" w:color="000000"/>
            </w:tcBorders>
            <w:tcMar>
              <w:left w:w="85" w:type="dxa"/>
              <w:right w:w="85" w:type="dxa"/>
            </w:tcMar>
            <w:vAlign w:val="center"/>
          </w:tcPr>
          <w:p w14:paraId="198B1434"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orr=-0.293192 + 0.0006759 </w:t>
            </w:r>
            <w:r w:rsidRPr="004A7F36">
              <w:sym w:font="Symbol" w:char="F0B4"/>
            </w:r>
            <w:r w:rsidRPr="004A7F36">
              <w:t xml:space="preserve"> DEN </w:t>
            </w:r>
            <w:r w:rsidR="00505C7C" w:rsidRPr="004A7F36">
              <w:t>–</w:t>
            </w:r>
            <w:r w:rsidRPr="004A7F36">
              <w:t xml:space="preserve"> 0.0007306 </w:t>
            </w:r>
            <w:r w:rsidRPr="004A7F36">
              <w:sym w:font="Symbol" w:char="F0B4"/>
            </w:r>
            <w:r w:rsidRPr="004A7F36">
              <w:t xml:space="preserve"> PAH </w:t>
            </w:r>
            <w:r w:rsidR="00505C7C" w:rsidRPr="004A7F36">
              <w:t>–</w:t>
            </w:r>
            <w:r w:rsidRPr="004A7F36">
              <w:t xml:space="preserve"> 0.0032733 </w:t>
            </w:r>
            <w:r w:rsidRPr="004A7F36">
              <w:sym w:font="Symbol" w:char="F0B4"/>
            </w:r>
            <w:r w:rsidRPr="004A7F36">
              <w:t xml:space="preserve"> CN </w:t>
            </w:r>
            <w:r w:rsidR="00505C7C" w:rsidRPr="004A7F36">
              <w:t>–</w:t>
            </w:r>
            <w:r w:rsidRPr="004A7F36">
              <w:t xml:space="preserve"> 0.000038 </w:t>
            </w:r>
            <w:r w:rsidRPr="004A7F36">
              <w:sym w:font="Symbol" w:char="F0B4"/>
            </w:r>
            <w:r w:rsidRPr="004A7F36">
              <w:t xml:space="preserve"> T95</w:t>
            </w:r>
          </w:p>
        </w:tc>
      </w:tr>
      <w:tr w:rsidR="001D2587" w:rsidRPr="004A7F36" w14:paraId="76CF92F9" w14:textId="77777777" w:rsidTr="00AF4A3C">
        <w:trPr>
          <w:trHeight w:val="624"/>
        </w:trPr>
        <w:tc>
          <w:tcPr>
            <w:tcW w:w="1033"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23F824AB" w14:textId="77777777" w:rsidR="001D2587" w:rsidRPr="004A7F36" w:rsidRDefault="001D2587" w:rsidP="005C7955">
            <w:pPr>
              <w:keepNext/>
              <w:keepLines/>
              <w:suppressAutoHyphens/>
              <w:spacing w:line="240" w:lineRule="atLeast"/>
            </w:pPr>
            <w:r w:rsidRPr="004A7F36">
              <w:t>NOx</w:t>
            </w:r>
          </w:p>
        </w:tc>
        <w:tc>
          <w:tcPr>
            <w:tcW w:w="7228" w:type="dxa"/>
            <w:tcBorders>
              <w:top w:val="single" w:sz="6" w:space="0" w:color="000000"/>
              <w:left w:val="nil"/>
              <w:bottom w:val="single" w:sz="6" w:space="0" w:color="000000"/>
              <w:right w:val="double" w:sz="2" w:space="0" w:color="000000"/>
            </w:tcBorders>
            <w:tcMar>
              <w:left w:w="85" w:type="dxa"/>
              <w:right w:w="85" w:type="dxa"/>
            </w:tcMar>
            <w:vAlign w:val="center"/>
          </w:tcPr>
          <w:p w14:paraId="01A37517"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orr=1.0039726 </w:t>
            </w:r>
            <w:r w:rsidR="00505C7C" w:rsidRPr="004A7F36">
              <w:t>–</w:t>
            </w:r>
            <w:r w:rsidRPr="004A7F36">
              <w:t xml:space="preserve"> 0.0003113 </w:t>
            </w:r>
            <w:r w:rsidRPr="004A7F36">
              <w:sym w:font="Symbol" w:char="F0B4"/>
            </w:r>
            <w:r w:rsidRPr="004A7F36">
              <w:t xml:space="preserve"> DEN + 0.0027263 </w:t>
            </w:r>
            <w:r w:rsidRPr="004A7F36">
              <w:sym w:font="Symbol" w:char="F0B4"/>
            </w:r>
            <w:r w:rsidRPr="004A7F36">
              <w:t xml:space="preserve"> PAH </w:t>
            </w:r>
            <w:r w:rsidR="00505C7C" w:rsidRPr="004A7F36">
              <w:t>–</w:t>
            </w:r>
            <w:r w:rsidRPr="004A7F36">
              <w:t xml:space="preserve"> 0.0000883 </w:t>
            </w:r>
            <w:r w:rsidRPr="004A7F36">
              <w:sym w:font="Symbol" w:char="F0B4"/>
            </w:r>
            <w:r w:rsidRPr="004A7F36">
              <w:t xml:space="preserve"> CN </w:t>
            </w:r>
            <w:r w:rsidR="00505C7C" w:rsidRPr="004A7F36">
              <w:t>–</w:t>
            </w:r>
            <w:r w:rsidRPr="004A7F36">
              <w:t xml:space="preserve"> 0.0005805 </w:t>
            </w:r>
            <w:r w:rsidRPr="004A7F36">
              <w:sym w:font="Symbol" w:char="F0B4"/>
            </w:r>
            <w:r w:rsidRPr="004A7F36">
              <w:t xml:space="preserve"> T95</w:t>
            </w:r>
          </w:p>
        </w:tc>
      </w:tr>
      <w:tr w:rsidR="001D2587" w:rsidRPr="004A7F36" w14:paraId="77DF6BFB" w14:textId="77777777" w:rsidTr="00AF4A3C">
        <w:trPr>
          <w:trHeight w:val="624"/>
        </w:trPr>
        <w:tc>
          <w:tcPr>
            <w:tcW w:w="1033" w:type="dxa"/>
            <w:tcBorders>
              <w:top w:val="single" w:sz="6" w:space="0" w:color="000000"/>
              <w:left w:val="double" w:sz="2" w:space="0" w:color="000000"/>
              <w:bottom w:val="double" w:sz="2" w:space="0" w:color="000000"/>
              <w:right w:val="single" w:sz="2" w:space="0" w:color="000000"/>
            </w:tcBorders>
            <w:tcMar>
              <w:left w:w="85" w:type="dxa"/>
              <w:right w:w="85" w:type="dxa"/>
            </w:tcMar>
            <w:vAlign w:val="center"/>
          </w:tcPr>
          <w:p w14:paraId="14464D54" w14:textId="77777777" w:rsidR="001D2587" w:rsidRPr="004A7F36" w:rsidRDefault="001D2587" w:rsidP="005C7955">
            <w:pPr>
              <w:keepNext/>
              <w:keepLines/>
              <w:suppressAutoHyphens/>
              <w:spacing w:line="240" w:lineRule="atLeast"/>
            </w:pPr>
            <w:r w:rsidRPr="004A7F36">
              <w:t>PM</w:t>
            </w:r>
          </w:p>
        </w:tc>
        <w:tc>
          <w:tcPr>
            <w:tcW w:w="7228" w:type="dxa"/>
            <w:tcBorders>
              <w:top w:val="single" w:sz="6" w:space="0" w:color="000000"/>
              <w:left w:val="nil"/>
              <w:bottom w:val="double" w:sz="2" w:space="0" w:color="000000"/>
              <w:right w:val="double" w:sz="2" w:space="0" w:color="000000"/>
            </w:tcBorders>
            <w:tcMar>
              <w:left w:w="85" w:type="dxa"/>
              <w:right w:w="85" w:type="dxa"/>
            </w:tcMar>
            <w:vAlign w:val="center"/>
          </w:tcPr>
          <w:p w14:paraId="681139B3"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orr=(-0.3879873 + 0.0004677 </w:t>
            </w:r>
            <w:r w:rsidRPr="004A7F36">
              <w:sym w:font="Symbol" w:char="F0B4"/>
            </w:r>
            <w:r w:rsidRPr="004A7F36">
              <w:t xml:space="preserve"> DEN + 0.0004488 </w:t>
            </w:r>
            <w:r w:rsidRPr="004A7F36">
              <w:sym w:font="Symbol" w:char="F0B4"/>
            </w:r>
            <w:r w:rsidRPr="004A7F36">
              <w:t xml:space="preserve"> PAH + 0.0004098 </w:t>
            </w:r>
            <w:r w:rsidRPr="004A7F36">
              <w:sym w:font="Symbol" w:char="F0B4"/>
            </w:r>
            <w:r w:rsidRPr="004A7F36">
              <w:t xml:space="preserve"> CN + 0.0000788 </w:t>
            </w:r>
            <w:r w:rsidRPr="004A7F36">
              <w:sym w:font="Symbol" w:char="F0B4"/>
            </w:r>
            <w:r w:rsidRPr="004A7F36">
              <w:t xml:space="preserve"> T95) </w:t>
            </w:r>
            <w:r w:rsidRPr="004A7F36">
              <w:sym w:font="Symbol" w:char="F0B4"/>
            </w:r>
            <w:r w:rsidRPr="004A7F36">
              <w:t xml:space="preserve"> [1 </w:t>
            </w:r>
            <w:r w:rsidR="00505C7C" w:rsidRPr="004A7F36">
              <w:t>–</w:t>
            </w:r>
            <w:r w:rsidRPr="004A7F36">
              <w:t xml:space="preserve"> 0.015 . </w:t>
            </w:r>
            <w:r w:rsidRPr="004A7F36">
              <w:sym w:font="Symbol" w:char="F0B4"/>
            </w:r>
            <w:r w:rsidRPr="004A7F36">
              <w:t xml:space="preserve"> (450 </w:t>
            </w:r>
            <w:r w:rsidR="00505C7C" w:rsidRPr="004A7F36">
              <w:t>–</w:t>
            </w:r>
            <w:r w:rsidRPr="004A7F36">
              <w:t xml:space="preserve"> S)/100]</w:t>
            </w:r>
          </w:p>
        </w:tc>
      </w:tr>
    </w:tbl>
    <w:p w14:paraId="513E61DC" w14:textId="77777777" w:rsidR="0048755A" w:rsidRPr="000855B2" w:rsidRDefault="0048755A" w:rsidP="00344DF0">
      <w:pPr>
        <w:pStyle w:val="TableChar"/>
        <w:spacing w:before="0"/>
        <w:rPr>
          <w:rFonts w:ascii="Open Sans" w:hAnsi="Open Sans" w:cs="Open Sans"/>
          <w:b/>
          <w:noProof w:val="0"/>
          <w:sz w:val="16"/>
          <w:lang w:val="en-GB"/>
        </w:rPr>
      </w:pPr>
      <w:r w:rsidRPr="000855B2">
        <w:rPr>
          <w:rFonts w:ascii="Open Sans" w:hAnsi="Open Sans" w:cs="Open Sans"/>
          <w:b/>
          <w:noProof w:val="0"/>
          <w:sz w:val="16"/>
          <w:lang w:val="en-GB"/>
        </w:rPr>
        <w:t>Note</w:t>
      </w:r>
      <w:r w:rsidR="001D2587" w:rsidRPr="000855B2">
        <w:rPr>
          <w:rFonts w:ascii="Open Sans" w:hAnsi="Open Sans" w:cs="Open Sans"/>
          <w:b/>
          <w:noProof w:val="0"/>
          <w:sz w:val="16"/>
          <w:lang w:val="en-GB"/>
        </w:rPr>
        <w:t>:</w:t>
      </w:r>
    </w:p>
    <w:p w14:paraId="613D217E" w14:textId="77777777" w:rsidR="001D2587" w:rsidRPr="000855B2" w:rsidRDefault="001D2587" w:rsidP="00344DF0">
      <w:pPr>
        <w:pStyle w:val="TableChar"/>
        <w:spacing w:before="0"/>
        <w:rPr>
          <w:rFonts w:ascii="Open Sans" w:hAnsi="Open Sans" w:cs="Open Sans"/>
          <w:noProof w:val="0"/>
          <w:sz w:val="16"/>
          <w:lang w:val="en-GB"/>
        </w:rPr>
      </w:pPr>
      <w:r w:rsidRPr="000855B2">
        <w:rPr>
          <w:rFonts w:ascii="Open Sans" w:hAnsi="Open Sans" w:cs="Open Sans"/>
          <w:noProof w:val="0"/>
          <w:sz w:val="16"/>
          <w:lang w:val="en-GB"/>
        </w:rPr>
        <w:t>DEN = Density at 15</w:t>
      </w:r>
      <w:r w:rsidR="002B1FFD" w:rsidRPr="000855B2">
        <w:rPr>
          <w:rFonts w:ascii="Open Sans" w:hAnsi="Open Sans" w:cs="Open Sans"/>
          <w:noProof w:val="0"/>
          <w:sz w:val="16"/>
          <w:lang w:val="en-GB"/>
        </w:rPr>
        <w:t> °C</w:t>
      </w:r>
      <w:r w:rsidRPr="000855B2">
        <w:rPr>
          <w:rFonts w:ascii="Open Sans" w:hAnsi="Open Sans" w:cs="Open Sans"/>
          <w:noProof w:val="0"/>
          <w:sz w:val="16"/>
          <w:lang w:val="en-GB"/>
        </w:rPr>
        <w:t xml:space="preserve"> [kg/m</w:t>
      </w:r>
      <w:r w:rsidRPr="000855B2">
        <w:rPr>
          <w:rFonts w:ascii="Open Sans" w:hAnsi="Open Sans" w:cs="Open Sans"/>
          <w:noProof w:val="0"/>
          <w:sz w:val="16"/>
          <w:vertAlign w:val="superscript"/>
          <w:lang w:val="en-GB"/>
        </w:rPr>
        <w:t>3</w:t>
      </w:r>
      <w:r w:rsidRPr="000855B2">
        <w:rPr>
          <w:rFonts w:ascii="Open Sans" w:hAnsi="Open Sans" w:cs="Open Sans"/>
          <w:noProof w:val="0"/>
          <w:sz w:val="16"/>
          <w:lang w:val="en-GB"/>
        </w:rPr>
        <w:t>]</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S = Sulphur content in ppm</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PAH = Polycyclic aromatics content in</w:t>
      </w:r>
      <w:r w:rsidR="0048755A" w:rsidRPr="000855B2">
        <w:rPr>
          <w:rFonts w:ascii="Open Sans" w:hAnsi="Open Sans" w:cs="Open Sans"/>
          <w:noProof w:val="0"/>
          <w:sz w:val="16"/>
          <w:lang w:val="en-GB"/>
        </w:rPr>
        <w:t> </w:t>
      </w:r>
      <w:r w:rsidRPr="000855B2">
        <w:rPr>
          <w:rFonts w:ascii="Open Sans" w:hAnsi="Open Sans" w:cs="Open Sans"/>
          <w:noProof w:val="0"/>
          <w:sz w:val="16"/>
          <w:lang w:val="en-GB"/>
        </w:rPr>
        <w:t>%</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 xml:space="preserve">CN = Cetane number </w:t>
      </w:r>
      <w:r w:rsidR="00344DF0" w:rsidRPr="000855B2">
        <w:rPr>
          <w:rFonts w:ascii="Open Sans" w:hAnsi="Open Sans" w:cs="Open Sans"/>
          <w:noProof w:val="0"/>
          <w:sz w:val="16"/>
          <w:lang w:val="en-GB"/>
        </w:rPr>
        <w:t xml:space="preserve">, </w:t>
      </w:r>
      <w:r w:rsidRPr="000855B2">
        <w:rPr>
          <w:rFonts w:ascii="Open Sans" w:hAnsi="Open Sans" w:cs="Open Sans"/>
          <w:noProof w:val="0"/>
          <w:sz w:val="16"/>
          <w:lang w:val="en-GB"/>
        </w:rPr>
        <w:t xml:space="preserve">T95 = Back end distillation in </w:t>
      </w:r>
      <w:r w:rsidRPr="000855B2">
        <w:rPr>
          <w:rFonts w:ascii="Open Sans" w:hAnsi="Open Sans" w:cs="Open Sans"/>
          <w:noProof w:val="0"/>
          <w:sz w:val="16"/>
          <w:vertAlign w:val="superscript"/>
          <w:lang w:val="en-GB"/>
        </w:rPr>
        <w:t>o</w:t>
      </w:r>
      <w:r w:rsidRPr="000855B2">
        <w:rPr>
          <w:rFonts w:ascii="Open Sans" w:hAnsi="Open Sans" w:cs="Open Sans"/>
          <w:noProof w:val="0"/>
          <w:sz w:val="16"/>
          <w:lang w:val="en-GB"/>
        </w:rPr>
        <w:t>C</w:t>
      </w:r>
      <w:r w:rsidR="0048755A" w:rsidRPr="000855B2">
        <w:rPr>
          <w:rFonts w:ascii="Open Sans" w:hAnsi="Open Sans" w:cs="Open Sans"/>
          <w:noProof w:val="0"/>
          <w:sz w:val="16"/>
          <w:lang w:val="en-GB"/>
        </w:rPr>
        <w:t>.</w:t>
      </w:r>
    </w:p>
    <w:p w14:paraId="013AC02F" w14:textId="77777777" w:rsidR="000855B2" w:rsidRPr="000855B2" w:rsidRDefault="000855B2" w:rsidP="00344DF0">
      <w:pPr>
        <w:pStyle w:val="TableChar"/>
        <w:spacing w:before="0"/>
        <w:rPr>
          <w:rFonts w:ascii="Open Sans" w:hAnsi="Open Sans" w:cs="Open Sans"/>
          <w:noProof w:val="0"/>
          <w:sz w:val="16"/>
          <w:lang w:val="en-GB"/>
        </w:rPr>
      </w:pPr>
    </w:p>
    <w:p w14:paraId="45EB83A5" w14:textId="60D69DEA" w:rsidR="001D2587" w:rsidRPr="000855B2" w:rsidRDefault="00A040D1" w:rsidP="008D1A83">
      <w:pPr>
        <w:pStyle w:val="Caption"/>
      </w:pPr>
      <w:bookmarkStart w:id="282" w:name="_Ref140413096"/>
      <w:bookmarkStart w:id="283" w:name="_Toc496265317"/>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84</w:t>
      </w:r>
      <w:r w:rsidR="00FB454C">
        <w:rPr>
          <w:noProof/>
        </w:rPr>
        <w:fldChar w:fldCharType="end"/>
      </w:r>
      <w:bookmarkEnd w:id="282"/>
      <w:r w:rsidR="001D2587" w:rsidRPr="000855B2">
        <w:t xml:space="preserve">: Relations between emissions and fuel properties for </w:t>
      </w:r>
      <w:r w:rsidR="006F1553" w:rsidRPr="000855B2">
        <w:t>d</w:t>
      </w:r>
      <w:r w:rsidR="001D2587" w:rsidRPr="000855B2">
        <w:t>iesel heavy</w:t>
      </w:r>
      <w:r w:rsidR="006F1553" w:rsidRPr="000855B2">
        <w:t>-</w:t>
      </w:r>
      <w:r w:rsidR="001D2587" w:rsidRPr="000855B2">
        <w:t>duty vehicles</w:t>
      </w:r>
      <w:bookmarkEnd w:id="283"/>
    </w:p>
    <w:tbl>
      <w:tblPr>
        <w:tblW w:w="8223"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111"/>
        <w:gridCol w:w="7112"/>
      </w:tblGrid>
      <w:tr w:rsidR="001D2587" w:rsidRPr="004A7F36" w14:paraId="7AD8F680" w14:textId="77777777" w:rsidTr="008D2AFB">
        <w:trPr>
          <w:trHeight w:val="458"/>
        </w:trPr>
        <w:tc>
          <w:tcPr>
            <w:tcW w:w="1111" w:type="dxa"/>
            <w:tcBorders>
              <w:top w:val="double" w:sz="2" w:space="0" w:color="000000"/>
              <w:left w:val="double" w:sz="2" w:space="0" w:color="000000"/>
              <w:bottom w:val="single" w:sz="12" w:space="0" w:color="000000"/>
              <w:right w:val="single" w:sz="2" w:space="0" w:color="000000"/>
            </w:tcBorders>
            <w:tcMar>
              <w:left w:w="85" w:type="dxa"/>
              <w:right w:w="85" w:type="dxa"/>
            </w:tcMar>
            <w:vAlign w:val="center"/>
          </w:tcPr>
          <w:p w14:paraId="77263019" w14:textId="77777777" w:rsidR="001D2587" w:rsidRPr="008D2AFB" w:rsidRDefault="001D2587" w:rsidP="005C7955">
            <w:pPr>
              <w:keepNext/>
              <w:keepLines/>
              <w:suppressAutoHyphens/>
              <w:spacing w:line="240" w:lineRule="atLeast"/>
              <w:jc w:val="center"/>
              <w:rPr>
                <w:b/>
              </w:rPr>
            </w:pPr>
            <w:r w:rsidRPr="008D2AFB">
              <w:rPr>
                <w:b/>
              </w:rPr>
              <w:t>Pollutant</w:t>
            </w:r>
          </w:p>
        </w:tc>
        <w:tc>
          <w:tcPr>
            <w:tcW w:w="7112" w:type="dxa"/>
            <w:tcBorders>
              <w:top w:val="double" w:sz="2" w:space="0" w:color="000000"/>
              <w:left w:val="nil"/>
              <w:bottom w:val="single" w:sz="12" w:space="0" w:color="000000"/>
              <w:right w:val="double" w:sz="2" w:space="0" w:color="000000"/>
            </w:tcBorders>
            <w:tcMar>
              <w:left w:w="85" w:type="dxa"/>
              <w:right w:w="85" w:type="dxa"/>
            </w:tcMar>
            <w:vAlign w:val="center"/>
          </w:tcPr>
          <w:p w14:paraId="0F102E9D" w14:textId="77777777" w:rsidR="001D2587" w:rsidRPr="008D2AFB" w:rsidRDefault="001D2587" w:rsidP="005C7955">
            <w:pPr>
              <w:keepNext/>
              <w:keepLines/>
              <w:suppressAutoHyphens/>
              <w:spacing w:line="240" w:lineRule="atLeast"/>
              <w:jc w:val="center"/>
              <w:rPr>
                <w:b/>
              </w:rPr>
            </w:pPr>
            <w:r w:rsidRPr="008D2AFB">
              <w:rPr>
                <w:b/>
              </w:rPr>
              <w:t>Correction factor equation</w:t>
            </w:r>
          </w:p>
        </w:tc>
      </w:tr>
      <w:tr w:rsidR="001D2587" w:rsidRPr="004A7F36" w14:paraId="20281633" w14:textId="77777777" w:rsidTr="008D2AFB">
        <w:trPr>
          <w:trHeight w:hRule="exact" w:val="397"/>
        </w:trPr>
        <w:tc>
          <w:tcPr>
            <w:tcW w:w="1111" w:type="dxa"/>
            <w:tcBorders>
              <w:top w:val="nil"/>
              <w:left w:val="double" w:sz="2" w:space="0" w:color="000000"/>
              <w:bottom w:val="single" w:sz="6" w:space="0" w:color="000000"/>
              <w:right w:val="single" w:sz="2" w:space="0" w:color="000000"/>
            </w:tcBorders>
            <w:tcMar>
              <w:left w:w="85" w:type="dxa"/>
              <w:right w:w="85" w:type="dxa"/>
            </w:tcMar>
            <w:vAlign w:val="center"/>
          </w:tcPr>
          <w:p w14:paraId="707598EA" w14:textId="77777777" w:rsidR="001D2587" w:rsidRPr="004A7F36" w:rsidRDefault="001D2587" w:rsidP="005C7955">
            <w:pPr>
              <w:keepNext/>
              <w:keepLines/>
              <w:suppressAutoHyphens/>
              <w:spacing w:line="240" w:lineRule="atLeast"/>
            </w:pPr>
            <w:r w:rsidRPr="004A7F36">
              <w:t>CO</w:t>
            </w:r>
          </w:p>
        </w:tc>
        <w:tc>
          <w:tcPr>
            <w:tcW w:w="7112" w:type="dxa"/>
            <w:tcBorders>
              <w:top w:val="nil"/>
              <w:left w:val="nil"/>
              <w:bottom w:val="single" w:sz="6" w:space="0" w:color="000000"/>
              <w:right w:val="double" w:sz="2" w:space="0" w:color="000000"/>
            </w:tcBorders>
            <w:tcMar>
              <w:left w:w="85" w:type="dxa"/>
              <w:right w:w="85" w:type="dxa"/>
            </w:tcMar>
            <w:vAlign w:val="center"/>
          </w:tcPr>
          <w:p w14:paraId="6A783221"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2.24407 </w:t>
            </w:r>
            <w:r w:rsidR="00505C7C" w:rsidRPr="004A7F36">
              <w:t>–</w:t>
            </w:r>
            <w:r w:rsidRPr="004A7F36">
              <w:t xml:space="preserve"> 0.0011 </w:t>
            </w:r>
            <w:r w:rsidRPr="004A7F36">
              <w:sym w:font="Symbol" w:char="F0B4"/>
            </w:r>
            <w:r w:rsidRPr="004A7F36">
              <w:t xml:space="preserve"> DEN + 0.00007 </w:t>
            </w:r>
            <w:r w:rsidRPr="004A7F36">
              <w:sym w:font="Symbol" w:char="F0B4"/>
            </w:r>
            <w:r w:rsidRPr="004A7F36">
              <w:t xml:space="preserve"> PAH </w:t>
            </w:r>
            <w:r w:rsidR="00D6493A" w:rsidRPr="004A7F36">
              <w:t>–</w:t>
            </w:r>
            <w:r w:rsidRPr="004A7F36">
              <w:t xml:space="preserve"> 0.00768 </w:t>
            </w:r>
            <w:r w:rsidRPr="004A7F36">
              <w:sym w:font="Symbol" w:char="F0B4"/>
            </w:r>
            <w:r w:rsidRPr="004A7F36">
              <w:t xml:space="preserve"> CN </w:t>
            </w:r>
            <w:r w:rsidR="00505C7C" w:rsidRPr="004A7F36">
              <w:t>–</w:t>
            </w:r>
            <w:r w:rsidRPr="004A7F36">
              <w:t xml:space="preserve"> 0.00087 </w:t>
            </w:r>
            <w:r w:rsidRPr="004A7F36">
              <w:sym w:font="Symbol" w:char="F0B4"/>
            </w:r>
            <w:r w:rsidRPr="004A7F36">
              <w:t xml:space="preserve"> T95</w:t>
            </w:r>
          </w:p>
        </w:tc>
      </w:tr>
      <w:tr w:rsidR="001D2587" w:rsidRPr="004A7F36" w14:paraId="4D860056" w14:textId="77777777" w:rsidTr="008D2AFB">
        <w:trPr>
          <w:trHeight w:hRule="exact" w:val="397"/>
        </w:trPr>
        <w:tc>
          <w:tcPr>
            <w:tcW w:w="1111"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3CE85FD2" w14:textId="77777777" w:rsidR="001D2587" w:rsidRPr="004A7F36" w:rsidRDefault="001D2587" w:rsidP="005C7955">
            <w:pPr>
              <w:keepNext/>
              <w:keepLines/>
              <w:suppressAutoHyphens/>
              <w:spacing w:line="240" w:lineRule="atLeast"/>
            </w:pPr>
            <w:r w:rsidRPr="004A7F36">
              <w:t>VOC</w:t>
            </w:r>
          </w:p>
        </w:tc>
        <w:tc>
          <w:tcPr>
            <w:tcW w:w="7112" w:type="dxa"/>
            <w:tcBorders>
              <w:top w:val="single" w:sz="6" w:space="0" w:color="000000"/>
              <w:left w:val="nil"/>
              <w:bottom w:val="single" w:sz="6" w:space="0" w:color="000000"/>
              <w:right w:val="double" w:sz="2" w:space="0" w:color="000000"/>
            </w:tcBorders>
            <w:tcMar>
              <w:left w:w="85" w:type="dxa"/>
              <w:right w:w="85" w:type="dxa"/>
            </w:tcMar>
            <w:vAlign w:val="center"/>
          </w:tcPr>
          <w:p w14:paraId="39B0C518"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1.61466 </w:t>
            </w:r>
            <w:r w:rsidR="00505C7C" w:rsidRPr="004A7F36">
              <w:t>–</w:t>
            </w:r>
            <w:r w:rsidRPr="004A7F36">
              <w:t xml:space="preserve"> 0.00123 </w:t>
            </w:r>
            <w:r w:rsidRPr="004A7F36">
              <w:sym w:font="Symbol" w:char="F0B4"/>
            </w:r>
            <w:r w:rsidRPr="004A7F36">
              <w:t xml:space="preserve"> DEN + 0.00133 </w:t>
            </w:r>
            <w:r w:rsidRPr="004A7F36">
              <w:sym w:font="Symbol" w:char="F0B4"/>
            </w:r>
            <w:r w:rsidRPr="004A7F36">
              <w:t xml:space="preserve"> PAH </w:t>
            </w:r>
            <w:r w:rsidR="00505C7C" w:rsidRPr="004A7F36">
              <w:t>–</w:t>
            </w:r>
            <w:r w:rsidRPr="004A7F36">
              <w:t xml:space="preserve"> 0.00181 </w:t>
            </w:r>
            <w:r w:rsidRPr="004A7F36">
              <w:sym w:font="Symbol" w:char="F0B4"/>
            </w:r>
            <w:r w:rsidRPr="004A7F36">
              <w:t xml:space="preserve"> CN </w:t>
            </w:r>
            <w:r w:rsidR="00505C7C" w:rsidRPr="004A7F36">
              <w:t>–</w:t>
            </w:r>
            <w:r w:rsidRPr="004A7F36">
              <w:t xml:space="preserve"> 0.00068 </w:t>
            </w:r>
            <w:r w:rsidRPr="004A7F36">
              <w:sym w:font="Symbol" w:char="F0B4"/>
            </w:r>
            <w:r w:rsidRPr="004A7F36">
              <w:t xml:space="preserve"> T95</w:t>
            </w:r>
          </w:p>
        </w:tc>
      </w:tr>
      <w:tr w:rsidR="001D2587" w:rsidRPr="004A7F36" w14:paraId="219E8CAD" w14:textId="77777777" w:rsidTr="008D2AFB">
        <w:trPr>
          <w:trHeight w:hRule="exact" w:val="397"/>
        </w:trPr>
        <w:tc>
          <w:tcPr>
            <w:tcW w:w="1111" w:type="dxa"/>
            <w:tcBorders>
              <w:top w:val="single" w:sz="6" w:space="0" w:color="000000"/>
              <w:left w:val="double" w:sz="2" w:space="0" w:color="000000"/>
              <w:bottom w:val="single" w:sz="6" w:space="0" w:color="000000"/>
              <w:right w:val="single" w:sz="2" w:space="0" w:color="000000"/>
            </w:tcBorders>
            <w:tcMar>
              <w:left w:w="85" w:type="dxa"/>
              <w:right w:w="85" w:type="dxa"/>
            </w:tcMar>
            <w:vAlign w:val="center"/>
          </w:tcPr>
          <w:p w14:paraId="28C7BC2F" w14:textId="77777777" w:rsidR="001D2587" w:rsidRPr="004A7F36" w:rsidRDefault="001D2587" w:rsidP="005C7955">
            <w:pPr>
              <w:keepNext/>
              <w:keepLines/>
              <w:suppressAutoHyphens/>
              <w:spacing w:line="240" w:lineRule="atLeast"/>
            </w:pPr>
            <w:r w:rsidRPr="004A7F36">
              <w:t>NOx</w:t>
            </w:r>
          </w:p>
        </w:tc>
        <w:tc>
          <w:tcPr>
            <w:tcW w:w="7112" w:type="dxa"/>
            <w:tcBorders>
              <w:top w:val="single" w:sz="6" w:space="0" w:color="000000"/>
              <w:left w:val="nil"/>
              <w:bottom w:val="single" w:sz="6" w:space="0" w:color="000000"/>
              <w:right w:val="double" w:sz="2" w:space="0" w:color="000000"/>
            </w:tcBorders>
            <w:tcMar>
              <w:left w:w="85" w:type="dxa"/>
              <w:right w:w="85" w:type="dxa"/>
            </w:tcMar>
            <w:vAlign w:val="center"/>
          </w:tcPr>
          <w:p w14:paraId="118B21DB"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-1.75444 + 0.00906 </w:t>
            </w:r>
            <w:r w:rsidRPr="004A7F36">
              <w:sym w:font="Symbol" w:char="F0B4"/>
            </w:r>
            <w:r w:rsidRPr="004A7F36">
              <w:t xml:space="preserve"> DEN </w:t>
            </w:r>
            <w:r w:rsidR="00505C7C" w:rsidRPr="004A7F36">
              <w:t>–</w:t>
            </w:r>
            <w:r w:rsidRPr="004A7F36">
              <w:t xml:space="preserve"> 0.0163 </w:t>
            </w:r>
            <w:r w:rsidRPr="004A7F36">
              <w:sym w:font="Symbol" w:char="F0B4"/>
            </w:r>
            <w:r w:rsidRPr="004A7F36">
              <w:t xml:space="preserve"> PAH + 0.00493 </w:t>
            </w:r>
            <w:r w:rsidRPr="004A7F36">
              <w:sym w:font="Symbol" w:char="F0B4"/>
            </w:r>
            <w:r w:rsidRPr="004A7F36">
              <w:t xml:space="preserve"> CN + 0.00266 </w:t>
            </w:r>
            <w:r w:rsidRPr="004A7F36">
              <w:sym w:font="Symbol" w:char="F0B4"/>
            </w:r>
            <w:r w:rsidRPr="004A7F36">
              <w:t xml:space="preserve"> T95</w:t>
            </w:r>
          </w:p>
        </w:tc>
      </w:tr>
      <w:tr w:rsidR="001D2587" w:rsidRPr="004A7F36" w14:paraId="419C4A92" w14:textId="77777777" w:rsidTr="008D2AFB">
        <w:tc>
          <w:tcPr>
            <w:tcW w:w="1111" w:type="dxa"/>
            <w:tcBorders>
              <w:top w:val="single" w:sz="6" w:space="0" w:color="000000"/>
              <w:left w:val="double" w:sz="2" w:space="0" w:color="000000"/>
              <w:bottom w:val="double" w:sz="2" w:space="0" w:color="000000"/>
              <w:right w:val="single" w:sz="2" w:space="0" w:color="000000"/>
            </w:tcBorders>
            <w:tcMar>
              <w:left w:w="85" w:type="dxa"/>
              <w:right w:w="85" w:type="dxa"/>
            </w:tcMar>
            <w:vAlign w:val="center"/>
          </w:tcPr>
          <w:p w14:paraId="5A879293" w14:textId="77777777" w:rsidR="001D2587" w:rsidRPr="004A7F36" w:rsidRDefault="001D2587" w:rsidP="005C7955">
            <w:pPr>
              <w:keepNext/>
              <w:keepLines/>
              <w:suppressAutoHyphens/>
              <w:spacing w:line="240" w:lineRule="atLeast"/>
            </w:pPr>
            <w:r w:rsidRPr="004A7F36">
              <w:t>PM</w:t>
            </w:r>
          </w:p>
        </w:tc>
        <w:tc>
          <w:tcPr>
            <w:tcW w:w="7112" w:type="dxa"/>
            <w:tcBorders>
              <w:top w:val="single" w:sz="6" w:space="0" w:color="000000"/>
              <w:left w:val="nil"/>
              <w:bottom w:val="double" w:sz="2" w:space="0" w:color="000000"/>
              <w:right w:val="double" w:sz="2" w:space="0" w:color="000000"/>
            </w:tcBorders>
            <w:tcMar>
              <w:left w:w="85" w:type="dxa"/>
              <w:right w:w="85" w:type="dxa"/>
            </w:tcMar>
            <w:vAlign w:val="center"/>
          </w:tcPr>
          <w:p w14:paraId="1E0F076B" w14:textId="77777777" w:rsidR="001D2587" w:rsidRPr="004A7F36" w:rsidRDefault="001D2587" w:rsidP="005C7955">
            <w:pPr>
              <w:keepNext/>
              <w:keepLines/>
              <w:suppressAutoHyphens/>
              <w:spacing w:line="240" w:lineRule="atLeast"/>
              <w:jc w:val="center"/>
            </w:pPr>
            <w:r w:rsidRPr="004A7F36">
              <w:t>F</w:t>
            </w:r>
            <w:r w:rsidR="00505C7C" w:rsidRPr="004A7F36">
              <w:t>c</w:t>
            </w:r>
            <w:r w:rsidRPr="004A7F36">
              <w:t xml:space="preserve">orr = [0.06959 + 0.00006 </w:t>
            </w:r>
            <w:r w:rsidRPr="004A7F36">
              <w:sym w:font="Symbol" w:char="F0B4"/>
            </w:r>
            <w:r w:rsidRPr="004A7F36">
              <w:t xml:space="preserve"> DEN + 0.00065 </w:t>
            </w:r>
            <w:r w:rsidRPr="004A7F36">
              <w:sym w:font="Symbol" w:char="F0B4"/>
            </w:r>
            <w:r w:rsidRPr="004A7F36">
              <w:t xml:space="preserve"> PAH </w:t>
            </w:r>
            <w:r w:rsidR="00505C7C" w:rsidRPr="004A7F36">
              <w:t>–</w:t>
            </w:r>
            <w:r w:rsidRPr="004A7F36">
              <w:t xml:space="preserve"> 0.00001 </w:t>
            </w:r>
            <w:r w:rsidRPr="004A7F36">
              <w:sym w:font="Symbol" w:char="F0B4"/>
            </w:r>
            <w:r w:rsidRPr="004A7F36">
              <w:t xml:space="preserve"> CN] </w:t>
            </w:r>
            <w:r w:rsidRPr="004A7F36">
              <w:sym w:font="Symbol" w:char="F0B4"/>
            </w:r>
            <w:r w:rsidRPr="004A7F36">
              <w:t xml:space="preserve"> [1-0.0086 </w:t>
            </w:r>
            <w:r w:rsidRPr="004A7F36">
              <w:sym w:font="Symbol" w:char="F0B4"/>
            </w:r>
            <w:r w:rsidRPr="004A7F36">
              <w:t xml:space="preserve">  (450 </w:t>
            </w:r>
            <w:r w:rsidR="00505C7C" w:rsidRPr="004A7F36">
              <w:t>–</w:t>
            </w:r>
            <w:r w:rsidRPr="004A7F36">
              <w:t xml:space="preserve"> S)/100]</w:t>
            </w:r>
          </w:p>
        </w:tc>
      </w:tr>
    </w:tbl>
    <w:p w14:paraId="23E58D72" w14:textId="77777777" w:rsidR="0048755A" w:rsidRPr="000855B2" w:rsidRDefault="0048755A" w:rsidP="00344DF0">
      <w:pPr>
        <w:rPr>
          <w:b/>
          <w:sz w:val="16"/>
          <w:lang w:val="en-GB"/>
        </w:rPr>
      </w:pPr>
      <w:r w:rsidRPr="000855B2">
        <w:rPr>
          <w:b/>
          <w:sz w:val="16"/>
          <w:lang w:val="en-GB"/>
        </w:rPr>
        <w:t>Note</w:t>
      </w:r>
      <w:r w:rsidR="001D2587" w:rsidRPr="000855B2">
        <w:rPr>
          <w:b/>
          <w:sz w:val="16"/>
          <w:lang w:val="en-GB"/>
        </w:rPr>
        <w:t>:</w:t>
      </w:r>
    </w:p>
    <w:p w14:paraId="3870100D" w14:textId="77777777" w:rsidR="001D2587" w:rsidRPr="000855B2" w:rsidRDefault="001D2587" w:rsidP="00344DF0">
      <w:pPr>
        <w:rPr>
          <w:sz w:val="16"/>
          <w:lang w:val="en-GB"/>
        </w:rPr>
      </w:pPr>
      <w:r w:rsidRPr="000855B2">
        <w:rPr>
          <w:sz w:val="16"/>
          <w:lang w:val="en-GB"/>
        </w:rPr>
        <w:t>DEN = Density at 15</w:t>
      </w:r>
      <w:r w:rsidR="002B1FFD" w:rsidRPr="000855B2">
        <w:rPr>
          <w:sz w:val="16"/>
          <w:lang w:val="en-GB"/>
        </w:rPr>
        <w:t> °C</w:t>
      </w:r>
      <w:r w:rsidRPr="000855B2">
        <w:rPr>
          <w:sz w:val="16"/>
          <w:lang w:val="en-GB"/>
        </w:rPr>
        <w:t xml:space="preserve"> [kg/m³]</w:t>
      </w:r>
      <w:r w:rsidR="00344DF0" w:rsidRPr="000855B2">
        <w:rPr>
          <w:sz w:val="16"/>
          <w:lang w:val="en-GB"/>
        </w:rPr>
        <w:t xml:space="preserve">, </w:t>
      </w:r>
      <w:r w:rsidRPr="000855B2">
        <w:rPr>
          <w:sz w:val="16"/>
          <w:lang w:val="en-GB"/>
        </w:rPr>
        <w:t>S = Sulphur content in ppm</w:t>
      </w:r>
      <w:r w:rsidR="00344DF0" w:rsidRPr="000855B2">
        <w:rPr>
          <w:sz w:val="16"/>
          <w:lang w:val="en-GB"/>
        </w:rPr>
        <w:t xml:space="preserve">, </w:t>
      </w:r>
      <w:r w:rsidRPr="000855B2">
        <w:rPr>
          <w:sz w:val="16"/>
          <w:lang w:val="en-GB"/>
        </w:rPr>
        <w:t>PAH = Polycyclic</w:t>
      </w:r>
      <w:r w:rsidR="0048755A" w:rsidRPr="000855B2">
        <w:rPr>
          <w:sz w:val="16"/>
          <w:lang w:val="en-GB"/>
        </w:rPr>
        <w:t xml:space="preserve"> </w:t>
      </w:r>
      <w:r w:rsidRPr="000855B2">
        <w:rPr>
          <w:sz w:val="16"/>
          <w:lang w:val="en-GB"/>
        </w:rPr>
        <w:t>aromatics content in</w:t>
      </w:r>
      <w:r w:rsidR="0048755A" w:rsidRPr="000855B2">
        <w:rPr>
          <w:sz w:val="16"/>
          <w:lang w:val="en-GB"/>
        </w:rPr>
        <w:t> </w:t>
      </w:r>
      <w:r w:rsidRPr="000855B2">
        <w:rPr>
          <w:sz w:val="16"/>
          <w:lang w:val="en-GB"/>
        </w:rPr>
        <w:t>%</w:t>
      </w:r>
      <w:r w:rsidR="00344DF0" w:rsidRPr="000855B2">
        <w:rPr>
          <w:sz w:val="16"/>
          <w:lang w:val="en-GB"/>
        </w:rPr>
        <w:t xml:space="preserve">, </w:t>
      </w:r>
      <w:r w:rsidRPr="000855B2">
        <w:rPr>
          <w:sz w:val="16"/>
          <w:lang w:val="en-GB"/>
        </w:rPr>
        <w:t xml:space="preserve">CN = Cetane number </w:t>
      </w:r>
      <w:r w:rsidR="00344DF0" w:rsidRPr="000855B2">
        <w:rPr>
          <w:sz w:val="16"/>
          <w:lang w:val="en-GB"/>
        </w:rPr>
        <w:t xml:space="preserve">, </w:t>
      </w:r>
      <w:r w:rsidRPr="000855B2">
        <w:rPr>
          <w:sz w:val="16"/>
          <w:lang w:val="en-GB"/>
        </w:rPr>
        <w:t>T</w:t>
      </w:r>
      <w:r w:rsidRPr="000855B2">
        <w:rPr>
          <w:sz w:val="16"/>
          <w:vertAlign w:val="subscript"/>
          <w:lang w:val="en-GB"/>
        </w:rPr>
        <w:t>95</w:t>
      </w:r>
      <w:r w:rsidRPr="000855B2">
        <w:rPr>
          <w:sz w:val="16"/>
          <w:lang w:val="en-GB"/>
        </w:rPr>
        <w:t xml:space="preserve"> = Back end distillation in </w:t>
      </w:r>
      <w:r w:rsidRPr="000855B2">
        <w:rPr>
          <w:sz w:val="16"/>
          <w:vertAlign w:val="superscript"/>
          <w:lang w:val="en-GB"/>
        </w:rPr>
        <w:t>o</w:t>
      </w:r>
      <w:r w:rsidRPr="000855B2">
        <w:rPr>
          <w:sz w:val="16"/>
          <w:lang w:val="en-GB"/>
        </w:rPr>
        <w:t xml:space="preserve">C </w:t>
      </w:r>
    </w:p>
    <w:p w14:paraId="3E24A10F" w14:textId="77777777" w:rsidR="000855B2" w:rsidRPr="000855B2" w:rsidRDefault="000855B2" w:rsidP="00344DF0">
      <w:pPr>
        <w:rPr>
          <w:sz w:val="16"/>
          <w:lang w:val="en-GB"/>
        </w:rPr>
      </w:pPr>
    </w:p>
    <w:p w14:paraId="1E438A3A" w14:textId="4D2791EF" w:rsidR="001D2587" w:rsidRPr="000855B2" w:rsidRDefault="00A040D1" w:rsidP="008D1A83">
      <w:pPr>
        <w:pStyle w:val="Caption"/>
      </w:pPr>
      <w:bookmarkStart w:id="284" w:name="_Ref172059625"/>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85</w:t>
      </w:r>
      <w:r w:rsidR="00FB454C">
        <w:rPr>
          <w:noProof/>
        </w:rPr>
        <w:fldChar w:fldCharType="end"/>
      </w:r>
      <w:bookmarkEnd w:id="284"/>
      <w:r w:rsidR="001D2587" w:rsidRPr="000855B2">
        <w:t>: Effect of biodiesel blends on diesel vehicle emissions</w:t>
      </w:r>
    </w:p>
    <w:tbl>
      <w:tblPr>
        <w:tblW w:w="0" w:type="auto"/>
        <w:tblLayout w:type="fixed"/>
        <w:tblLook w:val="0000" w:firstRow="0" w:lastRow="0" w:firstColumn="0" w:lastColumn="0" w:noHBand="0" w:noVBand="0"/>
      </w:tblPr>
      <w:tblGrid>
        <w:gridCol w:w="1497"/>
        <w:gridCol w:w="1985"/>
        <w:gridCol w:w="992"/>
        <w:gridCol w:w="1476"/>
        <w:gridCol w:w="1205"/>
      </w:tblGrid>
      <w:tr w:rsidR="001D2587" w:rsidRPr="000855B2" w14:paraId="2EF3BC59" w14:textId="77777777" w:rsidTr="00AF4A3C">
        <w:trPr>
          <w:trHeight w:val="593"/>
        </w:trPr>
        <w:tc>
          <w:tcPr>
            <w:tcW w:w="1497" w:type="dxa"/>
            <w:tcBorders>
              <w:top w:val="double" w:sz="6" w:space="0" w:color="000000"/>
              <w:left w:val="double" w:sz="6" w:space="0" w:color="000000"/>
              <w:bottom w:val="single" w:sz="12" w:space="0" w:color="auto"/>
              <w:right w:val="single" w:sz="4" w:space="0" w:color="auto"/>
            </w:tcBorders>
            <w:vAlign w:val="center"/>
          </w:tcPr>
          <w:p w14:paraId="201A9B61"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Pollutant</w:t>
            </w:r>
          </w:p>
        </w:tc>
        <w:tc>
          <w:tcPr>
            <w:tcW w:w="1985" w:type="dxa"/>
            <w:tcBorders>
              <w:top w:val="double" w:sz="6" w:space="0" w:color="000000"/>
              <w:left w:val="single" w:sz="4" w:space="0" w:color="auto"/>
              <w:bottom w:val="single" w:sz="12" w:space="0" w:color="auto"/>
              <w:right w:val="single" w:sz="4" w:space="0" w:color="auto"/>
            </w:tcBorders>
            <w:vAlign w:val="center"/>
          </w:tcPr>
          <w:p w14:paraId="37C79694"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Vehicle type</w:t>
            </w:r>
          </w:p>
        </w:tc>
        <w:tc>
          <w:tcPr>
            <w:tcW w:w="992" w:type="dxa"/>
            <w:tcBorders>
              <w:top w:val="double" w:sz="6" w:space="0" w:color="000000"/>
              <w:left w:val="single" w:sz="4" w:space="0" w:color="auto"/>
              <w:bottom w:val="single" w:sz="12" w:space="0" w:color="auto"/>
              <w:right w:val="single" w:sz="4" w:space="0" w:color="auto"/>
            </w:tcBorders>
            <w:vAlign w:val="center"/>
          </w:tcPr>
          <w:p w14:paraId="7EE88A66"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B10</w:t>
            </w:r>
          </w:p>
        </w:tc>
        <w:tc>
          <w:tcPr>
            <w:tcW w:w="1476" w:type="dxa"/>
            <w:tcBorders>
              <w:top w:val="double" w:sz="6" w:space="0" w:color="000000"/>
              <w:left w:val="single" w:sz="4" w:space="0" w:color="auto"/>
              <w:bottom w:val="single" w:sz="12" w:space="0" w:color="auto"/>
              <w:right w:val="single" w:sz="4" w:space="0" w:color="auto"/>
            </w:tcBorders>
            <w:vAlign w:val="center"/>
          </w:tcPr>
          <w:p w14:paraId="3A1254B4"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B20</w:t>
            </w:r>
          </w:p>
        </w:tc>
        <w:tc>
          <w:tcPr>
            <w:tcW w:w="1205" w:type="dxa"/>
            <w:tcBorders>
              <w:top w:val="double" w:sz="6" w:space="0" w:color="000000"/>
              <w:left w:val="single" w:sz="4" w:space="0" w:color="auto"/>
              <w:bottom w:val="single" w:sz="12" w:space="0" w:color="auto"/>
              <w:right w:val="double" w:sz="6" w:space="0" w:color="000000"/>
            </w:tcBorders>
            <w:vAlign w:val="center"/>
          </w:tcPr>
          <w:p w14:paraId="6C485BB9" w14:textId="77777777" w:rsidR="001D2587" w:rsidRPr="000855B2" w:rsidRDefault="001D2587" w:rsidP="005C7955">
            <w:pPr>
              <w:keepNext/>
              <w:keepLines/>
              <w:suppressAutoHyphens/>
              <w:spacing w:line="240" w:lineRule="atLeast"/>
              <w:jc w:val="center"/>
              <w:rPr>
                <w:rFonts w:cs="Open Sans"/>
                <w:b/>
                <w:szCs w:val="18"/>
                <w:lang w:val="en-GB"/>
              </w:rPr>
            </w:pPr>
            <w:r w:rsidRPr="000855B2">
              <w:rPr>
                <w:rFonts w:cs="Open Sans"/>
                <w:b/>
                <w:szCs w:val="18"/>
                <w:lang w:val="en-GB"/>
              </w:rPr>
              <w:t>B100</w:t>
            </w:r>
          </w:p>
        </w:tc>
      </w:tr>
      <w:tr w:rsidR="001D2587" w:rsidRPr="000855B2" w14:paraId="47C39772" w14:textId="77777777" w:rsidTr="00AF4A3C">
        <w:trPr>
          <w:cantSplit/>
          <w:trHeight w:val="297"/>
        </w:trPr>
        <w:tc>
          <w:tcPr>
            <w:tcW w:w="1497" w:type="dxa"/>
            <w:vMerge w:val="restart"/>
            <w:tcBorders>
              <w:top w:val="single" w:sz="12" w:space="0" w:color="auto"/>
              <w:left w:val="double" w:sz="6" w:space="0" w:color="000000"/>
              <w:bottom w:val="single" w:sz="8" w:space="0" w:color="000000"/>
              <w:right w:val="single" w:sz="4" w:space="0" w:color="auto"/>
            </w:tcBorders>
            <w:vAlign w:val="center"/>
          </w:tcPr>
          <w:p w14:paraId="578D6AC9"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CO</w:t>
            </w:r>
            <w:r w:rsidRPr="000855B2">
              <w:rPr>
                <w:rFonts w:cs="Open Sans"/>
                <w:szCs w:val="18"/>
                <w:vertAlign w:val="subscript"/>
                <w:lang w:val="en-GB"/>
              </w:rPr>
              <w:t>2</w:t>
            </w:r>
          </w:p>
        </w:tc>
        <w:tc>
          <w:tcPr>
            <w:tcW w:w="1985" w:type="dxa"/>
            <w:tcBorders>
              <w:top w:val="single" w:sz="12" w:space="0" w:color="auto"/>
              <w:left w:val="single" w:sz="4" w:space="0" w:color="auto"/>
              <w:bottom w:val="nil"/>
              <w:right w:val="single" w:sz="4" w:space="0" w:color="auto"/>
            </w:tcBorders>
            <w:vAlign w:val="center"/>
          </w:tcPr>
          <w:p w14:paraId="674693A8"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D6493A" w:rsidRPr="000855B2">
              <w:rPr>
                <w:rFonts w:cs="Open Sans"/>
                <w:szCs w:val="18"/>
                <w:lang w:val="en-GB"/>
              </w:rPr>
              <w:t>c</w:t>
            </w:r>
            <w:r w:rsidRPr="000855B2">
              <w:rPr>
                <w:rFonts w:cs="Open Sans"/>
                <w:szCs w:val="18"/>
                <w:lang w:val="en-GB"/>
              </w:rPr>
              <w:t>ars</w:t>
            </w:r>
          </w:p>
        </w:tc>
        <w:tc>
          <w:tcPr>
            <w:tcW w:w="992" w:type="dxa"/>
            <w:tcBorders>
              <w:top w:val="single" w:sz="12" w:space="0" w:color="auto"/>
              <w:left w:val="single" w:sz="4" w:space="0" w:color="auto"/>
              <w:bottom w:val="nil"/>
              <w:right w:val="single" w:sz="4" w:space="0" w:color="auto"/>
            </w:tcBorders>
            <w:vAlign w:val="center"/>
          </w:tcPr>
          <w:p w14:paraId="199B90CA"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w:t>
            </w:r>
            <w:r w:rsidR="006502D0" w:rsidRPr="000855B2">
              <w:rPr>
                <w:rFonts w:cs="Open Sans"/>
                <w:szCs w:val="18"/>
                <w:lang w:val="en-GB"/>
              </w:rPr>
              <w:t> %</w:t>
            </w:r>
          </w:p>
        </w:tc>
        <w:tc>
          <w:tcPr>
            <w:tcW w:w="1476" w:type="dxa"/>
            <w:tcBorders>
              <w:top w:val="single" w:sz="12" w:space="0" w:color="auto"/>
              <w:left w:val="single" w:sz="4" w:space="0" w:color="auto"/>
              <w:bottom w:val="nil"/>
              <w:right w:val="single" w:sz="4" w:space="0" w:color="auto"/>
            </w:tcBorders>
            <w:vAlign w:val="center"/>
          </w:tcPr>
          <w:p w14:paraId="000E596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w:t>
            </w:r>
            <w:r w:rsidR="006502D0" w:rsidRPr="000855B2">
              <w:rPr>
                <w:rFonts w:cs="Open Sans"/>
                <w:szCs w:val="18"/>
                <w:lang w:val="en-GB"/>
              </w:rPr>
              <w:t> %</w:t>
            </w:r>
          </w:p>
        </w:tc>
        <w:tc>
          <w:tcPr>
            <w:tcW w:w="1205" w:type="dxa"/>
            <w:tcBorders>
              <w:top w:val="single" w:sz="12" w:space="0" w:color="auto"/>
              <w:left w:val="single" w:sz="4" w:space="0" w:color="auto"/>
              <w:bottom w:val="nil"/>
              <w:right w:val="double" w:sz="6" w:space="0" w:color="000000"/>
            </w:tcBorders>
            <w:vAlign w:val="center"/>
          </w:tcPr>
          <w:p w14:paraId="41893503"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7DE22913" w14:textId="77777777" w:rsidTr="00AF4A3C">
        <w:trPr>
          <w:cantSplit/>
          <w:trHeight w:val="297"/>
        </w:trPr>
        <w:tc>
          <w:tcPr>
            <w:tcW w:w="1497" w:type="dxa"/>
            <w:vMerge/>
            <w:tcBorders>
              <w:top w:val="single" w:sz="4" w:space="0" w:color="auto"/>
              <w:left w:val="double" w:sz="6" w:space="0" w:color="000000"/>
              <w:bottom w:val="single" w:sz="8" w:space="0" w:color="000000"/>
              <w:right w:val="single" w:sz="4" w:space="0" w:color="auto"/>
            </w:tcBorders>
            <w:vAlign w:val="center"/>
          </w:tcPr>
          <w:p w14:paraId="3595D259"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4FB36351"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2FF6031A"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-0.7</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0BE1CCC6"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7079709D"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4B987D31" w14:textId="77777777" w:rsidTr="00AF4A3C">
        <w:trPr>
          <w:cantSplit/>
          <w:trHeight w:val="297"/>
        </w:trPr>
        <w:tc>
          <w:tcPr>
            <w:tcW w:w="1497" w:type="dxa"/>
            <w:vMerge/>
            <w:tcBorders>
              <w:top w:val="single" w:sz="4" w:space="0" w:color="auto"/>
              <w:left w:val="double" w:sz="6" w:space="0" w:color="000000"/>
              <w:bottom w:val="single" w:sz="8" w:space="0" w:color="000000"/>
              <w:right w:val="single" w:sz="4" w:space="0" w:color="auto"/>
            </w:tcBorders>
            <w:vAlign w:val="center"/>
          </w:tcPr>
          <w:p w14:paraId="684EA96C"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2CC68740"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573F751F"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0.2</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387CFC0E"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2DDE7E1A"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0.1</w:t>
            </w:r>
            <w:r w:rsidR="006502D0" w:rsidRPr="000855B2">
              <w:rPr>
                <w:rFonts w:cs="Open Sans"/>
                <w:szCs w:val="18"/>
                <w:lang w:val="en-GB"/>
              </w:rPr>
              <w:t> %</w:t>
            </w:r>
          </w:p>
        </w:tc>
      </w:tr>
      <w:tr w:rsidR="001D2587" w:rsidRPr="000855B2" w14:paraId="782F4BB1"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3407A129"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NO</w:t>
            </w:r>
            <w:r w:rsidRPr="000855B2">
              <w:rPr>
                <w:rFonts w:cs="Open Sans"/>
                <w:szCs w:val="18"/>
                <w:vertAlign w:val="subscript"/>
                <w:lang w:val="en-GB"/>
              </w:rPr>
              <w:t>x</w:t>
            </w:r>
          </w:p>
        </w:tc>
        <w:tc>
          <w:tcPr>
            <w:tcW w:w="1985" w:type="dxa"/>
            <w:tcBorders>
              <w:top w:val="nil"/>
              <w:left w:val="single" w:sz="4" w:space="0" w:color="auto"/>
              <w:bottom w:val="nil"/>
              <w:right w:val="single" w:sz="4" w:space="0" w:color="auto"/>
            </w:tcBorders>
            <w:vAlign w:val="center"/>
          </w:tcPr>
          <w:p w14:paraId="23BE6C00"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5B420820"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0.4</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0F3EA272"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70EABBB0"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57BF95EE"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4977AFC6"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0F9F1D1E"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662CC7B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1.7</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5EF76E35"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554BCB35"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364DED46"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6BE7B7F4"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33890C72"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2BAF2E2F"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3.0</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7A8B8076"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3.5</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54CC2255"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9.0</w:t>
            </w:r>
            <w:r w:rsidR="006502D0" w:rsidRPr="000855B2">
              <w:rPr>
                <w:rFonts w:cs="Open Sans"/>
                <w:szCs w:val="18"/>
                <w:lang w:val="en-GB"/>
              </w:rPr>
              <w:t> %</w:t>
            </w:r>
          </w:p>
        </w:tc>
      </w:tr>
      <w:tr w:rsidR="001D2587" w:rsidRPr="000855B2" w14:paraId="5EE2831C"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66945A76"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PM</w:t>
            </w:r>
          </w:p>
        </w:tc>
        <w:tc>
          <w:tcPr>
            <w:tcW w:w="1985" w:type="dxa"/>
            <w:tcBorders>
              <w:top w:val="nil"/>
              <w:left w:val="single" w:sz="4" w:space="0" w:color="auto"/>
              <w:bottom w:val="nil"/>
              <w:right w:val="single" w:sz="4" w:space="0" w:color="auto"/>
            </w:tcBorders>
            <w:vAlign w:val="center"/>
          </w:tcPr>
          <w:p w14:paraId="645F5E5F"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39B445DE"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-13.0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53E929F1"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32FAE9A7"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0E5DAD00"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32CCA20A"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6F711D71"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618360A6"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081FB007"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42B0A95A"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0FCD0AAA"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3AC2A188"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57BBB1A7"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6F1553"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569B25F0"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190B52F7"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627A7AF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-47.0</w:t>
            </w:r>
            <w:r w:rsidR="006502D0" w:rsidRPr="000855B2">
              <w:rPr>
                <w:rFonts w:cs="Open Sans"/>
                <w:szCs w:val="18"/>
                <w:lang w:val="en-GB"/>
              </w:rPr>
              <w:t> %</w:t>
            </w:r>
          </w:p>
        </w:tc>
      </w:tr>
      <w:tr w:rsidR="001D2587" w:rsidRPr="000855B2" w14:paraId="7D471122"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481ECB90"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CO</w:t>
            </w:r>
          </w:p>
        </w:tc>
        <w:tc>
          <w:tcPr>
            <w:tcW w:w="1985" w:type="dxa"/>
            <w:tcBorders>
              <w:top w:val="nil"/>
              <w:left w:val="single" w:sz="4" w:space="0" w:color="auto"/>
              <w:bottom w:val="nil"/>
              <w:right w:val="single" w:sz="4" w:space="0" w:color="auto"/>
            </w:tcBorders>
            <w:vAlign w:val="center"/>
          </w:tcPr>
          <w:p w14:paraId="607428CE"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634E4A57"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4D86CDD6"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-5.0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4793699A"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01AE8A5A"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2A693D8A"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nil"/>
              <w:right w:val="single" w:sz="4" w:space="0" w:color="auto"/>
            </w:tcBorders>
            <w:vAlign w:val="center"/>
          </w:tcPr>
          <w:p w14:paraId="226A9819"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vAlign w:val="center"/>
          </w:tcPr>
          <w:p w14:paraId="6E59BD10"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03B701AE"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-6.0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1EC83539"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3C36A940"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1FFE4C7B" w14:textId="77777777" w:rsidR="001D2587" w:rsidRPr="000855B2" w:rsidRDefault="001D2587" w:rsidP="005C7955">
            <w:pPr>
              <w:keepNext/>
              <w:keepLines/>
              <w:suppressAutoHyphens/>
              <w:spacing w:line="240" w:lineRule="atLeast"/>
              <w:rPr>
                <w:rFonts w:cs="Open Sans"/>
                <w:szCs w:val="18"/>
                <w:lang w:val="en-GB"/>
              </w:rPr>
            </w:pPr>
          </w:p>
        </w:tc>
        <w:tc>
          <w:tcPr>
            <w:tcW w:w="1985" w:type="dxa"/>
            <w:tcBorders>
              <w:top w:val="nil"/>
              <w:left w:val="single" w:sz="4" w:space="0" w:color="auto"/>
              <w:bottom w:val="single" w:sz="4" w:space="0" w:color="auto"/>
              <w:right w:val="single" w:sz="4" w:space="0" w:color="auto"/>
            </w:tcBorders>
            <w:vAlign w:val="center"/>
          </w:tcPr>
          <w:p w14:paraId="79C8BD7C"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single" w:sz="4" w:space="0" w:color="auto"/>
              <w:right w:val="single" w:sz="4" w:space="0" w:color="auto"/>
            </w:tcBorders>
            <w:vAlign w:val="center"/>
          </w:tcPr>
          <w:p w14:paraId="251A34B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-5.0</w:t>
            </w:r>
            <w:r w:rsidR="006502D0" w:rsidRPr="000855B2">
              <w:rPr>
                <w:rFonts w:cs="Open Sans"/>
                <w:szCs w:val="18"/>
                <w:lang w:val="en-GB"/>
              </w:rPr>
              <w:t> %</w:t>
            </w:r>
          </w:p>
        </w:tc>
        <w:tc>
          <w:tcPr>
            <w:tcW w:w="1476" w:type="dxa"/>
            <w:tcBorders>
              <w:top w:val="nil"/>
              <w:left w:val="single" w:sz="4" w:space="0" w:color="auto"/>
              <w:bottom w:val="single" w:sz="4" w:space="0" w:color="auto"/>
              <w:right w:val="single" w:sz="4" w:space="0" w:color="auto"/>
            </w:tcBorders>
            <w:vAlign w:val="center"/>
          </w:tcPr>
          <w:p w14:paraId="7965DF5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-9.0</w:t>
            </w:r>
            <w:r w:rsidR="006502D0" w:rsidRPr="000855B2">
              <w:rPr>
                <w:rFonts w:cs="Open Sans"/>
                <w:szCs w:val="18"/>
                <w:lang w:val="en-GB"/>
              </w:rPr>
              <w:t> %</w:t>
            </w:r>
          </w:p>
        </w:tc>
        <w:tc>
          <w:tcPr>
            <w:tcW w:w="1205" w:type="dxa"/>
            <w:tcBorders>
              <w:top w:val="nil"/>
              <w:left w:val="single" w:sz="4" w:space="0" w:color="auto"/>
              <w:bottom w:val="single" w:sz="4" w:space="0" w:color="auto"/>
              <w:right w:val="double" w:sz="6" w:space="0" w:color="000000"/>
            </w:tcBorders>
            <w:vAlign w:val="center"/>
          </w:tcPr>
          <w:p w14:paraId="54362502"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-20.0</w:t>
            </w:r>
            <w:r w:rsidR="006502D0" w:rsidRPr="000855B2">
              <w:rPr>
                <w:rFonts w:cs="Open Sans"/>
                <w:szCs w:val="18"/>
                <w:lang w:val="en-GB"/>
              </w:rPr>
              <w:t> %</w:t>
            </w:r>
          </w:p>
        </w:tc>
      </w:tr>
      <w:tr w:rsidR="001D2587" w:rsidRPr="000855B2" w14:paraId="29C6A9BB" w14:textId="77777777" w:rsidTr="00AF4A3C">
        <w:trPr>
          <w:cantSplit/>
          <w:trHeight w:val="297"/>
        </w:trPr>
        <w:tc>
          <w:tcPr>
            <w:tcW w:w="1497" w:type="dxa"/>
            <w:vMerge w:val="restart"/>
            <w:tcBorders>
              <w:top w:val="nil"/>
              <w:left w:val="double" w:sz="6" w:space="0" w:color="000000"/>
              <w:bottom w:val="single" w:sz="8" w:space="0" w:color="000000"/>
              <w:right w:val="single" w:sz="4" w:space="0" w:color="auto"/>
            </w:tcBorders>
            <w:vAlign w:val="center"/>
          </w:tcPr>
          <w:p w14:paraId="1807C8D4"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HC</w:t>
            </w:r>
          </w:p>
        </w:tc>
        <w:tc>
          <w:tcPr>
            <w:tcW w:w="1985" w:type="dxa"/>
            <w:tcBorders>
              <w:top w:val="nil"/>
              <w:left w:val="single" w:sz="4" w:space="0" w:color="auto"/>
              <w:bottom w:val="nil"/>
              <w:right w:val="single" w:sz="4" w:space="0" w:color="auto"/>
            </w:tcBorders>
            <w:vAlign w:val="center"/>
          </w:tcPr>
          <w:p w14:paraId="7DB038EA"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 xml:space="preserve">Passenger </w:t>
            </w:r>
            <w:r w:rsidR="00CA4F04" w:rsidRPr="000855B2">
              <w:rPr>
                <w:rFonts w:cs="Open Sans"/>
                <w:szCs w:val="18"/>
                <w:lang w:val="en-GB"/>
              </w:rPr>
              <w:t>c</w:t>
            </w:r>
            <w:r w:rsidRPr="000855B2">
              <w:rPr>
                <w:rFonts w:cs="Open Sans"/>
                <w:szCs w:val="18"/>
                <w:lang w:val="en-GB"/>
              </w:rPr>
              <w:t>ars</w:t>
            </w:r>
          </w:p>
        </w:tc>
        <w:tc>
          <w:tcPr>
            <w:tcW w:w="992" w:type="dxa"/>
            <w:tcBorders>
              <w:top w:val="nil"/>
              <w:left w:val="single" w:sz="4" w:space="0" w:color="auto"/>
              <w:bottom w:val="nil"/>
              <w:right w:val="single" w:sz="4" w:space="0" w:color="auto"/>
            </w:tcBorders>
            <w:vAlign w:val="center"/>
          </w:tcPr>
          <w:p w14:paraId="6C846948"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2EC7EE29"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4708703D"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2BFB3D85" w14:textId="77777777" w:rsidTr="00AF4A3C">
        <w:trPr>
          <w:cantSplit/>
          <w:trHeight w:val="297"/>
        </w:trPr>
        <w:tc>
          <w:tcPr>
            <w:tcW w:w="1497" w:type="dxa"/>
            <w:vMerge/>
            <w:tcBorders>
              <w:top w:val="nil"/>
              <w:left w:val="double" w:sz="6" w:space="0" w:color="000000"/>
              <w:bottom w:val="single" w:sz="8" w:space="0" w:color="000000"/>
              <w:right w:val="single" w:sz="4" w:space="0" w:color="auto"/>
            </w:tcBorders>
            <w:vAlign w:val="center"/>
          </w:tcPr>
          <w:p w14:paraId="456A2F0B" w14:textId="77777777" w:rsidR="001D2587" w:rsidRPr="000855B2" w:rsidRDefault="001D2587" w:rsidP="005C7955">
            <w:pPr>
              <w:keepNext/>
              <w:keepLines/>
              <w:suppressAutoHyphens/>
              <w:spacing w:line="240" w:lineRule="atLeast"/>
              <w:jc w:val="center"/>
              <w:rPr>
                <w:rFonts w:cs="Open Sans"/>
                <w:szCs w:val="18"/>
                <w:lang w:val="en-GB"/>
              </w:rPr>
            </w:pPr>
          </w:p>
        </w:tc>
        <w:tc>
          <w:tcPr>
            <w:tcW w:w="1985" w:type="dxa"/>
            <w:tcBorders>
              <w:top w:val="nil"/>
              <w:left w:val="single" w:sz="4" w:space="0" w:color="auto"/>
              <w:bottom w:val="nil"/>
              <w:right w:val="single" w:sz="4" w:space="0" w:color="auto"/>
            </w:tcBorders>
            <w:vAlign w:val="center"/>
          </w:tcPr>
          <w:p w14:paraId="159B971C" w14:textId="77777777" w:rsidR="001D2587" w:rsidRPr="000855B2" w:rsidRDefault="00CF67A4" w:rsidP="005C7955">
            <w:pPr>
              <w:keepNext/>
              <w:keepLines/>
              <w:suppressAutoHyphens/>
              <w:spacing w:line="240" w:lineRule="atLeast"/>
              <w:rPr>
                <w:rFonts w:cs="Open Sans"/>
                <w:szCs w:val="18"/>
                <w:lang w:val="en-GB"/>
              </w:rPr>
            </w:pPr>
            <w:r w:rsidRPr="000855B2">
              <w:rPr>
                <w:rFonts w:cs="Open Sans"/>
                <w:szCs w:val="18"/>
                <w:lang w:val="en-GB"/>
              </w:rPr>
              <w:t>Light commercial</w:t>
            </w:r>
            <w:r w:rsidR="001D2587" w:rsidRPr="000855B2">
              <w:rPr>
                <w:rFonts w:cs="Open Sans"/>
                <w:szCs w:val="18"/>
                <w:lang w:val="en-GB"/>
              </w:rPr>
              <w:t xml:space="preserve"> </w:t>
            </w:r>
            <w:r w:rsidR="00CA4F04" w:rsidRPr="000855B2">
              <w:rPr>
                <w:rFonts w:cs="Open Sans"/>
                <w:szCs w:val="18"/>
                <w:lang w:val="en-GB"/>
              </w:rPr>
              <w:t>v</w:t>
            </w:r>
            <w:r w:rsidR="001D2587" w:rsidRPr="000855B2">
              <w:rPr>
                <w:rFonts w:cs="Open Sans"/>
                <w:szCs w:val="18"/>
                <w:lang w:val="en-GB"/>
              </w:rPr>
              <w:t>ehicles</w:t>
            </w:r>
          </w:p>
        </w:tc>
        <w:tc>
          <w:tcPr>
            <w:tcW w:w="992" w:type="dxa"/>
            <w:tcBorders>
              <w:top w:val="nil"/>
              <w:left w:val="single" w:sz="4" w:space="0" w:color="auto"/>
              <w:bottom w:val="nil"/>
              <w:right w:val="single" w:sz="4" w:space="0" w:color="auto"/>
            </w:tcBorders>
            <w:noWrap/>
            <w:vAlign w:val="center"/>
          </w:tcPr>
          <w:p w14:paraId="0D00C60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476" w:type="dxa"/>
            <w:tcBorders>
              <w:top w:val="nil"/>
              <w:left w:val="single" w:sz="4" w:space="0" w:color="auto"/>
              <w:bottom w:val="nil"/>
              <w:right w:val="single" w:sz="4" w:space="0" w:color="auto"/>
            </w:tcBorders>
            <w:vAlign w:val="center"/>
          </w:tcPr>
          <w:p w14:paraId="71BA68AA"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205" w:type="dxa"/>
            <w:tcBorders>
              <w:top w:val="nil"/>
              <w:left w:val="single" w:sz="4" w:space="0" w:color="auto"/>
              <w:bottom w:val="nil"/>
              <w:right w:val="double" w:sz="6" w:space="0" w:color="000000"/>
            </w:tcBorders>
            <w:vAlign w:val="center"/>
          </w:tcPr>
          <w:p w14:paraId="174E2557" w14:textId="77777777" w:rsidR="001D2587" w:rsidRPr="000855B2" w:rsidRDefault="001D2587" w:rsidP="005C7955">
            <w:pPr>
              <w:keepNext/>
              <w:keepLines/>
              <w:suppressAutoHyphens/>
              <w:spacing w:line="240" w:lineRule="atLeast"/>
              <w:jc w:val="center"/>
              <w:rPr>
                <w:rFonts w:cs="Open Sans"/>
                <w:szCs w:val="18"/>
                <w:lang w:val="en-GB"/>
              </w:rPr>
            </w:pPr>
          </w:p>
        </w:tc>
      </w:tr>
      <w:tr w:rsidR="001D2587" w:rsidRPr="000855B2" w14:paraId="4467381D" w14:textId="77777777" w:rsidTr="00AF4A3C">
        <w:trPr>
          <w:cantSplit/>
          <w:trHeight w:val="311"/>
        </w:trPr>
        <w:tc>
          <w:tcPr>
            <w:tcW w:w="1497" w:type="dxa"/>
            <w:vMerge/>
            <w:tcBorders>
              <w:top w:val="nil"/>
              <w:left w:val="double" w:sz="6" w:space="0" w:color="000000"/>
              <w:bottom w:val="double" w:sz="6" w:space="0" w:color="000000"/>
              <w:right w:val="single" w:sz="4" w:space="0" w:color="auto"/>
            </w:tcBorders>
            <w:vAlign w:val="center"/>
          </w:tcPr>
          <w:p w14:paraId="6073D2A8" w14:textId="77777777" w:rsidR="001D2587" w:rsidRPr="000855B2" w:rsidRDefault="001D2587" w:rsidP="005C7955">
            <w:pPr>
              <w:keepNext/>
              <w:keepLines/>
              <w:suppressAutoHyphens/>
              <w:spacing w:line="240" w:lineRule="atLeast"/>
              <w:jc w:val="center"/>
              <w:rPr>
                <w:rFonts w:cs="Open Sans"/>
                <w:szCs w:val="18"/>
                <w:lang w:val="en-GB"/>
              </w:rPr>
            </w:pPr>
          </w:p>
        </w:tc>
        <w:tc>
          <w:tcPr>
            <w:tcW w:w="1985" w:type="dxa"/>
            <w:tcBorders>
              <w:top w:val="nil"/>
              <w:left w:val="single" w:sz="4" w:space="0" w:color="auto"/>
              <w:bottom w:val="double" w:sz="6" w:space="0" w:color="000000"/>
              <w:right w:val="single" w:sz="4" w:space="0" w:color="auto"/>
            </w:tcBorders>
            <w:vAlign w:val="center"/>
          </w:tcPr>
          <w:p w14:paraId="566571D6" w14:textId="77777777" w:rsidR="001D2587" w:rsidRPr="000855B2" w:rsidRDefault="001D2587" w:rsidP="005C7955">
            <w:pPr>
              <w:keepNext/>
              <w:keepLines/>
              <w:suppressAutoHyphens/>
              <w:spacing w:line="240" w:lineRule="atLeast"/>
              <w:rPr>
                <w:rFonts w:cs="Open Sans"/>
                <w:szCs w:val="18"/>
                <w:lang w:val="en-GB"/>
              </w:rPr>
            </w:pPr>
            <w:r w:rsidRPr="000855B2">
              <w:rPr>
                <w:rFonts w:cs="Open Sans"/>
                <w:szCs w:val="18"/>
                <w:lang w:val="en-GB"/>
              </w:rPr>
              <w:t>Heavy</w:t>
            </w:r>
            <w:r w:rsidR="00CA4F04" w:rsidRPr="000855B2">
              <w:rPr>
                <w:rFonts w:cs="Open Sans"/>
                <w:szCs w:val="18"/>
                <w:lang w:val="en-GB"/>
              </w:rPr>
              <w:t>-</w:t>
            </w:r>
            <w:r w:rsidRPr="000855B2">
              <w:rPr>
                <w:rFonts w:cs="Open Sans"/>
                <w:szCs w:val="18"/>
                <w:lang w:val="en-GB"/>
              </w:rPr>
              <w:t>duty vehicles</w:t>
            </w:r>
          </w:p>
        </w:tc>
        <w:tc>
          <w:tcPr>
            <w:tcW w:w="992" w:type="dxa"/>
            <w:tcBorders>
              <w:top w:val="nil"/>
              <w:left w:val="single" w:sz="4" w:space="0" w:color="auto"/>
              <w:bottom w:val="double" w:sz="6" w:space="0" w:color="000000"/>
              <w:right w:val="single" w:sz="4" w:space="0" w:color="auto"/>
            </w:tcBorders>
            <w:noWrap/>
            <w:vAlign w:val="center"/>
          </w:tcPr>
          <w:p w14:paraId="0CCD13C9"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-10.0</w:t>
            </w:r>
            <w:r w:rsidR="006502D0" w:rsidRPr="000855B2">
              <w:rPr>
                <w:rFonts w:cs="Open Sans"/>
                <w:szCs w:val="18"/>
                <w:lang w:val="en-GB"/>
              </w:rPr>
              <w:t> %</w:t>
            </w:r>
          </w:p>
        </w:tc>
        <w:tc>
          <w:tcPr>
            <w:tcW w:w="1476" w:type="dxa"/>
            <w:tcBorders>
              <w:top w:val="nil"/>
              <w:left w:val="single" w:sz="4" w:space="0" w:color="auto"/>
              <w:bottom w:val="double" w:sz="6" w:space="0" w:color="000000"/>
              <w:right w:val="single" w:sz="4" w:space="0" w:color="auto"/>
            </w:tcBorders>
            <w:vAlign w:val="center"/>
          </w:tcPr>
          <w:p w14:paraId="327CAEDB"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-15.0</w:t>
            </w:r>
            <w:r w:rsidR="006502D0" w:rsidRPr="000855B2">
              <w:rPr>
                <w:rFonts w:cs="Open Sans"/>
                <w:szCs w:val="18"/>
                <w:lang w:val="en-GB"/>
              </w:rPr>
              <w:t> %</w:t>
            </w:r>
          </w:p>
        </w:tc>
        <w:tc>
          <w:tcPr>
            <w:tcW w:w="1205" w:type="dxa"/>
            <w:tcBorders>
              <w:top w:val="nil"/>
              <w:left w:val="single" w:sz="4" w:space="0" w:color="auto"/>
              <w:bottom w:val="double" w:sz="6" w:space="0" w:color="000000"/>
              <w:right w:val="double" w:sz="6" w:space="0" w:color="000000"/>
            </w:tcBorders>
            <w:vAlign w:val="center"/>
          </w:tcPr>
          <w:p w14:paraId="744CE12C" w14:textId="77777777" w:rsidR="001D2587" w:rsidRPr="000855B2" w:rsidRDefault="001D2587" w:rsidP="005C7955">
            <w:pPr>
              <w:keepNext/>
              <w:keepLines/>
              <w:suppressAutoHyphens/>
              <w:spacing w:line="240" w:lineRule="atLeast"/>
              <w:jc w:val="center"/>
              <w:rPr>
                <w:rFonts w:cs="Open Sans"/>
                <w:szCs w:val="18"/>
                <w:lang w:val="en-GB"/>
              </w:rPr>
            </w:pPr>
            <w:r w:rsidRPr="000855B2">
              <w:rPr>
                <w:rFonts w:cs="Open Sans"/>
                <w:szCs w:val="18"/>
                <w:lang w:val="en-GB"/>
              </w:rPr>
              <w:t>-17.0</w:t>
            </w:r>
            <w:r w:rsidR="006502D0" w:rsidRPr="000855B2">
              <w:rPr>
                <w:rFonts w:cs="Open Sans"/>
                <w:szCs w:val="18"/>
                <w:lang w:val="en-GB"/>
              </w:rPr>
              <w:t> %</w:t>
            </w:r>
          </w:p>
        </w:tc>
      </w:tr>
    </w:tbl>
    <w:p w14:paraId="46E0965D" w14:textId="77777777" w:rsidR="001D2587" w:rsidRPr="000855B2" w:rsidRDefault="001D2587" w:rsidP="00E0469F">
      <w:pPr>
        <w:pStyle w:val="Heading4"/>
      </w:pPr>
      <w:bookmarkStart w:id="285" w:name="_Toc200272614"/>
      <w:r w:rsidRPr="000855B2">
        <w:t>Species profiles</w:t>
      </w:r>
      <w:bookmarkEnd w:id="285"/>
    </w:p>
    <w:p w14:paraId="30F541DB" w14:textId="77777777" w:rsidR="001D2587" w:rsidRPr="000855B2" w:rsidRDefault="001D2587" w:rsidP="00B40603">
      <w:pPr>
        <w:pStyle w:val="Heading5"/>
      </w:pPr>
      <w:bookmarkStart w:id="286" w:name="OLE_LINK6"/>
      <w:bookmarkStart w:id="287" w:name="OLE_LINK7"/>
      <w:r w:rsidRPr="000855B2">
        <w:t>VOC Speciation</w:t>
      </w:r>
    </w:p>
    <w:bookmarkEnd w:id="286"/>
    <w:bookmarkEnd w:id="287"/>
    <w:p w14:paraId="4BEC40C1" w14:textId="3349E579" w:rsidR="001D2587" w:rsidRPr="000855B2" w:rsidRDefault="001D2587" w:rsidP="0083104A">
      <w:pPr>
        <w:pStyle w:val="BodyText"/>
      </w:pPr>
      <w:r w:rsidRPr="000855B2">
        <w:t xml:space="preserve">The </w:t>
      </w:r>
      <w:r w:rsidR="00D6493A" w:rsidRPr="000855B2">
        <w:t>separation of NM</w:t>
      </w:r>
      <w:r w:rsidRPr="000855B2">
        <w:t>VOCs in</w:t>
      </w:r>
      <w:r w:rsidR="00D6493A" w:rsidRPr="000855B2">
        <w:t>to</w:t>
      </w:r>
      <w:r w:rsidRPr="000855B2">
        <w:t xml:space="preserve"> different </w:t>
      </w:r>
      <w:r w:rsidR="00D6493A" w:rsidRPr="000855B2">
        <w:t>compounds</w:t>
      </w:r>
      <w:r w:rsidRPr="000855B2">
        <w:t xml:space="preserve"> is given in</w:t>
      </w:r>
      <w:r w:rsidR="009D6815">
        <w:t xml:space="preserve"> </w:t>
      </w:r>
      <w:r w:rsidR="00E17971" w:rsidRPr="000855B2">
        <w:fldChar w:fldCharType="begin"/>
      </w:r>
      <w:r w:rsidR="00236573" w:rsidRPr="000855B2">
        <w:instrText xml:space="preserve"> REF _Ref201981380 \h </w:instrText>
      </w:r>
      <w:r w:rsidR="00E17971" w:rsidRPr="000855B2">
        <w:fldChar w:fldCharType="separate"/>
      </w:r>
      <w:r w:rsidR="0071604C" w:rsidRPr="000855B2">
        <w:t>Table </w:t>
      </w:r>
      <w:r w:rsidR="0071604C">
        <w:rPr>
          <w:noProof/>
        </w:rPr>
        <w:t>3</w:t>
      </w:r>
      <w:r w:rsidR="0071604C">
        <w:t>.</w:t>
      </w:r>
      <w:r w:rsidR="0071604C">
        <w:rPr>
          <w:noProof/>
        </w:rPr>
        <w:t>86</w:t>
      </w:r>
      <w:r w:rsidR="00E17971" w:rsidRPr="000855B2">
        <w:fldChar w:fldCharType="end"/>
      </w:r>
      <w:r w:rsidR="00236573" w:rsidRPr="000855B2">
        <w:t xml:space="preserve">a and </w:t>
      </w:r>
      <w:r w:rsidR="00E17971" w:rsidRPr="000855B2">
        <w:fldChar w:fldCharType="begin"/>
      </w:r>
      <w:r w:rsidR="00236573" w:rsidRPr="000855B2">
        <w:instrText xml:space="preserve"> REF _Ref201981380 \h </w:instrText>
      </w:r>
      <w:r w:rsidR="00E17971" w:rsidRPr="000855B2">
        <w:fldChar w:fldCharType="separate"/>
      </w:r>
      <w:r w:rsidR="0071604C" w:rsidRPr="000855B2">
        <w:t>Table </w:t>
      </w:r>
      <w:r w:rsidR="0071604C">
        <w:rPr>
          <w:noProof/>
        </w:rPr>
        <w:t>3</w:t>
      </w:r>
      <w:r w:rsidR="0071604C">
        <w:t>.</w:t>
      </w:r>
      <w:r w:rsidR="0071604C">
        <w:rPr>
          <w:noProof/>
        </w:rPr>
        <w:t>86</w:t>
      </w:r>
      <w:r w:rsidR="00E17971" w:rsidRPr="000855B2">
        <w:fldChar w:fldCharType="end"/>
      </w:r>
      <w:r w:rsidR="00236573" w:rsidRPr="000855B2">
        <w:t>b</w:t>
      </w:r>
      <w:r w:rsidR="009A10DA" w:rsidRPr="000855B2">
        <w:t>.</w:t>
      </w:r>
      <w:r w:rsidRPr="000855B2">
        <w:t xml:space="preserve"> </w:t>
      </w:r>
      <w:r w:rsidR="00D6493A" w:rsidRPr="000855B2">
        <w:t>The p</w:t>
      </w:r>
      <w:r w:rsidRPr="000855B2">
        <w:t>roposed fractions have been obtained</w:t>
      </w:r>
      <w:r w:rsidR="00D6493A" w:rsidRPr="000855B2">
        <w:t xml:space="preserve"> from</w:t>
      </w:r>
      <w:r w:rsidRPr="000855B2">
        <w:t xml:space="preserve"> the literature (BUWAL, 1994; </w:t>
      </w:r>
      <w:smartTag w:uri="urn:schemas-microsoft-com:office:smarttags" w:element="stockticker">
        <w:r w:rsidRPr="000855B2">
          <w:t>TNO</w:t>
        </w:r>
      </w:smartTag>
      <w:r w:rsidRPr="000855B2">
        <w:t xml:space="preserve">, 1993; Volkswagen, 1989; Umweltbundesamt, 1996). </w:t>
      </w:r>
      <w:r w:rsidR="00D6493A" w:rsidRPr="000855B2">
        <w:t>The f</w:t>
      </w:r>
      <w:r w:rsidRPr="000855B2">
        <w:t xml:space="preserve">ractions in the Tables are applied to the total NMVOC emissions from </w:t>
      </w:r>
      <w:r w:rsidR="00D6493A" w:rsidRPr="000855B2">
        <w:t>c</w:t>
      </w:r>
      <w:r w:rsidR="0008044E" w:rsidRPr="000855B2">
        <w:t>onventional (pre Euro 1</w:t>
      </w:r>
      <w:r w:rsidRPr="000855B2">
        <w:t>) or closed</w:t>
      </w:r>
      <w:r w:rsidR="00D6493A" w:rsidRPr="000855B2">
        <w:t>-</w:t>
      </w:r>
      <w:r w:rsidRPr="000855B2">
        <w:t>loop</w:t>
      </w:r>
      <w:r w:rsidR="00D6493A" w:rsidRPr="000855B2">
        <w:t>-</w:t>
      </w:r>
      <w:r w:rsidRPr="000855B2">
        <w:t>catalyst</w:t>
      </w:r>
      <w:r w:rsidR="00D6493A" w:rsidRPr="000855B2">
        <w:t xml:space="preserve"> </w:t>
      </w:r>
      <w:r w:rsidR="0008044E" w:rsidRPr="000855B2">
        <w:t>(Euro 1</w:t>
      </w:r>
      <w:r w:rsidRPr="000855B2">
        <w:t xml:space="preserve"> and </w:t>
      </w:r>
      <w:r w:rsidR="00D6493A" w:rsidRPr="000855B2">
        <w:t>later</w:t>
      </w:r>
      <w:r w:rsidRPr="000855B2">
        <w:t xml:space="preserve">) </w:t>
      </w:r>
      <w:r w:rsidR="005E4DC4">
        <w:t>petrol</w:t>
      </w:r>
      <w:r w:rsidRPr="000855B2">
        <w:t xml:space="preserve"> passenger cars and </w:t>
      </w:r>
      <w:r w:rsidR="00CF67A4" w:rsidRPr="000855B2">
        <w:t>light commercial</w:t>
      </w:r>
      <w:r w:rsidRPr="000855B2">
        <w:t xml:space="preserve"> vehicles, diesel passenger cars and </w:t>
      </w:r>
      <w:r w:rsidR="00CF67A4" w:rsidRPr="000855B2">
        <w:t>light commercial</w:t>
      </w:r>
      <w:r w:rsidRPr="000855B2">
        <w:t xml:space="preserve"> vehicles, diesel heavy</w:t>
      </w:r>
      <w:r w:rsidR="006F1553" w:rsidRPr="000855B2">
        <w:t>-</w:t>
      </w:r>
      <w:r w:rsidRPr="000855B2">
        <w:t xml:space="preserve">duty vehicles and LPG passenger cars. A common speciation is proposed for diesel passenger cars and </w:t>
      </w:r>
      <w:r w:rsidR="00CF67A4" w:rsidRPr="000855B2">
        <w:t>light commercial</w:t>
      </w:r>
      <w:r w:rsidRPr="000855B2">
        <w:t xml:space="preserve"> vehicles, regardless of the combustion concept (DI or IDI).</w:t>
      </w:r>
    </w:p>
    <w:p w14:paraId="417D0FEB" w14:textId="77777777" w:rsidR="001D2587" w:rsidRPr="000855B2" w:rsidRDefault="00D6493A" w:rsidP="0083104A">
      <w:pPr>
        <w:pStyle w:val="BodyText"/>
      </w:pPr>
      <w:r w:rsidRPr="000855B2">
        <w:t xml:space="preserve">The </w:t>
      </w:r>
      <w:r w:rsidR="001D2587" w:rsidRPr="000855B2">
        <w:t>NMVOC speciation f</w:t>
      </w:r>
      <w:r w:rsidRPr="000855B2">
        <w:t>or</w:t>
      </w:r>
      <w:r w:rsidR="001D2587" w:rsidRPr="000855B2">
        <w:t xml:space="preserve"> four</w:t>
      </w:r>
      <w:r w:rsidRPr="000855B2">
        <w:t>-</w:t>
      </w:r>
      <w:r w:rsidR="001D2587" w:rsidRPr="000855B2">
        <w:t xml:space="preserve">stroke motorcycles is estimated </w:t>
      </w:r>
      <w:r w:rsidRPr="000855B2">
        <w:t>using</w:t>
      </w:r>
      <w:r w:rsidR="001D2587" w:rsidRPr="000855B2">
        <w:t xml:space="preserve"> fractions derived from conventional </w:t>
      </w:r>
      <w:r w:rsidR="005E4DC4">
        <w:t>petrol</w:t>
      </w:r>
      <w:r w:rsidR="001D2587" w:rsidRPr="000855B2">
        <w:t xml:space="preserve"> vehicles</w:t>
      </w:r>
      <w:r w:rsidRPr="000855B2">
        <w:t>,</w:t>
      </w:r>
      <w:r w:rsidR="001D2587" w:rsidRPr="000855B2">
        <w:t xml:space="preserve"> as in the case of PAHs and POPs. This approach needs to be reconsidered when more complete data become available.</w:t>
      </w:r>
    </w:p>
    <w:p w14:paraId="75D8821C" w14:textId="36624D86" w:rsidR="001D2587" w:rsidRPr="000855B2" w:rsidRDefault="001D2587" w:rsidP="000A6C21">
      <w:pPr>
        <w:pStyle w:val="BodyText"/>
      </w:pPr>
      <w:r w:rsidRPr="000855B2">
        <w:t>The last row of</w:t>
      </w:r>
      <w:r w:rsidR="009A10DA" w:rsidRPr="000855B2">
        <w:t xml:space="preserve"> </w:t>
      </w:r>
      <w:r w:rsidR="00E17971" w:rsidRPr="000855B2">
        <w:fldChar w:fldCharType="begin"/>
      </w:r>
      <w:r w:rsidR="00236573" w:rsidRPr="000855B2">
        <w:instrText xml:space="preserve"> REF _Ref201981380 \h </w:instrText>
      </w:r>
      <w:r w:rsidR="00E17971" w:rsidRPr="000855B2">
        <w:fldChar w:fldCharType="separate"/>
      </w:r>
      <w:r w:rsidR="0071604C" w:rsidRPr="000855B2">
        <w:t>Table </w:t>
      </w:r>
      <w:r w:rsidR="0071604C">
        <w:rPr>
          <w:noProof/>
        </w:rPr>
        <w:t>3</w:t>
      </w:r>
      <w:r w:rsidR="0071604C">
        <w:t>.</w:t>
      </w:r>
      <w:r w:rsidR="0071604C">
        <w:rPr>
          <w:noProof/>
        </w:rPr>
        <w:t>86</w:t>
      </w:r>
      <w:r w:rsidR="00E17971" w:rsidRPr="000855B2">
        <w:fldChar w:fldCharType="end"/>
      </w:r>
      <w:r w:rsidR="00236573" w:rsidRPr="000855B2">
        <w:t>b</w:t>
      </w:r>
      <w:r w:rsidR="00F73BA1" w:rsidRPr="000855B2">
        <w:t xml:space="preserve"> </w:t>
      </w:r>
      <w:r w:rsidRPr="000855B2">
        <w:t>shows the total</w:t>
      </w:r>
      <w:r w:rsidR="00D6493A" w:rsidRPr="000855B2">
        <w:t xml:space="preserve"> sum of these</w:t>
      </w:r>
      <w:r w:rsidRPr="000855B2">
        <w:t xml:space="preserve"> fractions. It is assumed that the remaining fraction consists of PAHs and POPs.</w:t>
      </w:r>
    </w:p>
    <w:p w14:paraId="0E0460EA" w14:textId="1323A0F5" w:rsidR="001D2587" w:rsidRPr="000855B2" w:rsidRDefault="001D2587" w:rsidP="008D1A83">
      <w:pPr>
        <w:pStyle w:val="Caption"/>
      </w:pPr>
      <w:bookmarkStart w:id="288" w:name="_Ref140573508"/>
      <w:r w:rsidRPr="000855B2">
        <w:br w:type="page"/>
      </w:r>
      <w:bookmarkStart w:id="289" w:name="_Ref201981380"/>
      <w:r w:rsidR="00A040D1"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86</w:t>
      </w:r>
      <w:r w:rsidR="00FB454C">
        <w:rPr>
          <w:noProof/>
        </w:rPr>
        <w:fldChar w:fldCharType="end"/>
      </w:r>
      <w:bookmarkEnd w:id="288"/>
      <w:bookmarkEnd w:id="289"/>
      <w:r w:rsidRPr="000855B2">
        <w:t>a: Composition of NMVOC in exhaust emissions</w:t>
      </w:r>
      <w:r w:rsidR="0048755A" w:rsidRPr="000855B2">
        <w:t xml:space="preserve"> </w:t>
      </w:r>
      <w:r w:rsidRPr="000855B2">
        <w:t>(alkanes, cycloalkanes, alkenes, alk</w:t>
      </w:r>
      <w:r w:rsidR="00DD26BD" w:rsidRPr="000855B2">
        <w:t>y</w:t>
      </w:r>
      <w:r w:rsidRPr="000855B2">
        <w:t>nes)</w:t>
      </w:r>
    </w:p>
    <w:tbl>
      <w:tblPr>
        <w:tblW w:w="8245" w:type="dxa"/>
        <w:tblLook w:val="04A0" w:firstRow="1" w:lastRow="0" w:firstColumn="1" w:lastColumn="0" w:noHBand="0" w:noVBand="1"/>
      </w:tblPr>
      <w:tblGrid>
        <w:gridCol w:w="1740"/>
        <w:gridCol w:w="1402"/>
        <w:gridCol w:w="992"/>
        <w:gridCol w:w="1134"/>
        <w:gridCol w:w="1559"/>
        <w:gridCol w:w="709"/>
        <w:gridCol w:w="709"/>
      </w:tblGrid>
      <w:tr w:rsidR="00011289" w:rsidRPr="000855B2" w14:paraId="26035219" w14:textId="77777777" w:rsidTr="00887829">
        <w:trPr>
          <w:trHeight w:val="240"/>
        </w:trPr>
        <w:tc>
          <w:tcPr>
            <w:tcW w:w="1740"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14:paraId="5906A47B" w14:textId="77777777" w:rsidR="00011289" w:rsidRPr="000855B2" w:rsidRDefault="00011289" w:rsidP="008D2AFB">
            <w:pPr>
              <w:spacing w:line="240" w:lineRule="auto"/>
              <w:jc w:val="center"/>
              <w:rPr>
                <w:b/>
                <w:bCs/>
                <w:sz w:val="16"/>
                <w:szCs w:val="16"/>
                <w:lang w:val="en-GB"/>
              </w:rPr>
            </w:pPr>
            <w:r w:rsidRPr="000855B2">
              <w:rPr>
                <w:b/>
                <w:bCs/>
                <w:sz w:val="16"/>
                <w:szCs w:val="16"/>
                <w:lang w:val="en-GB"/>
              </w:rPr>
              <w:t>Group</w:t>
            </w:r>
          </w:p>
        </w:tc>
        <w:tc>
          <w:tcPr>
            <w:tcW w:w="1402"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6EE0FAB7" w14:textId="77777777" w:rsidR="00011289" w:rsidRPr="000855B2" w:rsidRDefault="00011289" w:rsidP="008D2AFB">
            <w:pPr>
              <w:spacing w:line="240" w:lineRule="auto"/>
              <w:jc w:val="center"/>
              <w:rPr>
                <w:b/>
                <w:bCs/>
                <w:sz w:val="16"/>
                <w:szCs w:val="16"/>
                <w:lang w:val="en-GB"/>
              </w:rPr>
            </w:pPr>
            <w:r w:rsidRPr="000855B2">
              <w:rPr>
                <w:b/>
                <w:bCs/>
                <w:sz w:val="16"/>
                <w:szCs w:val="16"/>
                <w:lang w:val="en-GB"/>
              </w:rPr>
              <w:t>Species</w:t>
            </w:r>
          </w:p>
        </w:tc>
        <w:tc>
          <w:tcPr>
            <w:tcW w:w="5103" w:type="dxa"/>
            <w:gridSpan w:val="5"/>
            <w:tcBorders>
              <w:top w:val="double" w:sz="6" w:space="0" w:color="auto"/>
              <w:left w:val="nil"/>
              <w:bottom w:val="single" w:sz="8" w:space="0" w:color="auto"/>
              <w:right w:val="double" w:sz="6" w:space="0" w:color="000000"/>
            </w:tcBorders>
            <w:shd w:val="clear" w:color="auto" w:fill="auto"/>
            <w:noWrap/>
            <w:vAlign w:val="center"/>
            <w:hideMark/>
          </w:tcPr>
          <w:p w14:paraId="47FF3E3C" w14:textId="77777777" w:rsidR="00011289" w:rsidRPr="000855B2" w:rsidRDefault="00011289" w:rsidP="008D2AFB">
            <w:pPr>
              <w:spacing w:line="240" w:lineRule="auto"/>
              <w:jc w:val="center"/>
              <w:rPr>
                <w:b/>
                <w:bCs/>
                <w:sz w:val="16"/>
                <w:szCs w:val="16"/>
                <w:lang w:val="en-GB"/>
              </w:rPr>
            </w:pPr>
            <w:r w:rsidRPr="000855B2">
              <w:rPr>
                <w:b/>
                <w:bCs/>
                <w:sz w:val="16"/>
                <w:szCs w:val="16"/>
                <w:lang w:val="en-GB"/>
              </w:rPr>
              <w:t>NMVOC Fraction (% wt.)</w:t>
            </w:r>
          </w:p>
        </w:tc>
      </w:tr>
      <w:tr w:rsidR="00011289" w:rsidRPr="000855B2" w14:paraId="472E229F" w14:textId="77777777" w:rsidTr="00887829">
        <w:trPr>
          <w:trHeight w:val="240"/>
        </w:trPr>
        <w:tc>
          <w:tcPr>
            <w:tcW w:w="1740" w:type="dxa"/>
            <w:vMerge/>
            <w:tcBorders>
              <w:top w:val="double" w:sz="6" w:space="0" w:color="auto"/>
              <w:left w:val="double" w:sz="6" w:space="0" w:color="auto"/>
              <w:bottom w:val="single" w:sz="8" w:space="0" w:color="000000"/>
              <w:right w:val="single" w:sz="4" w:space="0" w:color="auto"/>
            </w:tcBorders>
            <w:vAlign w:val="center"/>
            <w:hideMark/>
          </w:tcPr>
          <w:p w14:paraId="68715BCD" w14:textId="77777777" w:rsidR="00011289" w:rsidRPr="000855B2" w:rsidRDefault="00011289" w:rsidP="008D2AFB">
            <w:pPr>
              <w:spacing w:line="240" w:lineRule="auto"/>
              <w:jc w:val="center"/>
              <w:rPr>
                <w:b/>
                <w:bCs/>
                <w:sz w:val="16"/>
                <w:szCs w:val="16"/>
                <w:lang w:val="en-GB"/>
              </w:rPr>
            </w:pPr>
          </w:p>
        </w:tc>
        <w:tc>
          <w:tcPr>
            <w:tcW w:w="1402" w:type="dxa"/>
            <w:vMerge/>
            <w:tcBorders>
              <w:top w:val="double" w:sz="6" w:space="0" w:color="auto"/>
              <w:left w:val="single" w:sz="4" w:space="0" w:color="auto"/>
              <w:bottom w:val="single" w:sz="8" w:space="0" w:color="000000"/>
              <w:right w:val="single" w:sz="4" w:space="0" w:color="auto"/>
            </w:tcBorders>
            <w:vAlign w:val="center"/>
            <w:hideMark/>
          </w:tcPr>
          <w:p w14:paraId="5FDBB5B1" w14:textId="77777777" w:rsidR="00011289" w:rsidRPr="000855B2" w:rsidRDefault="00011289" w:rsidP="008D2AFB">
            <w:pPr>
              <w:spacing w:line="240" w:lineRule="auto"/>
              <w:jc w:val="center"/>
              <w:rPr>
                <w:b/>
                <w:bCs/>
                <w:sz w:val="16"/>
                <w:szCs w:val="16"/>
                <w:lang w:val="en-GB"/>
              </w:rPr>
            </w:pPr>
          </w:p>
        </w:tc>
        <w:tc>
          <w:tcPr>
            <w:tcW w:w="2126"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0AD62890" w14:textId="77777777" w:rsidR="00011289" w:rsidRPr="000855B2" w:rsidRDefault="004E1503" w:rsidP="008D2AFB">
            <w:pPr>
              <w:spacing w:line="240" w:lineRule="auto"/>
              <w:jc w:val="center"/>
              <w:rPr>
                <w:b/>
                <w:bCs/>
                <w:sz w:val="16"/>
                <w:szCs w:val="16"/>
                <w:lang w:val="en-GB"/>
              </w:rPr>
            </w:pPr>
            <w:r>
              <w:rPr>
                <w:b/>
                <w:bCs/>
                <w:sz w:val="16"/>
                <w:szCs w:val="16"/>
                <w:lang w:val="en-GB"/>
              </w:rPr>
              <w:t>Petrol</w:t>
            </w:r>
            <w:r w:rsidR="00011289" w:rsidRPr="000855B2">
              <w:rPr>
                <w:b/>
                <w:bCs/>
                <w:sz w:val="16"/>
                <w:szCs w:val="16"/>
                <w:lang w:val="en-GB"/>
              </w:rPr>
              <w:t xml:space="preserve"> 4 stroke</w:t>
            </w:r>
          </w:p>
        </w:tc>
        <w:tc>
          <w:tcPr>
            <w:tcW w:w="1559" w:type="dxa"/>
            <w:tcBorders>
              <w:top w:val="nil"/>
              <w:left w:val="nil"/>
              <w:bottom w:val="single" w:sz="4" w:space="0" w:color="auto"/>
              <w:right w:val="single" w:sz="4" w:space="0" w:color="auto"/>
            </w:tcBorders>
            <w:shd w:val="clear" w:color="auto" w:fill="auto"/>
            <w:noWrap/>
            <w:vAlign w:val="center"/>
            <w:hideMark/>
          </w:tcPr>
          <w:p w14:paraId="54DEC6F2" w14:textId="77777777" w:rsidR="00011289" w:rsidRPr="000855B2" w:rsidRDefault="00011289" w:rsidP="0080244E">
            <w:pPr>
              <w:spacing w:line="240" w:lineRule="auto"/>
              <w:jc w:val="center"/>
              <w:rPr>
                <w:b/>
                <w:bCs/>
                <w:sz w:val="16"/>
                <w:szCs w:val="16"/>
                <w:lang w:val="en-GB"/>
              </w:rPr>
            </w:pPr>
            <w:r w:rsidRPr="000855B2">
              <w:rPr>
                <w:b/>
                <w:bCs/>
                <w:sz w:val="16"/>
                <w:szCs w:val="16"/>
                <w:lang w:val="en-GB"/>
              </w:rPr>
              <w:t>Diesel PC &amp; L</w:t>
            </w:r>
            <w:r w:rsidR="0080244E" w:rsidRPr="000855B2">
              <w:rPr>
                <w:b/>
                <w:bCs/>
                <w:sz w:val="16"/>
                <w:szCs w:val="16"/>
                <w:lang w:val="en-GB"/>
              </w:rPr>
              <w:t>C</w:t>
            </w:r>
            <w:r w:rsidRPr="000855B2">
              <w:rPr>
                <w:b/>
                <w:bCs/>
                <w:sz w:val="16"/>
                <w:szCs w:val="16"/>
                <w:lang w:val="en-GB"/>
              </w:rPr>
              <w:t>V</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1831952"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HDV</w:t>
            </w:r>
          </w:p>
        </w:tc>
        <w:tc>
          <w:tcPr>
            <w:tcW w:w="709" w:type="dxa"/>
            <w:vMerge w:val="restart"/>
            <w:tcBorders>
              <w:top w:val="nil"/>
              <w:left w:val="single" w:sz="4" w:space="0" w:color="auto"/>
              <w:bottom w:val="single" w:sz="8" w:space="0" w:color="000000"/>
              <w:right w:val="double" w:sz="6" w:space="0" w:color="auto"/>
            </w:tcBorders>
            <w:shd w:val="clear" w:color="auto" w:fill="auto"/>
            <w:noWrap/>
            <w:vAlign w:val="center"/>
            <w:hideMark/>
          </w:tcPr>
          <w:p w14:paraId="1D6F0561"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LPG</w:t>
            </w:r>
          </w:p>
        </w:tc>
      </w:tr>
      <w:tr w:rsidR="00011289" w:rsidRPr="000855B2" w14:paraId="07E1D963" w14:textId="77777777" w:rsidTr="008D2AFB">
        <w:trPr>
          <w:trHeight w:val="240"/>
        </w:trPr>
        <w:tc>
          <w:tcPr>
            <w:tcW w:w="1740" w:type="dxa"/>
            <w:vMerge/>
            <w:tcBorders>
              <w:top w:val="double" w:sz="6" w:space="0" w:color="auto"/>
              <w:left w:val="double" w:sz="6" w:space="0" w:color="auto"/>
              <w:bottom w:val="single" w:sz="12" w:space="0" w:color="auto"/>
              <w:right w:val="single" w:sz="4" w:space="0" w:color="auto"/>
            </w:tcBorders>
            <w:vAlign w:val="center"/>
            <w:hideMark/>
          </w:tcPr>
          <w:p w14:paraId="4FF2FE92" w14:textId="77777777" w:rsidR="00011289" w:rsidRPr="000855B2" w:rsidRDefault="00011289" w:rsidP="009C4D4C">
            <w:pPr>
              <w:spacing w:line="240" w:lineRule="auto"/>
              <w:rPr>
                <w:b/>
                <w:bCs/>
                <w:sz w:val="16"/>
                <w:szCs w:val="16"/>
                <w:lang w:val="en-GB"/>
              </w:rPr>
            </w:pPr>
          </w:p>
        </w:tc>
        <w:tc>
          <w:tcPr>
            <w:tcW w:w="1402" w:type="dxa"/>
            <w:vMerge/>
            <w:tcBorders>
              <w:top w:val="double" w:sz="6" w:space="0" w:color="auto"/>
              <w:left w:val="single" w:sz="4" w:space="0" w:color="auto"/>
              <w:bottom w:val="single" w:sz="12" w:space="0" w:color="auto"/>
              <w:right w:val="single" w:sz="4" w:space="0" w:color="auto"/>
            </w:tcBorders>
            <w:vAlign w:val="center"/>
            <w:hideMark/>
          </w:tcPr>
          <w:p w14:paraId="381D103D" w14:textId="77777777" w:rsidR="00011289" w:rsidRPr="000855B2" w:rsidRDefault="00011289" w:rsidP="009C4D4C">
            <w:pPr>
              <w:spacing w:line="240" w:lineRule="auto"/>
              <w:rPr>
                <w:b/>
                <w:bCs/>
                <w:sz w:val="16"/>
                <w:szCs w:val="16"/>
                <w:lang w:val="en-GB"/>
              </w:rPr>
            </w:pPr>
          </w:p>
        </w:tc>
        <w:tc>
          <w:tcPr>
            <w:tcW w:w="992" w:type="dxa"/>
            <w:tcBorders>
              <w:top w:val="nil"/>
              <w:left w:val="nil"/>
              <w:bottom w:val="single" w:sz="12" w:space="0" w:color="auto"/>
              <w:right w:val="single" w:sz="4" w:space="0" w:color="auto"/>
            </w:tcBorders>
            <w:shd w:val="clear" w:color="auto" w:fill="auto"/>
            <w:noWrap/>
            <w:vAlign w:val="center"/>
            <w:hideMark/>
          </w:tcPr>
          <w:p w14:paraId="4E04CEE6"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Convent.</w:t>
            </w:r>
          </w:p>
        </w:tc>
        <w:tc>
          <w:tcPr>
            <w:tcW w:w="1134" w:type="dxa"/>
            <w:tcBorders>
              <w:top w:val="nil"/>
              <w:left w:val="nil"/>
              <w:bottom w:val="single" w:sz="12" w:space="0" w:color="auto"/>
              <w:right w:val="single" w:sz="4" w:space="0" w:color="auto"/>
            </w:tcBorders>
            <w:shd w:val="clear" w:color="auto" w:fill="auto"/>
            <w:noWrap/>
            <w:vAlign w:val="center"/>
            <w:hideMark/>
          </w:tcPr>
          <w:p w14:paraId="2982261F"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Euro I &amp; on</w:t>
            </w:r>
          </w:p>
        </w:tc>
        <w:tc>
          <w:tcPr>
            <w:tcW w:w="1559" w:type="dxa"/>
            <w:tcBorders>
              <w:top w:val="nil"/>
              <w:left w:val="nil"/>
              <w:bottom w:val="single" w:sz="12" w:space="0" w:color="auto"/>
              <w:right w:val="single" w:sz="4" w:space="0" w:color="auto"/>
            </w:tcBorders>
            <w:shd w:val="clear" w:color="auto" w:fill="auto"/>
            <w:noWrap/>
            <w:vAlign w:val="center"/>
            <w:hideMark/>
          </w:tcPr>
          <w:p w14:paraId="00FD4191"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IDI &amp; DI</w:t>
            </w:r>
          </w:p>
        </w:tc>
        <w:tc>
          <w:tcPr>
            <w:tcW w:w="709" w:type="dxa"/>
            <w:vMerge/>
            <w:tcBorders>
              <w:top w:val="nil"/>
              <w:left w:val="single" w:sz="4" w:space="0" w:color="auto"/>
              <w:bottom w:val="single" w:sz="12" w:space="0" w:color="auto"/>
              <w:right w:val="single" w:sz="4" w:space="0" w:color="auto"/>
            </w:tcBorders>
            <w:vAlign w:val="center"/>
            <w:hideMark/>
          </w:tcPr>
          <w:p w14:paraId="0EC90409" w14:textId="77777777" w:rsidR="00011289" w:rsidRPr="000855B2" w:rsidRDefault="00011289" w:rsidP="009C4D4C">
            <w:pPr>
              <w:spacing w:line="240" w:lineRule="auto"/>
              <w:rPr>
                <w:b/>
                <w:bCs/>
                <w:sz w:val="16"/>
                <w:szCs w:val="16"/>
                <w:lang w:val="en-GB"/>
              </w:rPr>
            </w:pPr>
          </w:p>
        </w:tc>
        <w:tc>
          <w:tcPr>
            <w:tcW w:w="709" w:type="dxa"/>
            <w:vMerge/>
            <w:tcBorders>
              <w:top w:val="nil"/>
              <w:left w:val="single" w:sz="4" w:space="0" w:color="auto"/>
              <w:bottom w:val="single" w:sz="12" w:space="0" w:color="auto"/>
              <w:right w:val="double" w:sz="6" w:space="0" w:color="auto"/>
            </w:tcBorders>
            <w:vAlign w:val="center"/>
            <w:hideMark/>
          </w:tcPr>
          <w:p w14:paraId="50AC9520" w14:textId="77777777" w:rsidR="00011289" w:rsidRPr="000855B2" w:rsidRDefault="00011289" w:rsidP="009C4D4C">
            <w:pPr>
              <w:spacing w:line="240" w:lineRule="auto"/>
              <w:rPr>
                <w:b/>
                <w:bCs/>
                <w:sz w:val="16"/>
                <w:szCs w:val="16"/>
                <w:lang w:val="en-GB"/>
              </w:rPr>
            </w:pPr>
          </w:p>
        </w:tc>
      </w:tr>
      <w:tr w:rsidR="00011289" w:rsidRPr="000855B2" w14:paraId="355B11A9" w14:textId="77777777" w:rsidTr="008D2AFB">
        <w:trPr>
          <w:trHeight w:val="240"/>
        </w:trPr>
        <w:tc>
          <w:tcPr>
            <w:tcW w:w="1740" w:type="dxa"/>
            <w:vMerge w:val="restart"/>
            <w:tcBorders>
              <w:top w:val="single" w:sz="12" w:space="0" w:color="auto"/>
              <w:left w:val="double" w:sz="6" w:space="0" w:color="auto"/>
              <w:bottom w:val="single" w:sz="4" w:space="0" w:color="000000"/>
              <w:right w:val="single" w:sz="4" w:space="0" w:color="auto"/>
            </w:tcBorders>
            <w:shd w:val="clear" w:color="auto" w:fill="auto"/>
            <w:noWrap/>
            <w:textDirection w:val="btLr"/>
            <w:vAlign w:val="center"/>
            <w:hideMark/>
          </w:tcPr>
          <w:p w14:paraId="7E5D6435"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ALKANES</w:t>
            </w:r>
          </w:p>
        </w:tc>
        <w:tc>
          <w:tcPr>
            <w:tcW w:w="1402" w:type="dxa"/>
            <w:tcBorders>
              <w:top w:val="single" w:sz="12" w:space="0" w:color="auto"/>
              <w:left w:val="nil"/>
              <w:bottom w:val="nil"/>
              <w:right w:val="single" w:sz="4" w:space="0" w:color="auto"/>
            </w:tcBorders>
            <w:shd w:val="clear" w:color="auto" w:fill="auto"/>
            <w:noWrap/>
            <w:vAlign w:val="bottom"/>
            <w:hideMark/>
          </w:tcPr>
          <w:p w14:paraId="5FDA3CC3" w14:textId="77777777" w:rsidR="00011289" w:rsidRPr="000855B2" w:rsidRDefault="00011289" w:rsidP="009C4D4C">
            <w:pPr>
              <w:spacing w:line="240" w:lineRule="auto"/>
              <w:rPr>
                <w:sz w:val="16"/>
                <w:szCs w:val="16"/>
                <w:lang w:val="en-GB"/>
              </w:rPr>
            </w:pPr>
            <w:r w:rsidRPr="000855B2">
              <w:rPr>
                <w:sz w:val="16"/>
                <w:szCs w:val="16"/>
                <w:lang w:val="en-GB"/>
              </w:rPr>
              <w:t>ethane</w:t>
            </w:r>
          </w:p>
        </w:tc>
        <w:tc>
          <w:tcPr>
            <w:tcW w:w="992" w:type="dxa"/>
            <w:tcBorders>
              <w:top w:val="single" w:sz="12" w:space="0" w:color="auto"/>
              <w:left w:val="nil"/>
              <w:bottom w:val="nil"/>
              <w:right w:val="single" w:sz="4" w:space="0" w:color="auto"/>
            </w:tcBorders>
            <w:shd w:val="clear" w:color="auto" w:fill="auto"/>
            <w:noWrap/>
            <w:vAlign w:val="bottom"/>
            <w:hideMark/>
          </w:tcPr>
          <w:p w14:paraId="5259FA40" w14:textId="77777777" w:rsidR="00011289" w:rsidRPr="000855B2" w:rsidRDefault="00011289" w:rsidP="009C4D4C">
            <w:pPr>
              <w:spacing w:line="240" w:lineRule="auto"/>
              <w:jc w:val="center"/>
              <w:rPr>
                <w:sz w:val="16"/>
                <w:szCs w:val="16"/>
                <w:lang w:val="en-GB"/>
              </w:rPr>
            </w:pPr>
            <w:r w:rsidRPr="000855B2">
              <w:rPr>
                <w:sz w:val="16"/>
                <w:szCs w:val="16"/>
                <w:lang w:val="en-GB"/>
              </w:rPr>
              <w:t>1.65</w:t>
            </w:r>
          </w:p>
        </w:tc>
        <w:tc>
          <w:tcPr>
            <w:tcW w:w="1134" w:type="dxa"/>
            <w:tcBorders>
              <w:top w:val="single" w:sz="12" w:space="0" w:color="auto"/>
              <w:left w:val="nil"/>
              <w:bottom w:val="nil"/>
              <w:right w:val="single" w:sz="4" w:space="0" w:color="auto"/>
            </w:tcBorders>
            <w:shd w:val="clear" w:color="auto" w:fill="auto"/>
            <w:noWrap/>
            <w:vAlign w:val="bottom"/>
            <w:hideMark/>
          </w:tcPr>
          <w:p w14:paraId="60E25B4A" w14:textId="77777777" w:rsidR="00011289" w:rsidRPr="000855B2" w:rsidRDefault="00011289" w:rsidP="009C4D4C">
            <w:pPr>
              <w:spacing w:line="240" w:lineRule="auto"/>
              <w:jc w:val="center"/>
              <w:rPr>
                <w:sz w:val="16"/>
                <w:szCs w:val="16"/>
                <w:lang w:val="en-GB"/>
              </w:rPr>
            </w:pPr>
            <w:r w:rsidRPr="000855B2">
              <w:rPr>
                <w:sz w:val="16"/>
                <w:szCs w:val="16"/>
                <w:lang w:val="en-GB"/>
              </w:rPr>
              <w:t>3.19</w:t>
            </w:r>
          </w:p>
        </w:tc>
        <w:tc>
          <w:tcPr>
            <w:tcW w:w="1559" w:type="dxa"/>
            <w:tcBorders>
              <w:top w:val="single" w:sz="12" w:space="0" w:color="auto"/>
              <w:left w:val="nil"/>
              <w:bottom w:val="nil"/>
              <w:right w:val="single" w:sz="4" w:space="0" w:color="auto"/>
            </w:tcBorders>
            <w:shd w:val="clear" w:color="auto" w:fill="auto"/>
            <w:noWrap/>
            <w:vAlign w:val="bottom"/>
            <w:hideMark/>
          </w:tcPr>
          <w:p w14:paraId="66D51141" w14:textId="77777777" w:rsidR="00011289" w:rsidRPr="000855B2" w:rsidRDefault="00011289" w:rsidP="009C4D4C">
            <w:pPr>
              <w:spacing w:line="240" w:lineRule="auto"/>
              <w:jc w:val="center"/>
              <w:rPr>
                <w:sz w:val="16"/>
                <w:szCs w:val="16"/>
                <w:lang w:val="en-GB"/>
              </w:rPr>
            </w:pPr>
            <w:r w:rsidRPr="000855B2">
              <w:rPr>
                <w:sz w:val="16"/>
                <w:szCs w:val="16"/>
                <w:lang w:val="en-GB"/>
              </w:rPr>
              <w:t>0.33</w:t>
            </w:r>
          </w:p>
        </w:tc>
        <w:tc>
          <w:tcPr>
            <w:tcW w:w="709" w:type="dxa"/>
            <w:tcBorders>
              <w:top w:val="single" w:sz="12" w:space="0" w:color="auto"/>
              <w:left w:val="nil"/>
              <w:bottom w:val="nil"/>
              <w:right w:val="single" w:sz="4" w:space="0" w:color="auto"/>
            </w:tcBorders>
            <w:shd w:val="clear" w:color="auto" w:fill="auto"/>
            <w:noWrap/>
            <w:vAlign w:val="bottom"/>
            <w:hideMark/>
          </w:tcPr>
          <w:p w14:paraId="1703CF9F" w14:textId="77777777" w:rsidR="00011289" w:rsidRPr="000855B2" w:rsidRDefault="00011289" w:rsidP="009C4D4C">
            <w:pPr>
              <w:spacing w:line="240" w:lineRule="auto"/>
              <w:jc w:val="center"/>
              <w:rPr>
                <w:sz w:val="16"/>
                <w:szCs w:val="16"/>
                <w:lang w:val="en-GB"/>
              </w:rPr>
            </w:pPr>
            <w:r w:rsidRPr="000855B2">
              <w:rPr>
                <w:sz w:val="16"/>
                <w:szCs w:val="16"/>
                <w:lang w:val="en-GB"/>
              </w:rPr>
              <w:t>0.03</w:t>
            </w:r>
          </w:p>
        </w:tc>
        <w:tc>
          <w:tcPr>
            <w:tcW w:w="709" w:type="dxa"/>
            <w:tcBorders>
              <w:top w:val="single" w:sz="12" w:space="0" w:color="auto"/>
              <w:left w:val="nil"/>
              <w:bottom w:val="nil"/>
              <w:right w:val="double" w:sz="6" w:space="0" w:color="auto"/>
            </w:tcBorders>
            <w:shd w:val="clear" w:color="auto" w:fill="auto"/>
            <w:noWrap/>
            <w:vAlign w:val="bottom"/>
            <w:hideMark/>
          </w:tcPr>
          <w:p w14:paraId="0840B48C" w14:textId="77777777" w:rsidR="00011289" w:rsidRPr="000855B2" w:rsidRDefault="00011289" w:rsidP="009C4D4C">
            <w:pPr>
              <w:spacing w:line="240" w:lineRule="auto"/>
              <w:jc w:val="center"/>
              <w:rPr>
                <w:sz w:val="16"/>
                <w:szCs w:val="16"/>
                <w:lang w:val="en-GB"/>
              </w:rPr>
            </w:pPr>
            <w:r w:rsidRPr="000855B2">
              <w:rPr>
                <w:sz w:val="16"/>
                <w:szCs w:val="16"/>
                <w:lang w:val="en-GB"/>
              </w:rPr>
              <w:t>2.34</w:t>
            </w:r>
          </w:p>
        </w:tc>
      </w:tr>
      <w:tr w:rsidR="00011289" w:rsidRPr="000855B2" w14:paraId="354E0E9D"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01C16015"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28FB761" w14:textId="77777777" w:rsidR="00011289" w:rsidRPr="000855B2" w:rsidRDefault="00011289" w:rsidP="009C4D4C">
            <w:pPr>
              <w:spacing w:line="240" w:lineRule="auto"/>
              <w:rPr>
                <w:sz w:val="16"/>
                <w:szCs w:val="16"/>
                <w:lang w:val="en-GB"/>
              </w:rPr>
            </w:pPr>
            <w:r w:rsidRPr="000855B2">
              <w:rPr>
                <w:sz w:val="16"/>
                <w:szCs w:val="16"/>
                <w:lang w:val="en-GB"/>
              </w:rPr>
              <w:t>propane</w:t>
            </w:r>
          </w:p>
        </w:tc>
        <w:tc>
          <w:tcPr>
            <w:tcW w:w="992" w:type="dxa"/>
            <w:tcBorders>
              <w:top w:val="nil"/>
              <w:left w:val="nil"/>
              <w:bottom w:val="nil"/>
              <w:right w:val="single" w:sz="4" w:space="0" w:color="auto"/>
            </w:tcBorders>
            <w:shd w:val="clear" w:color="auto" w:fill="auto"/>
            <w:noWrap/>
            <w:vAlign w:val="bottom"/>
            <w:hideMark/>
          </w:tcPr>
          <w:p w14:paraId="0E7AF576" w14:textId="77777777" w:rsidR="00011289" w:rsidRPr="000855B2" w:rsidRDefault="00011289" w:rsidP="009C4D4C">
            <w:pPr>
              <w:spacing w:line="240" w:lineRule="auto"/>
              <w:jc w:val="center"/>
              <w:rPr>
                <w:sz w:val="16"/>
                <w:szCs w:val="16"/>
                <w:lang w:val="en-GB"/>
              </w:rPr>
            </w:pPr>
            <w:r w:rsidRPr="000855B2">
              <w:rPr>
                <w:sz w:val="16"/>
                <w:szCs w:val="16"/>
                <w:lang w:val="en-GB"/>
              </w:rPr>
              <w:t>0.47</w:t>
            </w:r>
          </w:p>
        </w:tc>
        <w:tc>
          <w:tcPr>
            <w:tcW w:w="1134" w:type="dxa"/>
            <w:tcBorders>
              <w:top w:val="nil"/>
              <w:left w:val="nil"/>
              <w:bottom w:val="nil"/>
              <w:right w:val="single" w:sz="4" w:space="0" w:color="auto"/>
            </w:tcBorders>
            <w:shd w:val="clear" w:color="auto" w:fill="auto"/>
            <w:noWrap/>
            <w:vAlign w:val="bottom"/>
            <w:hideMark/>
          </w:tcPr>
          <w:p w14:paraId="1E276598" w14:textId="77777777" w:rsidR="00011289" w:rsidRPr="000855B2" w:rsidRDefault="00011289" w:rsidP="009C4D4C">
            <w:pPr>
              <w:spacing w:line="240" w:lineRule="auto"/>
              <w:jc w:val="center"/>
              <w:rPr>
                <w:sz w:val="16"/>
                <w:szCs w:val="16"/>
                <w:lang w:val="en-GB"/>
              </w:rPr>
            </w:pPr>
            <w:r w:rsidRPr="000855B2">
              <w:rPr>
                <w:sz w:val="16"/>
                <w:szCs w:val="16"/>
                <w:lang w:val="en-GB"/>
              </w:rPr>
              <w:t>0.65</w:t>
            </w:r>
          </w:p>
        </w:tc>
        <w:tc>
          <w:tcPr>
            <w:tcW w:w="1559" w:type="dxa"/>
            <w:tcBorders>
              <w:top w:val="nil"/>
              <w:left w:val="nil"/>
              <w:bottom w:val="nil"/>
              <w:right w:val="single" w:sz="4" w:space="0" w:color="auto"/>
            </w:tcBorders>
            <w:shd w:val="clear" w:color="auto" w:fill="auto"/>
            <w:noWrap/>
            <w:vAlign w:val="bottom"/>
            <w:hideMark/>
          </w:tcPr>
          <w:p w14:paraId="687134C2" w14:textId="77777777" w:rsidR="00011289" w:rsidRPr="000855B2" w:rsidRDefault="00011289" w:rsidP="009C4D4C">
            <w:pPr>
              <w:spacing w:line="240" w:lineRule="auto"/>
              <w:jc w:val="center"/>
              <w:rPr>
                <w:sz w:val="16"/>
                <w:szCs w:val="16"/>
                <w:lang w:val="en-GB"/>
              </w:rPr>
            </w:pPr>
            <w:r w:rsidRPr="000855B2">
              <w:rPr>
                <w:sz w:val="16"/>
                <w:szCs w:val="16"/>
                <w:lang w:val="en-GB"/>
              </w:rPr>
              <w:t>0.11</w:t>
            </w:r>
          </w:p>
        </w:tc>
        <w:tc>
          <w:tcPr>
            <w:tcW w:w="709" w:type="dxa"/>
            <w:tcBorders>
              <w:top w:val="nil"/>
              <w:left w:val="nil"/>
              <w:bottom w:val="nil"/>
              <w:right w:val="single" w:sz="4" w:space="0" w:color="auto"/>
            </w:tcBorders>
            <w:shd w:val="clear" w:color="auto" w:fill="auto"/>
            <w:noWrap/>
            <w:vAlign w:val="bottom"/>
            <w:hideMark/>
          </w:tcPr>
          <w:p w14:paraId="5A01EDB0" w14:textId="77777777" w:rsidR="00011289" w:rsidRPr="000855B2" w:rsidRDefault="00011289" w:rsidP="009C4D4C">
            <w:pPr>
              <w:spacing w:line="240" w:lineRule="auto"/>
              <w:jc w:val="center"/>
              <w:rPr>
                <w:sz w:val="16"/>
                <w:szCs w:val="16"/>
                <w:lang w:val="en-GB"/>
              </w:rPr>
            </w:pPr>
            <w:r w:rsidRPr="000855B2">
              <w:rPr>
                <w:sz w:val="16"/>
                <w:szCs w:val="16"/>
                <w:lang w:val="en-GB"/>
              </w:rPr>
              <w:t>0.10</w:t>
            </w:r>
          </w:p>
        </w:tc>
        <w:tc>
          <w:tcPr>
            <w:tcW w:w="709" w:type="dxa"/>
            <w:tcBorders>
              <w:top w:val="nil"/>
              <w:left w:val="nil"/>
              <w:bottom w:val="nil"/>
              <w:right w:val="double" w:sz="6" w:space="0" w:color="auto"/>
            </w:tcBorders>
            <w:shd w:val="clear" w:color="auto" w:fill="auto"/>
            <w:noWrap/>
            <w:vAlign w:val="bottom"/>
            <w:hideMark/>
          </w:tcPr>
          <w:p w14:paraId="17085268" w14:textId="77777777" w:rsidR="00011289" w:rsidRPr="000855B2" w:rsidRDefault="00011289" w:rsidP="009C4D4C">
            <w:pPr>
              <w:spacing w:line="240" w:lineRule="auto"/>
              <w:jc w:val="center"/>
              <w:rPr>
                <w:sz w:val="16"/>
                <w:szCs w:val="16"/>
                <w:lang w:val="en-GB"/>
              </w:rPr>
            </w:pPr>
            <w:r w:rsidRPr="000855B2">
              <w:rPr>
                <w:sz w:val="16"/>
                <w:szCs w:val="16"/>
                <w:lang w:val="en-GB"/>
              </w:rPr>
              <w:t>49.85</w:t>
            </w:r>
          </w:p>
        </w:tc>
      </w:tr>
      <w:tr w:rsidR="00011289" w:rsidRPr="000855B2" w14:paraId="1DD6E97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0E9364AC"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789C079" w14:textId="77777777" w:rsidR="00011289" w:rsidRPr="000855B2" w:rsidRDefault="00011289" w:rsidP="009C4D4C">
            <w:pPr>
              <w:spacing w:line="240" w:lineRule="auto"/>
              <w:rPr>
                <w:sz w:val="16"/>
                <w:szCs w:val="16"/>
                <w:lang w:val="en-GB"/>
              </w:rPr>
            </w:pPr>
            <w:r w:rsidRPr="000855B2">
              <w:rPr>
                <w:sz w:val="16"/>
                <w:szCs w:val="16"/>
                <w:lang w:val="en-GB"/>
              </w:rPr>
              <w:t>butane</w:t>
            </w:r>
          </w:p>
        </w:tc>
        <w:tc>
          <w:tcPr>
            <w:tcW w:w="992" w:type="dxa"/>
            <w:tcBorders>
              <w:top w:val="nil"/>
              <w:left w:val="nil"/>
              <w:bottom w:val="nil"/>
              <w:right w:val="single" w:sz="4" w:space="0" w:color="auto"/>
            </w:tcBorders>
            <w:shd w:val="clear" w:color="auto" w:fill="auto"/>
            <w:noWrap/>
            <w:vAlign w:val="bottom"/>
            <w:hideMark/>
          </w:tcPr>
          <w:p w14:paraId="0AA9BF52" w14:textId="77777777" w:rsidR="00011289" w:rsidRPr="000855B2" w:rsidRDefault="00011289" w:rsidP="009C4D4C">
            <w:pPr>
              <w:spacing w:line="240" w:lineRule="auto"/>
              <w:jc w:val="center"/>
              <w:rPr>
                <w:sz w:val="16"/>
                <w:szCs w:val="16"/>
                <w:lang w:val="en-GB"/>
              </w:rPr>
            </w:pPr>
            <w:r w:rsidRPr="000855B2">
              <w:rPr>
                <w:sz w:val="16"/>
                <w:szCs w:val="16"/>
                <w:lang w:val="en-GB"/>
              </w:rPr>
              <w:t>2.90</w:t>
            </w:r>
          </w:p>
        </w:tc>
        <w:tc>
          <w:tcPr>
            <w:tcW w:w="1134" w:type="dxa"/>
            <w:tcBorders>
              <w:top w:val="nil"/>
              <w:left w:val="nil"/>
              <w:bottom w:val="nil"/>
              <w:right w:val="single" w:sz="4" w:space="0" w:color="auto"/>
            </w:tcBorders>
            <w:shd w:val="clear" w:color="auto" w:fill="auto"/>
            <w:noWrap/>
            <w:vAlign w:val="bottom"/>
            <w:hideMark/>
          </w:tcPr>
          <w:p w14:paraId="2D1D6CB4" w14:textId="77777777" w:rsidR="00011289" w:rsidRPr="000855B2" w:rsidRDefault="00011289" w:rsidP="009C4D4C">
            <w:pPr>
              <w:spacing w:line="240" w:lineRule="auto"/>
              <w:jc w:val="center"/>
              <w:rPr>
                <w:sz w:val="16"/>
                <w:szCs w:val="16"/>
                <w:lang w:val="en-GB"/>
              </w:rPr>
            </w:pPr>
            <w:r w:rsidRPr="000855B2">
              <w:rPr>
                <w:sz w:val="16"/>
                <w:szCs w:val="16"/>
                <w:lang w:val="en-GB"/>
              </w:rPr>
              <w:t>5.24</w:t>
            </w:r>
          </w:p>
        </w:tc>
        <w:tc>
          <w:tcPr>
            <w:tcW w:w="1559" w:type="dxa"/>
            <w:tcBorders>
              <w:top w:val="nil"/>
              <w:left w:val="nil"/>
              <w:bottom w:val="nil"/>
              <w:right w:val="single" w:sz="4" w:space="0" w:color="auto"/>
            </w:tcBorders>
            <w:shd w:val="clear" w:color="auto" w:fill="auto"/>
            <w:noWrap/>
            <w:vAlign w:val="bottom"/>
            <w:hideMark/>
          </w:tcPr>
          <w:p w14:paraId="5CE00CE8" w14:textId="77777777" w:rsidR="00011289" w:rsidRPr="000855B2" w:rsidRDefault="00011289" w:rsidP="009C4D4C">
            <w:pPr>
              <w:spacing w:line="240" w:lineRule="auto"/>
              <w:jc w:val="center"/>
              <w:rPr>
                <w:sz w:val="16"/>
                <w:szCs w:val="16"/>
                <w:lang w:val="en-GB"/>
              </w:rPr>
            </w:pPr>
            <w:r w:rsidRPr="000855B2">
              <w:rPr>
                <w:sz w:val="16"/>
                <w:szCs w:val="16"/>
                <w:lang w:val="en-GB"/>
              </w:rPr>
              <w:t>0.11</w:t>
            </w:r>
          </w:p>
        </w:tc>
        <w:tc>
          <w:tcPr>
            <w:tcW w:w="709" w:type="dxa"/>
            <w:tcBorders>
              <w:top w:val="nil"/>
              <w:left w:val="nil"/>
              <w:bottom w:val="nil"/>
              <w:right w:val="single" w:sz="4" w:space="0" w:color="auto"/>
            </w:tcBorders>
            <w:shd w:val="clear" w:color="auto" w:fill="auto"/>
            <w:noWrap/>
            <w:vAlign w:val="bottom"/>
            <w:hideMark/>
          </w:tcPr>
          <w:p w14:paraId="1A5C001E" w14:textId="77777777" w:rsidR="00011289" w:rsidRPr="000855B2" w:rsidRDefault="00011289" w:rsidP="009C4D4C">
            <w:pPr>
              <w:spacing w:line="240" w:lineRule="auto"/>
              <w:jc w:val="center"/>
              <w:rPr>
                <w:sz w:val="16"/>
                <w:szCs w:val="16"/>
                <w:lang w:val="en-GB"/>
              </w:rPr>
            </w:pPr>
            <w:r w:rsidRPr="000855B2">
              <w:rPr>
                <w:sz w:val="16"/>
                <w:szCs w:val="16"/>
                <w:lang w:val="en-GB"/>
              </w:rPr>
              <w:t>0.15</w:t>
            </w:r>
          </w:p>
        </w:tc>
        <w:tc>
          <w:tcPr>
            <w:tcW w:w="709" w:type="dxa"/>
            <w:tcBorders>
              <w:top w:val="nil"/>
              <w:left w:val="nil"/>
              <w:bottom w:val="nil"/>
              <w:right w:val="double" w:sz="6" w:space="0" w:color="auto"/>
            </w:tcBorders>
            <w:shd w:val="clear" w:color="auto" w:fill="auto"/>
            <w:noWrap/>
            <w:vAlign w:val="bottom"/>
            <w:hideMark/>
          </w:tcPr>
          <w:p w14:paraId="567D3E96" w14:textId="77777777" w:rsidR="00011289" w:rsidRPr="000855B2" w:rsidRDefault="00011289" w:rsidP="009C4D4C">
            <w:pPr>
              <w:spacing w:line="240" w:lineRule="auto"/>
              <w:jc w:val="center"/>
              <w:rPr>
                <w:sz w:val="16"/>
                <w:szCs w:val="16"/>
                <w:lang w:val="en-GB"/>
              </w:rPr>
            </w:pPr>
            <w:r w:rsidRPr="000855B2">
              <w:rPr>
                <w:sz w:val="16"/>
                <w:szCs w:val="16"/>
                <w:lang w:val="en-GB"/>
              </w:rPr>
              <w:t>15.50</w:t>
            </w:r>
          </w:p>
        </w:tc>
      </w:tr>
      <w:tr w:rsidR="00011289" w:rsidRPr="000855B2" w14:paraId="737DCDC7"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8C7666D"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4B14886" w14:textId="77777777" w:rsidR="00011289" w:rsidRPr="000855B2" w:rsidRDefault="00011289" w:rsidP="009C4D4C">
            <w:pPr>
              <w:spacing w:line="240" w:lineRule="auto"/>
              <w:rPr>
                <w:sz w:val="16"/>
                <w:szCs w:val="16"/>
                <w:lang w:val="en-GB"/>
              </w:rPr>
            </w:pPr>
            <w:r w:rsidRPr="000855B2">
              <w:rPr>
                <w:sz w:val="16"/>
                <w:szCs w:val="16"/>
                <w:lang w:val="en-GB"/>
              </w:rPr>
              <w:t>isobutane</w:t>
            </w:r>
          </w:p>
        </w:tc>
        <w:tc>
          <w:tcPr>
            <w:tcW w:w="992" w:type="dxa"/>
            <w:tcBorders>
              <w:top w:val="nil"/>
              <w:left w:val="nil"/>
              <w:bottom w:val="nil"/>
              <w:right w:val="single" w:sz="4" w:space="0" w:color="auto"/>
            </w:tcBorders>
            <w:shd w:val="clear" w:color="auto" w:fill="auto"/>
            <w:noWrap/>
            <w:vAlign w:val="bottom"/>
            <w:hideMark/>
          </w:tcPr>
          <w:p w14:paraId="50383038" w14:textId="77777777" w:rsidR="00011289" w:rsidRPr="000855B2" w:rsidRDefault="00011289" w:rsidP="009C4D4C">
            <w:pPr>
              <w:spacing w:line="240" w:lineRule="auto"/>
              <w:jc w:val="center"/>
              <w:rPr>
                <w:sz w:val="16"/>
                <w:szCs w:val="16"/>
                <w:lang w:val="en-GB"/>
              </w:rPr>
            </w:pPr>
            <w:r w:rsidRPr="000855B2">
              <w:rPr>
                <w:sz w:val="16"/>
                <w:szCs w:val="16"/>
                <w:lang w:val="en-GB"/>
              </w:rPr>
              <w:t>1.29</w:t>
            </w:r>
          </w:p>
        </w:tc>
        <w:tc>
          <w:tcPr>
            <w:tcW w:w="1134" w:type="dxa"/>
            <w:tcBorders>
              <w:top w:val="nil"/>
              <w:left w:val="nil"/>
              <w:bottom w:val="nil"/>
              <w:right w:val="single" w:sz="4" w:space="0" w:color="auto"/>
            </w:tcBorders>
            <w:shd w:val="clear" w:color="auto" w:fill="auto"/>
            <w:noWrap/>
            <w:vAlign w:val="bottom"/>
            <w:hideMark/>
          </w:tcPr>
          <w:p w14:paraId="169EB1C8" w14:textId="77777777" w:rsidR="00011289" w:rsidRPr="000855B2" w:rsidRDefault="00011289" w:rsidP="009C4D4C">
            <w:pPr>
              <w:spacing w:line="240" w:lineRule="auto"/>
              <w:jc w:val="center"/>
              <w:rPr>
                <w:sz w:val="16"/>
                <w:szCs w:val="16"/>
                <w:lang w:val="en-GB"/>
              </w:rPr>
            </w:pPr>
            <w:r w:rsidRPr="000855B2">
              <w:rPr>
                <w:sz w:val="16"/>
                <w:szCs w:val="16"/>
                <w:lang w:val="en-GB"/>
              </w:rPr>
              <w:t>1.59</w:t>
            </w:r>
          </w:p>
        </w:tc>
        <w:tc>
          <w:tcPr>
            <w:tcW w:w="1559" w:type="dxa"/>
            <w:tcBorders>
              <w:top w:val="nil"/>
              <w:left w:val="nil"/>
              <w:bottom w:val="nil"/>
              <w:right w:val="single" w:sz="4" w:space="0" w:color="auto"/>
            </w:tcBorders>
            <w:shd w:val="clear" w:color="auto" w:fill="auto"/>
            <w:noWrap/>
            <w:vAlign w:val="bottom"/>
            <w:hideMark/>
          </w:tcPr>
          <w:p w14:paraId="61170C89" w14:textId="77777777" w:rsidR="00011289" w:rsidRPr="000855B2" w:rsidRDefault="00011289" w:rsidP="009C4D4C">
            <w:pPr>
              <w:spacing w:line="240" w:lineRule="auto"/>
              <w:jc w:val="center"/>
              <w:rPr>
                <w:sz w:val="16"/>
                <w:szCs w:val="16"/>
                <w:lang w:val="en-GB"/>
              </w:rPr>
            </w:pPr>
            <w:r w:rsidRPr="000855B2">
              <w:rPr>
                <w:sz w:val="16"/>
                <w:szCs w:val="16"/>
                <w:lang w:val="en-GB"/>
              </w:rPr>
              <w:t>0.07</w:t>
            </w:r>
          </w:p>
        </w:tc>
        <w:tc>
          <w:tcPr>
            <w:tcW w:w="709" w:type="dxa"/>
            <w:tcBorders>
              <w:top w:val="nil"/>
              <w:left w:val="nil"/>
              <w:bottom w:val="nil"/>
              <w:right w:val="single" w:sz="4" w:space="0" w:color="auto"/>
            </w:tcBorders>
            <w:shd w:val="clear" w:color="auto" w:fill="auto"/>
            <w:noWrap/>
            <w:vAlign w:val="bottom"/>
            <w:hideMark/>
          </w:tcPr>
          <w:p w14:paraId="4C48DD87" w14:textId="77777777" w:rsidR="00011289" w:rsidRPr="000855B2" w:rsidRDefault="00011289" w:rsidP="009C4D4C">
            <w:pPr>
              <w:spacing w:line="240" w:lineRule="auto"/>
              <w:jc w:val="center"/>
              <w:rPr>
                <w:sz w:val="16"/>
                <w:szCs w:val="16"/>
                <w:lang w:val="en-GB"/>
              </w:rPr>
            </w:pPr>
            <w:r w:rsidRPr="000855B2">
              <w:rPr>
                <w:sz w:val="16"/>
                <w:szCs w:val="16"/>
                <w:lang w:val="en-GB"/>
              </w:rPr>
              <w:t>0.14</w:t>
            </w:r>
          </w:p>
        </w:tc>
        <w:tc>
          <w:tcPr>
            <w:tcW w:w="709" w:type="dxa"/>
            <w:tcBorders>
              <w:top w:val="nil"/>
              <w:left w:val="nil"/>
              <w:bottom w:val="nil"/>
              <w:right w:val="double" w:sz="6" w:space="0" w:color="auto"/>
            </w:tcBorders>
            <w:shd w:val="clear" w:color="auto" w:fill="auto"/>
            <w:noWrap/>
            <w:vAlign w:val="bottom"/>
            <w:hideMark/>
          </w:tcPr>
          <w:p w14:paraId="22676441" w14:textId="77777777" w:rsidR="00011289" w:rsidRPr="000855B2" w:rsidRDefault="00011289" w:rsidP="009C4D4C">
            <w:pPr>
              <w:spacing w:line="240" w:lineRule="auto"/>
              <w:jc w:val="center"/>
              <w:rPr>
                <w:sz w:val="16"/>
                <w:szCs w:val="16"/>
                <w:lang w:val="en-GB"/>
              </w:rPr>
            </w:pPr>
            <w:r w:rsidRPr="000855B2">
              <w:rPr>
                <w:sz w:val="16"/>
                <w:szCs w:val="16"/>
                <w:lang w:val="en-GB"/>
              </w:rPr>
              <w:t>6.95</w:t>
            </w:r>
          </w:p>
        </w:tc>
      </w:tr>
      <w:tr w:rsidR="00011289" w:rsidRPr="000855B2" w14:paraId="7CAFC0BE"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3C4C4607"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55274266" w14:textId="77777777" w:rsidR="00011289" w:rsidRPr="000855B2" w:rsidRDefault="00011289" w:rsidP="009C4D4C">
            <w:pPr>
              <w:spacing w:line="240" w:lineRule="auto"/>
              <w:rPr>
                <w:sz w:val="16"/>
                <w:szCs w:val="16"/>
                <w:lang w:val="en-GB"/>
              </w:rPr>
            </w:pPr>
            <w:r w:rsidRPr="000855B2">
              <w:rPr>
                <w:sz w:val="16"/>
                <w:szCs w:val="16"/>
                <w:lang w:val="en-GB"/>
              </w:rPr>
              <w:t>pentane</w:t>
            </w:r>
          </w:p>
        </w:tc>
        <w:tc>
          <w:tcPr>
            <w:tcW w:w="992" w:type="dxa"/>
            <w:tcBorders>
              <w:top w:val="nil"/>
              <w:left w:val="nil"/>
              <w:bottom w:val="nil"/>
              <w:right w:val="single" w:sz="4" w:space="0" w:color="auto"/>
            </w:tcBorders>
            <w:shd w:val="clear" w:color="auto" w:fill="auto"/>
            <w:noWrap/>
            <w:vAlign w:val="bottom"/>
            <w:hideMark/>
          </w:tcPr>
          <w:p w14:paraId="5E2B244F" w14:textId="77777777" w:rsidR="00011289" w:rsidRPr="000855B2" w:rsidRDefault="00011289" w:rsidP="009C4D4C">
            <w:pPr>
              <w:spacing w:line="240" w:lineRule="auto"/>
              <w:jc w:val="center"/>
              <w:rPr>
                <w:sz w:val="16"/>
                <w:szCs w:val="16"/>
                <w:lang w:val="en-GB"/>
              </w:rPr>
            </w:pPr>
            <w:r w:rsidRPr="000855B2">
              <w:rPr>
                <w:sz w:val="16"/>
                <w:szCs w:val="16"/>
                <w:lang w:val="en-GB"/>
              </w:rPr>
              <w:t>1.78</w:t>
            </w:r>
          </w:p>
        </w:tc>
        <w:tc>
          <w:tcPr>
            <w:tcW w:w="1134" w:type="dxa"/>
            <w:tcBorders>
              <w:top w:val="nil"/>
              <w:left w:val="nil"/>
              <w:bottom w:val="nil"/>
              <w:right w:val="single" w:sz="4" w:space="0" w:color="auto"/>
            </w:tcBorders>
            <w:shd w:val="clear" w:color="auto" w:fill="auto"/>
            <w:noWrap/>
            <w:vAlign w:val="bottom"/>
            <w:hideMark/>
          </w:tcPr>
          <w:p w14:paraId="381CE210" w14:textId="77777777" w:rsidR="00011289" w:rsidRPr="000855B2" w:rsidRDefault="00011289" w:rsidP="009C4D4C">
            <w:pPr>
              <w:spacing w:line="240" w:lineRule="auto"/>
              <w:jc w:val="center"/>
              <w:rPr>
                <w:sz w:val="16"/>
                <w:szCs w:val="16"/>
                <w:lang w:val="en-GB"/>
              </w:rPr>
            </w:pPr>
            <w:r w:rsidRPr="000855B2">
              <w:rPr>
                <w:sz w:val="16"/>
                <w:szCs w:val="16"/>
                <w:lang w:val="en-GB"/>
              </w:rPr>
              <w:t>2.15</w:t>
            </w:r>
          </w:p>
        </w:tc>
        <w:tc>
          <w:tcPr>
            <w:tcW w:w="1559" w:type="dxa"/>
            <w:tcBorders>
              <w:top w:val="nil"/>
              <w:left w:val="nil"/>
              <w:bottom w:val="nil"/>
              <w:right w:val="single" w:sz="4" w:space="0" w:color="auto"/>
            </w:tcBorders>
            <w:shd w:val="clear" w:color="auto" w:fill="auto"/>
            <w:noWrap/>
            <w:vAlign w:val="bottom"/>
            <w:hideMark/>
          </w:tcPr>
          <w:p w14:paraId="471940DA" w14:textId="77777777" w:rsidR="00011289" w:rsidRPr="000855B2" w:rsidRDefault="00011289" w:rsidP="009C4D4C">
            <w:pPr>
              <w:spacing w:line="240" w:lineRule="auto"/>
              <w:jc w:val="center"/>
              <w:rPr>
                <w:sz w:val="16"/>
                <w:szCs w:val="16"/>
                <w:lang w:val="en-GB"/>
              </w:rPr>
            </w:pPr>
            <w:r w:rsidRPr="000855B2">
              <w:rPr>
                <w:sz w:val="16"/>
                <w:szCs w:val="16"/>
                <w:lang w:val="en-GB"/>
              </w:rPr>
              <w:t>0.04</w:t>
            </w:r>
          </w:p>
        </w:tc>
        <w:tc>
          <w:tcPr>
            <w:tcW w:w="709" w:type="dxa"/>
            <w:tcBorders>
              <w:top w:val="nil"/>
              <w:left w:val="nil"/>
              <w:bottom w:val="nil"/>
              <w:right w:val="single" w:sz="4" w:space="0" w:color="auto"/>
            </w:tcBorders>
            <w:shd w:val="clear" w:color="auto" w:fill="auto"/>
            <w:noWrap/>
            <w:vAlign w:val="bottom"/>
            <w:hideMark/>
          </w:tcPr>
          <w:p w14:paraId="2ED9B826" w14:textId="77777777" w:rsidR="00011289" w:rsidRPr="000855B2" w:rsidRDefault="00011289" w:rsidP="009C4D4C">
            <w:pPr>
              <w:spacing w:line="240" w:lineRule="auto"/>
              <w:jc w:val="center"/>
              <w:rPr>
                <w:sz w:val="16"/>
                <w:szCs w:val="16"/>
                <w:lang w:val="en-GB"/>
              </w:rPr>
            </w:pPr>
            <w:r w:rsidRPr="000855B2">
              <w:rPr>
                <w:sz w:val="16"/>
                <w:szCs w:val="16"/>
                <w:lang w:val="en-GB"/>
              </w:rPr>
              <w:t>0.06</w:t>
            </w:r>
          </w:p>
        </w:tc>
        <w:tc>
          <w:tcPr>
            <w:tcW w:w="709" w:type="dxa"/>
            <w:tcBorders>
              <w:top w:val="nil"/>
              <w:left w:val="nil"/>
              <w:bottom w:val="nil"/>
              <w:right w:val="double" w:sz="6" w:space="0" w:color="auto"/>
            </w:tcBorders>
            <w:shd w:val="clear" w:color="auto" w:fill="auto"/>
            <w:noWrap/>
            <w:vAlign w:val="bottom"/>
            <w:hideMark/>
          </w:tcPr>
          <w:p w14:paraId="717A522F" w14:textId="77777777" w:rsidR="00011289" w:rsidRPr="000855B2" w:rsidRDefault="00011289" w:rsidP="009C4D4C">
            <w:pPr>
              <w:spacing w:line="240" w:lineRule="auto"/>
              <w:jc w:val="center"/>
              <w:rPr>
                <w:sz w:val="16"/>
                <w:szCs w:val="16"/>
                <w:lang w:val="en-GB"/>
              </w:rPr>
            </w:pPr>
            <w:r w:rsidRPr="000855B2">
              <w:rPr>
                <w:sz w:val="16"/>
                <w:szCs w:val="16"/>
                <w:lang w:val="en-GB"/>
              </w:rPr>
              <w:t>0.35</w:t>
            </w:r>
          </w:p>
        </w:tc>
      </w:tr>
      <w:tr w:rsidR="00011289" w:rsidRPr="000855B2" w14:paraId="5CA5F35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D8239F9"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7F6F687" w14:textId="77777777" w:rsidR="00011289" w:rsidRPr="000855B2" w:rsidRDefault="00011289" w:rsidP="009C4D4C">
            <w:pPr>
              <w:spacing w:line="240" w:lineRule="auto"/>
              <w:rPr>
                <w:sz w:val="16"/>
                <w:szCs w:val="16"/>
                <w:lang w:val="en-GB"/>
              </w:rPr>
            </w:pPr>
            <w:r w:rsidRPr="000855B2">
              <w:rPr>
                <w:sz w:val="16"/>
                <w:szCs w:val="16"/>
                <w:lang w:val="en-GB"/>
              </w:rPr>
              <w:t>isopentane</w:t>
            </w:r>
          </w:p>
        </w:tc>
        <w:tc>
          <w:tcPr>
            <w:tcW w:w="992" w:type="dxa"/>
            <w:tcBorders>
              <w:top w:val="nil"/>
              <w:left w:val="nil"/>
              <w:bottom w:val="nil"/>
              <w:right w:val="single" w:sz="4" w:space="0" w:color="auto"/>
            </w:tcBorders>
            <w:shd w:val="clear" w:color="auto" w:fill="auto"/>
            <w:noWrap/>
            <w:vAlign w:val="bottom"/>
            <w:hideMark/>
          </w:tcPr>
          <w:p w14:paraId="285C5044" w14:textId="77777777" w:rsidR="00011289" w:rsidRPr="000855B2" w:rsidRDefault="00011289" w:rsidP="009C4D4C">
            <w:pPr>
              <w:spacing w:line="240" w:lineRule="auto"/>
              <w:jc w:val="center"/>
              <w:rPr>
                <w:sz w:val="16"/>
                <w:szCs w:val="16"/>
                <w:lang w:val="en-GB"/>
              </w:rPr>
            </w:pPr>
            <w:r w:rsidRPr="000855B2">
              <w:rPr>
                <w:sz w:val="16"/>
                <w:szCs w:val="16"/>
                <w:lang w:val="en-GB"/>
              </w:rPr>
              <w:t>4.86</w:t>
            </w:r>
          </w:p>
        </w:tc>
        <w:tc>
          <w:tcPr>
            <w:tcW w:w="1134" w:type="dxa"/>
            <w:tcBorders>
              <w:top w:val="nil"/>
              <w:left w:val="nil"/>
              <w:bottom w:val="nil"/>
              <w:right w:val="single" w:sz="4" w:space="0" w:color="auto"/>
            </w:tcBorders>
            <w:shd w:val="clear" w:color="auto" w:fill="auto"/>
            <w:noWrap/>
            <w:vAlign w:val="bottom"/>
            <w:hideMark/>
          </w:tcPr>
          <w:p w14:paraId="78801585" w14:textId="77777777" w:rsidR="00011289" w:rsidRPr="000855B2" w:rsidRDefault="00011289" w:rsidP="009C4D4C">
            <w:pPr>
              <w:spacing w:line="240" w:lineRule="auto"/>
              <w:jc w:val="center"/>
              <w:rPr>
                <w:sz w:val="16"/>
                <w:szCs w:val="16"/>
                <w:lang w:val="en-GB"/>
              </w:rPr>
            </w:pPr>
            <w:r w:rsidRPr="000855B2">
              <w:rPr>
                <w:sz w:val="16"/>
                <w:szCs w:val="16"/>
                <w:lang w:val="en-GB"/>
              </w:rPr>
              <w:t>6.81</w:t>
            </w:r>
          </w:p>
        </w:tc>
        <w:tc>
          <w:tcPr>
            <w:tcW w:w="1559" w:type="dxa"/>
            <w:tcBorders>
              <w:top w:val="nil"/>
              <w:left w:val="nil"/>
              <w:bottom w:val="nil"/>
              <w:right w:val="single" w:sz="4" w:space="0" w:color="auto"/>
            </w:tcBorders>
            <w:shd w:val="clear" w:color="auto" w:fill="auto"/>
            <w:noWrap/>
            <w:vAlign w:val="bottom"/>
            <w:hideMark/>
          </w:tcPr>
          <w:p w14:paraId="64C680D5" w14:textId="77777777" w:rsidR="00011289" w:rsidRPr="000855B2" w:rsidRDefault="00011289" w:rsidP="009C4D4C">
            <w:pPr>
              <w:spacing w:line="240" w:lineRule="auto"/>
              <w:jc w:val="center"/>
              <w:rPr>
                <w:sz w:val="16"/>
                <w:szCs w:val="16"/>
                <w:lang w:val="en-GB"/>
              </w:rPr>
            </w:pPr>
            <w:r w:rsidRPr="000855B2">
              <w:rPr>
                <w:sz w:val="16"/>
                <w:szCs w:val="16"/>
                <w:lang w:val="en-GB"/>
              </w:rPr>
              <w:t>0.52</w:t>
            </w:r>
          </w:p>
        </w:tc>
        <w:tc>
          <w:tcPr>
            <w:tcW w:w="709" w:type="dxa"/>
            <w:tcBorders>
              <w:top w:val="nil"/>
              <w:left w:val="nil"/>
              <w:bottom w:val="nil"/>
              <w:right w:val="single" w:sz="4" w:space="0" w:color="auto"/>
            </w:tcBorders>
            <w:shd w:val="clear" w:color="auto" w:fill="auto"/>
            <w:noWrap/>
            <w:vAlign w:val="bottom"/>
            <w:hideMark/>
          </w:tcPr>
          <w:p w14:paraId="2E494C6A"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4D053A9A" w14:textId="77777777" w:rsidR="00011289" w:rsidRPr="000855B2" w:rsidRDefault="00011289" w:rsidP="009C4D4C">
            <w:pPr>
              <w:spacing w:line="240" w:lineRule="auto"/>
              <w:jc w:val="center"/>
              <w:rPr>
                <w:sz w:val="16"/>
                <w:szCs w:val="16"/>
                <w:lang w:val="en-GB"/>
              </w:rPr>
            </w:pPr>
            <w:r w:rsidRPr="000855B2">
              <w:rPr>
                <w:sz w:val="16"/>
                <w:szCs w:val="16"/>
                <w:lang w:val="en-GB"/>
              </w:rPr>
              <w:t>1.26</w:t>
            </w:r>
          </w:p>
        </w:tc>
      </w:tr>
      <w:tr w:rsidR="00011289" w:rsidRPr="000855B2" w14:paraId="2B7BD15C"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65756928"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4501CD7" w14:textId="77777777" w:rsidR="00011289" w:rsidRPr="000855B2" w:rsidRDefault="00011289" w:rsidP="009C4D4C">
            <w:pPr>
              <w:spacing w:line="240" w:lineRule="auto"/>
              <w:rPr>
                <w:sz w:val="16"/>
                <w:szCs w:val="16"/>
                <w:lang w:val="en-GB"/>
              </w:rPr>
            </w:pPr>
            <w:r w:rsidRPr="000855B2">
              <w:rPr>
                <w:sz w:val="16"/>
                <w:szCs w:val="16"/>
                <w:lang w:val="en-GB"/>
              </w:rPr>
              <w:t>hexane</w:t>
            </w:r>
          </w:p>
        </w:tc>
        <w:tc>
          <w:tcPr>
            <w:tcW w:w="992" w:type="dxa"/>
            <w:tcBorders>
              <w:top w:val="nil"/>
              <w:left w:val="nil"/>
              <w:bottom w:val="nil"/>
              <w:right w:val="single" w:sz="4" w:space="0" w:color="auto"/>
            </w:tcBorders>
            <w:shd w:val="clear" w:color="auto" w:fill="auto"/>
            <w:noWrap/>
            <w:vAlign w:val="bottom"/>
            <w:hideMark/>
          </w:tcPr>
          <w:p w14:paraId="706F40DD" w14:textId="77777777" w:rsidR="00011289" w:rsidRPr="000855B2" w:rsidRDefault="00011289" w:rsidP="009C4D4C">
            <w:pPr>
              <w:spacing w:line="240" w:lineRule="auto"/>
              <w:jc w:val="center"/>
              <w:rPr>
                <w:sz w:val="16"/>
                <w:szCs w:val="16"/>
                <w:lang w:val="en-GB"/>
              </w:rPr>
            </w:pPr>
            <w:r w:rsidRPr="000855B2">
              <w:rPr>
                <w:sz w:val="16"/>
                <w:szCs w:val="16"/>
                <w:lang w:val="en-GB"/>
              </w:rPr>
              <w:t>1.29</w:t>
            </w:r>
          </w:p>
        </w:tc>
        <w:tc>
          <w:tcPr>
            <w:tcW w:w="1134" w:type="dxa"/>
            <w:tcBorders>
              <w:top w:val="nil"/>
              <w:left w:val="nil"/>
              <w:bottom w:val="nil"/>
              <w:right w:val="single" w:sz="4" w:space="0" w:color="auto"/>
            </w:tcBorders>
            <w:shd w:val="clear" w:color="auto" w:fill="auto"/>
            <w:noWrap/>
            <w:vAlign w:val="bottom"/>
            <w:hideMark/>
          </w:tcPr>
          <w:p w14:paraId="7718598A" w14:textId="77777777" w:rsidR="00011289" w:rsidRPr="000855B2" w:rsidRDefault="00011289" w:rsidP="009C4D4C">
            <w:pPr>
              <w:spacing w:line="240" w:lineRule="auto"/>
              <w:jc w:val="center"/>
              <w:rPr>
                <w:sz w:val="16"/>
                <w:szCs w:val="16"/>
                <w:lang w:val="en-GB"/>
              </w:rPr>
            </w:pPr>
            <w:r w:rsidRPr="000855B2">
              <w:rPr>
                <w:sz w:val="16"/>
                <w:szCs w:val="16"/>
                <w:lang w:val="en-GB"/>
              </w:rPr>
              <w:t>1.61</w:t>
            </w:r>
          </w:p>
        </w:tc>
        <w:tc>
          <w:tcPr>
            <w:tcW w:w="1559" w:type="dxa"/>
            <w:tcBorders>
              <w:top w:val="nil"/>
              <w:left w:val="nil"/>
              <w:bottom w:val="nil"/>
              <w:right w:val="single" w:sz="4" w:space="0" w:color="auto"/>
            </w:tcBorders>
            <w:shd w:val="clear" w:color="auto" w:fill="auto"/>
            <w:noWrap/>
            <w:vAlign w:val="bottom"/>
            <w:hideMark/>
          </w:tcPr>
          <w:p w14:paraId="7C2FFBB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57D7992E"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051C588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63088FE6"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81B8C5D"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3E4B2BC" w14:textId="77777777" w:rsidR="00011289" w:rsidRPr="000855B2" w:rsidRDefault="00011289" w:rsidP="009C4D4C">
            <w:pPr>
              <w:spacing w:line="240" w:lineRule="auto"/>
              <w:rPr>
                <w:sz w:val="16"/>
                <w:szCs w:val="16"/>
                <w:lang w:val="en-GB"/>
              </w:rPr>
            </w:pPr>
            <w:r w:rsidRPr="000855B2">
              <w:rPr>
                <w:sz w:val="16"/>
                <w:szCs w:val="16"/>
                <w:lang w:val="en-GB"/>
              </w:rPr>
              <w:t>heptane</w:t>
            </w:r>
          </w:p>
        </w:tc>
        <w:tc>
          <w:tcPr>
            <w:tcW w:w="992" w:type="dxa"/>
            <w:tcBorders>
              <w:top w:val="nil"/>
              <w:left w:val="nil"/>
              <w:bottom w:val="nil"/>
              <w:right w:val="single" w:sz="4" w:space="0" w:color="auto"/>
            </w:tcBorders>
            <w:shd w:val="clear" w:color="auto" w:fill="auto"/>
            <w:noWrap/>
            <w:vAlign w:val="bottom"/>
            <w:hideMark/>
          </w:tcPr>
          <w:p w14:paraId="57A9C62A" w14:textId="77777777" w:rsidR="00011289" w:rsidRPr="000855B2" w:rsidRDefault="00011289" w:rsidP="009C4D4C">
            <w:pPr>
              <w:spacing w:line="240" w:lineRule="auto"/>
              <w:jc w:val="center"/>
              <w:rPr>
                <w:sz w:val="16"/>
                <w:szCs w:val="16"/>
                <w:lang w:val="en-GB"/>
              </w:rPr>
            </w:pPr>
            <w:r w:rsidRPr="000855B2">
              <w:rPr>
                <w:sz w:val="16"/>
                <w:szCs w:val="16"/>
                <w:lang w:val="en-GB"/>
              </w:rPr>
              <w:t>0.36</w:t>
            </w:r>
          </w:p>
        </w:tc>
        <w:tc>
          <w:tcPr>
            <w:tcW w:w="1134" w:type="dxa"/>
            <w:tcBorders>
              <w:top w:val="nil"/>
              <w:left w:val="nil"/>
              <w:bottom w:val="nil"/>
              <w:right w:val="single" w:sz="4" w:space="0" w:color="auto"/>
            </w:tcBorders>
            <w:shd w:val="clear" w:color="auto" w:fill="auto"/>
            <w:noWrap/>
            <w:vAlign w:val="bottom"/>
            <w:hideMark/>
          </w:tcPr>
          <w:p w14:paraId="27241A5E" w14:textId="77777777" w:rsidR="00011289" w:rsidRPr="000855B2" w:rsidRDefault="00011289" w:rsidP="009C4D4C">
            <w:pPr>
              <w:spacing w:line="240" w:lineRule="auto"/>
              <w:jc w:val="center"/>
              <w:rPr>
                <w:sz w:val="16"/>
                <w:szCs w:val="16"/>
                <w:lang w:val="en-GB"/>
              </w:rPr>
            </w:pPr>
            <w:r w:rsidRPr="000855B2">
              <w:rPr>
                <w:sz w:val="16"/>
                <w:szCs w:val="16"/>
                <w:lang w:val="en-GB"/>
              </w:rPr>
              <w:t>0.74</w:t>
            </w:r>
          </w:p>
        </w:tc>
        <w:tc>
          <w:tcPr>
            <w:tcW w:w="1559" w:type="dxa"/>
            <w:tcBorders>
              <w:top w:val="nil"/>
              <w:left w:val="nil"/>
              <w:bottom w:val="nil"/>
              <w:right w:val="single" w:sz="4" w:space="0" w:color="auto"/>
            </w:tcBorders>
            <w:shd w:val="clear" w:color="auto" w:fill="auto"/>
            <w:noWrap/>
            <w:vAlign w:val="bottom"/>
            <w:hideMark/>
          </w:tcPr>
          <w:p w14:paraId="2F144B36" w14:textId="77777777" w:rsidR="00011289" w:rsidRPr="000855B2" w:rsidRDefault="00011289" w:rsidP="009C4D4C">
            <w:pPr>
              <w:spacing w:line="240" w:lineRule="auto"/>
              <w:jc w:val="center"/>
              <w:rPr>
                <w:sz w:val="16"/>
                <w:szCs w:val="16"/>
                <w:lang w:val="en-GB"/>
              </w:rPr>
            </w:pPr>
            <w:r w:rsidRPr="000855B2">
              <w:rPr>
                <w:sz w:val="16"/>
                <w:szCs w:val="16"/>
                <w:lang w:val="en-GB"/>
              </w:rPr>
              <w:t>0.20</w:t>
            </w:r>
          </w:p>
        </w:tc>
        <w:tc>
          <w:tcPr>
            <w:tcW w:w="709" w:type="dxa"/>
            <w:tcBorders>
              <w:top w:val="nil"/>
              <w:left w:val="nil"/>
              <w:bottom w:val="nil"/>
              <w:right w:val="single" w:sz="4" w:space="0" w:color="auto"/>
            </w:tcBorders>
            <w:shd w:val="clear" w:color="auto" w:fill="auto"/>
            <w:noWrap/>
            <w:vAlign w:val="bottom"/>
            <w:hideMark/>
          </w:tcPr>
          <w:p w14:paraId="38961FE6" w14:textId="77777777" w:rsidR="00011289" w:rsidRPr="000855B2" w:rsidRDefault="00011289" w:rsidP="009C4D4C">
            <w:pPr>
              <w:spacing w:line="240" w:lineRule="auto"/>
              <w:jc w:val="center"/>
              <w:rPr>
                <w:sz w:val="16"/>
                <w:szCs w:val="16"/>
                <w:lang w:val="en-GB"/>
              </w:rPr>
            </w:pPr>
            <w:r w:rsidRPr="000855B2">
              <w:rPr>
                <w:sz w:val="16"/>
                <w:szCs w:val="16"/>
                <w:lang w:val="en-GB"/>
              </w:rPr>
              <w:t>0.30</w:t>
            </w:r>
          </w:p>
        </w:tc>
        <w:tc>
          <w:tcPr>
            <w:tcW w:w="709" w:type="dxa"/>
            <w:tcBorders>
              <w:top w:val="nil"/>
              <w:left w:val="nil"/>
              <w:bottom w:val="nil"/>
              <w:right w:val="double" w:sz="6" w:space="0" w:color="auto"/>
            </w:tcBorders>
            <w:shd w:val="clear" w:color="auto" w:fill="auto"/>
            <w:noWrap/>
            <w:vAlign w:val="bottom"/>
            <w:hideMark/>
          </w:tcPr>
          <w:p w14:paraId="725286C1" w14:textId="77777777" w:rsidR="00011289" w:rsidRPr="000855B2" w:rsidRDefault="00011289" w:rsidP="009C4D4C">
            <w:pPr>
              <w:spacing w:line="240" w:lineRule="auto"/>
              <w:jc w:val="center"/>
              <w:rPr>
                <w:sz w:val="16"/>
                <w:szCs w:val="16"/>
                <w:lang w:val="en-GB"/>
              </w:rPr>
            </w:pPr>
            <w:r w:rsidRPr="000855B2">
              <w:rPr>
                <w:sz w:val="16"/>
                <w:szCs w:val="16"/>
                <w:lang w:val="en-GB"/>
              </w:rPr>
              <w:t>0.18</w:t>
            </w:r>
          </w:p>
        </w:tc>
      </w:tr>
      <w:tr w:rsidR="00011289" w:rsidRPr="000855B2" w14:paraId="33607A79"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A855913"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8B704AB" w14:textId="77777777" w:rsidR="00011289" w:rsidRPr="000855B2" w:rsidRDefault="00011289" w:rsidP="009C4D4C">
            <w:pPr>
              <w:spacing w:line="240" w:lineRule="auto"/>
              <w:rPr>
                <w:sz w:val="16"/>
                <w:szCs w:val="16"/>
                <w:lang w:val="en-GB"/>
              </w:rPr>
            </w:pPr>
            <w:r w:rsidRPr="000855B2">
              <w:rPr>
                <w:sz w:val="16"/>
                <w:szCs w:val="16"/>
                <w:lang w:val="en-GB"/>
              </w:rPr>
              <w:t>octane</w:t>
            </w:r>
          </w:p>
        </w:tc>
        <w:tc>
          <w:tcPr>
            <w:tcW w:w="992" w:type="dxa"/>
            <w:tcBorders>
              <w:top w:val="nil"/>
              <w:left w:val="nil"/>
              <w:bottom w:val="nil"/>
              <w:right w:val="single" w:sz="4" w:space="0" w:color="auto"/>
            </w:tcBorders>
            <w:shd w:val="clear" w:color="auto" w:fill="auto"/>
            <w:noWrap/>
            <w:vAlign w:val="bottom"/>
            <w:hideMark/>
          </w:tcPr>
          <w:p w14:paraId="303AFB00" w14:textId="77777777" w:rsidR="00011289" w:rsidRPr="000855B2" w:rsidRDefault="00011289" w:rsidP="009C4D4C">
            <w:pPr>
              <w:spacing w:line="240" w:lineRule="auto"/>
              <w:jc w:val="center"/>
              <w:rPr>
                <w:sz w:val="16"/>
                <w:szCs w:val="16"/>
                <w:lang w:val="en-GB"/>
              </w:rPr>
            </w:pPr>
            <w:r w:rsidRPr="000855B2">
              <w:rPr>
                <w:sz w:val="16"/>
                <w:szCs w:val="16"/>
                <w:lang w:val="en-GB"/>
              </w:rPr>
              <w:t>0.56</w:t>
            </w:r>
          </w:p>
        </w:tc>
        <w:tc>
          <w:tcPr>
            <w:tcW w:w="1134" w:type="dxa"/>
            <w:tcBorders>
              <w:top w:val="nil"/>
              <w:left w:val="nil"/>
              <w:bottom w:val="nil"/>
              <w:right w:val="single" w:sz="4" w:space="0" w:color="auto"/>
            </w:tcBorders>
            <w:shd w:val="clear" w:color="auto" w:fill="auto"/>
            <w:noWrap/>
            <w:vAlign w:val="bottom"/>
            <w:hideMark/>
          </w:tcPr>
          <w:p w14:paraId="61BBF189" w14:textId="77777777" w:rsidR="00011289" w:rsidRPr="000855B2" w:rsidRDefault="00011289" w:rsidP="009C4D4C">
            <w:pPr>
              <w:spacing w:line="240" w:lineRule="auto"/>
              <w:jc w:val="center"/>
              <w:rPr>
                <w:sz w:val="16"/>
                <w:szCs w:val="16"/>
                <w:lang w:val="en-GB"/>
              </w:rPr>
            </w:pPr>
            <w:r w:rsidRPr="000855B2">
              <w:rPr>
                <w:sz w:val="16"/>
                <w:szCs w:val="16"/>
                <w:lang w:val="en-GB"/>
              </w:rPr>
              <w:t>0.53</w:t>
            </w:r>
          </w:p>
        </w:tc>
        <w:tc>
          <w:tcPr>
            <w:tcW w:w="1559" w:type="dxa"/>
            <w:tcBorders>
              <w:top w:val="nil"/>
              <w:left w:val="nil"/>
              <w:bottom w:val="nil"/>
              <w:right w:val="single" w:sz="4" w:space="0" w:color="auto"/>
            </w:tcBorders>
            <w:shd w:val="clear" w:color="auto" w:fill="auto"/>
            <w:noWrap/>
            <w:vAlign w:val="bottom"/>
            <w:hideMark/>
          </w:tcPr>
          <w:p w14:paraId="022DFA00" w14:textId="77777777" w:rsidR="00011289" w:rsidRPr="000855B2" w:rsidRDefault="00011289" w:rsidP="009C4D4C">
            <w:pPr>
              <w:spacing w:line="240" w:lineRule="auto"/>
              <w:jc w:val="center"/>
              <w:rPr>
                <w:sz w:val="16"/>
                <w:szCs w:val="16"/>
                <w:lang w:val="en-GB"/>
              </w:rPr>
            </w:pPr>
            <w:r w:rsidRPr="000855B2">
              <w:rPr>
                <w:sz w:val="16"/>
                <w:szCs w:val="16"/>
                <w:lang w:val="en-GB"/>
              </w:rPr>
              <w:t>0.25</w:t>
            </w:r>
          </w:p>
        </w:tc>
        <w:tc>
          <w:tcPr>
            <w:tcW w:w="709" w:type="dxa"/>
            <w:tcBorders>
              <w:top w:val="nil"/>
              <w:left w:val="nil"/>
              <w:bottom w:val="nil"/>
              <w:right w:val="single" w:sz="4" w:space="0" w:color="auto"/>
            </w:tcBorders>
            <w:shd w:val="clear" w:color="auto" w:fill="auto"/>
            <w:noWrap/>
            <w:vAlign w:val="bottom"/>
            <w:hideMark/>
          </w:tcPr>
          <w:p w14:paraId="38DC94B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0140F0BF" w14:textId="77777777" w:rsidR="00011289" w:rsidRPr="000855B2" w:rsidRDefault="00011289" w:rsidP="009C4D4C">
            <w:pPr>
              <w:spacing w:line="240" w:lineRule="auto"/>
              <w:jc w:val="center"/>
              <w:rPr>
                <w:sz w:val="16"/>
                <w:szCs w:val="16"/>
                <w:lang w:val="en-GB"/>
              </w:rPr>
            </w:pPr>
            <w:r w:rsidRPr="000855B2">
              <w:rPr>
                <w:sz w:val="16"/>
                <w:szCs w:val="16"/>
                <w:lang w:val="en-GB"/>
              </w:rPr>
              <w:t>0.04</w:t>
            </w:r>
          </w:p>
        </w:tc>
      </w:tr>
      <w:tr w:rsidR="00011289" w:rsidRPr="000855B2" w14:paraId="124AA7B4"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17473872"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224D2D25" w14:textId="77777777" w:rsidR="00011289" w:rsidRPr="000855B2" w:rsidRDefault="00011289" w:rsidP="009C4D4C">
            <w:pPr>
              <w:spacing w:line="240" w:lineRule="auto"/>
              <w:rPr>
                <w:sz w:val="16"/>
                <w:szCs w:val="16"/>
                <w:lang w:val="en-GB"/>
              </w:rPr>
            </w:pPr>
            <w:r w:rsidRPr="000855B2">
              <w:rPr>
                <w:sz w:val="16"/>
                <w:szCs w:val="16"/>
                <w:lang w:val="en-GB"/>
              </w:rPr>
              <w:t>2-methylhexane</w:t>
            </w:r>
          </w:p>
        </w:tc>
        <w:tc>
          <w:tcPr>
            <w:tcW w:w="992" w:type="dxa"/>
            <w:tcBorders>
              <w:top w:val="nil"/>
              <w:left w:val="nil"/>
              <w:bottom w:val="nil"/>
              <w:right w:val="single" w:sz="4" w:space="0" w:color="auto"/>
            </w:tcBorders>
            <w:shd w:val="clear" w:color="auto" w:fill="auto"/>
            <w:noWrap/>
            <w:vAlign w:val="bottom"/>
            <w:hideMark/>
          </w:tcPr>
          <w:p w14:paraId="05C9975C" w14:textId="77777777" w:rsidR="00011289" w:rsidRPr="000855B2" w:rsidRDefault="00011289" w:rsidP="009C4D4C">
            <w:pPr>
              <w:spacing w:line="240" w:lineRule="auto"/>
              <w:jc w:val="center"/>
              <w:rPr>
                <w:sz w:val="16"/>
                <w:szCs w:val="16"/>
                <w:lang w:val="en-GB"/>
              </w:rPr>
            </w:pPr>
            <w:r w:rsidRPr="000855B2">
              <w:rPr>
                <w:sz w:val="16"/>
                <w:szCs w:val="16"/>
                <w:lang w:val="en-GB"/>
              </w:rPr>
              <w:t>0.80</w:t>
            </w:r>
          </w:p>
        </w:tc>
        <w:tc>
          <w:tcPr>
            <w:tcW w:w="1134" w:type="dxa"/>
            <w:tcBorders>
              <w:top w:val="nil"/>
              <w:left w:val="nil"/>
              <w:bottom w:val="nil"/>
              <w:right w:val="single" w:sz="4" w:space="0" w:color="auto"/>
            </w:tcBorders>
            <w:shd w:val="clear" w:color="auto" w:fill="auto"/>
            <w:noWrap/>
            <w:vAlign w:val="bottom"/>
            <w:hideMark/>
          </w:tcPr>
          <w:p w14:paraId="21C05504" w14:textId="77777777" w:rsidR="00011289" w:rsidRPr="000855B2" w:rsidRDefault="00011289" w:rsidP="009C4D4C">
            <w:pPr>
              <w:spacing w:line="240" w:lineRule="auto"/>
              <w:jc w:val="center"/>
              <w:rPr>
                <w:sz w:val="16"/>
                <w:szCs w:val="16"/>
                <w:lang w:val="en-GB"/>
              </w:rPr>
            </w:pPr>
            <w:r w:rsidRPr="000855B2">
              <w:rPr>
                <w:sz w:val="16"/>
                <w:szCs w:val="16"/>
                <w:lang w:val="en-GB"/>
              </w:rPr>
              <w:t>1.48</w:t>
            </w:r>
          </w:p>
        </w:tc>
        <w:tc>
          <w:tcPr>
            <w:tcW w:w="1559" w:type="dxa"/>
            <w:tcBorders>
              <w:top w:val="nil"/>
              <w:left w:val="nil"/>
              <w:bottom w:val="nil"/>
              <w:right w:val="single" w:sz="4" w:space="0" w:color="auto"/>
            </w:tcBorders>
            <w:shd w:val="clear" w:color="auto" w:fill="auto"/>
            <w:noWrap/>
            <w:vAlign w:val="bottom"/>
            <w:hideMark/>
          </w:tcPr>
          <w:p w14:paraId="6A8A3934" w14:textId="77777777" w:rsidR="00011289" w:rsidRPr="000855B2" w:rsidRDefault="00011289" w:rsidP="009C4D4C">
            <w:pPr>
              <w:spacing w:line="240" w:lineRule="auto"/>
              <w:jc w:val="center"/>
              <w:rPr>
                <w:sz w:val="16"/>
                <w:szCs w:val="16"/>
                <w:lang w:val="en-GB"/>
              </w:rPr>
            </w:pPr>
            <w:r w:rsidRPr="000855B2">
              <w:rPr>
                <w:sz w:val="16"/>
                <w:szCs w:val="16"/>
                <w:lang w:val="en-GB"/>
              </w:rPr>
              <w:t>0.45</w:t>
            </w:r>
          </w:p>
        </w:tc>
        <w:tc>
          <w:tcPr>
            <w:tcW w:w="709" w:type="dxa"/>
            <w:tcBorders>
              <w:top w:val="nil"/>
              <w:left w:val="nil"/>
              <w:bottom w:val="nil"/>
              <w:right w:val="single" w:sz="4" w:space="0" w:color="auto"/>
            </w:tcBorders>
            <w:shd w:val="clear" w:color="auto" w:fill="auto"/>
            <w:noWrap/>
            <w:vAlign w:val="bottom"/>
            <w:hideMark/>
          </w:tcPr>
          <w:p w14:paraId="53C171AB" w14:textId="77777777" w:rsidR="00011289" w:rsidRPr="000855B2" w:rsidRDefault="00011289" w:rsidP="009C4D4C">
            <w:pPr>
              <w:spacing w:line="240" w:lineRule="auto"/>
              <w:jc w:val="center"/>
              <w:rPr>
                <w:sz w:val="16"/>
                <w:szCs w:val="16"/>
                <w:lang w:val="en-GB"/>
              </w:rPr>
            </w:pPr>
            <w:r w:rsidRPr="000855B2">
              <w:rPr>
                <w:sz w:val="16"/>
                <w:szCs w:val="16"/>
                <w:lang w:val="en-GB"/>
              </w:rPr>
              <w:t>0.63</w:t>
            </w:r>
          </w:p>
        </w:tc>
        <w:tc>
          <w:tcPr>
            <w:tcW w:w="709" w:type="dxa"/>
            <w:tcBorders>
              <w:top w:val="nil"/>
              <w:left w:val="nil"/>
              <w:bottom w:val="nil"/>
              <w:right w:val="double" w:sz="6" w:space="0" w:color="auto"/>
            </w:tcBorders>
            <w:shd w:val="clear" w:color="auto" w:fill="auto"/>
            <w:noWrap/>
            <w:vAlign w:val="bottom"/>
            <w:hideMark/>
          </w:tcPr>
          <w:p w14:paraId="3F329353" w14:textId="77777777" w:rsidR="00011289" w:rsidRPr="000855B2" w:rsidRDefault="00011289" w:rsidP="009C4D4C">
            <w:pPr>
              <w:spacing w:line="240" w:lineRule="auto"/>
              <w:jc w:val="center"/>
              <w:rPr>
                <w:sz w:val="16"/>
                <w:szCs w:val="16"/>
                <w:lang w:val="en-GB"/>
              </w:rPr>
            </w:pPr>
            <w:r w:rsidRPr="000855B2">
              <w:rPr>
                <w:sz w:val="16"/>
                <w:szCs w:val="16"/>
                <w:lang w:val="en-GB"/>
              </w:rPr>
              <w:t>0.25</w:t>
            </w:r>
          </w:p>
        </w:tc>
      </w:tr>
      <w:tr w:rsidR="00011289" w:rsidRPr="000855B2" w14:paraId="71A9153C"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51061FB"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08BBFDC" w14:textId="77777777" w:rsidR="00011289" w:rsidRPr="000855B2" w:rsidRDefault="00011289" w:rsidP="009C4D4C">
            <w:pPr>
              <w:spacing w:line="240" w:lineRule="auto"/>
              <w:rPr>
                <w:sz w:val="16"/>
                <w:szCs w:val="16"/>
                <w:lang w:val="en-GB"/>
              </w:rPr>
            </w:pPr>
            <w:r w:rsidRPr="000855B2">
              <w:rPr>
                <w:sz w:val="16"/>
                <w:szCs w:val="16"/>
                <w:lang w:val="en-GB"/>
              </w:rPr>
              <w:t>nonane</w:t>
            </w:r>
          </w:p>
        </w:tc>
        <w:tc>
          <w:tcPr>
            <w:tcW w:w="992" w:type="dxa"/>
            <w:tcBorders>
              <w:top w:val="nil"/>
              <w:left w:val="nil"/>
              <w:bottom w:val="nil"/>
              <w:right w:val="single" w:sz="4" w:space="0" w:color="auto"/>
            </w:tcBorders>
            <w:shd w:val="clear" w:color="auto" w:fill="auto"/>
            <w:noWrap/>
            <w:vAlign w:val="bottom"/>
            <w:hideMark/>
          </w:tcPr>
          <w:p w14:paraId="3C4C476B" w14:textId="77777777" w:rsidR="00011289" w:rsidRPr="000855B2" w:rsidRDefault="00011289" w:rsidP="009C4D4C">
            <w:pPr>
              <w:spacing w:line="240" w:lineRule="auto"/>
              <w:jc w:val="center"/>
              <w:rPr>
                <w:sz w:val="16"/>
                <w:szCs w:val="16"/>
                <w:lang w:val="en-GB"/>
              </w:rPr>
            </w:pPr>
            <w:r w:rsidRPr="000855B2">
              <w:rPr>
                <w:sz w:val="16"/>
                <w:szCs w:val="16"/>
                <w:lang w:val="en-GB"/>
              </w:rPr>
              <w:t>0.06</w:t>
            </w:r>
          </w:p>
        </w:tc>
        <w:tc>
          <w:tcPr>
            <w:tcW w:w="1134" w:type="dxa"/>
            <w:tcBorders>
              <w:top w:val="nil"/>
              <w:left w:val="nil"/>
              <w:bottom w:val="nil"/>
              <w:right w:val="single" w:sz="4" w:space="0" w:color="auto"/>
            </w:tcBorders>
            <w:shd w:val="clear" w:color="auto" w:fill="auto"/>
            <w:noWrap/>
            <w:vAlign w:val="bottom"/>
            <w:hideMark/>
          </w:tcPr>
          <w:p w14:paraId="555CAE4F" w14:textId="77777777" w:rsidR="00011289" w:rsidRPr="000855B2" w:rsidRDefault="00011289" w:rsidP="009C4D4C">
            <w:pPr>
              <w:spacing w:line="240" w:lineRule="auto"/>
              <w:jc w:val="center"/>
              <w:rPr>
                <w:sz w:val="16"/>
                <w:szCs w:val="16"/>
                <w:lang w:val="en-GB"/>
              </w:rPr>
            </w:pPr>
            <w:r w:rsidRPr="000855B2">
              <w:rPr>
                <w:sz w:val="16"/>
                <w:szCs w:val="16"/>
                <w:lang w:val="en-GB"/>
              </w:rPr>
              <w:t>0.16</w:t>
            </w:r>
          </w:p>
        </w:tc>
        <w:tc>
          <w:tcPr>
            <w:tcW w:w="1559" w:type="dxa"/>
            <w:tcBorders>
              <w:top w:val="nil"/>
              <w:left w:val="nil"/>
              <w:bottom w:val="nil"/>
              <w:right w:val="single" w:sz="4" w:space="0" w:color="auto"/>
            </w:tcBorders>
            <w:shd w:val="clear" w:color="auto" w:fill="auto"/>
            <w:noWrap/>
            <w:vAlign w:val="bottom"/>
            <w:hideMark/>
          </w:tcPr>
          <w:p w14:paraId="5F97EFC1" w14:textId="77777777" w:rsidR="00011289" w:rsidRPr="000855B2" w:rsidRDefault="00011289" w:rsidP="009C4D4C">
            <w:pPr>
              <w:spacing w:line="240" w:lineRule="auto"/>
              <w:jc w:val="center"/>
              <w:rPr>
                <w:sz w:val="16"/>
                <w:szCs w:val="16"/>
                <w:lang w:val="en-GB"/>
              </w:rPr>
            </w:pPr>
            <w:r w:rsidRPr="000855B2">
              <w:rPr>
                <w:sz w:val="16"/>
                <w:szCs w:val="16"/>
                <w:lang w:val="en-GB"/>
              </w:rPr>
              <w:t>0.67</w:t>
            </w:r>
          </w:p>
        </w:tc>
        <w:tc>
          <w:tcPr>
            <w:tcW w:w="709" w:type="dxa"/>
            <w:tcBorders>
              <w:top w:val="nil"/>
              <w:left w:val="nil"/>
              <w:bottom w:val="nil"/>
              <w:right w:val="single" w:sz="4" w:space="0" w:color="auto"/>
            </w:tcBorders>
            <w:shd w:val="clear" w:color="auto" w:fill="auto"/>
            <w:noWrap/>
            <w:vAlign w:val="bottom"/>
            <w:hideMark/>
          </w:tcPr>
          <w:p w14:paraId="62D59DE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381751C7" w14:textId="77777777" w:rsidR="00011289" w:rsidRPr="000855B2" w:rsidRDefault="00011289" w:rsidP="009C4D4C">
            <w:pPr>
              <w:spacing w:line="240" w:lineRule="auto"/>
              <w:jc w:val="center"/>
              <w:rPr>
                <w:sz w:val="16"/>
                <w:szCs w:val="16"/>
                <w:lang w:val="en-GB"/>
              </w:rPr>
            </w:pPr>
            <w:r w:rsidRPr="000855B2">
              <w:rPr>
                <w:sz w:val="16"/>
                <w:szCs w:val="16"/>
                <w:lang w:val="en-GB"/>
              </w:rPr>
              <w:t>0.01</w:t>
            </w:r>
          </w:p>
        </w:tc>
      </w:tr>
      <w:tr w:rsidR="00011289" w:rsidRPr="000855B2" w14:paraId="43BC2FE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EA085BF"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F37E067" w14:textId="77777777" w:rsidR="00011289" w:rsidRPr="000855B2" w:rsidRDefault="00011289" w:rsidP="009C4D4C">
            <w:pPr>
              <w:spacing w:line="240" w:lineRule="auto"/>
              <w:rPr>
                <w:sz w:val="16"/>
                <w:szCs w:val="16"/>
                <w:lang w:val="en-GB"/>
              </w:rPr>
            </w:pPr>
            <w:r w:rsidRPr="000855B2">
              <w:rPr>
                <w:sz w:val="16"/>
                <w:szCs w:val="16"/>
                <w:lang w:val="en-GB"/>
              </w:rPr>
              <w:t>2-methylheptane</w:t>
            </w:r>
          </w:p>
        </w:tc>
        <w:tc>
          <w:tcPr>
            <w:tcW w:w="992" w:type="dxa"/>
            <w:tcBorders>
              <w:top w:val="nil"/>
              <w:left w:val="nil"/>
              <w:bottom w:val="nil"/>
              <w:right w:val="single" w:sz="4" w:space="0" w:color="auto"/>
            </w:tcBorders>
            <w:shd w:val="clear" w:color="auto" w:fill="auto"/>
            <w:noWrap/>
            <w:vAlign w:val="bottom"/>
            <w:hideMark/>
          </w:tcPr>
          <w:p w14:paraId="4DA8BE89"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5DA275FE" w14:textId="77777777" w:rsidR="00011289" w:rsidRPr="000855B2" w:rsidRDefault="00011289" w:rsidP="009C4D4C">
            <w:pPr>
              <w:spacing w:line="240" w:lineRule="auto"/>
              <w:jc w:val="center"/>
              <w:rPr>
                <w:sz w:val="16"/>
                <w:szCs w:val="16"/>
                <w:lang w:val="en-GB"/>
              </w:rPr>
            </w:pPr>
            <w:r w:rsidRPr="000855B2">
              <w:rPr>
                <w:sz w:val="16"/>
                <w:szCs w:val="16"/>
                <w:lang w:val="en-GB"/>
              </w:rPr>
              <w:t>0.57</w:t>
            </w:r>
          </w:p>
        </w:tc>
        <w:tc>
          <w:tcPr>
            <w:tcW w:w="1559" w:type="dxa"/>
            <w:tcBorders>
              <w:top w:val="nil"/>
              <w:left w:val="nil"/>
              <w:bottom w:val="nil"/>
              <w:right w:val="single" w:sz="4" w:space="0" w:color="auto"/>
            </w:tcBorders>
            <w:shd w:val="clear" w:color="auto" w:fill="auto"/>
            <w:noWrap/>
            <w:vAlign w:val="bottom"/>
            <w:hideMark/>
          </w:tcPr>
          <w:p w14:paraId="3C958484" w14:textId="77777777" w:rsidR="00011289" w:rsidRPr="000855B2" w:rsidRDefault="00011289" w:rsidP="009C4D4C">
            <w:pPr>
              <w:spacing w:line="240" w:lineRule="auto"/>
              <w:jc w:val="center"/>
              <w:rPr>
                <w:sz w:val="16"/>
                <w:szCs w:val="16"/>
                <w:lang w:val="en-GB"/>
              </w:rPr>
            </w:pPr>
            <w:r w:rsidRPr="000855B2">
              <w:rPr>
                <w:sz w:val="16"/>
                <w:szCs w:val="16"/>
                <w:lang w:val="en-GB"/>
              </w:rPr>
              <w:t>0.12</w:t>
            </w:r>
          </w:p>
        </w:tc>
        <w:tc>
          <w:tcPr>
            <w:tcW w:w="709" w:type="dxa"/>
            <w:tcBorders>
              <w:top w:val="nil"/>
              <w:left w:val="nil"/>
              <w:bottom w:val="nil"/>
              <w:right w:val="single" w:sz="4" w:space="0" w:color="auto"/>
            </w:tcBorders>
            <w:shd w:val="clear" w:color="auto" w:fill="auto"/>
            <w:noWrap/>
            <w:vAlign w:val="bottom"/>
            <w:hideMark/>
          </w:tcPr>
          <w:p w14:paraId="4F097D5D" w14:textId="77777777" w:rsidR="00011289" w:rsidRPr="000855B2" w:rsidRDefault="00011289" w:rsidP="009C4D4C">
            <w:pPr>
              <w:spacing w:line="240" w:lineRule="auto"/>
              <w:jc w:val="center"/>
              <w:rPr>
                <w:sz w:val="16"/>
                <w:szCs w:val="16"/>
                <w:lang w:val="en-GB"/>
              </w:rPr>
            </w:pPr>
            <w:r w:rsidRPr="000855B2">
              <w:rPr>
                <w:sz w:val="16"/>
                <w:szCs w:val="16"/>
                <w:lang w:val="en-GB"/>
              </w:rPr>
              <w:t>0.21</w:t>
            </w:r>
          </w:p>
        </w:tc>
        <w:tc>
          <w:tcPr>
            <w:tcW w:w="709" w:type="dxa"/>
            <w:tcBorders>
              <w:top w:val="nil"/>
              <w:left w:val="nil"/>
              <w:bottom w:val="nil"/>
              <w:right w:val="double" w:sz="6" w:space="0" w:color="auto"/>
            </w:tcBorders>
            <w:shd w:val="clear" w:color="auto" w:fill="auto"/>
            <w:noWrap/>
            <w:vAlign w:val="bottom"/>
            <w:hideMark/>
          </w:tcPr>
          <w:p w14:paraId="3A1B4894" w14:textId="77777777" w:rsidR="00011289" w:rsidRPr="000855B2" w:rsidRDefault="00011289" w:rsidP="009C4D4C">
            <w:pPr>
              <w:spacing w:line="240" w:lineRule="auto"/>
              <w:jc w:val="center"/>
              <w:rPr>
                <w:sz w:val="16"/>
                <w:szCs w:val="16"/>
                <w:lang w:val="en-GB"/>
              </w:rPr>
            </w:pPr>
            <w:r w:rsidRPr="000855B2">
              <w:rPr>
                <w:sz w:val="16"/>
                <w:szCs w:val="16"/>
                <w:lang w:val="en-GB"/>
              </w:rPr>
              <w:t>0.09</w:t>
            </w:r>
          </w:p>
        </w:tc>
      </w:tr>
      <w:tr w:rsidR="00011289" w:rsidRPr="000855B2" w14:paraId="02E6141A"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25869E77"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387A0423" w14:textId="77777777" w:rsidR="00011289" w:rsidRPr="000855B2" w:rsidRDefault="00011289" w:rsidP="009C4D4C">
            <w:pPr>
              <w:spacing w:line="240" w:lineRule="auto"/>
              <w:rPr>
                <w:sz w:val="16"/>
                <w:szCs w:val="16"/>
                <w:lang w:val="en-GB"/>
              </w:rPr>
            </w:pPr>
            <w:r w:rsidRPr="000855B2">
              <w:rPr>
                <w:sz w:val="16"/>
                <w:szCs w:val="16"/>
                <w:lang w:val="en-GB"/>
              </w:rPr>
              <w:t>3-methylhexane</w:t>
            </w:r>
          </w:p>
        </w:tc>
        <w:tc>
          <w:tcPr>
            <w:tcW w:w="992" w:type="dxa"/>
            <w:tcBorders>
              <w:top w:val="nil"/>
              <w:left w:val="nil"/>
              <w:bottom w:val="nil"/>
              <w:right w:val="single" w:sz="4" w:space="0" w:color="auto"/>
            </w:tcBorders>
            <w:shd w:val="clear" w:color="auto" w:fill="auto"/>
            <w:noWrap/>
            <w:vAlign w:val="bottom"/>
            <w:hideMark/>
          </w:tcPr>
          <w:p w14:paraId="3BFD8270" w14:textId="77777777" w:rsidR="00011289" w:rsidRPr="000855B2" w:rsidRDefault="00011289" w:rsidP="009C4D4C">
            <w:pPr>
              <w:spacing w:line="240" w:lineRule="auto"/>
              <w:jc w:val="center"/>
              <w:rPr>
                <w:sz w:val="16"/>
                <w:szCs w:val="16"/>
                <w:lang w:val="en-GB"/>
              </w:rPr>
            </w:pPr>
            <w:r w:rsidRPr="000855B2">
              <w:rPr>
                <w:sz w:val="16"/>
                <w:szCs w:val="16"/>
                <w:lang w:val="en-GB"/>
              </w:rPr>
              <w:t>0.56</w:t>
            </w:r>
          </w:p>
        </w:tc>
        <w:tc>
          <w:tcPr>
            <w:tcW w:w="1134" w:type="dxa"/>
            <w:tcBorders>
              <w:top w:val="nil"/>
              <w:left w:val="nil"/>
              <w:bottom w:val="nil"/>
              <w:right w:val="single" w:sz="4" w:space="0" w:color="auto"/>
            </w:tcBorders>
            <w:shd w:val="clear" w:color="auto" w:fill="auto"/>
            <w:noWrap/>
            <w:vAlign w:val="bottom"/>
            <w:hideMark/>
          </w:tcPr>
          <w:p w14:paraId="0781E6B8" w14:textId="77777777" w:rsidR="00011289" w:rsidRPr="000855B2" w:rsidRDefault="00011289" w:rsidP="009C4D4C">
            <w:pPr>
              <w:spacing w:line="240" w:lineRule="auto"/>
              <w:jc w:val="center"/>
              <w:rPr>
                <w:sz w:val="16"/>
                <w:szCs w:val="16"/>
                <w:lang w:val="en-GB"/>
              </w:rPr>
            </w:pPr>
            <w:r w:rsidRPr="000855B2">
              <w:rPr>
                <w:sz w:val="16"/>
                <w:szCs w:val="16"/>
                <w:lang w:val="en-GB"/>
              </w:rPr>
              <w:t>1.14</w:t>
            </w:r>
          </w:p>
        </w:tc>
        <w:tc>
          <w:tcPr>
            <w:tcW w:w="1559" w:type="dxa"/>
            <w:tcBorders>
              <w:top w:val="nil"/>
              <w:left w:val="nil"/>
              <w:bottom w:val="nil"/>
              <w:right w:val="single" w:sz="4" w:space="0" w:color="auto"/>
            </w:tcBorders>
            <w:shd w:val="clear" w:color="auto" w:fill="auto"/>
            <w:noWrap/>
            <w:vAlign w:val="bottom"/>
            <w:hideMark/>
          </w:tcPr>
          <w:p w14:paraId="1D7CE721" w14:textId="77777777" w:rsidR="00011289" w:rsidRPr="000855B2" w:rsidRDefault="00011289" w:rsidP="009C4D4C">
            <w:pPr>
              <w:spacing w:line="240" w:lineRule="auto"/>
              <w:jc w:val="center"/>
              <w:rPr>
                <w:sz w:val="16"/>
                <w:szCs w:val="16"/>
                <w:lang w:val="en-GB"/>
              </w:rPr>
            </w:pPr>
            <w:r w:rsidRPr="000855B2">
              <w:rPr>
                <w:sz w:val="16"/>
                <w:szCs w:val="16"/>
                <w:lang w:val="en-GB"/>
              </w:rPr>
              <w:t>0.22</w:t>
            </w:r>
          </w:p>
        </w:tc>
        <w:tc>
          <w:tcPr>
            <w:tcW w:w="709" w:type="dxa"/>
            <w:tcBorders>
              <w:top w:val="nil"/>
              <w:left w:val="nil"/>
              <w:bottom w:val="nil"/>
              <w:right w:val="single" w:sz="4" w:space="0" w:color="auto"/>
            </w:tcBorders>
            <w:shd w:val="clear" w:color="auto" w:fill="auto"/>
            <w:noWrap/>
            <w:vAlign w:val="bottom"/>
            <w:hideMark/>
          </w:tcPr>
          <w:p w14:paraId="5BBB9F00" w14:textId="77777777" w:rsidR="00011289" w:rsidRPr="000855B2" w:rsidRDefault="00011289" w:rsidP="009C4D4C">
            <w:pPr>
              <w:spacing w:line="240" w:lineRule="auto"/>
              <w:jc w:val="center"/>
              <w:rPr>
                <w:sz w:val="16"/>
                <w:szCs w:val="16"/>
                <w:lang w:val="en-GB"/>
              </w:rPr>
            </w:pPr>
            <w:r w:rsidRPr="000855B2">
              <w:rPr>
                <w:sz w:val="16"/>
                <w:szCs w:val="16"/>
                <w:lang w:val="en-GB"/>
              </w:rPr>
              <w:t>0.35</w:t>
            </w:r>
          </w:p>
        </w:tc>
        <w:tc>
          <w:tcPr>
            <w:tcW w:w="709" w:type="dxa"/>
            <w:tcBorders>
              <w:top w:val="nil"/>
              <w:left w:val="nil"/>
              <w:bottom w:val="nil"/>
              <w:right w:val="double" w:sz="6" w:space="0" w:color="auto"/>
            </w:tcBorders>
            <w:shd w:val="clear" w:color="auto" w:fill="auto"/>
            <w:noWrap/>
            <w:vAlign w:val="bottom"/>
            <w:hideMark/>
          </w:tcPr>
          <w:p w14:paraId="47CF9DD0" w14:textId="77777777" w:rsidR="00011289" w:rsidRPr="000855B2" w:rsidRDefault="00011289" w:rsidP="009C4D4C">
            <w:pPr>
              <w:spacing w:line="240" w:lineRule="auto"/>
              <w:jc w:val="center"/>
              <w:rPr>
                <w:sz w:val="16"/>
                <w:szCs w:val="16"/>
                <w:lang w:val="en-GB"/>
              </w:rPr>
            </w:pPr>
            <w:r w:rsidRPr="000855B2">
              <w:rPr>
                <w:sz w:val="16"/>
                <w:szCs w:val="16"/>
                <w:lang w:val="en-GB"/>
              </w:rPr>
              <w:t>0.19</w:t>
            </w:r>
          </w:p>
        </w:tc>
      </w:tr>
      <w:tr w:rsidR="00011289" w:rsidRPr="000855B2" w14:paraId="6C87077B"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F9DCD43"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3D8566F" w14:textId="77777777" w:rsidR="00011289" w:rsidRPr="000855B2" w:rsidRDefault="00011289" w:rsidP="009C4D4C">
            <w:pPr>
              <w:spacing w:line="240" w:lineRule="auto"/>
              <w:rPr>
                <w:sz w:val="16"/>
                <w:szCs w:val="16"/>
                <w:lang w:val="en-GB"/>
              </w:rPr>
            </w:pPr>
            <w:r w:rsidRPr="000855B2">
              <w:rPr>
                <w:sz w:val="16"/>
                <w:szCs w:val="16"/>
                <w:lang w:val="en-GB"/>
              </w:rPr>
              <w:t>decane</w:t>
            </w:r>
          </w:p>
        </w:tc>
        <w:tc>
          <w:tcPr>
            <w:tcW w:w="992" w:type="dxa"/>
            <w:tcBorders>
              <w:top w:val="nil"/>
              <w:left w:val="nil"/>
              <w:bottom w:val="nil"/>
              <w:right w:val="single" w:sz="4" w:space="0" w:color="auto"/>
            </w:tcBorders>
            <w:shd w:val="clear" w:color="auto" w:fill="auto"/>
            <w:noWrap/>
            <w:vAlign w:val="bottom"/>
            <w:hideMark/>
          </w:tcPr>
          <w:p w14:paraId="4D78E206" w14:textId="77777777" w:rsidR="00011289" w:rsidRPr="000855B2" w:rsidRDefault="00011289" w:rsidP="009C4D4C">
            <w:pPr>
              <w:spacing w:line="240" w:lineRule="auto"/>
              <w:jc w:val="center"/>
              <w:rPr>
                <w:sz w:val="16"/>
                <w:szCs w:val="16"/>
                <w:lang w:val="en-GB"/>
              </w:rPr>
            </w:pPr>
            <w:r w:rsidRPr="000855B2">
              <w:rPr>
                <w:sz w:val="16"/>
                <w:szCs w:val="16"/>
                <w:lang w:val="en-GB"/>
              </w:rPr>
              <w:t>0.22</w:t>
            </w:r>
          </w:p>
        </w:tc>
        <w:tc>
          <w:tcPr>
            <w:tcW w:w="1134" w:type="dxa"/>
            <w:tcBorders>
              <w:top w:val="nil"/>
              <w:left w:val="nil"/>
              <w:bottom w:val="nil"/>
              <w:right w:val="single" w:sz="4" w:space="0" w:color="auto"/>
            </w:tcBorders>
            <w:shd w:val="clear" w:color="auto" w:fill="auto"/>
            <w:noWrap/>
            <w:vAlign w:val="bottom"/>
            <w:hideMark/>
          </w:tcPr>
          <w:p w14:paraId="3183EA34" w14:textId="77777777" w:rsidR="00011289" w:rsidRPr="000855B2" w:rsidRDefault="00011289" w:rsidP="009C4D4C">
            <w:pPr>
              <w:spacing w:line="240" w:lineRule="auto"/>
              <w:jc w:val="center"/>
              <w:rPr>
                <w:sz w:val="16"/>
                <w:szCs w:val="16"/>
                <w:lang w:val="en-GB"/>
              </w:rPr>
            </w:pPr>
            <w:r w:rsidRPr="000855B2">
              <w:rPr>
                <w:sz w:val="16"/>
                <w:szCs w:val="16"/>
                <w:lang w:val="en-GB"/>
              </w:rPr>
              <w:t>0.19</w:t>
            </w:r>
          </w:p>
        </w:tc>
        <w:tc>
          <w:tcPr>
            <w:tcW w:w="1559" w:type="dxa"/>
            <w:tcBorders>
              <w:top w:val="nil"/>
              <w:left w:val="nil"/>
              <w:bottom w:val="nil"/>
              <w:right w:val="single" w:sz="4" w:space="0" w:color="auto"/>
            </w:tcBorders>
            <w:shd w:val="clear" w:color="auto" w:fill="auto"/>
            <w:noWrap/>
            <w:vAlign w:val="bottom"/>
            <w:hideMark/>
          </w:tcPr>
          <w:p w14:paraId="2CBCA78E" w14:textId="77777777" w:rsidR="00011289" w:rsidRPr="000855B2" w:rsidRDefault="00011289" w:rsidP="009C4D4C">
            <w:pPr>
              <w:spacing w:line="240" w:lineRule="auto"/>
              <w:jc w:val="center"/>
              <w:rPr>
                <w:sz w:val="16"/>
                <w:szCs w:val="16"/>
                <w:lang w:val="en-GB"/>
              </w:rPr>
            </w:pPr>
            <w:r w:rsidRPr="000855B2">
              <w:rPr>
                <w:sz w:val="16"/>
                <w:szCs w:val="16"/>
                <w:lang w:val="en-GB"/>
              </w:rPr>
              <w:t>1.18</w:t>
            </w:r>
          </w:p>
        </w:tc>
        <w:tc>
          <w:tcPr>
            <w:tcW w:w="709" w:type="dxa"/>
            <w:tcBorders>
              <w:top w:val="nil"/>
              <w:left w:val="nil"/>
              <w:bottom w:val="nil"/>
              <w:right w:val="single" w:sz="4" w:space="0" w:color="auto"/>
            </w:tcBorders>
            <w:shd w:val="clear" w:color="auto" w:fill="auto"/>
            <w:noWrap/>
            <w:vAlign w:val="bottom"/>
            <w:hideMark/>
          </w:tcPr>
          <w:p w14:paraId="5C74C42E" w14:textId="77777777" w:rsidR="00011289" w:rsidRPr="000855B2" w:rsidRDefault="00011289" w:rsidP="009C4D4C">
            <w:pPr>
              <w:spacing w:line="240" w:lineRule="auto"/>
              <w:jc w:val="center"/>
              <w:rPr>
                <w:sz w:val="16"/>
                <w:szCs w:val="16"/>
                <w:lang w:val="en-GB"/>
              </w:rPr>
            </w:pPr>
            <w:r w:rsidRPr="000855B2">
              <w:rPr>
                <w:sz w:val="16"/>
                <w:szCs w:val="16"/>
                <w:lang w:val="en-GB"/>
              </w:rPr>
              <w:t>1.79</w:t>
            </w:r>
          </w:p>
        </w:tc>
        <w:tc>
          <w:tcPr>
            <w:tcW w:w="709" w:type="dxa"/>
            <w:tcBorders>
              <w:top w:val="nil"/>
              <w:left w:val="nil"/>
              <w:bottom w:val="nil"/>
              <w:right w:val="double" w:sz="6" w:space="0" w:color="auto"/>
            </w:tcBorders>
            <w:shd w:val="clear" w:color="auto" w:fill="auto"/>
            <w:noWrap/>
            <w:vAlign w:val="bottom"/>
            <w:hideMark/>
          </w:tcPr>
          <w:p w14:paraId="0697118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106ABC20"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1336EB6E"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3CF2843F" w14:textId="77777777" w:rsidR="00011289" w:rsidRPr="000855B2" w:rsidRDefault="00011289" w:rsidP="009C4D4C">
            <w:pPr>
              <w:spacing w:line="240" w:lineRule="auto"/>
              <w:rPr>
                <w:sz w:val="16"/>
                <w:szCs w:val="16"/>
                <w:lang w:val="en-GB"/>
              </w:rPr>
            </w:pPr>
            <w:r w:rsidRPr="000855B2">
              <w:rPr>
                <w:sz w:val="16"/>
                <w:szCs w:val="16"/>
                <w:lang w:val="en-GB"/>
              </w:rPr>
              <w:t>3-methylheptane</w:t>
            </w:r>
          </w:p>
        </w:tc>
        <w:tc>
          <w:tcPr>
            <w:tcW w:w="992" w:type="dxa"/>
            <w:tcBorders>
              <w:top w:val="nil"/>
              <w:left w:val="nil"/>
              <w:bottom w:val="nil"/>
              <w:right w:val="single" w:sz="4" w:space="0" w:color="auto"/>
            </w:tcBorders>
            <w:shd w:val="clear" w:color="auto" w:fill="auto"/>
            <w:noWrap/>
            <w:vAlign w:val="bottom"/>
            <w:hideMark/>
          </w:tcPr>
          <w:p w14:paraId="3EC841F3" w14:textId="77777777" w:rsidR="00011289" w:rsidRPr="000855B2" w:rsidRDefault="00011289" w:rsidP="009C4D4C">
            <w:pPr>
              <w:spacing w:line="240" w:lineRule="auto"/>
              <w:jc w:val="center"/>
              <w:rPr>
                <w:sz w:val="16"/>
                <w:szCs w:val="16"/>
                <w:lang w:val="en-GB"/>
              </w:rPr>
            </w:pPr>
            <w:r w:rsidRPr="000855B2">
              <w:rPr>
                <w:sz w:val="16"/>
                <w:szCs w:val="16"/>
                <w:lang w:val="en-GB"/>
              </w:rPr>
              <w:t>0.40</w:t>
            </w:r>
          </w:p>
        </w:tc>
        <w:tc>
          <w:tcPr>
            <w:tcW w:w="1134" w:type="dxa"/>
            <w:tcBorders>
              <w:top w:val="nil"/>
              <w:left w:val="nil"/>
              <w:bottom w:val="nil"/>
              <w:right w:val="single" w:sz="4" w:space="0" w:color="auto"/>
            </w:tcBorders>
            <w:shd w:val="clear" w:color="auto" w:fill="auto"/>
            <w:noWrap/>
            <w:vAlign w:val="bottom"/>
            <w:hideMark/>
          </w:tcPr>
          <w:p w14:paraId="2396D1AF" w14:textId="77777777" w:rsidR="00011289" w:rsidRPr="000855B2" w:rsidRDefault="00011289" w:rsidP="009C4D4C">
            <w:pPr>
              <w:spacing w:line="240" w:lineRule="auto"/>
              <w:jc w:val="center"/>
              <w:rPr>
                <w:sz w:val="16"/>
                <w:szCs w:val="16"/>
                <w:lang w:val="en-GB"/>
              </w:rPr>
            </w:pPr>
            <w:r w:rsidRPr="000855B2">
              <w:rPr>
                <w:sz w:val="16"/>
                <w:szCs w:val="16"/>
                <w:lang w:val="en-GB"/>
              </w:rPr>
              <w:t>0.54</w:t>
            </w:r>
          </w:p>
        </w:tc>
        <w:tc>
          <w:tcPr>
            <w:tcW w:w="1559" w:type="dxa"/>
            <w:tcBorders>
              <w:top w:val="nil"/>
              <w:left w:val="nil"/>
              <w:bottom w:val="nil"/>
              <w:right w:val="single" w:sz="4" w:space="0" w:color="auto"/>
            </w:tcBorders>
            <w:shd w:val="clear" w:color="auto" w:fill="auto"/>
            <w:noWrap/>
            <w:vAlign w:val="bottom"/>
            <w:hideMark/>
          </w:tcPr>
          <w:p w14:paraId="6BF6E836" w14:textId="77777777" w:rsidR="00011289" w:rsidRPr="000855B2" w:rsidRDefault="00011289" w:rsidP="009C4D4C">
            <w:pPr>
              <w:spacing w:line="240" w:lineRule="auto"/>
              <w:jc w:val="center"/>
              <w:rPr>
                <w:sz w:val="16"/>
                <w:szCs w:val="16"/>
                <w:lang w:val="en-GB"/>
              </w:rPr>
            </w:pPr>
            <w:r w:rsidRPr="000855B2">
              <w:rPr>
                <w:sz w:val="16"/>
                <w:szCs w:val="16"/>
                <w:lang w:val="en-GB"/>
              </w:rPr>
              <w:t>0.20</w:t>
            </w:r>
          </w:p>
        </w:tc>
        <w:tc>
          <w:tcPr>
            <w:tcW w:w="709" w:type="dxa"/>
            <w:tcBorders>
              <w:top w:val="nil"/>
              <w:left w:val="nil"/>
              <w:bottom w:val="nil"/>
              <w:right w:val="single" w:sz="4" w:space="0" w:color="auto"/>
            </w:tcBorders>
            <w:shd w:val="clear" w:color="auto" w:fill="auto"/>
            <w:noWrap/>
            <w:vAlign w:val="bottom"/>
            <w:hideMark/>
          </w:tcPr>
          <w:p w14:paraId="7A373DF3" w14:textId="77777777" w:rsidR="00011289" w:rsidRPr="000855B2" w:rsidRDefault="00011289" w:rsidP="009C4D4C">
            <w:pPr>
              <w:spacing w:line="240" w:lineRule="auto"/>
              <w:jc w:val="center"/>
              <w:rPr>
                <w:sz w:val="16"/>
                <w:szCs w:val="16"/>
                <w:lang w:val="en-GB"/>
              </w:rPr>
            </w:pPr>
            <w:r w:rsidRPr="000855B2">
              <w:rPr>
                <w:sz w:val="16"/>
                <w:szCs w:val="16"/>
                <w:lang w:val="en-GB"/>
              </w:rPr>
              <w:t>0.27</w:t>
            </w:r>
          </w:p>
        </w:tc>
        <w:tc>
          <w:tcPr>
            <w:tcW w:w="709" w:type="dxa"/>
            <w:tcBorders>
              <w:top w:val="nil"/>
              <w:left w:val="nil"/>
              <w:bottom w:val="nil"/>
              <w:right w:val="double" w:sz="6" w:space="0" w:color="auto"/>
            </w:tcBorders>
            <w:shd w:val="clear" w:color="auto" w:fill="auto"/>
            <w:noWrap/>
            <w:vAlign w:val="bottom"/>
            <w:hideMark/>
          </w:tcPr>
          <w:p w14:paraId="3450877E" w14:textId="77777777" w:rsidR="00011289" w:rsidRPr="000855B2" w:rsidRDefault="00011289" w:rsidP="009C4D4C">
            <w:pPr>
              <w:spacing w:line="240" w:lineRule="auto"/>
              <w:jc w:val="center"/>
              <w:rPr>
                <w:sz w:val="16"/>
                <w:szCs w:val="16"/>
                <w:lang w:val="en-GB"/>
              </w:rPr>
            </w:pPr>
            <w:r w:rsidRPr="000855B2">
              <w:rPr>
                <w:sz w:val="16"/>
                <w:szCs w:val="16"/>
                <w:lang w:val="en-GB"/>
              </w:rPr>
              <w:t>0.08</w:t>
            </w:r>
          </w:p>
        </w:tc>
      </w:tr>
      <w:tr w:rsidR="00011289" w:rsidRPr="000855B2" w14:paraId="158D797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69BFD8CF"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FED7E72" w14:textId="77777777" w:rsidR="00011289" w:rsidRPr="000855B2" w:rsidRDefault="00011289" w:rsidP="009C4D4C">
            <w:pPr>
              <w:spacing w:line="240" w:lineRule="auto"/>
              <w:rPr>
                <w:sz w:val="16"/>
                <w:szCs w:val="16"/>
                <w:lang w:val="en-GB"/>
              </w:rPr>
            </w:pPr>
            <w:r w:rsidRPr="000855B2">
              <w:rPr>
                <w:sz w:val="16"/>
                <w:szCs w:val="16"/>
                <w:lang w:val="en-GB"/>
              </w:rPr>
              <w:t>Alkanes C10-C12</w:t>
            </w:r>
          </w:p>
        </w:tc>
        <w:tc>
          <w:tcPr>
            <w:tcW w:w="992" w:type="dxa"/>
            <w:tcBorders>
              <w:top w:val="nil"/>
              <w:left w:val="nil"/>
              <w:bottom w:val="nil"/>
              <w:right w:val="single" w:sz="4" w:space="0" w:color="auto"/>
            </w:tcBorders>
            <w:shd w:val="clear" w:color="auto" w:fill="auto"/>
            <w:noWrap/>
            <w:vAlign w:val="bottom"/>
            <w:hideMark/>
          </w:tcPr>
          <w:p w14:paraId="5518E847" w14:textId="77777777" w:rsidR="00011289" w:rsidRPr="000855B2" w:rsidRDefault="00011289" w:rsidP="009C4D4C">
            <w:pPr>
              <w:spacing w:line="240" w:lineRule="auto"/>
              <w:jc w:val="center"/>
              <w:rPr>
                <w:sz w:val="16"/>
                <w:szCs w:val="16"/>
                <w:lang w:val="en-GB"/>
              </w:rPr>
            </w:pPr>
            <w:r w:rsidRPr="000855B2">
              <w:rPr>
                <w:sz w:val="16"/>
                <w:szCs w:val="16"/>
                <w:lang w:val="en-GB"/>
              </w:rPr>
              <w:t>0.03</w:t>
            </w:r>
          </w:p>
        </w:tc>
        <w:tc>
          <w:tcPr>
            <w:tcW w:w="1134" w:type="dxa"/>
            <w:tcBorders>
              <w:top w:val="nil"/>
              <w:left w:val="nil"/>
              <w:bottom w:val="nil"/>
              <w:right w:val="single" w:sz="4" w:space="0" w:color="auto"/>
            </w:tcBorders>
            <w:shd w:val="clear" w:color="auto" w:fill="auto"/>
            <w:noWrap/>
            <w:vAlign w:val="bottom"/>
            <w:hideMark/>
          </w:tcPr>
          <w:p w14:paraId="3793D837" w14:textId="77777777" w:rsidR="00011289" w:rsidRPr="000855B2" w:rsidRDefault="00011289" w:rsidP="009C4D4C">
            <w:pPr>
              <w:spacing w:line="240" w:lineRule="auto"/>
              <w:jc w:val="center"/>
              <w:rPr>
                <w:sz w:val="16"/>
                <w:szCs w:val="16"/>
                <w:lang w:val="en-GB"/>
              </w:rPr>
            </w:pPr>
            <w:r w:rsidRPr="000855B2">
              <w:rPr>
                <w:sz w:val="16"/>
                <w:szCs w:val="16"/>
                <w:lang w:val="en-GB"/>
              </w:rPr>
              <w:t>1.76</w:t>
            </w:r>
          </w:p>
        </w:tc>
        <w:tc>
          <w:tcPr>
            <w:tcW w:w="1559" w:type="dxa"/>
            <w:tcBorders>
              <w:top w:val="nil"/>
              <w:left w:val="nil"/>
              <w:bottom w:val="nil"/>
              <w:right w:val="single" w:sz="4" w:space="0" w:color="auto"/>
            </w:tcBorders>
            <w:shd w:val="clear" w:color="auto" w:fill="auto"/>
            <w:noWrap/>
            <w:vAlign w:val="bottom"/>
            <w:hideMark/>
          </w:tcPr>
          <w:p w14:paraId="3DDA8973" w14:textId="77777777" w:rsidR="00011289" w:rsidRPr="000855B2" w:rsidRDefault="00011289" w:rsidP="009C4D4C">
            <w:pPr>
              <w:spacing w:line="240" w:lineRule="auto"/>
              <w:jc w:val="center"/>
              <w:rPr>
                <w:sz w:val="16"/>
                <w:szCs w:val="16"/>
                <w:lang w:val="en-GB"/>
              </w:rPr>
            </w:pPr>
            <w:r w:rsidRPr="000855B2">
              <w:rPr>
                <w:sz w:val="16"/>
                <w:szCs w:val="16"/>
                <w:lang w:val="en-GB"/>
              </w:rPr>
              <w:t>2.15</w:t>
            </w:r>
          </w:p>
        </w:tc>
        <w:tc>
          <w:tcPr>
            <w:tcW w:w="709" w:type="dxa"/>
            <w:tcBorders>
              <w:top w:val="nil"/>
              <w:left w:val="nil"/>
              <w:bottom w:val="nil"/>
              <w:right w:val="single" w:sz="4" w:space="0" w:color="auto"/>
            </w:tcBorders>
            <w:shd w:val="clear" w:color="auto" w:fill="auto"/>
            <w:noWrap/>
            <w:vAlign w:val="bottom"/>
            <w:hideMark/>
          </w:tcPr>
          <w:p w14:paraId="03D7E7F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0CEA5A0E" w14:textId="77777777" w:rsidR="00011289" w:rsidRPr="000855B2" w:rsidRDefault="00011289" w:rsidP="009C4D4C">
            <w:pPr>
              <w:spacing w:line="240" w:lineRule="auto"/>
              <w:jc w:val="center"/>
              <w:rPr>
                <w:sz w:val="16"/>
                <w:szCs w:val="16"/>
                <w:lang w:val="en-GB"/>
              </w:rPr>
            </w:pPr>
            <w:r w:rsidRPr="000855B2">
              <w:rPr>
                <w:sz w:val="16"/>
                <w:szCs w:val="16"/>
                <w:lang w:val="en-GB"/>
              </w:rPr>
              <w:t>0.01</w:t>
            </w:r>
          </w:p>
        </w:tc>
      </w:tr>
      <w:tr w:rsidR="00011289" w:rsidRPr="000855B2" w14:paraId="0CE0968A"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6F79B4C7" w14:textId="77777777" w:rsidR="00011289" w:rsidRPr="000855B2" w:rsidRDefault="00011289" w:rsidP="009C4D4C">
            <w:pPr>
              <w:spacing w:line="240" w:lineRule="auto"/>
              <w:rPr>
                <w:b/>
                <w:bCs/>
                <w:sz w:val="16"/>
                <w:szCs w:val="16"/>
                <w:lang w:val="en-GB"/>
              </w:rPr>
            </w:pPr>
          </w:p>
        </w:tc>
        <w:tc>
          <w:tcPr>
            <w:tcW w:w="1402" w:type="dxa"/>
            <w:tcBorders>
              <w:top w:val="nil"/>
              <w:left w:val="nil"/>
              <w:bottom w:val="single" w:sz="4" w:space="0" w:color="auto"/>
              <w:right w:val="single" w:sz="4" w:space="0" w:color="auto"/>
            </w:tcBorders>
            <w:shd w:val="clear" w:color="auto" w:fill="auto"/>
            <w:noWrap/>
            <w:vAlign w:val="bottom"/>
            <w:hideMark/>
          </w:tcPr>
          <w:p w14:paraId="2B191B5F" w14:textId="77777777" w:rsidR="00011289" w:rsidRPr="000855B2" w:rsidRDefault="00011289" w:rsidP="009C4D4C">
            <w:pPr>
              <w:spacing w:line="240" w:lineRule="auto"/>
              <w:rPr>
                <w:sz w:val="16"/>
                <w:szCs w:val="16"/>
                <w:lang w:val="en-GB"/>
              </w:rPr>
            </w:pPr>
            <w:r w:rsidRPr="000855B2">
              <w:rPr>
                <w:sz w:val="16"/>
                <w:szCs w:val="16"/>
                <w:lang w:val="en-GB"/>
              </w:rPr>
              <w:t>Alkanes C&gt;13</w:t>
            </w:r>
          </w:p>
        </w:tc>
        <w:tc>
          <w:tcPr>
            <w:tcW w:w="992" w:type="dxa"/>
            <w:tcBorders>
              <w:top w:val="nil"/>
              <w:left w:val="nil"/>
              <w:bottom w:val="single" w:sz="4" w:space="0" w:color="auto"/>
              <w:right w:val="single" w:sz="4" w:space="0" w:color="auto"/>
            </w:tcBorders>
            <w:shd w:val="clear" w:color="auto" w:fill="auto"/>
            <w:noWrap/>
            <w:vAlign w:val="bottom"/>
            <w:hideMark/>
          </w:tcPr>
          <w:p w14:paraId="7D3BE6B2" w14:textId="77777777" w:rsidR="00011289" w:rsidRPr="000855B2" w:rsidRDefault="00011289" w:rsidP="009C4D4C">
            <w:pPr>
              <w:spacing w:line="240" w:lineRule="auto"/>
              <w:jc w:val="center"/>
              <w:rPr>
                <w:sz w:val="16"/>
                <w:szCs w:val="16"/>
                <w:lang w:val="en-GB"/>
              </w:rPr>
            </w:pPr>
            <w:r w:rsidRPr="000855B2">
              <w:rPr>
                <w:sz w:val="16"/>
                <w:szCs w:val="16"/>
                <w:lang w:val="en-GB"/>
              </w:rPr>
              <w:t>0.06</w:t>
            </w:r>
          </w:p>
        </w:tc>
        <w:tc>
          <w:tcPr>
            <w:tcW w:w="1134" w:type="dxa"/>
            <w:tcBorders>
              <w:top w:val="nil"/>
              <w:left w:val="nil"/>
              <w:bottom w:val="single" w:sz="4" w:space="0" w:color="auto"/>
              <w:right w:val="single" w:sz="4" w:space="0" w:color="auto"/>
            </w:tcBorders>
            <w:shd w:val="clear" w:color="auto" w:fill="auto"/>
            <w:noWrap/>
            <w:vAlign w:val="bottom"/>
            <w:hideMark/>
          </w:tcPr>
          <w:p w14:paraId="7E0E3D09" w14:textId="77777777" w:rsidR="00011289" w:rsidRPr="000855B2" w:rsidRDefault="00011289" w:rsidP="009C4D4C">
            <w:pPr>
              <w:spacing w:line="240" w:lineRule="auto"/>
              <w:jc w:val="center"/>
              <w:rPr>
                <w:sz w:val="16"/>
                <w:szCs w:val="16"/>
                <w:lang w:val="en-GB"/>
              </w:rPr>
            </w:pPr>
            <w:r w:rsidRPr="000855B2">
              <w:rPr>
                <w:sz w:val="16"/>
                <w:szCs w:val="16"/>
                <w:lang w:val="en-GB"/>
              </w:rPr>
              <w:t>1.45</w:t>
            </w:r>
          </w:p>
        </w:tc>
        <w:tc>
          <w:tcPr>
            <w:tcW w:w="1559" w:type="dxa"/>
            <w:tcBorders>
              <w:top w:val="nil"/>
              <w:left w:val="nil"/>
              <w:bottom w:val="single" w:sz="4" w:space="0" w:color="auto"/>
              <w:right w:val="single" w:sz="4" w:space="0" w:color="auto"/>
            </w:tcBorders>
            <w:shd w:val="clear" w:color="auto" w:fill="auto"/>
            <w:noWrap/>
            <w:vAlign w:val="bottom"/>
            <w:hideMark/>
          </w:tcPr>
          <w:p w14:paraId="03488493" w14:textId="77777777" w:rsidR="00011289" w:rsidRPr="000855B2" w:rsidRDefault="00011289" w:rsidP="009C4D4C">
            <w:pPr>
              <w:spacing w:line="240" w:lineRule="auto"/>
              <w:jc w:val="center"/>
              <w:rPr>
                <w:sz w:val="16"/>
                <w:szCs w:val="16"/>
                <w:lang w:val="en-GB"/>
              </w:rPr>
            </w:pPr>
            <w:r w:rsidRPr="000855B2">
              <w:rPr>
                <w:sz w:val="16"/>
                <w:szCs w:val="16"/>
                <w:lang w:val="en-GB"/>
              </w:rPr>
              <w:t>17.91</w:t>
            </w:r>
          </w:p>
        </w:tc>
        <w:tc>
          <w:tcPr>
            <w:tcW w:w="709" w:type="dxa"/>
            <w:tcBorders>
              <w:top w:val="nil"/>
              <w:left w:val="nil"/>
              <w:bottom w:val="single" w:sz="4" w:space="0" w:color="auto"/>
              <w:right w:val="single" w:sz="4" w:space="0" w:color="auto"/>
            </w:tcBorders>
            <w:shd w:val="clear" w:color="auto" w:fill="auto"/>
            <w:noWrap/>
            <w:vAlign w:val="bottom"/>
            <w:hideMark/>
          </w:tcPr>
          <w:p w14:paraId="1012AA16" w14:textId="77777777" w:rsidR="00011289" w:rsidRPr="000855B2" w:rsidRDefault="00011289" w:rsidP="009C4D4C">
            <w:pPr>
              <w:spacing w:line="240" w:lineRule="auto"/>
              <w:jc w:val="center"/>
              <w:rPr>
                <w:sz w:val="16"/>
                <w:szCs w:val="16"/>
                <w:lang w:val="en-GB"/>
              </w:rPr>
            </w:pPr>
            <w:r w:rsidRPr="000855B2">
              <w:rPr>
                <w:sz w:val="16"/>
                <w:szCs w:val="16"/>
                <w:lang w:val="en-GB"/>
              </w:rPr>
              <w:t>27.50</w:t>
            </w:r>
          </w:p>
        </w:tc>
        <w:tc>
          <w:tcPr>
            <w:tcW w:w="709" w:type="dxa"/>
            <w:tcBorders>
              <w:top w:val="nil"/>
              <w:left w:val="nil"/>
              <w:bottom w:val="single" w:sz="4" w:space="0" w:color="auto"/>
              <w:right w:val="double" w:sz="6" w:space="0" w:color="auto"/>
            </w:tcBorders>
            <w:shd w:val="clear" w:color="auto" w:fill="auto"/>
            <w:noWrap/>
            <w:vAlign w:val="bottom"/>
            <w:hideMark/>
          </w:tcPr>
          <w:p w14:paraId="3713C7B1"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477BAB67" w14:textId="77777777" w:rsidTr="00887829">
        <w:trPr>
          <w:trHeight w:val="240"/>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14:paraId="1EFBD951"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CYCLOALKANES</w:t>
            </w:r>
          </w:p>
        </w:tc>
        <w:tc>
          <w:tcPr>
            <w:tcW w:w="1402" w:type="dxa"/>
            <w:tcBorders>
              <w:top w:val="nil"/>
              <w:left w:val="nil"/>
              <w:bottom w:val="single" w:sz="4" w:space="0" w:color="auto"/>
              <w:right w:val="single" w:sz="4" w:space="0" w:color="auto"/>
            </w:tcBorders>
            <w:shd w:val="clear" w:color="auto" w:fill="auto"/>
            <w:noWrap/>
            <w:vAlign w:val="bottom"/>
            <w:hideMark/>
          </w:tcPr>
          <w:p w14:paraId="3ECCC035" w14:textId="77777777" w:rsidR="00011289" w:rsidRPr="000855B2" w:rsidRDefault="00011289" w:rsidP="009C4D4C">
            <w:pPr>
              <w:spacing w:line="240" w:lineRule="auto"/>
              <w:rPr>
                <w:sz w:val="16"/>
                <w:szCs w:val="16"/>
                <w:lang w:val="en-GB"/>
              </w:rPr>
            </w:pPr>
            <w:r w:rsidRPr="000855B2">
              <w:rPr>
                <w:sz w:val="16"/>
                <w:szCs w:val="16"/>
                <w:lang w:val="en-GB"/>
              </w:rPr>
              <w:t>All</w:t>
            </w:r>
          </w:p>
        </w:tc>
        <w:tc>
          <w:tcPr>
            <w:tcW w:w="992" w:type="dxa"/>
            <w:tcBorders>
              <w:top w:val="nil"/>
              <w:left w:val="nil"/>
              <w:bottom w:val="single" w:sz="4" w:space="0" w:color="auto"/>
              <w:right w:val="single" w:sz="4" w:space="0" w:color="auto"/>
            </w:tcBorders>
            <w:shd w:val="clear" w:color="auto" w:fill="auto"/>
            <w:noWrap/>
            <w:vAlign w:val="bottom"/>
            <w:hideMark/>
          </w:tcPr>
          <w:p w14:paraId="4FF68B8B" w14:textId="77777777" w:rsidR="00011289" w:rsidRPr="000855B2" w:rsidRDefault="00011289" w:rsidP="009C4D4C">
            <w:pPr>
              <w:spacing w:line="240" w:lineRule="auto"/>
              <w:jc w:val="center"/>
              <w:rPr>
                <w:sz w:val="16"/>
                <w:szCs w:val="16"/>
                <w:lang w:val="en-GB"/>
              </w:rPr>
            </w:pPr>
            <w:r w:rsidRPr="000855B2">
              <w:rPr>
                <w:sz w:val="16"/>
                <w:szCs w:val="16"/>
                <w:lang w:val="en-GB"/>
              </w:rPr>
              <w:t>0.88</w:t>
            </w:r>
          </w:p>
        </w:tc>
        <w:tc>
          <w:tcPr>
            <w:tcW w:w="1134" w:type="dxa"/>
            <w:tcBorders>
              <w:top w:val="nil"/>
              <w:left w:val="nil"/>
              <w:bottom w:val="single" w:sz="4" w:space="0" w:color="auto"/>
              <w:right w:val="single" w:sz="4" w:space="0" w:color="auto"/>
            </w:tcBorders>
            <w:shd w:val="clear" w:color="auto" w:fill="auto"/>
            <w:noWrap/>
            <w:vAlign w:val="bottom"/>
            <w:hideMark/>
          </w:tcPr>
          <w:p w14:paraId="4054289D" w14:textId="77777777" w:rsidR="00011289" w:rsidRPr="000855B2" w:rsidRDefault="00011289" w:rsidP="009C4D4C">
            <w:pPr>
              <w:spacing w:line="240" w:lineRule="auto"/>
              <w:jc w:val="center"/>
              <w:rPr>
                <w:sz w:val="16"/>
                <w:szCs w:val="16"/>
                <w:lang w:val="en-GB"/>
              </w:rPr>
            </w:pPr>
            <w:r w:rsidRPr="000855B2">
              <w:rPr>
                <w:sz w:val="16"/>
                <w:szCs w:val="16"/>
                <w:lang w:val="en-GB"/>
              </w:rPr>
              <w:t>1.14</w:t>
            </w:r>
          </w:p>
        </w:tc>
        <w:tc>
          <w:tcPr>
            <w:tcW w:w="1559" w:type="dxa"/>
            <w:tcBorders>
              <w:top w:val="nil"/>
              <w:left w:val="nil"/>
              <w:bottom w:val="single" w:sz="4" w:space="0" w:color="auto"/>
              <w:right w:val="single" w:sz="4" w:space="0" w:color="auto"/>
            </w:tcBorders>
            <w:shd w:val="clear" w:color="auto" w:fill="auto"/>
            <w:noWrap/>
            <w:vAlign w:val="bottom"/>
            <w:hideMark/>
          </w:tcPr>
          <w:p w14:paraId="77A6F60F" w14:textId="77777777" w:rsidR="00011289" w:rsidRPr="000855B2" w:rsidRDefault="00011289" w:rsidP="009C4D4C">
            <w:pPr>
              <w:spacing w:line="240" w:lineRule="auto"/>
              <w:jc w:val="center"/>
              <w:rPr>
                <w:sz w:val="16"/>
                <w:szCs w:val="16"/>
                <w:lang w:val="en-GB"/>
              </w:rPr>
            </w:pPr>
            <w:r w:rsidRPr="000855B2">
              <w:rPr>
                <w:sz w:val="16"/>
                <w:szCs w:val="16"/>
                <w:lang w:val="en-GB"/>
              </w:rPr>
              <w:t>0.65</w:t>
            </w:r>
          </w:p>
        </w:tc>
        <w:tc>
          <w:tcPr>
            <w:tcW w:w="709" w:type="dxa"/>
            <w:tcBorders>
              <w:top w:val="nil"/>
              <w:left w:val="nil"/>
              <w:bottom w:val="single" w:sz="4" w:space="0" w:color="auto"/>
              <w:right w:val="single" w:sz="4" w:space="0" w:color="auto"/>
            </w:tcBorders>
            <w:shd w:val="clear" w:color="auto" w:fill="auto"/>
            <w:noWrap/>
            <w:vAlign w:val="bottom"/>
            <w:hideMark/>
          </w:tcPr>
          <w:p w14:paraId="5B3A9449" w14:textId="77777777" w:rsidR="00011289" w:rsidRPr="000855B2" w:rsidRDefault="00011289" w:rsidP="009C4D4C">
            <w:pPr>
              <w:spacing w:line="240" w:lineRule="auto"/>
              <w:jc w:val="center"/>
              <w:rPr>
                <w:sz w:val="16"/>
                <w:szCs w:val="16"/>
                <w:lang w:val="en-GB"/>
              </w:rPr>
            </w:pPr>
            <w:r w:rsidRPr="000855B2">
              <w:rPr>
                <w:sz w:val="16"/>
                <w:szCs w:val="16"/>
                <w:lang w:val="en-GB"/>
              </w:rPr>
              <w:t>1.16</w:t>
            </w:r>
          </w:p>
        </w:tc>
        <w:tc>
          <w:tcPr>
            <w:tcW w:w="709" w:type="dxa"/>
            <w:tcBorders>
              <w:top w:val="nil"/>
              <w:left w:val="nil"/>
              <w:bottom w:val="single" w:sz="4" w:space="0" w:color="auto"/>
              <w:right w:val="double" w:sz="6" w:space="0" w:color="auto"/>
            </w:tcBorders>
            <w:shd w:val="clear" w:color="auto" w:fill="auto"/>
            <w:noWrap/>
            <w:vAlign w:val="bottom"/>
            <w:hideMark/>
          </w:tcPr>
          <w:p w14:paraId="715791A7" w14:textId="77777777" w:rsidR="00011289" w:rsidRPr="000855B2" w:rsidRDefault="00011289" w:rsidP="009C4D4C">
            <w:pPr>
              <w:spacing w:line="240" w:lineRule="auto"/>
              <w:jc w:val="center"/>
              <w:rPr>
                <w:sz w:val="16"/>
                <w:szCs w:val="16"/>
                <w:lang w:val="en-GB"/>
              </w:rPr>
            </w:pPr>
            <w:r w:rsidRPr="000855B2">
              <w:rPr>
                <w:sz w:val="16"/>
                <w:szCs w:val="16"/>
                <w:lang w:val="en-GB"/>
              </w:rPr>
              <w:t>0.10</w:t>
            </w:r>
          </w:p>
        </w:tc>
      </w:tr>
      <w:tr w:rsidR="00011289" w:rsidRPr="000855B2" w14:paraId="38A51C95" w14:textId="77777777" w:rsidTr="00887829">
        <w:trPr>
          <w:trHeight w:val="240"/>
        </w:trPr>
        <w:tc>
          <w:tcPr>
            <w:tcW w:w="1740" w:type="dxa"/>
            <w:vMerge w:val="restart"/>
            <w:tcBorders>
              <w:top w:val="nil"/>
              <w:left w:val="double" w:sz="6" w:space="0" w:color="auto"/>
              <w:bottom w:val="single" w:sz="4" w:space="0" w:color="000000"/>
              <w:right w:val="single" w:sz="4" w:space="0" w:color="auto"/>
            </w:tcBorders>
            <w:shd w:val="clear" w:color="auto" w:fill="auto"/>
            <w:noWrap/>
            <w:textDirection w:val="btLr"/>
            <w:vAlign w:val="center"/>
            <w:hideMark/>
          </w:tcPr>
          <w:p w14:paraId="6E6B7272"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ALKENES</w:t>
            </w:r>
          </w:p>
        </w:tc>
        <w:tc>
          <w:tcPr>
            <w:tcW w:w="1402" w:type="dxa"/>
            <w:tcBorders>
              <w:top w:val="nil"/>
              <w:left w:val="nil"/>
              <w:bottom w:val="nil"/>
              <w:right w:val="single" w:sz="4" w:space="0" w:color="auto"/>
            </w:tcBorders>
            <w:shd w:val="clear" w:color="auto" w:fill="auto"/>
            <w:noWrap/>
            <w:vAlign w:val="bottom"/>
            <w:hideMark/>
          </w:tcPr>
          <w:p w14:paraId="2B126C10" w14:textId="77777777" w:rsidR="00011289" w:rsidRPr="000855B2" w:rsidRDefault="00011289" w:rsidP="009C4D4C">
            <w:pPr>
              <w:spacing w:line="240" w:lineRule="auto"/>
              <w:rPr>
                <w:sz w:val="16"/>
                <w:szCs w:val="16"/>
                <w:lang w:val="en-GB"/>
              </w:rPr>
            </w:pPr>
            <w:r w:rsidRPr="000855B2">
              <w:rPr>
                <w:sz w:val="16"/>
                <w:szCs w:val="16"/>
                <w:lang w:val="en-GB"/>
              </w:rPr>
              <w:t>ethylene</w:t>
            </w:r>
          </w:p>
        </w:tc>
        <w:tc>
          <w:tcPr>
            <w:tcW w:w="992" w:type="dxa"/>
            <w:tcBorders>
              <w:top w:val="nil"/>
              <w:left w:val="nil"/>
              <w:bottom w:val="nil"/>
              <w:right w:val="single" w:sz="4" w:space="0" w:color="auto"/>
            </w:tcBorders>
            <w:shd w:val="clear" w:color="auto" w:fill="auto"/>
            <w:noWrap/>
            <w:vAlign w:val="bottom"/>
            <w:hideMark/>
          </w:tcPr>
          <w:p w14:paraId="7CC863F9" w14:textId="77777777" w:rsidR="00011289" w:rsidRPr="000855B2" w:rsidRDefault="00011289" w:rsidP="009C4D4C">
            <w:pPr>
              <w:spacing w:line="240" w:lineRule="auto"/>
              <w:jc w:val="center"/>
              <w:rPr>
                <w:sz w:val="16"/>
                <w:szCs w:val="16"/>
                <w:lang w:val="en-GB"/>
              </w:rPr>
            </w:pPr>
            <w:r w:rsidRPr="000855B2">
              <w:rPr>
                <w:sz w:val="16"/>
                <w:szCs w:val="16"/>
                <w:lang w:val="en-GB"/>
              </w:rPr>
              <w:t>8.71</w:t>
            </w:r>
          </w:p>
        </w:tc>
        <w:tc>
          <w:tcPr>
            <w:tcW w:w="1134" w:type="dxa"/>
            <w:tcBorders>
              <w:top w:val="nil"/>
              <w:left w:val="nil"/>
              <w:bottom w:val="nil"/>
              <w:right w:val="single" w:sz="4" w:space="0" w:color="auto"/>
            </w:tcBorders>
            <w:shd w:val="clear" w:color="auto" w:fill="auto"/>
            <w:noWrap/>
            <w:vAlign w:val="bottom"/>
            <w:hideMark/>
          </w:tcPr>
          <w:p w14:paraId="2EB03035" w14:textId="77777777" w:rsidR="00011289" w:rsidRPr="000855B2" w:rsidRDefault="00011289" w:rsidP="009C4D4C">
            <w:pPr>
              <w:spacing w:line="240" w:lineRule="auto"/>
              <w:jc w:val="center"/>
              <w:rPr>
                <w:sz w:val="16"/>
                <w:szCs w:val="16"/>
                <w:lang w:val="en-GB"/>
              </w:rPr>
            </w:pPr>
            <w:r w:rsidRPr="000855B2">
              <w:rPr>
                <w:sz w:val="16"/>
                <w:szCs w:val="16"/>
                <w:lang w:val="en-GB"/>
              </w:rPr>
              <w:t>7.30</w:t>
            </w:r>
          </w:p>
        </w:tc>
        <w:tc>
          <w:tcPr>
            <w:tcW w:w="1559" w:type="dxa"/>
            <w:tcBorders>
              <w:top w:val="nil"/>
              <w:left w:val="nil"/>
              <w:bottom w:val="nil"/>
              <w:right w:val="single" w:sz="4" w:space="0" w:color="auto"/>
            </w:tcBorders>
            <w:shd w:val="clear" w:color="auto" w:fill="auto"/>
            <w:noWrap/>
            <w:vAlign w:val="bottom"/>
            <w:hideMark/>
          </w:tcPr>
          <w:p w14:paraId="383638B2" w14:textId="77777777" w:rsidR="00011289" w:rsidRPr="000855B2" w:rsidRDefault="00011289" w:rsidP="009C4D4C">
            <w:pPr>
              <w:spacing w:line="240" w:lineRule="auto"/>
              <w:jc w:val="center"/>
              <w:rPr>
                <w:sz w:val="16"/>
                <w:szCs w:val="16"/>
                <w:lang w:val="en-GB"/>
              </w:rPr>
            </w:pPr>
            <w:r w:rsidRPr="000855B2">
              <w:rPr>
                <w:sz w:val="16"/>
                <w:szCs w:val="16"/>
                <w:lang w:val="en-GB"/>
              </w:rPr>
              <w:t>10.97</w:t>
            </w:r>
          </w:p>
        </w:tc>
        <w:tc>
          <w:tcPr>
            <w:tcW w:w="709" w:type="dxa"/>
            <w:tcBorders>
              <w:top w:val="nil"/>
              <w:left w:val="nil"/>
              <w:bottom w:val="nil"/>
              <w:right w:val="single" w:sz="4" w:space="0" w:color="auto"/>
            </w:tcBorders>
            <w:shd w:val="clear" w:color="auto" w:fill="auto"/>
            <w:noWrap/>
            <w:vAlign w:val="bottom"/>
            <w:hideMark/>
          </w:tcPr>
          <w:p w14:paraId="1329DD88" w14:textId="77777777" w:rsidR="00011289" w:rsidRPr="000855B2" w:rsidRDefault="00011289" w:rsidP="009C4D4C">
            <w:pPr>
              <w:spacing w:line="240" w:lineRule="auto"/>
              <w:jc w:val="center"/>
              <w:rPr>
                <w:sz w:val="16"/>
                <w:szCs w:val="16"/>
                <w:lang w:val="en-GB"/>
              </w:rPr>
            </w:pPr>
            <w:r w:rsidRPr="000855B2">
              <w:rPr>
                <w:sz w:val="16"/>
                <w:szCs w:val="16"/>
                <w:lang w:val="en-GB"/>
              </w:rPr>
              <w:t>7.01</w:t>
            </w:r>
          </w:p>
        </w:tc>
        <w:tc>
          <w:tcPr>
            <w:tcW w:w="709" w:type="dxa"/>
            <w:tcBorders>
              <w:top w:val="nil"/>
              <w:left w:val="nil"/>
              <w:bottom w:val="nil"/>
              <w:right w:val="double" w:sz="6" w:space="0" w:color="auto"/>
            </w:tcBorders>
            <w:shd w:val="clear" w:color="auto" w:fill="auto"/>
            <w:noWrap/>
            <w:vAlign w:val="bottom"/>
            <w:hideMark/>
          </w:tcPr>
          <w:p w14:paraId="48246E37" w14:textId="77777777" w:rsidR="00011289" w:rsidRPr="000855B2" w:rsidRDefault="00011289" w:rsidP="009C4D4C">
            <w:pPr>
              <w:spacing w:line="240" w:lineRule="auto"/>
              <w:jc w:val="center"/>
              <w:rPr>
                <w:sz w:val="16"/>
                <w:szCs w:val="16"/>
                <w:lang w:val="en-GB"/>
              </w:rPr>
            </w:pPr>
            <w:r w:rsidRPr="000855B2">
              <w:rPr>
                <w:sz w:val="16"/>
                <w:szCs w:val="16"/>
                <w:lang w:val="en-GB"/>
              </w:rPr>
              <w:t>5.20</w:t>
            </w:r>
          </w:p>
        </w:tc>
      </w:tr>
      <w:tr w:rsidR="00011289" w:rsidRPr="000855B2" w14:paraId="53A432FB"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3146497C"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07DED37" w14:textId="77777777" w:rsidR="00011289" w:rsidRPr="000855B2" w:rsidRDefault="00011289" w:rsidP="009C4D4C">
            <w:pPr>
              <w:spacing w:line="240" w:lineRule="auto"/>
              <w:rPr>
                <w:sz w:val="16"/>
                <w:szCs w:val="16"/>
                <w:lang w:val="en-GB"/>
              </w:rPr>
            </w:pPr>
            <w:r w:rsidRPr="000855B2">
              <w:rPr>
                <w:sz w:val="16"/>
                <w:szCs w:val="16"/>
                <w:lang w:val="en-GB"/>
              </w:rPr>
              <w:t>propylene</w:t>
            </w:r>
          </w:p>
        </w:tc>
        <w:tc>
          <w:tcPr>
            <w:tcW w:w="992" w:type="dxa"/>
            <w:tcBorders>
              <w:top w:val="nil"/>
              <w:left w:val="nil"/>
              <w:bottom w:val="nil"/>
              <w:right w:val="single" w:sz="4" w:space="0" w:color="auto"/>
            </w:tcBorders>
            <w:shd w:val="clear" w:color="auto" w:fill="auto"/>
            <w:noWrap/>
            <w:vAlign w:val="bottom"/>
            <w:hideMark/>
          </w:tcPr>
          <w:p w14:paraId="2A0248A6" w14:textId="77777777" w:rsidR="00011289" w:rsidRPr="000855B2" w:rsidRDefault="00011289" w:rsidP="009C4D4C">
            <w:pPr>
              <w:spacing w:line="240" w:lineRule="auto"/>
              <w:jc w:val="center"/>
              <w:rPr>
                <w:sz w:val="16"/>
                <w:szCs w:val="16"/>
                <w:lang w:val="en-GB"/>
              </w:rPr>
            </w:pPr>
            <w:r w:rsidRPr="000855B2">
              <w:rPr>
                <w:sz w:val="16"/>
                <w:szCs w:val="16"/>
                <w:lang w:val="en-GB"/>
              </w:rPr>
              <w:t>4.87</w:t>
            </w:r>
          </w:p>
        </w:tc>
        <w:tc>
          <w:tcPr>
            <w:tcW w:w="1134" w:type="dxa"/>
            <w:tcBorders>
              <w:top w:val="nil"/>
              <w:left w:val="nil"/>
              <w:bottom w:val="nil"/>
              <w:right w:val="single" w:sz="4" w:space="0" w:color="auto"/>
            </w:tcBorders>
            <w:shd w:val="clear" w:color="auto" w:fill="auto"/>
            <w:noWrap/>
            <w:vAlign w:val="bottom"/>
            <w:hideMark/>
          </w:tcPr>
          <w:p w14:paraId="34A9D0E9" w14:textId="77777777" w:rsidR="00011289" w:rsidRPr="000855B2" w:rsidRDefault="00011289" w:rsidP="009C4D4C">
            <w:pPr>
              <w:spacing w:line="240" w:lineRule="auto"/>
              <w:jc w:val="center"/>
              <w:rPr>
                <w:sz w:val="16"/>
                <w:szCs w:val="16"/>
                <w:lang w:val="en-GB"/>
              </w:rPr>
            </w:pPr>
            <w:r w:rsidRPr="000855B2">
              <w:rPr>
                <w:sz w:val="16"/>
                <w:szCs w:val="16"/>
                <w:lang w:val="en-GB"/>
              </w:rPr>
              <w:t>3.82</w:t>
            </w:r>
          </w:p>
        </w:tc>
        <w:tc>
          <w:tcPr>
            <w:tcW w:w="1559" w:type="dxa"/>
            <w:tcBorders>
              <w:top w:val="nil"/>
              <w:left w:val="nil"/>
              <w:bottom w:val="nil"/>
              <w:right w:val="single" w:sz="4" w:space="0" w:color="auto"/>
            </w:tcBorders>
            <w:shd w:val="clear" w:color="auto" w:fill="auto"/>
            <w:noWrap/>
            <w:vAlign w:val="bottom"/>
            <w:hideMark/>
          </w:tcPr>
          <w:p w14:paraId="71C054DB" w14:textId="77777777" w:rsidR="00011289" w:rsidRPr="000855B2" w:rsidRDefault="00011289" w:rsidP="009C4D4C">
            <w:pPr>
              <w:spacing w:line="240" w:lineRule="auto"/>
              <w:jc w:val="center"/>
              <w:rPr>
                <w:sz w:val="16"/>
                <w:szCs w:val="16"/>
                <w:lang w:val="en-GB"/>
              </w:rPr>
            </w:pPr>
            <w:r w:rsidRPr="000855B2">
              <w:rPr>
                <w:sz w:val="16"/>
                <w:szCs w:val="16"/>
                <w:lang w:val="en-GB"/>
              </w:rPr>
              <w:t>3.60</w:t>
            </w:r>
          </w:p>
        </w:tc>
        <w:tc>
          <w:tcPr>
            <w:tcW w:w="709" w:type="dxa"/>
            <w:tcBorders>
              <w:top w:val="nil"/>
              <w:left w:val="nil"/>
              <w:bottom w:val="nil"/>
              <w:right w:val="single" w:sz="4" w:space="0" w:color="auto"/>
            </w:tcBorders>
            <w:shd w:val="clear" w:color="auto" w:fill="auto"/>
            <w:noWrap/>
            <w:vAlign w:val="bottom"/>
            <w:hideMark/>
          </w:tcPr>
          <w:p w14:paraId="7A844A12" w14:textId="77777777" w:rsidR="00011289" w:rsidRPr="000855B2" w:rsidRDefault="00011289" w:rsidP="009C4D4C">
            <w:pPr>
              <w:spacing w:line="240" w:lineRule="auto"/>
              <w:jc w:val="center"/>
              <w:rPr>
                <w:sz w:val="16"/>
                <w:szCs w:val="16"/>
                <w:lang w:val="en-GB"/>
              </w:rPr>
            </w:pPr>
            <w:r w:rsidRPr="000855B2">
              <w:rPr>
                <w:sz w:val="16"/>
                <w:szCs w:val="16"/>
                <w:lang w:val="en-GB"/>
              </w:rPr>
              <w:t>1.32</w:t>
            </w:r>
          </w:p>
        </w:tc>
        <w:tc>
          <w:tcPr>
            <w:tcW w:w="709" w:type="dxa"/>
            <w:tcBorders>
              <w:top w:val="nil"/>
              <w:left w:val="nil"/>
              <w:bottom w:val="nil"/>
              <w:right w:val="double" w:sz="6" w:space="0" w:color="auto"/>
            </w:tcBorders>
            <w:shd w:val="clear" w:color="auto" w:fill="auto"/>
            <w:noWrap/>
            <w:vAlign w:val="bottom"/>
            <w:hideMark/>
          </w:tcPr>
          <w:p w14:paraId="401A7FC3" w14:textId="77777777" w:rsidR="00011289" w:rsidRPr="000855B2" w:rsidRDefault="00011289" w:rsidP="009C4D4C">
            <w:pPr>
              <w:spacing w:line="240" w:lineRule="auto"/>
              <w:jc w:val="center"/>
              <w:rPr>
                <w:sz w:val="16"/>
                <w:szCs w:val="16"/>
                <w:lang w:val="en-GB"/>
              </w:rPr>
            </w:pPr>
            <w:r w:rsidRPr="000855B2">
              <w:rPr>
                <w:sz w:val="16"/>
                <w:szCs w:val="16"/>
                <w:lang w:val="en-GB"/>
              </w:rPr>
              <w:t>5.19</w:t>
            </w:r>
          </w:p>
        </w:tc>
      </w:tr>
      <w:tr w:rsidR="00011289" w:rsidRPr="000855B2" w14:paraId="64090621"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D44AA89"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2E4F446E" w14:textId="77777777" w:rsidR="00011289" w:rsidRPr="000855B2" w:rsidRDefault="00011289" w:rsidP="009C4D4C">
            <w:pPr>
              <w:spacing w:line="240" w:lineRule="auto"/>
              <w:rPr>
                <w:sz w:val="16"/>
                <w:szCs w:val="16"/>
                <w:lang w:val="en-GB"/>
              </w:rPr>
            </w:pPr>
            <w:r w:rsidRPr="000855B2">
              <w:rPr>
                <w:sz w:val="16"/>
                <w:szCs w:val="16"/>
                <w:lang w:val="en-GB"/>
              </w:rPr>
              <w:t>propadiene</w:t>
            </w:r>
          </w:p>
        </w:tc>
        <w:tc>
          <w:tcPr>
            <w:tcW w:w="992" w:type="dxa"/>
            <w:tcBorders>
              <w:top w:val="nil"/>
              <w:left w:val="nil"/>
              <w:bottom w:val="nil"/>
              <w:right w:val="single" w:sz="4" w:space="0" w:color="auto"/>
            </w:tcBorders>
            <w:shd w:val="clear" w:color="auto" w:fill="auto"/>
            <w:noWrap/>
            <w:vAlign w:val="bottom"/>
            <w:hideMark/>
          </w:tcPr>
          <w:p w14:paraId="3200F0B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691EDA77" w14:textId="77777777" w:rsidR="00011289" w:rsidRPr="000855B2" w:rsidRDefault="00011289"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5FB0067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7EF4A0AC"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09C4F574"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11F2B225"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93D1986"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808F4FC" w14:textId="77777777" w:rsidR="00011289" w:rsidRPr="000855B2" w:rsidRDefault="00011289" w:rsidP="009C4D4C">
            <w:pPr>
              <w:spacing w:line="240" w:lineRule="auto"/>
              <w:rPr>
                <w:sz w:val="16"/>
                <w:szCs w:val="16"/>
                <w:lang w:val="en-GB"/>
              </w:rPr>
            </w:pPr>
            <w:r w:rsidRPr="000855B2">
              <w:rPr>
                <w:sz w:val="16"/>
                <w:szCs w:val="16"/>
                <w:lang w:val="en-GB"/>
              </w:rPr>
              <w:t>1-butene</w:t>
            </w:r>
          </w:p>
        </w:tc>
        <w:tc>
          <w:tcPr>
            <w:tcW w:w="992" w:type="dxa"/>
            <w:tcBorders>
              <w:top w:val="nil"/>
              <w:left w:val="nil"/>
              <w:bottom w:val="nil"/>
              <w:right w:val="single" w:sz="4" w:space="0" w:color="auto"/>
            </w:tcBorders>
            <w:shd w:val="clear" w:color="auto" w:fill="auto"/>
            <w:noWrap/>
            <w:vAlign w:val="bottom"/>
            <w:hideMark/>
          </w:tcPr>
          <w:p w14:paraId="1AAB3014" w14:textId="77777777" w:rsidR="00011289" w:rsidRPr="000855B2" w:rsidRDefault="00011289" w:rsidP="009C4D4C">
            <w:pPr>
              <w:spacing w:line="240" w:lineRule="auto"/>
              <w:jc w:val="center"/>
              <w:rPr>
                <w:sz w:val="16"/>
                <w:szCs w:val="16"/>
                <w:lang w:val="en-GB"/>
              </w:rPr>
            </w:pPr>
            <w:r w:rsidRPr="000855B2">
              <w:rPr>
                <w:sz w:val="16"/>
                <w:szCs w:val="16"/>
                <w:lang w:val="en-GB"/>
              </w:rPr>
              <w:t>0.50</w:t>
            </w:r>
          </w:p>
        </w:tc>
        <w:tc>
          <w:tcPr>
            <w:tcW w:w="1134" w:type="dxa"/>
            <w:tcBorders>
              <w:top w:val="nil"/>
              <w:left w:val="nil"/>
              <w:bottom w:val="nil"/>
              <w:right w:val="single" w:sz="4" w:space="0" w:color="auto"/>
            </w:tcBorders>
            <w:shd w:val="clear" w:color="auto" w:fill="auto"/>
            <w:noWrap/>
            <w:vAlign w:val="bottom"/>
            <w:hideMark/>
          </w:tcPr>
          <w:p w14:paraId="34604283" w14:textId="77777777" w:rsidR="00011289" w:rsidRPr="000855B2" w:rsidRDefault="00011289" w:rsidP="009C4D4C">
            <w:pPr>
              <w:spacing w:line="240" w:lineRule="auto"/>
              <w:jc w:val="center"/>
              <w:rPr>
                <w:sz w:val="16"/>
                <w:szCs w:val="16"/>
                <w:lang w:val="en-GB"/>
              </w:rPr>
            </w:pPr>
            <w:r w:rsidRPr="000855B2">
              <w:rPr>
                <w:sz w:val="16"/>
                <w:szCs w:val="16"/>
                <w:lang w:val="en-GB"/>
              </w:rPr>
              <w:t>0.73</w:t>
            </w:r>
          </w:p>
        </w:tc>
        <w:tc>
          <w:tcPr>
            <w:tcW w:w="1559" w:type="dxa"/>
            <w:tcBorders>
              <w:top w:val="nil"/>
              <w:left w:val="nil"/>
              <w:bottom w:val="nil"/>
              <w:right w:val="single" w:sz="4" w:space="0" w:color="auto"/>
            </w:tcBorders>
            <w:shd w:val="clear" w:color="auto" w:fill="auto"/>
            <w:noWrap/>
            <w:vAlign w:val="bottom"/>
            <w:hideMark/>
          </w:tcPr>
          <w:p w14:paraId="6BE46DDC"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35577BB2"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78312F5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3FCD8DAE"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26A8E120"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37D15E7E" w14:textId="77777777" w:rsidR="00011289" w:rsidRPr="000855B2" w:rsidRDefault="00011289" w:rsidP="009C4D4C">
            <w:pPr>
              <w:spacing w:line="240" w:lineRule="auto"/>
              <w:rPr>
                <w:sz w:val="16"/>
                <w:szCs w:val="16"/>
                <w:lang w:val="en-GB"/>
              </w:rPr>
            </w:pPr>
            <w:r w:rsidRPr="000855B2">
              <w:rPr>
                <w:sz w:val="16"/>
                <w:szCs w:val="16"/>
                <w:lang w:val="en-GB"/>
              </w:rPr>
              <w:t>isobutene</w:t>
            </w:r>
          </w:p>
        </w:tc>
        <w:tc>
          <w:tcPr>
            <w:tcW w:w="992" w:type="dxa"/>
            <w:tcBorders>
              <w:top w:val="nil"/>
              <w:left w:val="nil"/>
              <w:bottom w:val="nil"/>
              <w:right w:val="single" w:sz="4" w:space="0" w:color="auto"/>
            </w:tcBorders>
            <w:shd w:val="clear" w:color="auto" w:fill="auto"/>
            <w:noWrap/>
            <w:vAlign w:val="bottom"/>
            <w:hideMark/>
          </w:tcPr>
          <w:p w14:paraId="7622E7C1" w14:textId="77777777" w:rsidR="00011289" w:rsidRPr="000855B2" w:rsidRDefault="00011289" w:rsidP="009C4D4C">
            <w:pPr>
              <w:spacing w:line="240" w:lineRule="auto"/>
              <w:jc w:val="center"/>
              <w:rPr>
                <w:sz w:val="16"/>
                <w:szCs w:val="16"/>
                <w:lang w:val="en-GB"/>
              </w:rPr>
            </w:pPr>
            <w:r w:rsidRPr="000855B2">
              <w:rPr>
                <w:sz w:val="16"/>
                <w:szCs w:val="16"/>
                <w:lang w:val="en-GB"/>
              </w:rPr>
              <w:t>4.21</w:t>
            </w:r>
          </w:p>
        </w:tc>
        <w:tc>
          <w:tcPr>
            <w:tcW w:w="1134" w:type="dxa"/>
            <w:tcBorders>
              <w:top w:val="nil"/>
              <w:left w:val="nil"/>
              <w:bottom w:val="nil"/>
              <w:right w:val="single" w:sz="4" w:space="0" w:color="auto"/>
            </w:tcBorders>
            <w:shd w:val="clear" w:color="auto" w:fill="auto"/>
            <w:noWrap/>
            <w:vAlign w:val="bottom"/>
            <w:hideMark/>
          </w:tcPr>
          <w:p w14:paraId="3421CB1A" w14:textId="77777777" w:rsidR="00011289" w:rsidRPr="000855B2" w:rsidRDefault="00011289" w:rsidP="009C4D4C">
            <w:pPr>
              <w:spacing w:line="240" w:lineRule="auto"/>
              <w:jc w:val="center"/>
              <w:rPr>
                <w:sz w:val="16"/>
                <w:szCs w:val="16"/>
                <w:lang w:val="en-GB"/>
              </w:rPr>
            </w:pPr>
            <w:r w:rsidRPr="000855B2">
              <w:rPr>
                <w:sz w:val="16"/>
                <w:szCs w:val="16"/>
                <w:lang w:val="en-GB"/>
              </w:rPr>
              <w:t>2.22</w:t>
            </w:r>
          </w:p>
        </w:tc>
        <w:tc>
          <w:tcPr>
            <w:tcW w:w="1559" w:type="dxa"/>
            <w:tcBorders>
              <w:top w:val="nil"/>
              <w:left w:val="nil"/>
              <w:bottom w:val="nil"/>
              <w:right w:val="single" w:sz="4" w:space="0" w:color="auto"/>
            </w:tcBorders>
            <w:shd w:val="clear" w:color="auto" w:fill="auto"/>
            <w:noWrap/>
            <w:vAlign w:val="bottom"/>
            <w:hideMark/>
          </w:tcPr>
          <w:p w14:paraId="0F79852E" w14:textId="77777777" w:rsidR="00011289" w:rsidRPr="000855B2" w:rsidRDefault="00011289" w:rsidP="009C4D4C">
            <w:pPr>
              <w:spacing w:line="240" w:lineRule="auto"/>
              <w:jc w:val="center"/>
              <w:rPr>
                <w:sz w:val="16"/>
                <w:szCs w:val="16"/>
                <w:lang w:val="en-GB"/>
              </w:rPr>
            </w:pPr>
            <w:r w:rsidRPr="000855B2">
              <w:rPr>
                <w:sz w:val="16"/>
                <w:szCs w:val="16"/>
                <w:lang w:val="en-GB"/>
              </w:rPr>
              <w:t>1.11</w:t>
            </w:r>
          </w:p>
        </w:tc>
        <w:tc>
          <w:tcPr>
            <w:tcW w:w="709" w:type="dxa"/>
            <w:tcBorders>
              <w:top w:val="nil"/>
              <w:left w:val="nil"/>
              <w:bottom w:val="nil"/>
              <w:right w:val="single" w:sz="4" w:space="0" w:color="auto"/>
            </w:tcBorders>
            <w:shd w:val="clear" w:color="auto" w:fill="auto"/>
            <w:noWrap/>
            <w:vAlign w:val="bottom"/>
            <w:hideMark/>
          </w:tcPr>
          <w:p w14:paraId="43F6FC4B" w14:textId="77777777" w:rsidR="00011289" w:rsidRPr="000855B2" w:rsidRDefault="00011289" w:rsidP="009C4D4C">
            <w:pPr>
              <w:spacing w:line="240" w:lineRule="auto"/>
              <w:jc w:val="center"/>
              <w:rPr>
                <w:sz w:val="16"/>
                <w:szCs w:val="16"/>
                <w:lang w:val="en-GB"/>
              </w:rPr>
            </w:pPr>
            <w:r w:rsidRPr="000855B2">
              <w:rPr>
                <w:sz w:val="16"/>
                <w:szCs w:val="16"/>
                <w:lang w:val="en-GB"/>
              </w:rPr>
              <w:t>1.70</w:t>
            </w:r>
          </w:p>
        </w:tc>
        <w:tc>
          <w:tcPr>
            <w:tcW w:w="709" w:type="dxa"/>
            <w:tcBorders>
              <w:top w:val="nil"/>
              <w:left w:val="nil"/>
              <w:bottom w:val="nil"/>
              <w:right w:val="double" w:sz="6" w:space="0" w:color="auto"/>
            </w:tcBorders>
            <w:shd w:val="clear" w:color="auto" w:fill="auto"/>
            <w:noWrap/>
            <w:vAlign w:val="bottom"/>
            <w:hideMark/>
          </w:tcPr>
          <w:p w14:paraId="7539A721" w14:textId="77777777" w:rsidR="00011289" w:rsidRPr="000855B2" w:rsidRDefault="00011289" w:rsidP="009C4D4C">
            <w:pPr>
              <w:spacing w:line="240" w:lineRule="auto"/>
              <w:jc w:val="center"/>
              <w:rPr>
                <w:sz w:val="16"/>
                <w:szCs w:val="16"/>
                <w:lang w:val="en-GB"/>
              </w:rPr>
            </w:pPr>
            <w:r w:rsidRPr="000855B2">
              <w:rPr>
                <w:sz w:val="16"/>
                <w:szCs w:val="16"/>
                <w:lang w:val="en-GB"/>
              </w:rPr>
              <w:t>0.63</w:t>
            </w:r>
          </w:p>
        </w:tc>
      </w:tr>
      <w:tr w:rsidR="00011289" w:rsidRPr="000855B2" w14:paraId="5B2D91FB"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4BC12D3E"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4CF185FB" w14:textId="77777777" w:rsidR="00011289" w:rsidRPr="000855B2" w:rsidRDefault="00011289" w:rsidP="009C4D4C">
            <w:pPr>
              <w:spacing w:line="240" w:lineRule="auto"/>
              <w:rPr>
                <w:sz w:val="16"/>
                <w:szCs w:val="16"/>
                <w:lang w:val="en-GB"/>
              </w:rPr>
            </w:pPr>
            <w:r w:rsidRPr="000855B2">
              <w:rPr>
                <w:sz w:val="16"/>
                <w:szCs w:val="16"/>
                <w:lang w:val="en-GB"/>
              </w:rPr>
              <w:t>2-butene</w:t>
            </w:r>
          </w:p>
        </w:tc>
        <w:tc>
          <w:tcPr>
            <w:tcW w:w="992" w:type="dxa"/>
            <w:tcBorders>
              <w:top w:val="nil"/>
              <w:left w:val="nil"/>
              <w:bottom w:val="nil"/>
              <w:right w:val="single" w:sz="4" w:space="0" w:color="auto"/>
            </w:tcBorders>
            <w:shd w:val="clear" w:color="auto" w:fill="auto"/>
            <w:noWrap/>
            <w:vAlign w:val="bottom"/>
            <w:hideMark/>
          </w:tcPr>
          <w:p w14:paraId="68ADBB95" w14:textId="77777777" w:rsidR="00011289" w:rsidRPr="000855B2" w:rsidRDefault="00011289" w:rsidP="009C4D4C">
            <w:pPr>
              <w:spacing w:line="240" w:lineRule="auto"/>
              <w:jc w:val="center"/>
              <w:rPr>
                <w:sz w:val="16"/>
                <w:szCs w:val="16"/>
                <w:lang w:val="en-GB"/>
              </w:rPr>
            </w:pPr>
            <w:r w:rsidRPr="000855B2">
              <w:rPr>
                <w:sz w:val="16"/>
                <w:szCs w:val="16"/>
                <w:lang w:val="en-GB"/>
              </w:rPr>
              <w:t>1.27</w:t>
            </w:r>
          </w:p>
        </w:tc>
        <w:tc>
          <w:tcPr>
            <w:tcW w:w="1134" w:type="dxa"/>
            <w:tcBorders>
              <w:top w:val="nil"/>
              <w:left w:val="nil"/>
              <w:bottom w:val="nil"/>
              <w:right w:val="single" w:sz="4" w:space="0" w:color="auto"/>
            </w:tcBorders>
            <w:shd w:val="clear" w:color="auto" w:fill="auto"/>
            <w:noWrap/>
            <w:vAlign w:val="bottom"/>
            <w:hideMark/>
          </w:tcPr>
          <w:p w14:paraId="6C023551" w14:textId="77777777" w:rsidR="00011289" w:rsidRPr="000855B2" w:rsidRDefault="00011289" w:rsidP="009C4D4C">
            <w:pPr>
              <w:spacing w:line="240" w:lineRule="auto"/>
              <w:jc w:val="center"/>
              <w:rPr>
                <w:sz w:val="16"/>
                <w:szCs w:val="16"/>
                <w:lang w:val="en-GB"/>
              </w:rPr>
            </w:pPr>
            <w:r w:rsidRPr="000855B2">
              <w:rPr>
                <w:sz w:val="16"/>
                <w:szCs w:val="16"/>
                <w:lang w:val="en-GB"/>
              </w:rPr>
              <w:t>1.42</w:t>
            </w:r>
          </w:p>
        </w:tc>
        <w:tc>
          <w:tcPr>
            <w:tcW w:w="1559" w:type="dxa"/>
            <w:tcBorders>
              <w:top w:val="nil"/>
              <w:left w:val="nil"/>
              <w:bottom w:val="nil"/>
              <w:right w:val="single" w:sz="4" w:space="0" w:color="auto"/>
            </w:tcBorders>
            <w:shd w:val="clear" w:color="auto" w:fill="auto"/>
            <w:noWrap/>
            <w:vAlign w:val="bottom"/>
            <w:hideMark/>
          </w:tcPr>
          <w:p w14:paraId="2BC45DBC" w14:textId="77777777" w:rsidR="00011289" w:rsidRPr="000855B2" w:rsidRDefault="00011289" w:rsidP="009C4D4C">
            <w:pPr>
              <w:spacing w:line="240" w:lineRule="auto"/>
              <w:jc w:val="center"/>
              <w:rPr>
                <w:sz w:val="16"/>
                <w:szCs w:val="16"/>
                <w:lang w:val="en-GB"/>
              </w:rPr>
            </w:pPr>
            <w:r w:rsidRPr="000855B2">
              <w:rPr>
                <w:sz w:val="16"/>
                <w:szCs w:val="16"/>
                <w:lang w:val="en-GB"/>
              </w:rPr>
              <w:t>0.52</w:t>
            </w:r>
          </w:p>
        </w:tc>
        <w:tc>
          <w:tcPr>
            <w:tcW w:w="709" w:type="dxa"/>
            <w:tcBorders>
              <w:top w:val="nil"/>
              <w:left w:val="nil"/>
              <w:bottom w:val="nil"/>
              <w:right w:val="single" w:sz="4" w:space="0" w:color="auto"/>
            </w:tcBorders>
            <w:shd w:val="clear" w:color="auto" w:fill="auto"/>
            <w:noWrap/>
            <w:vAlign w:val="bottom"/>
            <w:hideMark/>
          </w:tcPr>
          <w:p w14:paraId="274CD22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49263E37" w14:textId="77777777" w:rsidR="00011289" w:rsidRPr="000855B2" w:rsidRDefault="00011289" w:rsidP="009C4D4C">
            <w:pPr>
              <w:spacing w:line="240" w:lineRule="auto"/>
              <w:jc w:val="center"/>
              <w:rPr>
                <w:sz w:val="16"/>
                <w:szCs w:val="16"/>
                <w:lang w:val="en-GB"/>
              </w:rPr>
            </w:pPr>
            <w:r w:rsidRPr="000855B2">
              <w:rPr>
                <w:sz w:val="16"/>
                <w:szCs w:val="16"/>
                <w:lang w:val="en-GB"/>
              </w:rPr>
              <w:t>0.53</w:t>
            </w:r>
          </w:p>
        </w:tc>
      </w:tr>
      <w:tr w:rsidR="00011289" w:rsidRPr="000855B2" w14:paraId="4DF6A458"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E462764"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4622608" w14:textId="77777777" w:rsidR="00011289" w:rsidRPr="000855B2" w:rsidRDefault="00011289" w:rsidP="009C4D4C">
            <w:pPr>
              <w:spacing w:line="240" w:lineRule="auto"/>
              <w:rPr>
                <w:sz w:val="16"/>
                <w:szCs w:val="16"/>
                <w:lang w:val="en-GB"/>
              </w:rPr>
            </w:pPr>
            <w:r w:rsidRPr="000855B2">
              <w:rPr>
                <w:sz w:val="16"/>
                <w:szCs w:val="16"/>
                <w:lang w:val="en-GB"/>
              </w:rPr>
              <w:t>1,3-butadiene</w:t>
            </w:r>
          </w:p>
        </w:tc>
        <w:tc>
          <w:tcPr>
            <w:tcW w:w="992" w:type="dxa"/>
            <w:tcBorders>
              <w:top w:val="nil"/>
              <w:left w:val="nil"/>
              <w:bottom w:val="nil"/>
              <w:right w:val="single" w:sz="4" w:space="0" w:color="auto"/>
            </w:tcBorders>
            <w:shd w:val="clear" w:color="auto" w:fill="auto"/>
            <w:noWrap/>
            <w:vAlign w:val="bottom"/>
            <w:hideMark/>
          </w:tcPr>
          <w:p w14:paraId="2459E0BE" w14:textId="77777777" w:rsidR="00011289" w:rsidRPr="000855B2" w:rsidRDefault="00011289" w:rsidP="009C4D4C">
            <w:pPr>
              <w:spacing w:line="240" w:lineRule="auto"/>
              <w:jc w:val="center"/>
              <w:rPr>
                <w:sz w:val="16"/>
                <w:szCs w:val="16"/>
                <w:lang w:val="en-GB"/>
              </w:rPr>
            </w:pPr>
            <w:r w:rsidRPr="000855B2">
              <w:rPr>
                <w:sz w:val="16"/>
                <w:szCs w:val="16"/>
                <w:lang w:val="en-GB"/>
              </w:rPr>
              <w:t>1.42</w:t>
            </w:r>
          </w:p>
        </w:tc>
        <w:tc>
          <w:tcPr>
            <w:tcW w:w="1134" w:type="dxa"/>
            <w:tcBorders>
              <w:top w:val="nil"/>
              <w:left w:val="nil"/>
              <w:bottom w:val="nil"/>
              <w:right w:val="single" w:sz="4" w:space="0" w:color="auto"/>
            </w:tcBorders>
            <w:shd w:val="clear" w:color="auto" w:fill="auto"/>
            <w:noWrap/>
            <w:vAlign w:val="bottom"/>
            <w:hideMark/>
          </w:tcPr>
          <w:p w14:paraId="270F98B7" w14:textId="77777777" w:rsidR="00011289" w:rsidRPr="000855B2" w:rsidRDefault="00011289" w:rsidP="009C4D4C">
            <w:pPr>
              <w:spacing w:line="240" w:lineRule="auto"/>
              <w:jc w:val="center"/>
              <w:rPr>
                <w:sz w:val="16"/>
                <w:szCs w:val="16"/>
                <w:lang w:val="en-GB"/>
              </w:rPr>
            </w:pPr>
            <w:r w:rsidRPr="000855B2">
              <w:rPr>
                <w:sz w:val="16"/>
                <w:szCs w:val="16"/>
                <w:lang w:val="en-GB"/>
              </w:rPr>
              <w:t>0.91</w:t>
            </w:r>
          </w:p>
        </w:tc>
        <w:tc>
          <w:tcPr>
            <w:tcW w:w="1559" w:type="dxa"/>
            <w:tcBorders>
              <w:top w:val="nil"/>
              <w:left w:val="nil"/>
              <w:bottom w:val="nil"/>
              <w:right w:val="single" w:sz="4" w:space="0" w:color="auto"/>
            </w:tcBorders>
            <w:shd w:val="clear" w:color="auto" w:fill="auto"/>
            <w:noWrap/>
            <w:vAlign w:val="bottom"/>
            <w:hideMark/>
          </w:tcPr>
          <w:p w14:paraId="1C626718" w14:textId="77777777" w:rsidR="00011289" w:rsidRPr="000855B2" w:rsidRDefault="00011289" w:rsidP="009C4D4C">
            <w:pPr>
              <w:spacing w:line="240" w:lineRule="auto"/>
              <w:jc w:val="center"/>
              <w:rPr>
                <w:sz w:val="16"/>
                <w:szCs w:val="16"/>
                <w:lang w:val="en-GB"/>
              </w:rPr>
            </w:pPr>
            <w:r w:rsidRPr="000855B2">
              <w:rPr>
                <w:sz w:val="16"/>
                <w:szCs w:val="16"/>
                <w:lang w:val="en-GB"/>
              </w:rPr>
              <w:t>0.97</w:t>
            </w:r>
          </w:p>
        </w:tc>
        <w:tc>
          <w:tcPr>
            <w:tcW w:w="709" w:type="dxa"/>
            <w:tcBorders>
              <w:top w:val="nil"/>
              <w:left w:val="nil"/>
              <w:bottom w:val="nil"/>
              <w:right w:val="single" w:sz="4" w:space="0" w:color="auto"/>
            </w:tcBorders>
            <w:shd w:val="clear" w:color="auto" w:fill="auto"/>
            <w:noWrap/>
            <w:vAlign w:val="bottom"/>
            <w:hideMark/>
          </w:tcPr>
          <w:p w14:paraId="0619C98E" w14:textId="77777777" w:rsidR="00011289" w:rsidRPr="000855B2" w:rsidRDefault="00011289" w:rsidP="009C4D4C">
            <w:pPr>
              <w:spacing w:line="240" w:lineRule="auto"/>
              <w:jc w:val="center"/>
              <w:rPr>
                <w:sz w:val="16"/>
                <w:szCs w:val="16"/>
                <w:lang w:val="en-GB"/>
              </w:rPr>
            </w:pPr>
            <w:r w:rsidRPr="000855B2">
              <w:rPr>
                <w:sz w:val="16"/>
                <w:szCs w:val="16"/>
                <w:lang w:val="en-GB"/>
              </w:rPr>
              <w:t>3.30</w:t>
            </w:r>
          </w:p>
        </w:tc>
        <w:tc>
          <w:tcPr>
            <w:tcW w:w="709" w:type="dxa"/>
            <w:tcBorders>
              <w:top w:val="nil"/>
              <w:left w:val="nil"/>
              <w:bottom w:val="nil"/>
              <w:right w:val="double" w:sz="6" w:space="0" w:color="auto"/>
            </w:tcBorders>
            <w:shd w:val="clear" w:color="auto" w:fill="auto"/>
            <w:noWrap/>
            <w:vAlign w:val="bottom"/>
            <w:hideMark/>
          </w:tcPr>
          <w:p w14:paraId="26560B27" w14:textId="77777777" w:rsidR="00011289" w:rsidRPr="000855B2" w:rsidRDefault="00011289" w:rsidP="009C4D4C">
            <w:pPr>
              <w:spacing w:line="240" w:lineRule="auto"/>
              <w:jc w:val="center"/>
              <w:rPr>
                <w:sz w:val="16"/>
                <w:szCs w:val="16"/>
                <w:lang w:val="en-GB"/>
              </w:rPr>
            </w:pPr>
            <w:r w:rsidRPr="000855B2">
              <w:rPr>
                <w:sz w:val="16"/>
                <w:szCs w:val="16"/>
                <w:lang w:val="en-GB"/>
              </w:rPr>
              <w:t>0.15</w:t>
            </w:r>
          </w:p>
        </w:tc>
      </w:tr>
      <w:tr w:rsidR="00011289" w:rsidRPr="000855B2" w14:paraId="3115BE27"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0A0BA142"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7B3619EB" w14:textId="77777777" w:rsidR="00011289" w:rsidRPr="000855B2" w:rsidRDefault="00011289" w:rsidP="009C4D4C">
            <w:pPr>
              <w:spacing w:line="240" w:lineRule="auto"/>
              <w:rPr>
                <w:sz w:val="16"/>
                <w:szCs w:val="16"/>
                <w:lang w:val="en-GB"/>
              </w:rPr>
            </w:pPr>
            <w:r w:rsidRPr="000855B2">
              <w:rPr>
                <w:sz w:val="16"/>
                <w:szCs w:val="16"/>
                <w:lang w:val="en-GB"/>
              </w:rPr>
              <w:t>1-pentene</w:t>
            </w:r>
          </w:p>
        </w:tc>
        <w:tc>
          <w:tcPr>
            <w:tcW w:w="992" w:type="dxa"/>
            <w:tcBorders>
              <w:top w:val="nil"/>
              <w:left w:val="nil"/>
              <w:bottom w:val="nil"/>
              <w:right w:val="single" w:sz="4" w:space="0" w:color="auto"/>
            </w:tcBorders>
            <w:shd w:val="clear" w:color="auto" w:fill="auto"/>
            <w:noWrap/>
            <w:vAlign w:val="bottom"/>
            <w:hideMark/>
          </w:tcPr>
          <w:p w14:paraId="658D4E5F" w14:textId="77777777" w:rsidR="00011289" w:rsidRPr="000855B2" w:rsidRDefault="00011289" w:rsidP="009C4D4C">
            <w:pPr>
              <w:spacing w:line="240" w:lineRule="auto"/>
              <w:jc w:val="center"/>
              <w:rPr>
                <w:sz w:val="16"/>
                <w:szCs w:val="16"/>
                <w:lang w:val="en-GB"/>
              </w:rPr>
            </w:pPr>
            <w:r w:rsidRPr="000855B2">
              <w:rPr>
                <w:sz w:val="16"/>
                <w:szCs w:val="16"/>
                <w:lang w:val="en-GB"/>
              </w:rPr>
              <w:t>0.09</w:t>
            </w:r>
          </w:p>
        </w:tc>
        <w:tc>
          <w:tcPr>
            <w:tcW w:w="1134" w:type="dxa"/>
            <w:tcBorders>
              <w:top w:val="nil"/>
              <w:left w:val="nil"/>
              <w:bottom w:val="nil"/>
              <w:right w:val="single" w:sz="4" w:space="0" w:color="auto"/>
            </w:tcBorders>
            <w:shd w:val="clear" w:color="auto" w:fill="auto"/>
            <w:noWrap/>
            <w:vAlign w:val="bottom"/>
            <w:hideMark/>
          </w:tcPr>
          <w:p w14:paraId="7904720B" w14:textId="77777777" w:rsidR="00011289" w:rsidRPr="000855B2" w:rsidRDefault="00011289" w:rsidP="009C4D4C">
            <w:pPr>
              <w:spacing w:line="240" w:lineRule="auto"/>
              <w:jc w:val="center"/>
              <w:rPr>
                <w:sz w:val="16"/>
                <w:szCs w:val="16"/>
                <w:lang w:val="en-GB"/>
              </w:rPr>
            </w:pPr>
            <w:r w:rsidRPr="000855B2">
              <w:rPr>
                <w:sz w:val="16"/>
                <w:szCs w:val="16"/>
                <w:lang w:val="en-GB"/>
              </w:rPr>
              <w:t>0.11</w:t>
            </w:r>
          </w:p>
        </w:tc>
        <w:tc>
          <w:tcPr>
            <w:tcW w:w="1559" w:type="dxa"/>
            <w:tcBorders>
              <w:top w:val="nil"/>
              <w:left w:val="nil"/>
              <w:bottom w:val="nil"/>
              <w:right w:val="single" w:sz="4" w:space="0" w:color="auto"/>
            </w:tcBorders>
            <w:shd w:val="clear" w:color="auto" w:fill="auto"/>
            <w:noWrap/>
            <w:vAlign w:val="bottom"/>
            <w:hideMark/>
          </w:tcPr>
          <w:p w14:paraId="3A98008A"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7459816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28C5388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03589E06"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2A2C995D"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C044B4C" w14:textId="77777777" w:rsidR="00011289" w:rsidRPr="000855B2" w:rsidRDefault="00011289" w:rsidP="009C4D4C">
            <w:pPr>
              <w:spacing w:line="240" w:lineRule="auto"/>
              <w:rPr>
                <w:sz w:val="16"/>
                <w:szCs w:val="16"/>
                <w:lang w:val="en-GB"/>
              </w:rPr>
            </w:pPr>
            <w:r w:rsidRPr="000855B2">
              <w:rPr>
                <w:sz w:val="16"/>
                <w:szCs w:val="16"/>
                <w:lang w:val="en-GB"/>
              </w:rPr>
              <w:t>2-pentene</w:t>
            </w:r>
          </w:p>
        </w:tc>
        <w:tc>
          <w:tcPr>
            <w:tcW w:w="992" w:type="dxa"/>
            <w:tcBorders>
              <w:top w:val="nil"/>
              <w:left w:val="nil"/>
              <w:bottom w:val="nil"/>
              <w:right w:val="single" w:sz="4" w:space="0" w:color="auto"/>
            </w:tcBorders>
            <w:shd w:val="clear" w:color="auto" w:fill="auto"/>
            <w:noWrap/>
            <w:vAlign w:val="bottom"/>
            <w:hideMark/>
          </w:tcPr>
          <w:p w14:paraId="1BC9532A" w14:textId="77777777" w:rsidR="00011289" w:rsidRPr="000855B2" w:rsidRDefault="00011289" w:rsidP="009C4D4C">
            <w:pPr>
              <w:spacing w:line="240" w:lineRule="auto"/>
              <w:jc w:val="center"/>
              <w:rPr>
                <w:sz w:val="16"/>
                <w:szCs w:val="16"/>
                <w:lang w:val="en-GB"/>
              </w:rPr>
            </w:pPr>
            <w:r w:rsidRPr="000855B2">
              <w:rPr>
                <w:sz w:val="16"/>
                <w:szCs w:val="16"/>
                <w:lang w:val="en-GB"/>
              </w:rPr>
              <w:t>0.23</w:t>
            </w:r>
          </w:p>
        </w:tc>
        <w:tc>
          <w:tcPr>
            <w:tcW w:w="1134" w:type="dxa"/>
            <w:tcBorders>
              <w:top w:val="nil"/>
              <w:left w:val="nil"/>
              <w:bottom w:val="nil"/>
              <w:right w:val="single" w:sz="4" w:space="0" w:color="auto"/>
            </w:tcBorders>
            <w:shd w:val="clear" w:color="auto" w:fill="auto"/>
            <w:noWrap/>
            <w:vAlign w:val="bottom"/>
            <w:hideMark/>
          </w:tcPr>
          <w:p w14:paraId="158840B6" w14:textId="77777777" w:rsidR="00011289" w:rsidRPr="000855B2" w:rsidRDefault="00011289" w:rsidP="009C4D4C">
            <w:pPr>
              <w:spacing w:line="240" w:lineRule="auto"/>
              <w:jc w:val="center"/>
              <w:rPr>
                <w:sz w:val="16"/>
                <w:szCs w:val="16"/>
                <w:lang w:val="en-GB"/>
              </w:rPr>
            </w:pPr>
            <w:r w:rsidRPr="000855B2">
              <w:rPr>
                <w:sz w:val="16"/>
                <w:szCs w:val="16"/>
                <w:lang w:val="en-GB"/>
              </w:rPr>
              <w:t>0.34</w:t>
            </w:r>
          </w:p>
        </w:tc>
        <w:tc>
          <w:tcPr>
            <w:tcW w:w="1559" w:type="dxa"/>
            <w:tcBorders>
              <w:top w:val="nil"/>
              <w:left w:val="nil"/>
              <w:bottom w:val="nil"/>
              <w:right w:val="single" w:sz="4" w:space="0" w:color="auto"/>
            </w:tcBorders>
            <w:shd w:val="clear" w:color="auto" w:fill="auto"/>
            <w:noWrap/>
            <w:vAlign w:val="bottom"/>
            <w:hideMark/>
          </w:tcPr>
          <w:p w14:paraId="2727406A"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27DEE220"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2C95A145"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72F242FC"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79B30A5E"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64A1AF35" w14:textId="77777777" w:rsidR="00011289" w:rsidRPr="000855B2" w:rsidRDefault="00011289" w:rsidP="009C4D4C">
            <w:pPr>
              <w:spacing w:line="240" w:lineRule="auto"/>
              <w:rPr>
                <w:sz w:val="16"/>
                <w:szCs w:val="16"/>
                <w:lang w:val="en-GB"/>
              </w:rPr>
            </w:pPr>
            <w:r w:rsidRPr="000855B2">
              <w:rPr>
                <w:sz w:val="16"/>
                <w:szCs w:val="16"/>
                <w:lang w:val="en-GB"/>
              </w:rPr>
              <w:t>1-hexene</w:t>
            </w:r>
          </w:p>
        </w:tc>
        <w:tc>
          <w:tcPr>
            <w:tcW w:w="992" w:type="dxa"/>
            <w:tcBorders>
              <w:top w:val="nil"/>
              <w:left w:val="nil"/>
              <w:bottom w:val="nil"/>
              <w:right w:val="single" w:sz="4" w:space="0" w:color="auto"/>
            </w:tcBorders>
            <w:shd w:val="clear" w:color="auto" w:fill="auto"/>
            <w:noWrap/>
            <w:vAlign w:val="bottom"/>
            <w:hideMark/>
          </w:tcPr>
          <w:p w14:paraId="29CB7639"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7D8326BF" w14:textId="77777777" w:rsidR="00011289" w:rsidRPr="000855B2" w:rsidRDefault="00011289" w:rsidP="009C4D4C">
            <w:pPr>
              <w:spacing w:line="240" w:lineRule="auto"/>
              <w:jc w:val="center"/>
              <w:rPr>
                <w:sz w:val="16"/>
                <w:szCs w:val="16"/>
                <w:lang w:val="en-GB"/>
              </w:rPr>
            </w:pPr>
            <w:r w:rsidRPr="000855B2">
              <w:rPr>
                <w:sz w:val="16"/>
                <w:szCs w:val="16"/>
                <w:lang w:val="en-GB"/>
              </w:rPr>
              <w:t>0.17</w:t>
            </w:r>
          </w:p>
        </w:tc>
        <w:tc>
          <w:tcPr>
            <w:tcW w:w="1559" w:type="dxa"/>
            <w:tcBorders>
              <w:top w:val="nil"/>
              <w:left w:val="nil"/>
              <w:bottom w:val="nil"/>
              <w:right w:val="single" w:sz="4" w:space="0" w:color="auto"/>
            </w:tcBorders>
            <w:shd w:val="clear" w:color="auto" w:fill="auto"/>
            <w:noWrap/>
            <w:vAlign w:val="bottom"/>
            <w:hideMark/>
          </w:tcPr>
          <w:p w14:paraId="2B72568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5C6DB36F"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77898CFA"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2E105F8B" w14:textId="77777777" w:rsidTr="00887829">
        <w:trPr>
          <w:trHeight w:val="240"/>
        </w:trPr>
        <w:tc>
          <w:tcPr>
            <w:tcW w:w="1740" w:type="dxa"/>
            <w:vMerge/>
            <w:tcBorders>
              <w:top w:val="nil"/>
              <w:left w:val="double" w:sz="6" w:space="0" w:color="auto"/>
              <w:bottom w:val="single" w:sz="4" w:space="0" w:color="000000"/>
              <w:right w:val="single" w:sz="4" w:space="0" w:color="auto"/>
            </w:tcBorders>
            <w:vAlign w:val="center"/>
            <w:hideMark/>
          </w:tcPr>
          <w:p w14:paraId="5300BA9A" w14:textId="77777777" w:rsidR="00011289" w:rsidRPr="000855B2" w:rsidRDefault="00011289" w:rsidP="009C4D4C">
            <w:pPr>
              <w:spacing w:line="240" w:lineRule="auto"/>
              <w:rPr>
                <w:b/>
                <w:bCs/>
                <w:sz w:val="16"/>
                <w:szCs w:val="16"/>
                <w:lang w:val="en-GB"/>
              </w:rPr>
            </w:pPr>
          </w:p>
        </w:tc>
        <w:tc>
          <w:tcPr>
            <w:tcW w:w="1402" w:type="dxa"/>
            <w:tcBorders>
              <w:top w:val="nil"/>
              <w:left w:val="nil"/>
              <w:bottom w:val="single" w:sz="4" w:space="0" w:color="auto"/>
              <w:right w:val="single" w:sz="4" w:space="0" w:color="auto"/>
            </w:tcBorders>
            <w:shd w:val="clear" w:color="auto" w:fill="auto"/>
            <w:noWrap/>
            <w:vAlign w:val="bottom"/>
            <w:hideMark/>
          </w:tcPr>
          <w:p w14:paraId="5E0385ED" w14:textId="77777777" w:rsidR="00011289" w:rsidRPr="000855B2" w:rsidRDefault="00011289" w:rsidP="009C4D4C">
            <w:pPr>
              <w:spacing w:line="240" w:lineRule="auto"/>
              <w:rPr>
                <w:sz w:val="16"/>
                <w:szCs w:val="16"/>
                <w:lang w:val="en-GB"/>
              </w:rPr>
            </w:pPr>
            <w:r w:rsidRPr="000855B2">
              <w:rPr>
                <w:sz w:val="16"/>
                <w:szCs w:val="16"/>
                <w:lang w:val="en-GB"/>
              </w:rPr>
              <w:t>dimethylhexene</w:t>
            </w:r>
          </w:p>
        </w:tc>
        <w:tc>
          <w:tcPr>
            <w:tcW w:w="992" w:type="dxa"/>
            <w:tcBorders>
              <w:top w:val="nil"/>
              <w:left w:val="nil"/>
              <w:bottom w:val="single" w:sz="4" w:space="0" w:color="auto"/>
              <w:right w:val="single" w:sz="4" w:space="0" w:color="auto"/>
            </w:tcBorders>
            <w:shd w:val="clear" w:color="auto" w:fill="auto"/>
            <w:noWrap/>
            <w:vAlign w:val="bottom"/>
            <w:hideMark/>
          </w:tcPr>
          <w:p w14:paraId="4835C916"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031B9" w14:textId="77777777" w:rsidR="00011289" w:rsidRPr="000855B2" w:rsidRDefault="00011289" w:rsidP="009C4D4C">
            <w:pPr>
              <w:spacing w:line="240" w:lineRule="auto"/>
              <w:jc w:val="center"/>
              <w:rPr>
                <w:sz w:val="16"/>
                <w:szCs w:val="16"/>
                <w:lang w:val="en-GB"/>
              </w:rPr>
            </w:pPr>
            <w:r w:rsidRPr="000855B2">
              <w:rPr>
                <w:sz w:val="16"/>
                <w:szCs w:val="16"/>
                <w:lang w:val="en-GB"/>
              </w:rPr>
              <w:t>0.15</w:t>
            </w:r>
          </w:p>
        </w:tc>
        <w:tc>
          <w:tcPr>
            <w:tcW w:w="1559" w:type="dxa"/>
            <w:tcBorders>
              <w:top w:val="nil"/>
              <w:left w:val="nil"/>
              <w:bottom w:val="single" w:sz="4" w:space="0" w:color="auto"/>
              <w:right w:val="single" w:sz="4" w:space="0" w:color="auto"/>
            </w:tcBorders>
            <w:shd w:val="clear" w:color="auto" w:fill="auto"/>
            <w:noWrap/>
            <w:vAlign w:val="bottom"/>
            <w:hideMark/>
          </w:tcPr>
          <w:p w14:paraId="35307327"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EBE7D0E"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single" w:sz="4" w:space="0" w:color="auto"/>
              <w:right w:val="double" w:sz="6" w:space="0" w:color="auto"/>
            </w:tcBorders>
            <w:shd w:val="clear" w:color="auto" w:fill="auto"/>
            <w:noWrap/>
            <w:vAlign w:val="bottom"/>
            <w:hideMark/>
          </w:tcPr>
          <w:p w14:paraId="0CD04C6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51A498FD" w14:textId="77777777" w:rsidTr="00887829">
        <w:trPr>
          <w:trHeight w:val="255"/>
        </w:trPr>
        <w:tc>
          <w:tcPr>
            <w:tcW w:w="1740" w:type="dxa"/>
            <w:vMerge w:val="restart"/>
            <w:tcBorders>
              <w:top w:val="nil"/>
              <w:left w:val="double" w:sz="6" w:space="0" w:color="auto"/>
              <w:bottom w:val="double" w:sz="6" w:space="0" w:color="000000"/>
              <w:right w:val="single" w:sz="4" w:space="0" w:color="auto"/>
            </w:tcBorders>
            <w:shd w:val="clear" w:color="auto" w:fill="auto"/>
            <w:noWrap/>
            <w:vAlign w:val="center"/>
            <w:hideMark/>
          </w:tcPr>
          <w:p w14:paraId="452E1397" w14:textId="77777777" w:rsidR="00011289" w:rsidRPr="000855B2" w:rsidRDefault="00011289" w:rsidP="009C4D4C">
            <w:pPr>
              <w:spacing w:line="240" w:lineRule="auto"/>
              <w:jc w:val="center"/>
              <w:rPr>
                <w:b/>
                <w:bCs/>
                <w:sz w:val="16"/>
                <w:szCs w:val="16"/>
                <w:lang w:val="en-GB"/>
              </w:rPr>
            </w:pPr>
            <w:r w:rsidRPr="000855B2">
              <w:rPr>
                <w:b/>
                <w:bCs/>
                <w:sz w:val="16"/>
                <w:szCs w:val="16"/>
                <w:lang w:val="en-GB"/>
              </w:rPr>
              <w:t>ALKYNES</w:t>
            </w:r>
          </w:p>
        </w:tc>
        <w:tc>
          <w:tcPr>
            <w:tcW w:w="1402" w:type="dxa"/>
            <w:tcBorders>
              <w:top w:val="nil"/>
              <w:left w:val="nil"/>
              <w:bottom w:val="nil"/>
              <w:right w:val="single" w:sz="4" w:space="0" w:color="auto"/>
            </w:tcBorders>
            <w:shd w:val="clear" w:color="auto" w:fill="auto"/>
            <w:noWrap/>
            <w:vAlign w:val="bottom"/>
            <w:hideMark/>
          </w:tcPr>
          <w:p w14:paraId="13B25542" w14:textId="77777777" w:rsidR="00011289" w:rsidRPr="000855B2" w:rsidRDefault="00011289" w:rsidP="009C4D4C">
            <w:pPr>
              <w:spacing w:line="240" w:lineRule="auto"/>
              <w:rPr>
                <w:sz w:val="16"/>
                <w:szCs w:val="16"/>
                <w:lang w:val="en-GB"/>
              </w:rPr>
            </w:pPr>
            <w:r w:rsidRPr="000855B2">
              <w:rPr>
                <w:sz w:val="16"/>
                <w:szCs w:val="16"/>
                <w:lang w:val="en-GB"/>
              </w:rPr>
              <w:t>1-butine</w:t>
            </w:r>
          </w:p>
        </w:tc>
        <w:tc>
          <w:tcPr>
            <w:tcW w:w="992" w:type="dxa"/>
            <w:tcBorders>
              <w:top w:val="nil"/>
              <w:left w:val="nil"/>
              <w:bottom w:val="nil"/>
              <w:right w:val="single" w:sz="4" w:space="0" w:color="auto"/>
            </w:tcBorders>
            <w:shd w:val="clear" w:color="auto" w:fill="auto"/>
            <w:noWrap/>
            <w:vAlign w:val="bottom"/>
            <w:hideMark/>
          </w:tcPr>
          <w:p w14:paraId="3B7D90CE" w14:textId="77777777" w:rsidR="00011289" w:rsidRPr="000855B2" w:rsidRDefault="00011289" w:rsidP="009C4D4C">
            <w:pPr>
              <w:spacing w:line="240" w:lineRule="auto"/>
              <w:jc w:val="center"/>
              <w:rPr>
                <w:sz w:val="16"/>
                <w:szCs w:val="16"/>
                <w:lang w:val="en-GB"/>
              </w:rPr>
            </w:pPr>
            <w:r w:rsidRPr="000855B2">
              <w:rPr>
                <w:sz w:val="16"/>
                <w:szCs w:val="16"/>
                <w:lang w:val="en-GB"/>
              </w:rPr>
              <w:t>0.05</w:t>
            </w:r>
          </w:p>
        </w:tc>
        <w:tc>
          <w:tcPr>
            <w:tcW w:w="1134" w:type="dxa"/>
            <w:tcBorders>
              <w:top w:val="nil"/>
              <w:left w:val="nil"/>
              <w:bottom w:val="nil"/>
              <w:right w:val="single" w:sz="4" w:space="0" w:color="auto"/>
            </w:tcBorders>
            <w:shd w:val="clear" w:color="auto" w:fill="auto"/>
            <w:noWrap/>
            <w:vAlign w:val="bottom"/>
            <w:hideMark/>
          </w:tcPr>
          <w:p w14:paraId="5B2901C8" w14:textId="77777777" w:rsidR="00011289" w:rsidRPr="000855B2" w:rsidRDefault="00011289" w:rsidP="009C4D4C">
            <w:pPr>
              <w:spacing w:line="240" w:lineRule="auto"/>
              <w:jc w:val="center"/>
              <w:rPr>
                <w:sz w:val="16"/>
                <w:szCs w:val="16"/>
                <w:lang w:val="en-GB"/>
              </w:rPr>
            </w:pPr>
            <w:r w:rsidRPr="000855B2">
              <w:rPr>
                <w:sz w:val="16"/>
                <w:szCs w:val="16"/>
                <w:lang w:val="en-GB"/>
              </w:rPr>
              <w:t>0.21</w:t>
            </w:r>
          </w:p>
        </w:tc>
        <w:tc>
          <w:tcPr>
            <w:tcW w:w="1559" w:type="dxa"/>
            <w:tcBorders>
              <w:top w:val="nil"/>
              <w:left w:val="nil"/>
              <w:bottom w:val="nil"/>
              <w:right w:val="single" w:sz="4" w:space="0" w:color="auto"/>
            </w:tcBorders>
            <w:shd w:val="clear" w:color="auto" w:fill="auto"/>
            <w:noWrap/>
            <w:vAlign w:val="bottom"/>
            <w:hideMark/>
          </w:tcPr>
          <w:p w14:paraId="4F36326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6D3907C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3FEBBC53"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5AED5114" w14:textId="77777777" w:rsidTr="00887829">
        <w:trPr>
          <w:trHeight w:val="255"/>
        </w:trPr>
        <w:tc>
          <w:tcPr>
            <w:tcW w:w="1740" w:type="dxa"/>
            <w:vMerge/>
            <w:tcBorders>
              <w:top w:val="nil"/>
              <w:left w:val="double" w:sz="6" w:space="0" w:color="auto"/>
              <w:bottom w:val="double" w:sz="6" w:space="0" w:color="000000"/>
              <w:right w:val="single" w:sz="4" w:space="0" w:color="auto"/>
            </w:tcBorders>
            <w:vAlign w:val="center"/>
            <w:hideMark/>
          </w:tcPr>
          <w:p w14:paraId="328DFDC6" w14:textId="77777777" w:rsidR="00011289" w:rsidRPr="000855B2" w:rsidRDefault="00011289" w:rsidP="009C4D4C">
            <w:pPr>
              <w:spacing w:line="240" w:lineRule="auto"/>
              <w:rPr>
                <w:b/>
                <w:bCs/>
                <w:sz w:val="16"/>
                <w:szCs w:val="16"/>
                <w:lang w:val="en-GB"/>
              </w:rPr>
            </w:pPr>
          </w:p>
        </w:tc>
        <w:tc>
          <w:tcPr>
            <w:tcW w:w="1402" w:type="dxa"/>
            <w:tcBorders>
              <w:top w:val="nil"/>
              <w:left w:val="nil"/>
              <w:bottom w:val="nil"/>
              <w:right w:val="single" w:sz="4" w:space="0" w:color="auto"/>
            </w:tcBorders>
            <w:shd w:val="clear" w:color="auto" w:fill="auto"/>
            <w:noWrap/>
            <w:vAlign w:val="bottom"/>
            <w:hideMark/>
          </w:tcPr>
          <w:p w14:paraId="0C4D62EF" w14:textId="77777777" w:rsidR="00011289" w:rsidRPr="000855B2" w:rsidRDefault="00011289" w:rsidP="009C4D4C">
            <w:pPr>
              <w:spacing w:line="240" w:lineRule="auto"/>
              <w:rPr>
                <w:sz w:val="16"/>
                <w:szCs w:val="16"/>
                <w:lang w:val="en-GB"/>
              </w:rPr>
            </w:pPr>
            <w:r w:rsidRPr="000855B2">
              <w:rPr>
                <w:sz w:val="16"/>
                <w:szCs w:val="16"/>
                <w:lang w:val="en-GB"/>
              </w:rPr>
              <w:t>propine</w:t>
            </w:r>
          </w:p>
        </w:tc>
        <w:tc>
          <w:tcPr>
            <w:tcW w:w="992" w:type="dxa"/>
            <w:tcBorders>
              <w:top w:val="nil"/>
              <w:left w:val="nil"/>
              <w:bottom w:val="nil"/>
              <w:right w:val="single" w:sz="4" w:space="0" w:color="auto"/>
            </w:tcBorders>
            <w:shd w:val="clear" w:color="auto" w:fill="auto"/>
            <w:noWrap/>
            <w:vAlign w:val="bottom"/>
            <w:hideMark/>
          </w:tcPr>
          <w:p w14:paraId="0FD921AD" w14:textId="77777777" w:rsidR="00011289" w:rsidRPr="000855B2" w:rsidRDefault="00011289" w:rsidP="009C4D4C">
            <w:pPr>
              <w:spacing w:line="240" w:lineRule="auto"/>
              <w:jc w:val="center"/>
              <w:rPr>
                <w:sz w:val="16"/>
                <w:szCs w:val="16"/>
                <w:lang w:val="en-GB"/>
              </w:rPr>
            </w:pPr>
            <w:r w:rsidRPr="000855B2">
              <w:rPr>
                <w:sz w:val="16"/>
                <w:szCs w:val="16"/>
                <w:lang w:val="en-GB"/>
              </w:rPr>
              <w:t>0.76</w:t>
            </w:r>
          </w:p>
        </w:tc>
        <w:tc>
          <w:tcPr>
            <w:tcW w:w="1134" w:type="dxa"/>
            <w:tcBorders>
              <w:top w:val="nil"/>
              <w:left w:val="nil"/>
              <w:bottom w:val="nil"/>
              <w:right w:val="single" w:sz="4" w:space="0" w:color="auto"/>
            </w:tcBorders>
            <w:shd w:val="clear" w:color="auto" w:fill="auto"/>
            <w:noWrap/>
            <w:vAlign w:val="bottom"/>
            <w:hideMark/>
          </w:tcPr>
          <w:p w14:paraId="17ED9BD4" w14:textId="77777777" w:rsidR="00011289" w:rsidRPr="000855B2" w:rsidRDefault="00011289" w:rsidP="009C4D4C">
            <w:pPr>
              <w:spacing w:line="240" w:lineRule="auto"/>
              <w:jc w:val="center"/>
              <w:rPr>
                <w:sz w:val="16"/>
                <w:szCs w:val="16"/>
                <w:lang w:val="en-GB"/>
              </w:rPr>
            </w:pPr>
            <w:r w:rsidRPr="000855B2">
              <w:rPr>
                <w:sz w:val="16"/>
                <w:szCs w:val="16"/>
                <w:lang w:val="en-GB"/>
              </w:rPr>
              <w:t>0.08</w:t>
            </w:r>
          </w:p>
        </w:tc>
        <w:tc>
          <w:tcPr>
            <w:tcW w:w="1559" w:type="dxa"/>
            <w:tcBorders>
              <w:top w:val="nil"/>
              <w:left w:val="nil"/>
              <w:bottom w:val="nil"/>
              <w:right w:val="single" w:sz="4" w:space="0" w:color="auto"/>
            </w:tcBorders>
            <w:shd w:val="clear" w:color="auto" w:fill="auto"/>
            <w:noWrap/>
            <w:vAlign w:val="bottom"/>
            <w:hideMark/>
          </w:tcPr>
          <w:p w14:paraId="117FCD6A"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single" w:sz="4" w:space="0" w:color="auto"/>
            </w:tcBorders>
            <w:shd w:val="clear" w:color="auto" w:fill="auto"/>
            <w:noWrap/>
            <w:vAlign w:val="bottom"/>
            <w:hideMark/>
          </w:tcPr>
          <w:p w14:paraId="6EF8143A"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c>
          <w:tcPr>
            <w:tcW w:w="709" w:type="dxa"/>
            <w:tcBorders>
              <w:top w:val="nil"/>
              <w:left w:val="nil"/>
              <w:bottom w:val="nil"/>
              <w:right w:val="double" w:sz="6" w:space="0" w:color="auto"/>
            </w:tcBorders>
            <w:shd w:val="clear" w:color="auto" w:fill="auto"/>
            <w:noWrap/>
            <w:vAlign w:val="bottom"/>
            <w:hideMark/>
          </w:tcPr>
          <w:p w14:paraId="3E2CE22B" w14:textId="77777777" w:rsidR="00011289" w:rsidRPr="000855B2" w:rsidRDefault="00011289" w:rsidP="009C4D4C">
            <w:pPr>
              <w:spacing w:line="240" w:lineRule="auto"/>
              <w:jc w:val="center"/>
              <w:rPr>
                <w:sz w:val="16"/>
                <w:szCs w:val="16"/>
                <w:lang w:val="en-GB"/>
              </w:rPr>
            </w:pPr>
            <w:r w:rsidRPr="000855B2">
              <w:rPr>
                <w:sz w:val="16"/>
                <w:szCs w:val="16"/>
                <w:lang w:val="en-GB"/>
              </w:rPr>
              <w:t> </w:t>
            </w:r>
          </w:p>
        </w:tc>
      </w:tr>
      <w:tr w:rsidR="00011289" w:rsidRPr="000855B2" w14:paraId="1844FAA1" w14:textId="77777777" w:rsidTr="00887829">
        <w:trPr>
          <w:trHeight w:val="270"/>
        </w:trPr>
        <w:tc>
          <w:tcPr>
            <w:tcW w:w="1740" w:type="dxa"/>
            <w:vMerge/>
            <w:tcBorders>
              <w:top w:val="nil"/>
              <w:left w:val="double" w:sz="6" w:space="0" w:color="auto"/>
              <w:bottom w:val="double" w:sz="6" w:space="0" w:color="000000"/>
              <w:right w:val="single" w:sz="4" w:space="0" w:color="auto"/>
            </w:tcBorders>
            <w:vAlign w:val="center"/>
            <w:hideMark/>
          </w:tcPr>
          <w:p w14:paraId="5D4C54B7" w14:textId="77777777" w:rsidR="00011289" w:rsidRPr="000855B2" w:rsidRDefault="00011289" w:rsidP="009C4D4C">
            <w:pPr>
              <w:spacing w:line="240" w:lineRule="auto"/>
              <w:rPr>
                <w:b/>
                <w:bCs/>
                <w:sz w:val="16"/>
                <w:szCs w:val="16"/>
                <w:lang w:val="en-GB"/>
              </w:rPr>
            </w:pPr>
          </w:p>
        </w:tc>
        <w:tc>
          <w:tcPr>
            <w:tcW w:w="1402" w:type="dxa"/>
            <w:tcBorders>
              <w:top w:val="nil"/>
              <w:left w:val="nil"/>
              <w:bottom w:val="double" w:sz="6" w:space="0" w:color="auto"/>
              <w:right w:val="single" w:sz="4" w:space="0" w:color="auto"/>
            </w:tcBorders>
            <w:shd w:val="clear" w:color="auto" w:fill="auto"/>
            <w:noWrap/>
            <w:vAlign w:val="bottom"/>
            <w:hideMark/>
          </w:tcPr>
          <w:p w14:paraId="545AD243" w14:textId="77777777" w:rsidR="00011289" w:rsidRPr="000855B2" w:rsidRDefault="00011289" w:rsidP="009C4D4C">
            <w:pPr>
              <w:spacing w:line="240" w:lineRule="auto"/>
              <w:rPr>
                <w:sz w:val="16"/>
                <w:szCs w:val="16"/>
                <w:lang w:val="en-GB"/>
              </w:rPr>
            </w:pPr>
            <w:r w:rsidRPr="000855B2">
              <w:rPr>
                <w:sz w:val="16"/>
                <w:szCs w:val="16"/>
                <w:lang w:val="en-GB"/>
              </w:rPr>
              <w:t>acetylene</w:t>
            </w:r>
          </w:p>
        </w:tc>
        <w:tc>
          <w:tcPr>
            <w:tcW w:w="992" w:type="dxa"/>
            <w:tcBorders>
              <w:top w:val="nil"/>
              <w:left w:val="nil"/>
              <w:bottom w:val="double" w:sz="6" w:space="0" w:color="auto"/>
              <w:right w:val="single" w:sz="4" w:space="0" w:color="auto"/>
            </w:tcBorders>
            <w:shd w:val="clear" w:color="auto" w:fill="auto"/>
            <w:noWrap/>
            <w:vAlign w:val="bottom"/>
            <w:hideMark/>
          </w:tcPr>
          <w:p w14:paraId="3B412FC1" w14:textId="77777777" w:rsidR="00011289" w:rsidRPr="000855B2" w:rsidRDefault="00011289" w:rsidP="009C4D4C">
            <w:pPr>
              <w:spacing w:line="240" w:lineRule="auto"/>
              <w:jc w:val="center"/>
              <w:rPr>
                <w:sz w:val="16"/>
                <w:szCs w:val="16"/>
                <w:lang w:val="en-GB"/>
              </w:rPr>
            </w:pPr>
            <w:r w:rsidRPr="000855B2">
              <w:rPr>
                <w:sz w:val="16"/>
                <w:szCs w:val="16"/>
                <w:lang w:val="en-GB"/>
              </w:rPr>
              <w:t>5.50</w:t>
            </w:r>
          </w:p>
        </w:tc>
        <w:tc>
          <w:tcPr>
            <w:tcW w:w="1134" w:type="dxa"/>
            <w:tcBorders>
              <w:top w:val="nil"/>
              <w:left w:val="nil"/>
              <w:bottom w:val="double" w:sz="6" w:space="0" w:color="auto"/>
              <w:right w:val="single" w:sz="4" w:space="0" w:color="auto"/>
            </w:tcBorders>
            <w:shd w:val="clear" w:color="auto" w:fill="auto"/>
            <w:noWrap/>
            <w:vAlign w:val="bottom"/>
            <w:hideMark/>
          </w:tcPr>
          <w:p w14:paraId="4ED1C9AB" w14:textId="77777777" w:rsidR="00011289" w:rsidRPr="000855B2" w:rsidRDefault="00011289" w:rsidP="009C4D4C">
            <w:pPr>
              <w:spacing w:line="240" w:lineRule="auto"/>
              <w:jc w:val="center"/>
              <w:rPr>
                <w:sz w:val="16"/>
                <w:szCs w:val="16"/>
                <w:lang w:val="en-GB"/>
              </w:rPr>
            </w:pPr>
            <w:r w:rsidRPr="000855B2">
              <w:rPr>
                <w:sz w:val="16"/>
                <w:szCs w:val="16"/>
                <w:lang w:val="en-GB"/>
              </w:rPr>
              <w:t>2.81</w:t>
            </w:r>
          </w:p>
        </w:tc>
        <w:tc>
          <w:tcPr>
            <w:tcW w:w="1559" w:type="dxa"/>
            <w:tcBorders>
              <w:top w:val="nil"/>
              <w:left w:val="nil"/>
              <w:bottom w:val="double" w:sz="6" w:space="0" w:color="auto"/>
              <w:right w:val="single" w:sz="4" w:space="0" w:color="auto"/>
            </w:tcBorders>
            <w:shd w:val="clear" w:color="auto" w:fill="auto"/>
            <w:noWrap/>
            <w:vAlign w:val="bottom"/>
            <w:hideMark/>
          </w:tcPr>
          <w:p w14:paraId="613274B1" w14:textId="77777777" w:rsidR="00011289" w:rsidRPr="000855B2" w:rsidRDefault="00011289" w:rsidP="009C4D4C">
            <w:pPr>
              <w:spacing w:line="240" w:lineRule="auto"/>
              <w:jc w:val="center"/>
              <w:rPr>
                <w:sz w:val="16"/>
                <w:szCs w:val="16"/>
                <w:lang w:val="en-GB"/>
              </w:rPr>
            </w:pPr>
            <w:r w:rsidRPr="000855B2">
              <w:rPr>
                <w:sz w:val="16"/>
                <w:szCs w:val="16"/>
                <w:lang w:val="en-GB"/>
              </w:rPr>
              <w:t>2.34</w:t>
            </w:r>
          </w:p>
        </w:tc>
        <w:tc>
          <w:tcPr>
            <w:tcW w:w="709" w:type="dxa"/>
            <w:tcBorders>
              <w:top w:val="nil"/>
              <w:left w:val="nil"/>
              <w:bottom w:val="double" w:sz="6" w:space="0" w:color="auto"/>
              <w:right w:val="single" w:sz="4" w:space="0" w:color="auto"/>
            </w:tcBorders>
            <w:shd w:val="clear" w:color="auto" w:fill="auto"/>
            <w:noWrap/>
            <w:vAlign w:val="bottom"/>
            <w:hideMark/>
          </w:tcPr>
          <w:p w14:paraId="67B3A6C1" w14:textId="77777777" w:rsidR="00011289" w:rsidRPr="000855B2" w:rsidRDefault="00011289" w:rsidP="009C4D4C">
            <w:pPr>
              <w:spacing w:line="240" w:lineRule="auto"/>
              <w:jc w:val="center"/>
              <w:rPr>
                <w:sz w:val="16"/>
                <w:szCs w:val="16"/>
                <w:lang w:val="en-GB"/>
              </w:rPr>
            </w:pPr>
            <w:r w:rsidRPr="000855B2">
              <w:rPr>
                <w:sz w:val="16"/>
                <w:szCs w:val="16"/>
                <w:lang w:val="en-GB"/>
              </w:rPr>
              <w:t>1.05</w:t>
            </w:r>
          </w:p>
        </w:tc>
        <w:tc>
          <w:tcPr>
            <w:tcW w:w="709" w:type="dxa"/>
            <w:tcBorders>
              <w:top w:val="nil"/>
              <w:left w:val="nil"/>
              <w:bottom w:val="double" w:sz="6" w:space="0" w:color="auto"/>
              <w:right w:val="double" w:sz="6" w:space="0" w:color="auto"/>
            </w:tcBorders>
            <w:shd w:val="clear" w:color="auto" w:fill="auto"/>
            <w:noWrap/>
            <w:vAlign w:val="bottom"/>
            <w:hideMark/>
          </w:tcPr>
          <w:p w14:paraId="72112F00" w14:textId="77777777" w:rsidR="00011289" w:rsidRPr="000855B2" w:rsidRDefault="00011289" w:rsidP="009C4D4C">
            <w:pPr>
              <w:spacing w:line="240" w:lineRule="auto"/>
              <w:jc w:val="center"/>
              <w:rPr>
                <w:sz w:val="16"/>
                <w:szCs w:val="16"/>
                <w:lang w:val="en-GB"/>
              </w:rPr>
            </w:pPr>
            <w:r w:rsidRPr="000855B2">
              <w:rPr>
                <w:sz w:val="16"/>
                <w:szCs w:val="16"/>
                <w:lang w:val="en-GB"/>
              </w:rPr>
              <w:t>1.28</w:t>
            </w:r>
          </w:p>
        </w:tc>
      </w:tr>
    </w:tbl>
    <w:p w14:paraId="294FAE0F" w14:textId="1CF38DC4" w:rsidR="001D2587" w:rsidRPr="000855B2" w:rsidRDefault="001D2587" w:rsidP="008D1A83">
      <w:pPr>
        <w:pStyle w:val="Caption"/>
      </w:pPr>
      <w:r w:rsidRPr="000855B2">
        <w:br w:type="page"/>
      </w:r>
      <w:r w:rsidR="00FB454C">
        <w:lastRenderedPageBreak/>
        <w:fldChar w:fldCharType="begin"/>
      </w:r>
      <w:r w:rsidR="00FB454C">
        <w:instrText xml:space="preserve"> REF _Ref201981380 \h  \* MERGEFORMAT </w:instrText>
      </w:r>
      <w:r w:rsidR="00FB454C">
        <w:fldChar w:fldCharType="separate"/>
      </w:r>
      <w:r w:rsidR="0071604C" w:rsidRPr="000855B2">
        <w:t>Table </w:t>
      </w:r>
      <w:r w:rsidR="0071604C">
        <w:t>3.86</w:t>
      </w:r>
      <w:r w:rsidR="00FB454C">
        <w:fldChar w:fldCharType="end"/>
      </w:r>
      <w:r w:rsidR="009A10DA" w:rsidRPr="000855B2">
        <w:t>b</w:t>
      </w:r>
      <w:r w:rsidRPr="000855B2">
        <w:t>: Composition</w:t>
      </w:r>
      <w:r w:rsidR="00990E3E" w:rsidRPr="000855B2">
        <w:t xml:space="preserve"> of NMVOC in exhaust emissions (aldehydes, ketones, aromatics</w:t>
      </w:r>
      <w:r w:rsidRPr="000855B2">
        <w:t>)</w:t>
      </w:r>
    </w:p>
    <w:tbl>
      <w:tblPr>
        <w:tblW w:w="7979" w:type="dxa"/>
        <w:tblLook w:val="04A0" w:firstRow="1" w:lastRow="0" w:firstColumn="1" w:lastColumn="0" w:noHBand="0" w:noVBand="1"/>
      </w:tblPr>
      <w:tblGrid>
        <w:gridCol w:w="1441"/>
        <w:gridCol w:w="1701"/>
        <w:gridCol w:w="992"/>
        <w:gridCol w:w="1134"/>
        <w:gridCol w:w="1559"/>
        <w:gridCol w:w="617"/>
        <w:gridCol w:w="617"/>
      </w:tblGrid>
      <w:tr w:rsidR="003A3CE0" w:rsidRPr="000855B2" w14:paraId="145EEA13" w14:textId="77777777" w:rsidTr="00887829">
        <w:trPr>
          <w:trHeight w:val="285"/>
        </w:trPr>
        <w:tc>
          <w:tcPr>
            <w:tcW w:w="1441"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14:paraId="70D5386F"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Group</w:t>
            </w:r>
          </w:p>
        </w:tc>
        <w:tc>
          <w:tcPr>
            <w:tcW w:w="1701"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14:paraId="3EE2E300"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Species</w:t>
            </w:r>
          </w:p>
        </w:tc>
        <w:tc>
          <w:tcPr>
            <w:tcW w:w="4837"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12B4766"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NMVOC Fraction (% wt.)</w:t>
            </w:r>
          </w:p>
        </w:tc>
      </w:tr>
      <w:tr w:rsidR="003A3CE0" w:rsidRPr="000855B2" w14:paraId="7C83E91C" w14:textId="77777777" w:rsidTr="00887829">
        <w:trPr>
          <w:trHeight w:val="255"/>
        </w:trPr>
        <w:tc>
          <w:tcPr>
            <w:tcW w:w="1441" w:type="dxa"/>
            <w:vMerge/>
            <w:tcBorders>
              <w:top w:val="double" w:sz="6" w:space="0" w:color="auto"/>
              <w:left w:val="double" w:sz="6" w:space="0" w:color="auto"/>
              <w:bottom w:val="single" w:sz="8" w:space="0" w:color="000000"/>
              <w:right w:val="single" w:sz="4" w:space="0" w:color="auto"/>
            </w:tcBorders>
            <w:vAlign w:val="center"/>
            <w:hideMark/>
          </w:tcPr>
          <w:p w14:paraId="1846A276" w14:textId="77777777" w:rsidR="003A3CE0" w:rsidRPr="000855B2" w:rsidRDefault="003A3CE0" w:rsidP="008D2AFB">
            <w:pPr>
              <w:spacing w:line="240" w:lineRule="auto"/>
              <w:jc w:val="center"/>
              <w:rPr>
                <w:b/>
                <w:bCs/>
                <w:sz w:val="16"/>
                <w:szCs w:val="16"/>
                <w:lang w:val="en-GB"/>
              </w:rPr>
            </w:pPr>
          </w:p>
        </w:tc>
        <w:tc>
          <w:tcPr>
            <w:tcW w:w="1701" w:type="dxa"/>
            <w:vMerge/>
            <w:tcBorders>
              <w:top w:val="double" w:sz="6" w:space="0" w:color="auto"/>
              <w:left w:val="single" w:sz="4" w:space="0" w:color="auto"/>
              <w:bottom w:val="single" w:sz="8" w:space="0" w:color="000000"/>
              <w:right w:val="single" w:sz="4" w:space="0" w:color="auto"/>
            </w:tcBorders>
            <w:vAlign w:val="center"/>
            <w:hideMark/>
          </w:tcPr>
          <w:p w14:paraId="68D34E40" w14:textId="77777777" w:rsidR="003A3CE0" w:rsidRPr="000855B2" w:rsidRDefault="003A3CE0" w:rsidP="008D2AFB">
            <w:pPr>
              <w:spacing w:line="240" w:lineRule="auto"/>
              <w:jc w:val="center"/>
              <w:rPr>
                <w:b/>
                <w:bCs/>
                <w:sz w:val="16"/>
                <w:szCs w:val="16"/>
                <w:lang w:val="en-GB"/>
              </w:rPr>
            </w:pPr>
          </w:p>
        </w:tc>
        <w:tc>
          <w:tcPr>
            <w:tcW w:w="212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0D6DCEBC" w14:textId="77777777" w:rsidR="003A3CE0" w:rsidRPr="000855B2" w:rsidRDefault="004E1503" w:rsidP="008D2AFB">
            <w:pPr>
              <w:spacing w:line="240" w:lineRule="auto"/>
              <w:jc w:val="center"/>
              <w:rPr>
                <w:b/>
                <w:bCs/>
                <w:sz w:val="16"/>
                <w:szCs w:val="16"/>
                <w:lang w:val="en-GB"/>
              </w:rPr>
            </w:pPr>
            <w:r>
              <w:rPr>
                <w:b/>
                <w:bCs/>
                <w:sz w:val="16"/>
                <w:szCs w:val="16"/>
                <w:lang w:val="en-GB"/>
              </w:rPr>
              <w:t>Petrol</w:t>
            </w:r>
            <w:r w:rsidR="003A3CE0" w:rsidRPr="000855B2">
              <w:rPr>
                <w:b/>
                <w:bCs/>
                <w:sz w:val="16"/>
                <w:szCs w:val="16"/>
                <w:lang w:val="en-GB"/>
              </w:rPr>
              <w:t xml:space="preserve"> 4 stroke</w:t>
            </w:r>
          </w:p>
        </w:tc>
        <w:tc>
          <w:tcPr>
            <w:tcW w:w="1559" w:type="dxa"/>
            <w:tcBorders>
              <w:top w:val="nil"/>
              <w:left w:val="nil"/>
              <w:bottom w:val="single" w:sz="4" w:space="0" w:color="auto"/>
              <w:right w:val="single" w:sz="4" w:space="0" w:color="auto"/>
            </w:tcBorders>
            <w:shd w:val="clear" w:color="auto" w:fill="auto"/>
            <w:noWrap/>
            <w:vAlign w:val="bottom"/>
            <w:hideMark/>
          </w:tcPr>
          <w:p w14:paraId="48A0C1D6" w14:textId="77777777" w:rsidR="003A3CE0" w:rsidRPr="000855B2" w:rsidRDefault="003A3CE0" w:rsidP="0080244E">
            <w:pPr>
              <w:spacing w:line="240" w:lineRule="auto"/>
              <w:jc w:val="center"/>
              <w:rPr>
                <w:b/>
                <w:bCs/>
                <w:sz w:val="16"/>
                <w:szCs w:val="16"/>
                <w:lang w:val="en-GB"/>
              </w:rPr>
            </w:pPr>
            <w:r w:rsidRPr="000855B2">
              <w:rPr>
                <w:b/>
                <w:bCs/>
                <w:sz w:val="16"/>
                <w:szCs w:val="16"/>
                <w:lang w:val="en-GB"/>
              </w:rPr>
              <w:t xml:space="preserve">Diesel PC &amp; </w:t>
            </w:r>
            <w:r w:rsidR="0080244E" w:rsidRPr="000855B2">
              <w:rPr>
                <w:b/>
                <w:bCs/>
                <w:sz w:val="16"/>
                <w:szCs w:val="16"/>
                <w:lang w:val="en-GB"/>
              </w:rPr>
              <w:t>LCV</w:t>
            </w:r>
          </w:p>
        </w:tc>
        <w:tc>
          <w:tcPr>
            <w:tcW w:w="5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A3909C7"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HDV</w:t>
            </w:r>
          </w:p>
        </w:tc>
        <w:tc>
          <w:tcPr>
            <w:tcW w:w="576" w:type="dxa"/>
            <w:vMerge w:val="restart"/>
            <w:tcBorders>
              <w:top w:val="nil"/>
              <w:left w:val="nil"/>
              <w:bottom w:val="single" w:sz="8" w:space="0" w:color="000000"/>
              <w:right w:val="double" w:sz="6" w:space="0" w:color="auto"/>
            </w:tcBorders>
            <w:shd w:val="clear" w:color="auto" w:fill="auto"/>
            <w:noWrap/>
            <w:vAlign w:val="center"/>
            <w:hideMark/>
          </w:tcPr>
          <w:p w14:paraId="59390BBB"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LPG</w:t>
            </w:r>
          </w:p>
        </w:tc>
      </w:tr>
      <w:tr w:rsidR="003A3CE0" w:rsidRPr="000855B2" w14:paraId="622E3986" w14:textId="77777777" w:rsidTr="008D2AFB">
        <w:trPr>
          <w:trHeight w:val="270"/>
        </w:trPr>
        <w:tc>
          <w:tcPr>
            <w:tcW w:w="1441" w:type="dxa"/>
            <w:vMerge/>
            <w:tcBorders>
              <w:top w:val="double" w:sz="6" w:space="0" w:color="auto"/>
              <w:left w:val="double" w:sz="6" w:space="0" w:color="auto"/>
              <w:bottom w:val="single" w:sz="12" w:space="0" w:color="auto"/>
              <w:right w:val="single" w:sz="4" w:space="0" w:color="auto"/>
            </w:tcBorders>
            <w:vAlign w:val="center"/>
            <w:hideMark/>
          </w:tcPr>
          <w:p w14:paraId="6B92D1C1" w14:textId="77777777" w:rsidR="003A3CE0" w:rsidRPr="000855B2" w:rsidRDefault="003A3CE0" w:rsidP="009C4D4C">
            <w:pPr>
              <w:spacing w:line="240" w:lineRule="auto"/>
              <w:rPr>
                <w:b/>
                <w:bCs/>
                <w:sz w:val="16"/>
                <w:szCs w:val="16"/>
                <w:lang w:val="en-GB"/>
              </w:rPr>
            </w:pPr>
          </w:p>
        </w:tc>
        <w:tc>
          <w:tcPr>
            <w:tcW w:w="1701" w:type="dxa"/>
            <w:vMerge/>
            <w:tcBorders>
              <w:top w:val="double" w:sz="6" w:space="0" w:color="auto"/>
              <w:left w:val="single" w:sz="4" w:space="0" w:color="auto"/>
              <w:bottom w:val="single" w:sz="12" w:space="0" w:color="auto"/>
              <w:right w:val="single" w:sz="4" w:space="0" w:color="auto"/>
            </w:tcBorders>
            <w:vAlign w:val="center"/>
            <w:hideMark/>
          </w:tcPr>
          <w:p w14:paraId="7A85B93E" w14:textId="77777777" w:rsidR="003A3CE0" w:rsidRPr="000855B2" w:rsidRDefault="003A3CE0" w:rsidP="009C4D4C">
            <w:pPr>
              <w:spacing w:line="240" w:lineRule="auto"/>
              <w:rPr>
                <w:b/>
                <w:bCs/>
                <w:sz w:val="16"/>
                <w:szCs w:val="16"/>
                <w:lang w:val="en-GB"/>
              </w:rPr>
            </w:pPr>
          </w:p>
        </w:tc>
        <w:tc>
          <w:tcPr>
            <w:tcW w:w="992" w:type="dxa"/>
            <w:tcBorders>
              <w:top w:val="nil"/>
              <w:left w:val="nil"/>
              <w:bottom w:val="single" w:sz="12" w:space="0" w:color="auto"/>
              <w:right w:val="single" w:sz="4" w:space="0" w:color="auto"/>
            </w:tcBorders>
            <w:shd w:val="clear" w:color="auto" w:fill="auto"/>
            <w:noWrap/>
            <w:vAlign w:val="bottom"/>
            <w:hideMark/>
          </w:tcPr>
          <w:p w14:paraId="77208185"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Convent.</w:t>
            </w:r>
          </w:p>
        </w:tc>
        <w:tc>
          <w:tcPr>
            <w:tcW w:w="1134" w:type="dxa"/>
            <w:tcBorders>
              <w:top w:val="nil"/>
              <w:left w:val="nil"/>
              <w:bottom w:val="single" w:sz="12" w:space="0" w:color="auto"/>
              <w:right w:val="single" w:sz="4" w:space="0" w:color="auto"/>
            </w:tcBorders>
            <w:shd w:val="clear" w:color="auto" w:fill="auto"/>
            <w:noWrap/>
            <w:vAlign w:val="bottom"/>
            <w:hideMark/>
          </w:tcPr>
          <w:p w14:paraId="3515D137"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Euro I &amp; on</w:t>
            </w:r>
          </w:p>
        </w:tc>
        <w:tc>
          <w:tcPr>
            <w:tcW w:w="1559" w:type="dxa"/>
            <w:tcBorders>
              <w:top w:val="nil"/>
              <w:left w:val="nil"/>
              <w:bottom w:val="single" w:sz="12" w:space="0" w:color="auto"/>
              <w:right w:val="single" w:sz="4" w:space="0" w:color="auto"/>
            </w:tcBorders>
            <w:shd w:val="clear" w:color="auto" w:fill="auto"/>
            <w:noWrap/>
            <w:vAlign w:val="bottom"/>
            <w:hideMark/>
          </w:tcPr>
          <w:p w14:paraId="2107F53D"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IDI &amp; DI</w:t>
            </w:r>
          </w:p>
        </w:tc>
        <w:tc>
          <w:tcPr>
            <w:tcW w:w="576" w:type="dxa"/>
            <w:vMerge/>
            <w:tcBorders>
              <w:top w:val="nil"/>
              <w:left w:val="single" w:sz="4" w:space="0" w:color="auto"/>
              <w:bottom w:val="single" w:sz="12" w:space="0" w:color="auto"/>
              <w:right w:val="single" w:sz="4" w:space="0" w:color="auto"/>
            </w:tcBorders>
            <w:vAlign w:val="center"/>
            <w:hideMark/>
          </w:tcPr>
          <w:p w14:paraId="4957D8DC" w14:textId="77777777" w:rsidR="003A3CE0" w:rsidRPr="000855B2" w:rsidRDefault="003A3CE0" w:rsidP="009C4D4C">
            <w:pPr>
              <w:spacing w:line="240" w:lineRule="auto"/>
              <w:rPr>
                <w:b/>
                <w:bCs/>
                <w:sz w:val="16"/>
                <w:szCs w:val="16"/>
                <w:lang w:val="en-GB"/>
              </w:rPr>
            </w:pPr>
          </w:p>
        </w:tc>
        <w:tc>
          <w:tcPr>
            <w:tcW w:w="576" w:type="dxa"/>
            <w:vMerge/>
            <w:tcBorders>
              <w:top w:val="nil"/>
              <w:left w:val="nil"/>
              <w:bottom w:val="single" w:sz="12" w:space="0" w:color="auto"/>
              <w:right w:val="double" w:sz="6" w:space="0" w:color="auto"/>
            </w:tcBorders>
            <w:vAlign w:val="center"/>
            <w:hideMark/>
          </w:tcPr>
          <w:p w14:paraId="4A275680" w14:textId="77777777" w:rsidR="003A3CE0" w:rsidRPr="000855B2" w:rsidRDefault="003A3CE0" w:rsidP="009C4D4C">
            <w:pPr>
              <w:spacing w:line="240" w:lineRule="auto"/>
              <w:rPr>
                <w:b/>
                <w:bCs/>
                <w:sz w:val="16"/>
                <w:szCs w:val="16"/>
                <w:lang w:val="en-GB"/>
              </w:rPr>
            </w:pPr>
          </w:p>
        </w:tc>
      </w:tr>
      <w:tr w:rsidR="003A3CE0" w:rsidRPr="000855B2" w14:paraId="6FAFE9B5" w14:textId="77777777" w:rsidTr="008D2AFB">
        <w:trPr>
          <w:trHeight w:val="255"/>
        </w:trPr>
        <w:tc>
          <w:tcPr>
            <w:tcW w:w="1441" w:type="dxa"/>
            <w:vMerge w:val="restart"/>
            <w:tcBorders>
              <w:top w:val="single" w:sz="12" w:space="0" w:color="auto"/>
              <w:left w:val="double" w:sz="6" w:space="0" w:color="auto"/>
              <w:bottom w:val="single" w:sz="8" w:space="0" w:color="000000"/>
              <w:right w:val="single" w:sz="4" w:space="0" w:color="auto"/>
            </w:tcBorders>
            <w:shd w:val="clear" w:color="auto" w:fill="auto"/>
            <w:noWrap/>
            <w:textDirection w:val="btLr"/>
            <w:vAlign w:val="center"/>
            <w:hideMark/>
          </w:tcPr>
          <w:p w14:paraId="2261BF65"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ALDEHYDES</w:t>
            </w:r>
          </w:p>
        </w:tc>
        <w:tc>
          <w:tcPr>
            <w:tcW w:w="1701" w:type="dxa"/>
            <w:tcBorders>
              <w:top w:val="single" w:sz="12" w:space="0" w:color="auto"/>
              <w:left w:val="nil"/>
              <w:bottom w:val="nil"/>
              <w:right w:val="single" w:sz="4" w:space="0" w:color="auto"/>
            </w:tcBorders>
            <w:shd w:val="clear" w:color="auto" w:fill="auto"/>
            <w:noWrap/>
            <w:vAlign w:val="bottom"/>
            <w:hideMark/>
          </w:tcPr>
          <w:p w14:paraId="1AF846E2" w14:textId="77777777" w:rsidR="003A3CE0" w:rsidRPr="000855B2" w:rsidRDefault="003A3CE0" w:rsidP="009C4D4C">
            <w:pPr>
              <w:spacing w:line="240" w:lineRule="auto"/>
              <w:rPr>
                <w:sz w:val="16"/>
                <w:szCs w:val="16"/>
                <w:lang w:val="en-GB"/>
              </w:rPr>
            </w:pPr>
            <w:r w:rsidRPr="000855B2">
              <w:rPr>
                <w:sz w:val="16"/>
                <w:szCs w:val="16"/>
                <w:lang w:val="en-GB"/>
              </w:rPr>
              <w:t>formaldehyde</w:t>
            </w:r>
          </w:p>
        </w:tc>
        <w:tc>
          <w:tcPr>
            <w:tcW w:w="992" w:type="dxa"/>
            <w:tcBorders>
              <w:top w:val="single" w:sz="12" w:space="0" w:color="auto"/>
              <w:left w:val="nil"/>
              <w:bottom w:val="nil"/>
              <w:right w:val="single" w:sz="4" w:space="0" w:color="auto"/>
            </w:tcBorders>
            <w:shd w:val="clear" w:color="auto" w:fill="auto"/>
            <w:noWrap/>
            <w:vAlign w:val="bottom"/>
            <w:hideMark/>
          </w:tcPr>
          <w:p w14:paraId="41C400A0" w14:textId="77777777" w:rsidR="003A3CE0" w:rsidRPr="000855B2" w:rsidRDefault="003A3CE0" w:rsidP="009C4D4C">
            <w:pPr>
              <w:spacing w:line="240" w:lineRule="auto"/>
              <w:jc w:val="center"/>
              <w:rPr>
                <w:sz w:val="16"/>
                <w:szCs w:val="16"/>
                <w:lang w:val="en-GB"/>
              </w:rPr>
            </w:pPr>
            <w:r w:rsidRPr="000855B2">
              <w:rPr>
                <w:sz w:val="16"/>
                <w:szCs w:val="16"/>
                <w:lang w:val="en-GB"/>
              </w:rPr>
              <w:t>2.08</w:t>
            </w:r>
          </w:p>
        </w:tc>
        <w:tc>
          <w:tcPr>
            <w:tcW w:w="1134" w:type="dxa"/>
            <w:tcBorders>
              <w:top w:val="single" w:sz="12" w:space="0" w:color="auto"/>
              <w:left w:val="nil"/>
              <w:bottom w:val="nil"/>
              <w:right w:val="single" w:sz="4" w:space="0" w:color="auto"/>
            </w:tcBorders>
            <w:shd w:val="clear" w:color="auto" w:fill="auto"/>
            <w:noWrap/>
            <w:vAlign w:val="bottom"/>
            <w:hideMark/>
          </w:tcPr>
          <w:p w14:paraId="1758E0A1" w14:textId="77777777" w:rsidR="003A3CE0" w:rsidRPr="000855B2" w:rsidRDefault="003A3CE0" w:rsidP="009C4D4C">
            <w:pPr>
              <w:spacing w:line="240" w:lineRule="auto"/>
              <w:jc w:val="center"/>
              <w:rPr>
                <w:sz w:val="16"/>
                <w:szCs w:val="16"/>
                <w:lang w:val="en-GB"/>
              </w:rPr>
            </w:pPr>
            <w:r w:rsidRPr="000855B2">
              <w:rPr>
                <w:sz w:val="16"/>
                <w:szCs w:val="16"/>
                <w:lang w:val="en-GB"/>
              </w:rPr>
              <w:t>1.70</w:t>
            </w:r>
          </w:p>
        </w:tc>
        <w:tc>
          <w:tcPr>
            <w:tcW w:w="1559" w:type="dxa"/>
            <w:tcBorders>
              <w:top w:val="single" w:sz="12" w:space="0" w:color="auto"/>
              <w:left w:val="nil"/>
              <w:bottom w:val="nil"/>
              <w:right w:val="single" w:sz="4" w:space="0" w:color="auto"/>
            </w:tcBorders>
            <w:shd w:val="clear" w:color="auto" w:fill="auto"/>
            <w:noWrap/>
            <w:vAlign w:val="bottom"/>
            <w:hideMark/>
          </w:tcPr>
          <w:p w14:paraId="47AE468C" w14:textId="77777777" w:rsidR="003A3CE0" w:rsidRPr="000855B2" w:rsidRDefault="003A3CE0" w:rsidP="009C4D4C">
            <w:pPr>
              <w:spacing w:line="240" w:lineRule="auto"/>
              <w:jc w:val="center"/>
              <w:rPr>
                <w:sz w:val="16"/>
                <w:szCs w:val="16"/>
                <w:lang w:val="en-GB"/>
              </w:rPr>
            </w:pPr>
            <w:r w:rsidRPr="000855B2">
              <w:rPr>
                <w:sz w:val="16"/>
                <w:szCs w:val="16"/>
                <w:lang w:val="en-GB"/>
              </w:rPr>
              <w:t>12.00</w:t>
            </w:r>
          </w:p>
        </w:tc>
        <w:tc>
          <w:tcPr>
            <w:tcW w:w="576" w:type="dxa"/>
            <w:tcBorders>
              <w:top w:val="single" w:sz="12" w:space="0" w:color="auto"/>
              <w:left w:val="nil"/>
              <w:bottom w:val="nil"/>
              <w:right w:val="single" w:sz="4" w:space="0" w:color="auto"/>
            </w:tcBorders>
            <w:shd w:val="clear" w:color="auto" w:fill="auto"/>
            <w:noWrap/>
            <w:vAlign w:val="bottom"/>
            <w:hideMark/>
          </w:tcPr>
          <w:p w14:paraId="03D53C55" w14:textId="77777777" w:rsidR="003A3CE0" w:rsidRPr="000855B2" w:rsidRDefault="003A3CE0" w:rsidP="009C4D4C">
            <w:pPr>
              <w:spacing w:line="240" w:lineRule="auto"/>
              <w:jc w:val="center"/>
              <w:rPr>
                <w:sz w:val="16"/>
                <w:szCs w:val="16"/>
                <w:lang w:val="en-GB"/>
              </w:rPr>
            </w:pPr>
            <w:r w:rsidRPr="000855B2">
              <w:rPr>
                <w:sz w:val="16"/>
                <w:szCs w:val="16"/>
                <w:lang w:val="en-GB"/>
              </w:rPr>
              <w:t>8.40</w:t>
            </w:r>
          </w:p>
        </w:tc>
        <w:tc>
          <w:tcPr>
            <w:tcW w:w="576" w:type="dxa"/>
            <w:tcBorders>
              <w:top w:val="single" w:sz="12" w:space="0" w:color="auto"/>
              <w:left w:val="nil"/>
              <w:bottom w:val="nil"/>
              <w:right w:val="double" w:sz="6" w:space="0" w:color="auto"/>
            </w:tcBorders>
            <w:shd w:val="clear" w:color="auto" w:fill="auto"/>
            <w:noWrap/>
            <w:vAlign w:val="bottom"/>
            <w:hideMark/>
          </w:tcPr>
          <w:p w14:paraId="267849B2" w14:textId="77777777" w:rsidR="003A3CE0" w:rsidRPr="000855B2" w:rsidRDefault="003A3CE0" w:rsidP="009C4D4C">
            <w:pPr>
              <w:spacing w:line="240" w:lineRule="auto"/>
              <w:jc w:val="center"/>
              <w:rPr>
                <w:sz w:val="16"/>
                <w:szCs w:val="16"/>
                <w:lang w:val="en-GB"/>
              </w:rPr>
            </w:pPr>
            <w:r w:rsidRPr="000855B2">
              <w:rPr>
                <w:sz w:val="16"/>
                <w:szCs w:val="16"/>
                <w:lang w:val="en-GB"/>
              </w:rPr>
              <w:t>1.56</w:t>
            </w:r>
          </w:p>
        </w:tc>
      </w:tr>
      <w:tr w:rsidR="003A3CE0" w:rsidRPr="000855B2" w14:paraId="63BBC1E3"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4AA5BFDC"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53BE458B" w14:textId="77777777" w:rsidR="003A3CE0" w:rsidRPr="000855B2" w:rsidRDefault="003A3CE0" w:rsidP="009C4D4C">
            <w:pPr>
              <w:spacing w:line="240" w:lineRule="auto"/>
              <w:rPr>
                <w:sz w:val="16"/>
                <w:szCs w:val="16"/>
                <w:lang w:val="en-GB"/>
              </w:rPr>
            </w:pPr>
            <w:r w:rsidRPr="000855B2">
              <w:rPr>
                <w:sz w:val="16"/>
                <w:szCs w:val="16"/>
                <w:lang w:val="en-GB"/>
              </w:rPr>
              <w:t>acetaldahyde</w:t>
            </w:r>
          </w:p>
        </w:tc>
        <w:tc>
          <w:tcPr>
            <w:tcW w:w="992" w:type="dxa"/>
            <w:tcBorders>
              <w:top w:val="nil"/>
              <w:left w:val="nil"/>
              <w:bottom w:val="nil"/>
              <w:right w:val="single" w:sz="4" w:space="0" w:color="auto"/>
            </w:tcBorders>
            <w:shd w:val="clear" w:color="auto" w:fill="auto"/>
            <w:noWrap/>
            <w:vAlign w:val="bottom"/>
            <w:hideMark/>
          </w:tcPr>
          <w:p w14:paraId="457ED18B"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1134" w:type="dxa"/>
            <w:tcBorders>
              <w:top w:val="nil"/>
              <w:left w:val="nil"/>
              <w:bottom w:val="nil"/>
              <w:right w:val="single" w:sz="4" w:space="0" w:color="auto"/>
            </w:tcBorders>
            <w:shd w:val="clear" w:color="auto" w:fill="auto"/>
            <w:noWrap/>
            <w:vAlign w:val="bottom"/>
            <w:hideMark/>
          </w:tcPr>
          <w:p w14:paraId="2D39987D" w14:textId="77777777" w:rsidR="003A3CE0" w:rsidRPr="000855B2" w:rsidRDefault="003A3CE0" w:rsidP="009C4D4C">
            <w:pPr>
              <w:spacing w:line="240" w:lineRule="auto"/>
              <w:jc w:val="center"/>
              <w:rPr>
                <w:sz w:val="16"/>
                <w:szCs w:val="16"/>
                <w:lang w:val="en-GB"/>
              </w:rPr>
            </w:pPr>
            <w:r w:rsidRPr="000855B2">
              <w:rPr>
                <w:sz w:val="16"/>
                <w:szCs w:val="16"/>
                <w:lang w:val="en-GB"/>
              </w:rPr>
              <w:t>0.75</w:t>
            </w:r>
          </w:p>
        </w:tc>
        <w:tc>
          <w:tcPr>
            <w:tcW w:w="1559" w:type="dxa"/>
            <w:tcBorders>
              <w:top w:val="nil"/>
              <w:left w:val="nil"/>
              <w:bottom w:val="nil"/>
              <w:right w:val="single" w:sz="4" w:space="0" w:color="auto"/>
            </w:tcBorders>
            <w:shd w:val="clear" w:color="auto" w:fill="auto"/>
            <w:noWrap/>
            <w:vAlign w:val="bottom"/>
            <w:hideMark/>
          </w:tcPr>
          <w:p w14:paraId="159BC8D5" w14:textId="77777777" w:rsidR="003A3CE0" w:rsidRPr="000855B2" w:rsidRDefault="003A3CE0" w:rsidP="009C4D4C">
            <w:pPr>
              <w:spacing w:line="240" w:lineRule="auto"/>
              <w:jc w:val="center"/>
              <w:rPr>
                <w:sz w:val="16"/>
                <w:szCs w:val="16"/>
                <w:lang w:val="en-GB"/>
              </w:rPr>
            </w:pPr>
            <w:r w:rsidRPr="000855B2">
              <w:rPr>
                <w:sz w:val="16"/>
                <w:szCs w:val="16"/>
                <w:lang w:val="en-GB"/>
              </w:rPr>
              <w:t>6.47</w:t>
            </w:r>
          </w:p>
        </w:tc>
        <w:tc>
          <w:tcPr>
            <w:tcW w:w="576" w:type="dxa"/>
            <w:tcBorders>
              <w:top w:val="nil"/>
              <w:left w:val="nil"/>
              <w:bottom w:val="nil"/>
              <w:right w:val="single" w:sz="4" w:space="0" w:color="auto"/>
            </w:tcBorders>
            <w:shd w:val="clear" w:color="auto" w:fill="auto"/>
            <w:noWrap/>
            <w:vAlign w:val="bottom"/>
            <w:hideMark/>
          </w:tcPr>
          <w:p w14:paraId="1474498E" w14:textId="77777777" w:rsidR="003A3CE0" w:rsidRPr="000855B2" w:rsidRDefault="003A3CE0" w:rsidP="009C4D4C">
            <w:pPr>
              <w:spacing w:line="240" w:lineRule="auto"/>
              <w:jc w:val="center"/>
              <w:rPr>
                <w:sz w:val="16"/>
                <w:szCs w:val="16"/>
                <w:lang w:val="en-GB"/>
              </w:rPr>
            </w:pPr>
            <w:r w:rsidRPr="000855B2">
              <w:rPr>
                <w:sz w:val="16"/>
                <w:szCs w:val="16"/>
                <w:lang w:val="en-GB"/>
              </w:rPr>
              <w:t>4.57</w:t>
            </w:r>
          </w:p>
        </w:tc>
        <w:tc>
          <w:tcPr>
            <w:tcW w:w="576" w:type="dxa"/>
            <w:tcBorders>
              <w:top w:val="nil"/>
              <w:left w:val="nil"/>
              <w:bottom w:val="nil"/>
              <w:right w:val="double" w:sz="6" w:space="0" w:color="auto"/>
            </w:tcBorders>
            <w:shd w:val="clear" w:color="auto" w:fill="auto"/>
            <w:noWrap/>
            <w:vAlign w:val="bottom"/>
            <w:hideMark/>
          </w:tcPr>
          <w:p w14:paraId="4C368C93" w14:textId="77777777" w:rsidR="003A3CE0" w:rsidRPr="000855B2" w:rsidRDefault="003A3CE0" w:rsidP="009C4D4C">
            <w:pPr>
              <w:spacing w:line="240" w:lineRule="auto"/>
              <w:jc w:val="center"/>
              <w:rPr>
                <w:sz w:val="16"/>
                <w:szCs w:val="16"/>
                <w:lang w:val="en-GB"/>
              </w:rPr>
            </w:pPr>
            <w:r w:rsidRPr="000855B2">
              <w:rPr>
                <w:sz w:val="16"/>
                <w:szCs w:val="16"/>
                <w:lang w:val="en-GB"/>
              </w:rPr>
              <w:t>1.81</w:t>
            </w:r>
          </w:p>
        </w:tc>
      </w:tr>
      <w:tr w:rsidR="003A3CE0" w:rsidRPr="000855B2" w14:paraId="41D99FD4"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3509FD2E"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5B428DC6" w14:textId="77777777" w:rsidR="003A3CE0" w:rsidRPr="000855B2" w:rsidRDefault="003A3CE0" w:rsidP="009C4D4C">
            <w:pPr>
              <w:spacing w:line="240" w:lineRule="auto"/>
              <w:rPr>
                <w:sz w:val="16"/>
                <w:szCs w:val="16"/>
                <w:lang w:val="en-GB"/>
              </w:rPr>
            </w:pPr>
            <w:r w:rsidRPr="000855B2">
              <w:rPr>
                <w:sz w:val="16"/>
                <w:szCs w:val="16"/>
                <w:lang w:val="en-GB"/>
              </w:rPr>
              <w:t>acrolein</w:t>
            </w:r>
          </w:p>
        </w:tc>
        <w:tc>
          <w:tcPr>
            <w:tcW w:w="992" w:type="dxa"/>
            <w:tcBorders>
              <w:top w:val="nil"/>
              <w:left w:val="nil"/>
              <w:bottom w:val="nil"/>
              <w:right w:val="single" w:sz="4" w:space="0" w:color="auto"/>
            </w:tcBorders>
            <w:shd w:val="clear" w:color="auto" w:fill="auto"/>
            <w:noWrap/>
            <w:vAlign w:val="bottom"/>
            <w:hideMark/>
          </w:tcPr>
          <w:p w14:paraId="2345CA62" w14:textId="77777777" w:rsidR="003A3CE0" w:rsidRPr="000855B2" w:rsidRDefault="003A3CE0" w:rsidP="009C4D4C">
            <w:pPr>
              <w:spacing w:line="240" w:lineRule="auto"/>
              <w:jc w:val="center"/>
              <w:rPr>
                <w:sz w:val="16"/>
                <w:szCs w:val="16"/>
                <w:lang w:val="en-GB"/>
              </w:rPr>
            </w:pPr>
            <w:r w:rsidRPr="000855B2">
              <w:rPr>
                <w:sz w:val="16"/>
                <w:szCs w:val="16"/>
                <w:lang w:val="en-GB"/>
              </w:rPr>
              <w:t>0.16</w:t>
            </w:r>
          </w:p>
        </w:tc>
        <w:tc>
          <w:tcPr>
            <w:tcW w:w="1134" w:type="dxa"/>
            <w:tcBorders>
              <w:top w:val="nil"/>
              <w:left w:val="nil"/>
              <w:bottom w:val="nil"/>
              <w:right w:val="single" w:sz="4" w:space="0" w:color="auto"/>
            </w:tcBorders>
            <w:shd w:val="clear" w:color="auto" w:fill="auto"/>
            <w:noWrap/>
            <w:vAlign w:val="bottom"/>
            <w:hideMark/>
          </w:tcPr>
          <w:p w14:paraId="4771E931" w14:textId="77777777" w:rsidR="003A3CE0" w:rsidRPr="000855B2" w:rsidRDefault="003A3CE0" w:rsidP="009C4D4C">
            <w:pPr>
              <w:spacing w:line="240" w:lineRule="auto"/>
              <w:jc w:val="center"/>
              <w:rPr>
                <w:sz w:val="16"/>
                <w:szCs w:val="16"/>
                <w:lang w:val="en-GB"/>
              </w:rPr>
            </w:pPr>
            <w:r w:rsidRPr="000855B2">
              <w:rPr>
                <w:sz w:val="16"/>
                <w:szCs w:val="16"/>
                <w:lang w:val="en-GB"/>
              </w:rPr>
              <w:t>0.19</w:t>
            </w:r>
          </w:p>
        </w:tc>
        <w:tc>
          <w:tcPr>
            <w:tcW w:w="1559" w:type="dxa"/>
            <w:tcBorders>
              <w:top w:val="nil"/>
              <w:left w:val="nil"/>
              <w:bottom w:val="nil"/>
              <w:right w:val="single" w:sz="4" w:space="0" w:color="auto"/>
            </w:tcBorders>
            <w:shd w:val="clear" w:color="auto" w:fill="auto"/>
            <w:noWrap/>
            <w:vAlign w:val="bottom"/>
            <w:hideMark/>
          </w:tcPr>
          <w:p w14:paraId="780BE399" w14:textId="77777777" w:rsidR="003A3CE0" w:rsidRPr="000855B2" w:rsidRDefault="003A3CE0" w:rsidP="009C4D4C">
            <w:pPr>
              <w:spacing w:line="240" w:lineRule="auto"/>
              <w:jc w:val="center"/>
              <w:rPr>
                <w:sz w:val="16"/>
                <w:szCs w:val="16"/>
                <w:lang w:val="en-GB"/>
              </w:rPr>
            </w:pPr>
            <w:r w:rsidRPr="000855B2">
              <w:rPr>
                <w:sz w:val="16"/>
                <w:szCs w:val="16"/>
                <w:lang w:val="en-GB"/>
              </w:rPr>
              <w:t>3.58</w:t>
            </w:r>
          </w:p>
        </w:tc>
        <w:tc>
          <w:tcPr>
            <w:tcW w:w="576" w:type="dxa"/>
            <w:tcBorders>
              <w:top w:val="nil"/>
              <w:left w:val="nil"/>
              <w:bottom w:val="nil"/>
              <w:right w:val="single" w:sz="4" w:space="0" w:color="auto"/>
            </w:tcBorders>
            <w:shd w:val="clear" w:color="auto" w:fill="auto"/>
            <w:noWrap/>
            <w:vAlign w:val="bottom"/>
            <w:hideMark/>
          </w:tcPr>
          <w:p w14:paraId="7B276CE0" w14:textId="77777777" w:rsidR="003A3CE0" w:rsidRPr="000855B2" w:rsidRDefault="003A3CE0" w:rsidP="009C4D4C">
            <w:pPr>
              <w:spacing w:line="240" w:lineRule="auto"/>
              <w:jc w:val="center"/>
              <w:rPr>
                <w:sz w:val="16"/>
                <w:szCs w:val="16"/>
                <w:lang w:val="en-GB"/>
              </w:rPr>
            </w:pPr>
            <w:r w:rsidRPr="000855B2">
              <w:rPr>
                <w:sz w:val="16"/>
                <w:szCs w:val="16"/>
                <w:lang w:val="en-GB"/>
              </w:rPr>
              <w:t>1.77</w:t>
            </w:r>
          </w:p>
        </w:tc>
        <w:tc>
          <w:tcPr>
            <w:tcW w:w="576" w:type="dxa"/>
            <w:tcBorders>
              <w:top w:val="nil"/>
              <w:left w:val="nil"/>
              <w:bottom w:val="nil"/>
              <w:right w:val="double" w:sz="6" w:space="0" w:color="auto"/>
            </w:tcBorders>
            <w:shd w:val="clear" w:color="auto" w:fill="auto"/>
            <w:noWrap/>
            <w:vAlign w:val="bottom"/>
            <w:hideMark/>
          </w:tcPr>
          <w:p w14:paraId="3288B6CD"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r>
      <w:tr w:rsidR="003A3CE0" w:rsidRPr="000855B2" w14:paraId="02436550"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54D55B2F"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18180BBE" w14:textId="77777777" w:rsidR="003A3CE0" w:rsidRPr="000855B2" w:rsidRDefault="003A3CE0" w:rsidP="009C4D4C">
            <w:pPr>
              <w:spacing w:line="240" w:lineRule="auto"/>
              <w:rPr>
                <w:sz w:val="16"/>
                <w:szCs w:val="16"/>
                <w:lang w:val="en-GB"/>
              </w:rPr>
            </w:pPr>
            <w:r w:rsidRPr="000855B2">
              <w:rPr>
                <w:sz w:val="16"/>
                <w:szCs w:val="16"/>
                <w:lang w:val="en-GB"/>
              </w:rPr>
              <w:t>benzaldehyde</w:t>
            </w:r>
          </w:p>
        </w:tc>
        <w:tc>
          <w:tcPr>
            <w:tcW w:w="992" w:type="dxa"/>
            <w:tcBorders>
              <w:top w:val="nil"/>
              <w:left w:val="nil"/>
              <w:bottom w:val="nil"/>
              <w:right w:val="single" w:sz="4" w:space="0" w:color="auto"/>
            </w:tcBorders>
            <w:shd w:val="clear" w:color="auto" w:fill="auto"/>
            <w:noWrap/>
            <w:vAlign w:val="bottom"/>
            <w:hideMark/>
          </w:tcPr>
          <w:p w14:paraId="6D87408D" w14:textId="77777777" w:rsidR="003A3CE0" w:rsidRPr="000855B2" w:rsidRDefault="003A3CE0" w:rsidP="009C4D4C">
            <w:pPr>
              <w:spacing w:line="240" w:lineRule="auto"/>
              <w:jc w:val="center"/>
              <w:rPr>
                <w:sz w:val="16"/>
                <w:szCs w:val="16"/>
                <w:lang w:val="en-GB"/>
              </w:rPr>
            </w:pPr>
            <w:r w:rsidRPr="000855B2">
              <w:rPr>
                <w:sz w:val="16"/>
                <w:szCs w:val="16"/>
                <w:lang w:val="en-GB"/>
              </w:rPr>
              <w:t>0.60</w:t>
            </w:r>
          </w:p>
        </w:tc>
        <w:tc>
          <w:tcPr>
            <w:tcW w:w="1134" w:type="dxa"/>
            <w:tcBorders>
              <w:top w:val="nil"/>
              <w:left w:val="nil"/>
              <w:bottom w:val="nil"/>
              <w:right w:val="single" w:sz="4" w:space="0" w:color="auto"/>
            </w:tcBorders>
            <w:shd w:val="clear" w:color="auto" w:fill="auto"/>
            <w:noWrap/>
            <w:vAlign w:val="bottom"/>
            <w:hideMark/>
          </w:tcPr>
          <w:p w14:paraId="78C45AD4" w14:textId="77777777" w:rsidR="003A3CE0" w:rsidRPr="000855B2" w:rsidRDefault="003A3CE0" w:rsidP="009C4D4C">
            <w:pPr>
              <w:spacing w:line="240" w:lineRule="auto"/>
              <w:jc w:val="center"/>
              <w:rPr>
                <w:sz w:val="16"/>
                <w:szCs w:val="16"/>
                <w:lang w:val="en-GB"/>
              </w:rPr>
            </w:pPr>
            <w:r w:rsidRPr="000855B2">
              <w:rPr>
                <w:sz w:val="16"/>
                <w:szCs w:val="16"/>
                <w:lang w:val="en-GB"/>
              </w:rPr>
              <w:t>0.22</w:t>
            </w:r>
          </w:p>
        </w:tc>
        <w:tc>
          <w:tcPr>
            <w:tcW w:w="1559" w:type="dxa"/>
            <w:tcBorders>
              <w:top w:val="nil"/>
              <w:left w:val="nil"/>
              <w:bottom w:val="nil"/>
              <w:right w:val="single" w:sz="4" w:space="0" w:color="auto"/>
            </w:tcBorders>
            <w:shd w:val="clear" w:color="auto" w:fill="auto"/>
            <w:noWrap/>
            <w:vAlign w:val="bottom"/>
            <w:hideMark/>
          </w:tcPr>
          <w:p w14:paraId="1FDD6FBA"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576" w:type="dxa"/>
            <w:tcBorders>
              <w:top w:val="nil"/>
              <w:left w:val="nil"/>
              <w:bottom w:val="nil"/>
              <w:right w:val="single" w:sz="4" w:space="0" w:color="auto"/>
            </w:tcBorders>
            <w:shd w:val="clear" w:color="auto" w:fill="auto"/>
            <w:noWrap/>
            <w:vAlign w:val="bottom"/>
            <w:hideMark/>
          </w:tcPr>
          <w:p w14:paraId="0D13FE07" w14:textId="77777777" w:rsidR="003A3CE0" w:rsidRPr="000855B2" w:rsidRDefault="003A3CE0" w:rsidP="009C4D4C">
            <w:pPr>
              <w:spacing w:line="240" w:lineRule="auto"/>
              <w:jc w:val="center"/>
              <w:rPr>
                <w:sz w:val="16"/>
                <w:szCs w:val="16"/>
                <w:lang w:val="en-GB"/>
              </w:rPr>
            </w:pPr>
            <w:r w:rsidRPr="000855B2">
              <w:rPr>
                <w:sz w:val="16"/>
                <w:szCs w:val="16"/>
                <w:lang w:val="en-GB"/>
              </w:rPr>
              <w:t>1.37</w:t>
            </w:r>
          </w:p>
        </w:tc>
        <w:tc>
          <w:tcPr>
            <w:tcW w:w="576" w:type="dxa"/>
            <w:tcBorders>
              <w:top w:val="nil"/>
              <w:left w:val="nil"/>
              <w:bottom w:val="nil"/>
              <w:right w:val="double" w:sz="6" w:space="0" w:color="auto"/>
            </w:tcBorders>
            <w:shd w:val="clear" w:color="auto" w:fill="auto"/>
            <w:noWrap/>
            <w:vAlign w:val="bottom"/>
            <w:hideMark/>
          </w:tcPr>
          <w:p w14:paraId="530502A5" w14:textId="77777777" w:rsidR="003A3CE0" w:rsidRPr="000855B2" w:rsidRDefault="003A3CE0" w:rsidP="009C4D4C">
            <w:pPr>
              <w:spacing w:line="240" w:lineRule="auto"/>
              <w:jc w:val="center"/>
              <w:rPr>
                <w:sz w:val="16"/>
                <w:szCs w:val="16"/>
                <w:lang w:val="en-GB"/>
              </w:rPr>
            </w:pPr>
            <w:r w:rsidRPr="000855B2">
              <w:rPr>
                <w:sz w:val="16"/>
                <w:szCs w:val="16"/>
                <w:lang w:val="en-GB"/>
              </w:rPr>
              <w:t>0.03</w:t>
            </w:r>
          </w:p>
        </w:tc>
      </w:tr>
      <w:tr w:rsidR="003A3CE0" w:rsidRPr="000855B2" w14:paraId="2508AF93"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6E925AB8"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FAF2892" w14:textId="77777777" w:rsidR="003A3CE0" w:rsidRPr="000855B2" w:rsidRDefault="003A3CE0" w:rsidP="009C4D4C">
            <w:pPr>
              <w:spacing w:line="240" w:lineRule="auto"/>
              <w:rPr>
                <w:sz w:val="16"/>
                <w:szCs w:val="16"/>
                <w:lang w:val="en-GB"/>
              </w:rPr>
            </w:pPr>
            <w:r w:rsidRPr="000855B2">
              <w:rPr>
                <w:sz w:val="16"/>
                <w:szCs w:val="16"/>
                <w:lang w:val="en-GB"/>
              </w:rPr>
              <w:t>crotonaldehyde</w:t>
            </w:r>
          </w:p>
        </w:tc>
        <w:tc>
          <w:tcPr>
            <w:tcW w:w="992" w:type="dxa"/>
            <w:tcBorders>
              <w:top w:val="nil"/>
              <w:left w:val="nil"/>
              <w:bottom w:val="nil"/>
              <w:right w:val="single" w:sz="4" w:space="0" w:color="auto"/>
            </w:tcBorders>
            <w:shd w:val="clear" w:color="auto" w:fill="auto"/>
            <w:noWrap/>
            <w:vAlign w:val="bottom"/>
            <w:hideMark/>
          </w:tcPr>
          <w:p w14:paraId="7DB4772D" w14:textId="77777777" w:rsidR="003A3CE0" w:rsidRPr="000855B2" w:rsidRDefault="003A3CE0" w:rsidP="009C4D4C">
            <w:pPr>
              <w:spacing w:line="240" w:lineRule="auto"/>
              <w:jc w:val="center"/>
              <w:rPr>
                <w:sz w:val="16"/>
                <w:szCs w:val="16"/>
                <w:lang w:val="en-GB"/>
              </w:rPr>
            </w:pPr>
            <w:r w:rsidRPr="000855B2">
              <w:rPr>
                <w:sz w:val="16"/>
                <w:szCs w:val="16"/>
                <w:lang w:val="en-GB"/>
              </w:rPr>
              <w:t>0.02</w:t>
            </w:r>
          </w:p>
        </w:tc>
        <w:tc>
          <w:tcPr>
            <w:tcW w:w="1134" w:type="dxa"/>
            <w:tcBorders>
              <w:top w:val="nil"/>
              <w:left w:val="nil"/>
              <w:bottom w:val="nil"/>
              <w:right w:val="single" w:sz="4" w:space="0" w:color="auto"/>
            </w:tcBorders>
            <w:shd w:val="clear" w:color="auto" w:fill="auto"/>
            <w:noWrap/>
            <w:vAlign w:val="bottom"/>
            <w:hideMark/>
          </w:tcPr>
          <w:p w14:paraId="0F4CE938" w14:textId="77777777" w:rsidR="003A3CE0" w:rsidRPr="000855B2" w:rsidRDefault="003A3CE0" w:rsidP="009C4D4C">
            <w:pPr>
              <w:spacing w:line="240" w:lineRule="auto"/>
              <w:jc w:val="center"/>
              <w:rPr>
                <w:sz w:val="16"/>
                <w:szCs w:val="16"/>
                <w:lang w:val="en-GB"/>
              </w:rPr>
            </w:pPr>
            <w:r w:rsidRPr="000855B2">
              <w:rPr>
                <w:sz w:val="16"/>
                <w:szCs w:val="16"/>
                <w:lang w:val="en-GB"/>
              </w:rPr>
              <w:t>0.04</w:t>
            </w:r>
          </w:p>
        </w:tc>
        <w:tc>
          <w:tcPr>
            <w:tcW w:w="1559" w:type="dxa"/>
            <w:tcBorders>
              <w:top w:val="nil"/>
              <w:left w:val="nil"/>
              <w:bottom w:val="nil"/>
              <w:right w:val="single" w:sz="4" w:space="0" w:color="auto"/>
            </w:tcBorders>
            <w:shd w:val="clear" w:color="auto" w:fill="auto"/>
            <w:noWrap/>
            <w:vAlign w:val="bottom"/>
            <w:hideMark/>
          </w:tcPr>
          <w:p w14:paraId="149BC42A" w14:textId="77777777" w:rsidR="003A3CE0" w:rsidRPr="000855B2" w:rsidRDefault="003A3CE0" w:rsidP="009C4D4C">
            <w:pPr>
              <w:spacing w:line="240" w:lineRule="auto"/>
              <w:jc w:val="center"/>
              <w:rPr>
                <w:sz w:val="16"/>
                <w:szCs w:val="16"/>
                <w:lang w:val="en-GB"/>
              </w:rPr>
            </w:pPr>
            <w:r w:rsidRPr="000855B2">
              <w:rPr>
                <w:sz w:val="16"/>
                <w:szCs w:val="16"/>
                <w:lang w:val="en-GB"/>
              </w:rPr>
              <w:t>1.10</w:t>
            </w:r>
          </w:p>
        </w:tc>
        <w:tc>
          <w:tcPr>
            <w:tcW w:w="576" w:type="dxa"/>
            <w:tcBorders>
              <w:top w:val="nil"/>
              <w:left w:val="nil"/>
              <w:bottom w:val="nil"/>
              <w:right w:val="single" w:sz="4" w:space="0" w:color="auto"/>
            </w:tcBorders>
            <w:shd w:val="clear" w:color="auto" w:fill="auto"/>
            <w:noWrap/>
            <w:vAlign w:val="bottom"/>
            <w:hideMark/>
          </w:tcPr>
          <w:p w14:paraId="36C1494A" w14:textId="77777777" w:rsidR="003A3CE0" w:rsidRPr="000855B2" w:rsidRDefault="003A3CE0" w:rsidP="009C4D4C">
            <w:pPr>
              <w:spacing w:line="240" w:lineRule="auto"/>
              <w:jc w:val="center"/>
              <w:rPr>
                <w:sz w:val="16"/>
                <w:szCs w:val="16"/>
                <w:lang w:val="en-GB"/>
              </w:rPr>
            </w:pPr>
            <w:r w:rsidRPr="000855B2">
              <w:rPr>
                <w:sz w:val="16"/>
                <w:szCs w:val="16"/>
                <w:lang w:val="en-GB"/>
              </w:rPr>
              <w:t>1.48</w:t>
            </w:r>
          </w:p>
        </w:tc>
        <w:tc>
          <w:tcPr>
            <w:tcW w:w="576" w:type="dxa"/>
            <w:tcBorders>
              <w:top w:val="nil"/>
              <w:left w:val="nil"/>
              <w:bottom w:val="nil"/>
              <w:right w:val="double" w:sz="6" w:space="0" w:color="auto"/>
            </w:tcBorders>
            <w:shd w:val="clear" w:color="auto" w:fill="auto"/>
            <w:noWrap/>
            <w:vAlign w:val="bottom"/>
            <w:hideMark/>
          </w:tcPr>
          <w:p w14:paraId="3025610B" w14:textId="77777777" w:rsidR="003A3CE0" w:rsidRPr="000855B2" w:rsidRDefault="003A3CE0" w:rsidP="009C4D4C">
            <w:pPr>
              <w:spacing w:line="240" w:lineRule="auto"/>
              <w:jc w:val="center"/>
              <w:rPr>
                <w:sz w:val="16"/>
                <w:szCs w:val="16"/>
                <w:lang w:val="en-GB"/>
              </w:rPr>
            </w:pPr>
            <w:r w:rsidRPr="000855B2">
              <w:rPr>
                <w:sz w:val="16"/>
                <w:szCs w:val="16"/>
                <w:lang w:val="en-GB"/>
              </w:rPr>
              <w:t>0.36</w:t>
            </w:r>
          </w:p>
        </w:tc>
      </w:tr>
      <w:tr w:rsidR="003A3CE0" w:rsidRPr="000855B2" w14:paraId="500934DE"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5944664E"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0159840" w14:textId="77777777" w:rsidR="003A3CE0" w:rsidRPr="000855B2" w:rsidRDefault="003A3CE0" w:rsidP="009C4D4C">
            <w:pPr>
              <w:spacing w:line="240" w:lineRule="auto"/>
              <w:rPr>
                <w:sz w:val="16"/>
                <w:szCs w:val="16"/>
                <w:lang w:val="en-GB"/>
              </w:rPr>
            </w:pPr>
            <w:r w:rsidRPr="000855B2">
              <w:rPr>
                <w:sz w:val="16"/>
                <w:szCs w:val="16"/>
                <w:lang w:val="en-GB"/>
              </w:rPr>
              <w:t>methacrolein</w:t>
            </w:r>
          </w:p>
        </w:tc>
        <w:tc>
          <w:tcPr>
            <w:tcW w:w="992" w:type="dxa"/>
            <w:tcBorders>
              <w:top w:val="nil"/>
              <w:left w:val="nil"/>
              <w:bottom w:val="nil"/>
              <w:right w:val="single" w:sz="4" w:space="0" w:color="auto"/>
            </w:tcBorders>
            <w:shd w:val="clear" w:color="auto" w:fill="auto"/>
            <w:noWrap/>
            <w:vAlign w:val="bottom"/>
            <w:hideMark/>
          </w:tcPr>
          <w:p w14:paraId="477EA7E4"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60FBAB18"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31DFACAF" w14:textId="77777777" w:rsidR="003A3CE0" w:rsidRPr="000855B2" w:rsidRDefault="003A3CE0" w:rsidP="009C4D4C">
            <w:pPr>
              <w:spacing w:line="240" w:lineRule="auto"/>
              <w:jc w:val="center"/>
              <w:rPr>
                <w:sz w:val="16"/>
                <w:szCs w:val="16"/>
                <w:lang w:val="en-GB"/>
              </w:rPr>
            </w:pPr>
            <w:r w:rsidRPr="000855B2">
              <w:rPr>
                <w:sz w:val="16"/>
                <w:szCs w:val="16"/>
                <w:lang w:val="en-GB"/>
              </w:rPr>
              <w:t>0.77</w:t>
            </w:r>
          </w:p>
        </w:tc>
        <w:tc>
          <w:tcPr>
            <w:tcW w:w="576" w:type="dxa"/>
            <w:tcBorders>
              <w:top w:val="nil"/>
              <w:left w:val="nil"/>
              <w:bottom w:val="nil"/>
              <w:right w:val="single" w:sz="4" w:space="0" w:color="auto"/>
            </w:tcBorders>
            <w:shd w:val="clear" w:color="auto" w:fill="auto"/>
            <w:noWrap/>
            <w:vAlign w:val="bottom"/>
            <w:hideMark/>
          </w:tcPr>
          <w:p w14:paraId="6CF07DCD"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576" w:type="dxa"/>
            <w:tcBorders>
              <w:top w:val="nil"/>
              <w:left w:val="nil"/>
              <w:bottom w:val="nil"/>
              <w:right w:val="double" w:sz="6" w:space="0" w:color="auto"/>
            </w:tcBorders>
            <w:shd w:val="clear" w:color="auto" w:fill="auto"/>
            <w:noWrap/>
            <w:vAlign w:val="bottom"/>
            <w:hideMark/>
          </w:tcPr>
          <w:p w14:paraId="61172592" w14:textId="77777777" w:rsidR="003A3CE0" w:rsidRPr="000855B2" w:rsidRDefault="003A3CE0" w:rsidP="009C4D4C">
            <w:pPr>
              <w:spacing w:line="240" w:lineRule="auto"/>
              <w:jc w:val="center"/>
              <w:rPr>
                <w:sz w:val="16"/>
                <w:szCs w:val="16"/>
                <w:lang w:val="en-GB"/>
              </w:rPr>
            </w:pPr>
            <w:r w:rsidRPr="000855B2">
              <w:rPr>
                <w:sz w:val="16"/>
                <w:szCs w:val="16"/>
                <w:lang w:val="en-GB"/>
              </w:rPr>
              <w:t>0.10</w:t>
            </w:r>
          </w:p>
        </w:tc>
      </w:tr>
      <w:tr w:rsidR="003A3CE0" w:rsidRPr="000855B2" w14:paraId="6C99ECAA"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0C3E18E5"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454DC06A" w14:textId="77777777" w:rsidR="003A3CE0" w:rsidRPr="000855B2" w:rsidRDefault="003A3CE0" w:rsidP="009C4D4C">
            <w:pPr>
              <w:spacing w:line="240" w:lineRule="auto"/>
              <w:rPr>
                <w:sz w:val="16"/>
                <w:szCs w:val="16"/>
                <w:lang w:val="en-GB"/>
              </w:rPr>
            </w:pPr>
            <w:r w:rsidRPr="000855B2">
              <w:rPr>
                <w:sz w:val="16"/>
                <w:szCs w:val="16"/>
                <w:lang w:val="en-GB"/>
              </w:rPr>
              <w:t>butyraldehyde</w:t>
            </w:r>
          </w:p>
        </w:tc>
        <w:tc>
          <w:tcPr>
            <w:tcW w:w="992" w:type="dxa"/>
            <w:tcBorders>
              <w:top w:val="nil"/>
              <w:left w:val="nil"/>
              <w:bottom w:val="nil"/>
              <w:right w:val="single" w:sz="4" w:space="0" w:color="auto"/>
            </w:tcBorders>
            <w:shd w:val="clear" w:color="auto" w:fill="auto"/>
            <w:noWrap/>
            <w:vAlign w:val="bottom"/>
            <w:hideMark/>
          </w:tcPr>
          <w:p w14:paraId="52DB7753"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487D9CAB"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15F02D15" w14:textId="77777777" w:rsidR="003A3CE0" w:rsidRPr="000855B2" w:rsidRDefault="003A3CE0" w:rsidP="009C4D4C">
            <w:pPr>
              <w:spacing w:line="240" w:lineRule="auto"/>
              <w:jc w:val="center"/>
              <w:rPr>
                <w:sz w:val="16"/>
                <w:szCs w:val="16"/>
                <w:lang w:val="en-GB"/>
              </w:rPr>
            </w:pPr>
            <w:r w:rsidRPr="000855B2">
              <w:rPr>
                <w:sz w:val="16"/>
                <w:szCs w:val="16"/>
                <w:lang w:val="en-GB"/>
              </w:rPr>
              <w:t>0.85</w:t>
            </w:r>
          </w:p>
        </w:tc>
        <w:tc>
          <w:tcPr>
            <w:tcW w:w="576" w:type="dxa"/>
            <w:tcBorders>
              <w:top w:val="nil"/>
              <w:left w:val="nil"/>
              <w:bottom w:val="nil"/>
              <w:right w:val="single" w:sz="4" w:space="0" w:color="auto"/>
            </w:tcBorders>
            <w:shd w:val="clear" w:color="auto" w:fill="auto"/>
            <w:noWrap/>
            <w:vAlign w:val="bottom"/>
            <w:hideMark/>
          </w:tcPr>
          <w:p w14:paraId="39FE33C1" w14:textId="77777777" w:rsidR="003A3CE0" w:rsidRPr="000855B2" w:rsidRDefault="003A3CE0" w:rsidP="009C4D4C">
            <w:pPr>
              <w:spacing w:line="240" w:lineRule="auto"/>
              <w:jc w:val="center"/>
              <w:rPr>
                <w:sz w:val="16"/>
                <w:szCs w:val="16"/>
                <w:lang w:val="en-GB"/>
              </w:rPr>
            </w:pPr>
            <w:r w:rsidRPr="000855B2">
              <w:rPr>
                <w:sz w:val="16"/>
                <w:szCs w:val="16"/>
                <w:lang w:val="en-GB"/>
              </w:rPr>
              <w:t>0.88</w:t>
            </w:r>
          </w:p>
        </w:tc>
        <w:tc>
          <w:tcPr>
            <w:tcW w:w="576" w:type="dxa"/>
            <w:tcBorders>
              <w:top w:val="nil"/>
              <w:left w:val="nil"/>
              <w:bottom w:val="nil"/>
              <w:right w:val="double" w:sz="6" w:space="0" w:color="auto"/>
            </w:tcBorders>
            <w:shd w:val="clear" w:color="auto" w:fill="auto"/>
            <w:noWrap/>
            <w:vAlign w:val="bottom"/>
            <w:hideMark/>
          </w:tcPr>
          <w:p w14:paraId="681444A2"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r>
      <w:tr w:rsidR="003A3CE0" w:rsidRPr="000855B2" w14:paraId="51109F5B"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68193296"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29B69603" w14:textId="77777777" w:rsidR="003A3CE0" w:rsidRPr="000855B2" w:rsidRDefault="003A3CE0" w:rsidP="009C4D4C">
            <w:pPr>
              <w:spacing w:line="240" w:lineRule="auto"/>
              <w:rPr>
                <w:sz w:val="16"/>
                <w:szCs w:val="16"/>
                <w:lang w:val="en-GB"/>
              </w:rPr>
            </w:pPr>
            <w:r w:rsidRPr="000855B2">
              <w:rPr>
                <w:sz w:val="16"/>
                <w:szCs w:val="16"/>
                <w:lang w:val="en-GB"/>
              </w:rPr>
              <w:t>isobutanaldehyde</w:t>
            </w:r>
          </w:p>
        </w:tc>
        <w:tc>
          <w:tcPr>
            <w:tcW w:w="992" w:type="dxa"/>
            <w:tcBorders>
              <w:top w:val="nil"/>
              <w:left w:val="nil"/>
              <w:bottom w:val="nil"/>
              <w:right w:val="single" w:sz="4" w:space="0" w:color="auto"/>
            </w:tcBorders>
            <w:shd w:val="clear" w:color="auto" w:fill="auto"/>
            <w:noWrap/>
            <w:vAlign w:val="bottom"/>
            <w:hideMark/>
          </w:tcPr>
          <w:p w14:paraId="5CA5ABAF"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5AB8340F"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559" w:type="dxa"/>
            <w:tcBorders>
              <w:top w:val="nil"/>
              <w:left w:val="nil"/>
              <w:bottom w:val="nil"/>
              <w:right w:val="single" w:sz="4" w:space="0" w:color="auto"/>
            </w:tcBorders>
            <w:shd w:val="clear" w:color="auto" w:fill="auto"/>
            <w:noWrap/>
            <w:vAlign w:val="bottom"/>
            <w:hideMark/>
          </w:tcPr>
          <w:p w14:paraId="67B21B55" w14:textId="77777777" w:rsidR="003A3CE0" w:rsidRPr="000855B2" w:rsidRDefault="003A3CE0" w:rsidP="009C4D4C">
            <w:pPr>
              <w:spacing w:line="240" w:lineRule="auto"/>
              <w:jc w:val="center"/>
              <w:rPr>
                <w:sz w:val="16"/>
                <w:szCs w:val="16"/>
                <w:lang w:val="en-GB"/>
              </w:rPr>
            </w:pPr>
            <w:r w:rsidRPr="000855B2">
              <w:rPr>
                <w:sz w:val="16"/>
                <w:szCs w:val="16"/>
                <w:lang w:val="en-GB"/>
              </w:rPr>
              <w:t>2.09</w:t>
            </w:r>
          </w:p>
        </w:tc>
        <w:tc>
          <w:tcPr>
            <w:tcW w:w="576" w:type="dxa"/>
            <w:tcBorders>
              <w:top w:val="nil"/>
              <w:left w:val="nil"/>
              <w:bottom w:val="nil"/>
              <w:right w:val="single" w:sz="4" w:space="0" w:color="auto"/>
            </w:tcBorders>
            <w:shd w:val="clear" w:color="auto" w:fill="auto"/>
            <w:noWrap/>
            <w:vAlign w:val="bottom"/>
            <w:hideMark/>
          </w:tcPr>
          <w:p w14:paraId="36CF7DB2"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576" w:type="dxa"/>
            <w:tcBorders>
              <w:top w:val="nil"/>
              <w:left w:val="nil"/>
              <w:bottom w:val="nil"/>
              <w:right w:val="double" w:sz="6" w:space="0" w:color="auto"/>
            </w:tcBorders>
            <w:shd w:val="clear" w:color="auto" w:fill="auto"/>
            <w:noWrap/>
            <w:vAlign w:val="bottom"/>
            <w:hideMark/>
          </w:tcPr>
          <w:p w14:paraId="5115EC21"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2FF2A779"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05BE3915"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6DA097FE" w14:textId="77777777" w:rsidR="003A3CE0" w:rsidRPr="000855B2" w:rsidRDefault="003A3CE0" w:rsidP="009C4D4C">
            <w:pPr>
              <w:spacing w:line="240" w:lineRule="auto"/>
              <w:rPr>
                <w:sz w:val="16"/>
                <w:szCs w:val="16"/>
                <w:lang w:val="en-GB"/>
              </w:rPr>
            </w:pPr>
            <w:r w:rsidRPr="000855B2">
              <w:rPr>
                <w:sz w:val="16"/>
                <w:szCs w:val="16"/>
                <w:lang w:val="en-GB"/>
              </w:rPr>
              <w:t>propionaldehyde</w:t>
            </w:r>
          </w:p>
        </w:tc>
        <w:tc>
          <w:tcPr>
            <w:tcW w:w="992" w:type="dxa"/>
            <w:tcBorders>
              <w:top w:val="nil"/>
              <w:left w:val="nil"/>
              <w:bottom w:val="nil"/>
              <w:right w:val="single" w:sz="4" w:space="0" w:color="auto"/>
            </w:tcBorders>
            <w:shd w:val="clear" w:color="auto" w:fill="auto"/>
            <w:noWrap/>
            <w:vAlign w:val="bottom"/>
            <w:hideMark/>
          </w:tcPr>
          <w:p w14:paraId="44F3E269"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c>
          <w:tcPr>
            <w:tcW w:w="1134" w:type="dxa"/>
            <w:tcBorders>
              <w:top w:val="nil"/>
              <w:left w:val="nil"/>
              <w:bottom w:val="nil"/>
              <w:right w:val="single" w:sz="4" w:space="0" w:color="auto"/>
            </w:tcBorders>
            <w:shd w:val="clear" w:color="auto" w:fill="auto"/>
            <w:noWrap/>
            <w:vAlign w:val="bottom"/>
            <w:hideMark/>
          </w:tcPr>
          <w:p w14:paraId="5B41A8CA"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nil"/>
              <w:right w:val="single" w:sz="4" w:space="0" w:color="auto"/>
            </w:tcBorders>
            <w:shd w:val="clear" w:color="auto" w:fill="auto"/>
            <w:noWrap/>
            <w:vAlign w:val="bottom"/>
            <w:hideMark/>
          </w:tcPr>
          <w:p w14:paraId="00F534A3" w14:textId="77777777" w:rsidR="003A3CE0" w:rsidRPr="000855B2" w:rsidRDefault="003A3CE0" w:rsidP="009C4D4C">
            <w:pPr>
              <w:spacing w:line="240" w:lineRule="auto"/>
              <w:jc w:val="center"/>
              <w:rPr>
                <w:sz w:val="16"/>
                <w:szCs w:val="16"/>
                <w:lang w:val="en-GB"/>
              </w:rPr>
            </w:pPr>
            <w:r w:rsidRPr="000855B2">
              <w:rPr>
                <w:sz w:val="16"/>
                <w:szCs w:val="16"/>
                <w:lang w:val="en-GB"/>
              </w:rPr>
              <w:t>1.77</w:t>
            </w:r>
          </w:p>
        </w:tc>
        <w:tc>
          <w:tcPr>
            <w:tcW w:w="576" w:type="dxa"/>
            <w:tcBorders>
              <w:top w:val="nil"/>
              <w:left w:val="nil"/>
              <w:bottom w:val="nil"/>
              <w:right w:val="single" w:sz="4" w:space="0" w:color="auto"/>
            </w:tcBorders>
            <w:shd w:val="clear" w:color="auto" w:fill="auto"/>
            <w:noWrap/>
            <w:vAlign w:val="bottom"/>
            <w:hideMark/>
          </w:tcPr>
          <w:p w14:paraId="59F1103A" w14:textId="77777777" w:rsidR="003A3CE0" w:rsidRPr="000855B2" w:rsidRDefault="003A3CE0" w:rsidP="009C4D4C">
            <w:pPr>
              <w:spacing w:line="240" w:lineRule="auto"/>
              <w:jc w:val="center"/>
              <w:rPr>
                <w:sz w:val="16"/>
                <w:szCs w:val="16"/>
                <w:lang w:val="en-GB"/>
              </w:rPr>
            </w:pPr>
            <w:r w:rsidRPr="000855B2">
              <w:rPr>
                <w:sz w:val="16"/>
                <w:szCs w:val="16"/>
                <w:lang w:val="en-GB"/>
              </w:rPr>
              <w:t>1.25</w:t>
            </w:r>
          </w:p>
        </w:tc>
        <w:tc>
          <w:tcPr>
            <w:tcW w:w="576" w:type="dxa"/>
            <w:tcBorders>
              <w:top w:val="nil"/>
              <w:left w:val="nil"/>
              <w:bottom w:val="nil"/>
              <w:right w:val="double" w:sz="6" w:space="0" w:color="auto"/>
            </w:tcBorders>
            <w:shd w:val="clear" w:color="auto" w:fill="auto"/>
            <w:noWrap/>
            <w:vAlign w:val="bottom"/>
            <w:hideMark/>
          </w:tcPr>
          <w:p w14:paraId="10087810" w14:textId="77777777" w:rsidR="003A3CE0" w:rsidRPr="000855B2" w:rsidRDefault="003A3CE0" w:rsidP="009C4D4C">
            <w:pPr>
              <w:spacing w:line="240" w:lineRule="auto"/>
              <w:jc w:val="center"/>
              <w:rPr>
                <w:sz w:val="16"/>
                <w:szCs w:val="16"/>
                <w:lang w:val="en-GB"/>
              </w:rPr>
            </w:pPr>
            <w:r w:rsidRPr="000855B2">
              <w:rPr>
                <w:sz w:val="16"/>
                <w:szCs w:val="16"/>
                <w:lang w:val="en-GB"/>
              </w:rPr>
              <w:t>0.70</w:t>
            </w:r>
          </w:p>
        </w:tc>
      </w:tr>
      <w:tr w:rsidR="003A3CE0" w:rsidRPr="000855B2" w14:paraId="0313F3D2"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0B0FA680"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273324C" w14:textId="77777777" w:rsidR="003A3CE0" w:rsidRPr="000855B2" w:rsidRDefault="003A3CE0" w:rsidP="009C4D4C">
            <w:pPr>
              <w:spacing w:line="240" w:lineRule="auto"/>
              <w:rPr>
                <w:sz w:val="16"/>
                <w:szCs w:val="16"/>
                <w:lang w:val="en-GB"/>
              </w:rPr>
            </w:pPr>
            <w:r w:rsidRPr="000855B2">
              <w:rPr>
                <w:sz w:val="16"/>
                <w:szCs w:val="16"/>
                <w:lang w:val="en-GB"/>
              </w:rPr>
              <w:t>hexanal</w:t>
            </w:r>
          </w:p>
        </w:tc>
        <w:tc>
          <w:tcPr>
            <w:tcW w:w="992" w:type="dxa"/>
            <w:tcBorders>
              <w:top w:val="nil"/>
              <w:left w:val="nil"/>
              <w:bottom w:val="nil"/>
              <w:right w:val="single" w:sz="4" w:space="0" w:color="auto"/>
            </w:tcBorders>
            <w:shd w:val="clear" w:color="auto" w:fill="auto"/>
            <w:noWrap/>
            <w:vAlign w:val="bottom"/>
            <w:hideMark/>
          </w:tcPr>
          <w:p w14:paraId="485D777C"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44BD9CD9"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559" w:type="dxa"/>
            <w:tcBorders>
              <w:top w:val="nil"/>
              <w:left w:val="nil"/>
              <w:bottom w:val="nil"/>
              <w:right w:val="single" w:sz="4" w:space="0" w:color="auto"/>
            </w:tcBorders>
            <w:shd w:val="clear" w:color="auto" w:fill="auto"/>
            <w:noWrap/>
            <w:vAlign w:val="bottom"/>
            <w:hideMark/>
          </w:tcPr>
          <w:p w14:paraId="393711A4" w14:textId="77777777" w:rsidR="003A3CE0" w:rsidRPr="000855B2" w:rsidRDefault="003A3CE0" w:rsidP="009C4D4C">
            <w:pPr>
              <w:spacing w:line="240" w:lineRule="auto"/>
              <w:jc w:val="center"/>
              <w:rPr>
                <w:sz w:val="16"/>
                <w:szCs w:val="16"/>
                <w:lang w:val="en-GB"/>
              </w:rPr>
            </w:pPr>
            <w:r w:rsidRPr="000855B2">
              <w:rPr>
                <w:sz w:val="16"/>
                <w:szCs w:val="16"/>
                <w:lang w:val="en-GB"/>
              </w:rPr>
              <w:t>0.16</w:t>
            </w:r>
          </w:p>
        </w:tc>
        <w:tc>
          <w:tcPr>
            <w:tcW w:w="576" w:type="dxa"/>
            <w:tcBorders>
              <w:top w:val="nil"/>
              <w:left w:val="nil"/>
              <w:bottom w:val="nil"/>
              <w:right w:val="single" w:sz="4" w:space="0" w:color="auto"/>
            </w:tcBorders>
            <w:shd w:val="clear" w:color="auto" w:fill="auto"/>
            <w:noWrap/>
            <w:vAlign w:val="bottom"/>
            <w:hideMark/>
          </w:tcPr>
          <w:p w14:paraId="10AC8E22" w14:textId="77777777" w:rsidR="003A3CE0" w:rsidRPr="000855B2" w:rsidRDefault="003A3CE0" w:rsidP="009C4D4C">
            <w:pPr>
              <w:spacing w:line="240" w:lineRule="auto"/>
              <w:jc w:val="center"/>
              <w:rPr>
                <w:sz w:val="16"/>
                <w:szCs w:val="16"/>
                <w:lang w:val="en-GB"/>
              </w:rPr>
            </w:pPr>
            <w:r w:rsidRPr="000855B2">
              <w:rPr>
                <w:sz w:val="16"/>
                <w:szCs w:val="16"/>
                <w:lang w:val="en-GB"/>
              </w:rPr>
              <w:t>1.42</w:t>
            </w:r>
          </w:p>
        </w:tc>
        <w:tc>
          <w:tcPr>
            <w:tcW w:w="576" w:type="dxa"/>
            <w:tcBorders>
              <w:top w:val="nil"/>
              <w:left w:val="nil"/>
              <w:bottom w:val="nil"/>
              <w:right w:val="double" w:sz="6" w:space="0" w:color="auto"/>
            </w:tcBorders>
            <w:shd w:val="clear" w:color="auto" w:fill="auto"/>
            <w:noWrap/>
            <w:vAlign w:val="bottom"/>
            <w:hideMark/>
          </w:tcPr>
          <w:p w14:paraId="46D561C1"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72EB204E"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2F7D7670"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B357489" w14:textId="77777777" w:rsidR="003A3CE0" w:rsidRPr="000855B2" w:rsidRDefault="003A3CE0" w:rsidP="009C4D4C">
            <w:pPr>
              <w:spacing w:line="240" w:lineRule="auto"/>
              <w:rPr>
                <w:sz w:val="16"/>
                <w:szCs w:val="16"/>
                <w:lang w:val="en-GB"/>
              </w:rPr>
            </w:pPr>
            <w:r w:rsidRPr="000855B2">
              <w:rPr>
                <w:sz w:val="16"/>
                <w:szCs w:val="16"/>
                <w:lang w:val="en-GB"/>
              </w:rPr>
              <w:t>i-valeraldehyde</w:t>
            </w:r>
          </w:p>
        </w:tc>
        <w:tc>
          <w:tcPr>
            <w:tcW w:w="992" w:type="dxa"/>
            <w:tcBorders>
              <w:top w:val="nil"/>
              <w:left w:val="nil"/>
              <w:bottom w:val="nil"/>
              <w:right w:val="single" w:sz="4" w:space="0" w:color="auto"/>
            </w:tcBorders>
            <w:shd w:val="clear" w:color="auto" w:fill="auto"/>
            <w:noWrap/>
            <w:vAlign w:val="bottom"/>
            <w:hideMark/>
          </w:tcPr>
          <w:p w14:paraId="4CC4B869"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31E36BBD"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559" w:type="dxa"/>
            <w:tcBorders>
              <w:top w:val="nil"/>
              <w:left w:val="nil"/>
              <w:bottom w:val="nil"/>
              <w:right w:val="single" w:sz="4" w:space="0" w:color="auto"/>
            </w:tcBorders>
            <w:shd w:val="clear" w:color="auto" w:fill="auto"/>
            <w:noWrap/>
            <w:vAlign w:val="bottom"/>
            <w:hideMark/>
          </w:tcPr>
          <w:p w14:paraId="7CA8F218"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c>
          <w:tcPr>
            <w:tcW w:w="576" w:type="dxa"/>
            <w:tcBorders>
              <w:top w:val="nil"/>
              <w:left w:val="nil"/>
              <w:bottom w:val="nil"/>
              <w:right w:val="single" w:sz="4" w:space="0" w:color="auto"/>
            </w:tcBorders>
            <w:shd w:val="clear" w:color="auto" w:fill="auto"/>
            <w:noWrap/>
            <w:vAlign w:val="bottom"/>
            <w:hideMark/>
          </w:tcPr>
          <w:p w14:paraId="785C8B03" w14:textId="77777777" w:rsidR="003A3CE0" w:rsidRPr="000855B2" w:rsidRDefault="003A3CE0" w:rsidP="009C4D4C">
            <w:pPr>
              <w:spacing w:line="240" w:lineRule="auto"/>
              <w:jc w:val="center"/>
              <w:rPr>
                <w:sz w:val="16"/>
                <w:szCs w:val="16"/>
                <w:lang w:val="en-GB"/>
              </w:rPr>
            </w:pPr>
            <w:r w:rsidRPr="000855B2">
              <w:rPr>
                <w:sz w:val="16"/>
                <w:szCs w:val="16"/>
                <w:lang w:val="en-GB"/>
              </w:rPr>
              <w:t>0.09</w:t>
            </w:r>
          </w:p>
        </w:tc>
        <w:tc>
          <w:tcPr>
            <w:tcW w:w="576" w:type="dxa"/>
            <w:tcBorders>
              <w:top w:val="nil"/>
              <w:left w:val="nil"/>
              <w:bottom w:val="nil"/>
              <w:right w:val="double" w:sz="6" w:space="0" w:color="auto"/>
            </w:tcBorders>
            <w:shd w:val="clear" w:color="auto" w:fill="auto"/>
            <w:noWrap/>
            <w:vAlign w:val="bottom"/>
            <w:hideMark/>
          </w:tcPr>
          <w:p w14:paraId="114DDB84" w14:textId="77777777" w:rsidR="003A3CE0" w:rsidRPr="000855B2" w:rsidRDefault="003A3CE0" w:rsidP="009C4D4C">
            <w:pPr>
              <w:spacing w:line="240" w:lineRule="auto"/>
              <w:jc w:val="center"/>
              <w:rPr>
                <w:sz w:val="16"/>
                <w:szCs w:val="16"/>
                <w:lang w:val="en-GB"/>
              </w:rPr>
            </w:pPr>
            <w:r w:rsidRPr="000855B2">
              <w:rPr>
                <w:sz w:val="16"/>
                <w:szCs w:val="16"/>
                <w:lang w:val="en-GB"/>
              </w:rPr>
              <w:t>0.01</w:t>
            </w:r>
          </w:p>
        </w:tc>
      </w:tr>
      <w:tr w:rsidR="003A3CE0" w:rsidRPr="000855B2" w14:paraId="3709A0C0"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414349DF"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4D75BB77" w14:textId="77777777" w:rsidR="003A3CE0" w:rsidRPr="000855B2" w:rsidRDefault="003A3CE0" w:rsidP="009C4D4C">
            <w:pPr>
              <w:spacing w:line="240" w:lineRule="auto"/>
              <w:rPr>
                <w:sz w:val="16"/>
                <w:szCs w:val="16"/>
                <w:lang w:val="en-GB"/>
              </w:rPr>
            </w:pPr>
            <w:r w:rsidRPr="000855B2">
              <w:rPr>
                <w:sz w:val="16"/>
                <w:szCs w:val="16"/>
                <w:lang w:val="en-GB"/>
              </w:rPr>
              <w:t>valeraldehyde</w:t>
            </w:r>
          </w:p>
        </w:tc>
        <w:tc>
          <w:tcPr>
            <w:tcW w:w="992" w:type="dxa"/>
            <w:tcBorders>
              <w:top w:val="nil"/>
              <w:left w:val="nil"/>
              <w:bottom w:val="nil"/>
              <w:right w:val="single" w:sz="4" w:space="0" w:color="auto"/>
            </w:tcBorders>
            <w:shd w:val="clear" w:color="auto" w:fill="auto"/>
            <w:noWrap/>
            <w:vAlign w:val="bottom"/>
            <w:hideMark/>
          </w:tcPr>
          <w:p w14:paraId="38A59AB3"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442C9008" w14:textId="77777777" w:rsidR="003A3CE0" w:rsidRPr="000855B2" w:rsidRDefault="003A3CE0" w:rsidP="009C4D4C">
            <w:pPr>
              <w:spacing w:line="240" w:lineRule="auto"/>
              <w:jc w:val="center"/>
              <w:rPr>
                <w:sz w:val="16"/>
                <w:szCs w:val="16"/>
                <w:lang w:val="en-GB"/>
              </w:rPr>
            </w:pPr>
            <w:r w:rsidRPr="000855B2">
              <w:rPr>
                <w:sz w:val="16"/>
                <w:szCs w:val="16"/>
                <w:lang w:val="en-GB"/>
              </w:rPr>
              <w:t>0.01</w:t>
            </w:r>
          </w:p>
        </w:tc>
        <w:tc>
          <w:tcPr>
            <w:tcW w:w="1559" w:type="dxa"/>
            <w:tcBorders>
              <w:top w:val="nil"/>
              <w:left w:val="nil"/>
              <w:bottom w:val="nil"/>
              <w:right w:val="single" w:sz="4" w:space="0" w:color="auto"/>
            </w:tcBorders>
            <w:shd w:val="clear" w:color="auto" w:fill="auto"/>
            <w:noWrap/>
            <w:vAlign w:val="bottom"/>
            <w:hideMark/>
          </w:tcPr>
          <w:p w14:paraId="7C9E55EC" w14:textId="77777777" w:rsidR="003A3CE0" w:rsidRPr="000855B2" w:rsidRDefault="003A3CE0" w:rsidP="009C4D4C">
            <w:pPr>
              <w:spacing w:line="240" w:lineRule="auto"/>
              <w:jc w:val="center"/>
              <w:rPr>
                <w:sz w:val="16"/>
                <w:szCs w:val="16"/>
                <w:lang w:val="en-GB"/>
              </w:rPr>
            </w:pPr>
            <w:r w:rsidRPr="000855B2">
              <w:rPr>
                <w:sz w:val="16"/>
                <w:szCs w:val="16"/>
                <w:lang w:val="en-GB"/>
              </w:rPr>
              <w:t>0.41</w:t>
            </w:r>
          </w:p>
        </w:tc>
        <w:tc>
          <w:tcPr>
            <w:tcW w:w="576" w:type="dxa"/>
            <w:tcBorders>
              <w:top w:val="nil"/>
              <w:left w:val="nil"/>
              <w:bottom w:val="nil"/>
              <w:right w:val="single" w:sz="4" w:space="0" w:color="auto"/>
            </w:tcBorders>
            <w:shd w:val="clear" w:color="auto" w:fill="auto"/>
            <w:noWrap/>
            <w:vAlign w:val="bottom"/>
            <w:hideMark/>
          </w:tcPr>
          <w:p w14:paraId="615348D3" w14:textId="77777777" w:rsidR="003A3CE0" w:rsidRPr="000855B2" w:rsidRDefault="003A3CE0" w:rsidP="009C4D4C">
            <w:pPr>
              <w:spacing w:line="240" w:lineRule="auto"/>
              <w:jc w:val="center"/>
              <w:rPr>
                <w:sz w:val="16"/>
                <w:szCs w:val="16"/>
                <w:lang w:val="en-GB"/>
              </w:rPr>
            </w:pPr>
            <w:r w:rsidRPr="000855B2">
              <w:rPr>
                <w:sz w:val="16"/>
                <w:szCs w:val="16"/>
                <w:lang w:val="en-GB"/>
              </w:rPr>
              <w:t>0.40</w:t>
            </w:r>
          </w:p>
        </w:tc>
        <w:tc>
          <w:tcPr>
            <w:tcW w:w="576" w:type="dxa"/>
            <w:tcBorders>
              <w:top w:val="nil"/>
              <w:left w:val="nil"/>
              <w:bottom w:val="nil"/>
              <w:right w:val="double" w:sz="6" w:space="0" w:color="auto"/>
            </w:tcBorders>
            <w:shd w:val="clear" w:color="auto" w:fill="auto"/>
            <w:noWrap/>
            <w:vAlign w:val="bottom"/>
            <w:hideMark/>
          </w:tcPr>
          <w:p w14:paraId="531DBDDD"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18CE14DC"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0768BAF2"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57D89D8B" w14:textId="77777777" w:rsidR="003A3CE0" w:rsidRPr="000855B2" w:rsidRDefault="003A3CE0" w:rsidP="009C4D4C">
            <w:pPr>
              <w:spacing w:line="240" w:lineRule="auto"/>
              <w:rPr>
                <w:sz w:val="16"/>
                <w:szCs w:val="16"/>
                <w:lang w:val="en-GB"/>
              </w:rPr>
            </w:pPr>
            <w:r w:rsidRPr="000855B2">
              <w:rPr>
                <w:sz w:val="16"/>
                <w:szCs w:val="16"/>
                <w:lang w:val="en-GB"/>
              </w:rPr>
              <w:t>o-tolualdehyde</w:t>
            </w:r>
          </w:p>
        </w:tc>
        <w:tc>
          <w:tcPr>
            <w:tcW w:w="992" w:type="dxa"/>
            <w:tcBorders>
              <w:top w:val="nil"/>
              <w:left w:val="nil"/>
              <w:bottom w:val="nil"/>
              <w:right w:val="single" w:sz="4" w:space="0" w:color="auto"/>
            </w:tcBorders>
            <w:shd w:val="clear" w:color="auto" w:fill="auto"/>
            <w:noWrap/>
            <w:vAlign w:val="bottom"/>
            <w:hideMark/>
          </w:tcPr>
          <w:p w14:paraId="2C20D036" w14:textId="77777777" w:rsidR="003A3CE0" w:rsidRPr="000855B2" w:rsidRDefault="003A3CE0" w:rsidP="009C4D4C">
            <w:pPr>
              <w:spacing w:line="240" w:lineRule="auto"/>
              <w:jc w:val="center"/>
              <w:rPr>
                <w:sz w:val="16"/>
                <w:szCs w:val="16"/>
                <w:lang w:val="en-GB"/>
              </w:rPr>
            </w:pPr>
            <w:r w:rsidRPr="000855B2">
              <w:rPr>
                <w:sz w:val="16"/>
                <w:szCs w:val="16"/>
                <w:lang w:val="en-GB"/>
              </w:rPr>
              <w:t>0.19</w:t>
            </w:r>
          </w:p>
        </w:tc>
        <w:tc>
          <w:tcPr>
            <w:tcW w:w="1134" w:type="dxa"/>
            <w:tcBorders>
              <w:top w:val="nil"/>
              <w:left w:val="nil"/>
              <w:bottom w:val="nil"/>
              <w:right w:val="single" w:sz="4" w:space="0" w:color="auto"/>
            </w:tcBorders>
            <w:shd w:val="clear" w:color="auto" w:fill="auto"/>
            <w:noWrap/>
            <w:vAlign w:val="bottom"/>
            <w:hideMark/>
          </w:tcPr>
          <w:p w14:paraId="01E084FB" w14:textId="77777777" w:rsidR="003A3CE0" w:rsidRPr="000855B2" w:rsidRDefault="003A3CE0" w:rsidP="009C4D4C">
            <w:pPr>
              <w:spacing w:line="240" w:lineRule="auto"/>
              <w:jc w:val="center"/>
              <w:rPr>
                <w:sz w:val="16"/>
                <w:szCs w:val="16"/>
                <w:lang w:val="en-GB"/>
              </w:rPr>
            </w:pPr>
            <w:r w:rsidRPr="000855B2">
              <w:rPr>
                <w:sz w:val="16"/>
                <w:szCs w:val="16"/>
                <w:lang w:val="en-GB"/>
              </w:rPr>
              <w:t>0.07</w:t>
            </w:r>
          </w:p>
        </w:tc>
        <w:tc>
          <w:tcPr>
            <w:tcW w:w="1559" w:type="dxa"/>
            <w:tcBorders>
              <w:top w:val="nil"/>
              <w:left w:val="nil"/>
              <w:bottom w:val="nil"/>
              <w:right w:val="single" w:sz="4" w:space="0" w:color="auto"/>
            </w:tcBorders>
            <w:shd w:val="clear" w:color="auto" w:fill="auto"/>
            <w:noWrap/>
            <w:vAlign w:val="bottom"/>
            <w:hideMark/>
          </w:tcPr>
          <w:p w14:paraId="1D5A511A" w14:textId="77777777" w:rsidR="003A3CE0" w:rsidRPr="000855B2" w:rsidRDefault="003A3CE0" w:rsidP="009C4D4C">
            <w:pPr>
              <w:spacing w:line="240" w:lineRule="auto"/>
              <w:jc w:val="center"/>
              <w:rPr>
                <w:sz w:val="16"/>
                <w:szCs w:val="16"/>
                <w:lang w:val="en-GB"/>
              </w:rPr>
            </w:pPr>
            <w:r w:rsidRPr="000855B2">
              <w:rPr>
                <w:sz w:val="16"/>
                <w:szCs w:val="16"/>
                <w:lang w:val="en-GB"/>
              </w:rPr>
              <w:t>0.24</w:t>
            </w:r>
          </w:p>
        </w:tc>
        <w:tc>
          <w:tcPr>
            <w:tcW w:w="576" w:type="dxa"/>
            <w:tcBorders>
              <w:top w:val="nil"/>
              <w:left w:val="nil"/>
              <w:bottom w:val="nil"/>
              <w:right w:val="single" w:sz="4" w:space="0" w:color="auto"/>
            </w:tcBorders>
            <w:shd w:val="clear" w:color="auto" w:fill="auto"/>
            <w:noWrap/>
            <w:vAlign w:val="bottom"/>
            <w:hideMark/>
          </w:tcPr>
          <w:p w14:paraId="2CE6039A" w14:textId="77777777" w:rsidR="003A3CE0" w:rsidRPr="000855B2" w:rsidRDefault="003A3CE0" w:rsidP="009C4D4C">
            <w:pPr>
              <w:spacing w:line="240" w:lineRule="auto"/>
              <w:jc w:val="center"/>
              <w:rPr>
                <w:sz w:val="16"/>
                <w:szCs w:val="16"/>
                <w:lang w:val="en-GB"/>
              </w:rPr>
            </w:pPr>
            <w:r w:rsidRPr="000855B2">
              <w:rPr>
                <w:sz w:val="16"/>
                <w:szCs w:val="16"/>
                <w:lang w:val="en-GB"/>
              </w:rPr>
              <w:t>0.80</w:t>
            </w:r>
          </w:p>
        </w:tc>
        <w:tc>
          <w:tcPr>
            <w:tcW w:w="576" w:type="dxa"/>
            <w:tcBorders>
              <w:top w:val="nil"/>
              <w:left w:val="nil"/>
              <w:bottom w:val="nil"/>
              <w:right w:val="double" w:sz="6" w:space="0" w:color="auto"/>
            </w:tcBorders>
            <w:shd w:val="clear" w:color="auto" w:fill="auto"/>
            <w:noWrap/>
            <w:vAlign w:val="bottom"/>
            <w:hideMark/>
          </w:tcPr>
          <w:p w14:paraId="0F24FB6C"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1ED7F40C" w14:textId="77777777" w:rsidTr="00887829">
        <w:trPr>
          <w:trHeight w:val="300"/>
        </w:trPr>
        <w:tc>
          <w:tcPr>
            <w:tcW w:w="1441" w:type="dxa"/>
            <w:vMerge/>
            <w:tcBorders>
              <w:top w:val="nil"/>
              <w:left w:val="double" w:sz="6" w:space="0" w:color="auto"/>
              <w:bottom w:val="single" w:sz="8" w:space="0" w:color="000000"/>
              <w:right w:val="single" w:sz="4" w:space="0" w:color="auto"/>
            </w:tcBorders>
            <w:vAlign w:val="center"/>
            <w:hideMark/>
          </w:tcPr>
          <w:p w14:paraId="3502FF5C"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4F0B322E" w14:textId="77777777" w:rsidR="003A3CE0" w:rsidRPr="000855B2" w:rsidRDefault="003A3CE0" w:rsidP="009C4D4C">
            <w:pPr>
              <w:spacing w:line="240" w:lineRule="auto"/>
              <w:rPr>
                <w:sz w:val="16"/>
                <w:szCs w:val="16"/>
                <w:lang w:val="en-GB"/>
              </w:rPr>
            </w:pPr>
            <w:r w:rsidRPr="000855B2">
              <w:rPr>
                <w:sz w:val="16"/>
                <w:szCs w:val="16"/>
                <w:lang w:val="en-GB"/>
              </w:rPr>
              <w:t>m-tolualdehyde</w:t>
            </w:r>
          </w:p>
        </w:tc>
        <w:tc>
          <w:tcPr>
            <w:tcW w:w="992" w:type="dxa"/>
            <w:tcBorders>
              <w:top w:val="nil"/>
              <w:left w:val="nil"/>
              <w:bottom w:val="nil"/>
              <w:right w:val="single" w:sz="4" w:space="0" w:color="auto"/>
            </w:tcBorders>
            <w:shd w:val="clear" w:color="auto" w:fill="auto"/>
            <w:noWrap/>
            <w:vAlign w:val="bottom"/>
            <w:hideMark/>
          </w:tcPr>
          <w:p w14:paraId="7B90ECAB" w14:textId="77777777" w:rsidR="003A3CE0" w:rsidRPr="000855B2" w:rsidRDefault="003A3CE0" w:rsidP="009C4D4C">
            <w:pPr>
              <w:spacing w:line="240" w:lineRule="auto"/>
              <w:jc w:val="center"/>
              <w:rPr>
                <w:sz w:val="16"/>
                <w:szCs w:val="16"/>
                <w:lang w:val="en-GB"/>
              </w:rPr>
            </w:pPr>
            <w:r w:rsidRPr="000855B2">
              <w:rPr>
                <w:sz w:val="16"/>
                <w:szCs w:val="16"/>
                <w:lang w:val="en-GB"/>
              </w:rPr>
              <w:t>0.38</w:t>
            </w:r>
          </w:p>
        </w:tc>
        <w:tc>
          <w:tcPr>
            <w:tcW w:w="1134" w:type="dxa"/>
            <w:tcBorders>
              <w:top w:val="nil"/>
              <w:left w:val="nil"/>
              <w:bottom w:val="nil"/>
              <w:right w:val="single" w:sz="4" w:space="0" w:color="auto"/>
            </w:tcBorders>
            <w:shd w:val="clear" w:color="auto" w:fill="auto"/>
            <w:noWrap/>
            <w:vAlign w:val="bottom"/>
            <w:hideMark/>
          </w:tcPr>
          <w:p w14:paraId="01D453C9" w14:textId="77777777" w:rsidR="003A3CE0" w:rsidRPr="000855B2" w:rsidRDefault="003A3CE0" w:rsidP="009C4D4C">
            <w:pPr>
              <w:spacing w:line="240" w:lineRule="auto"/>
              <w:jc w:val="center"/>
              <w:rPr>
                <w:sz w:val="16"/>
                <w:szCs w:val="16"/>
                <w:lang w:val="en-GB"/>
              </w:rPr>
            </w:pPr>
            <w:r w:rsidRPr="000855B2">
              <w:rPr>
                <w:sz w:val="16"/>
                <w:szCs w:val="16"/>
                <w:lang w:val="en-GB"/>
              </w:rPr>
              <w:t>0.13</w:t>
            </w:r>
          </w:p>
        </w:tc>
        <w:tc>
          <w:tcPr>
            <w:tcW w:w="1559" w:type="dxa"/>
            <w:tcBorders>
              <w:top w:val="nil"/>
              <w:left w:val="nil"/>
              <w:bottom w:val="nil"/>
              <w:right w:val="single" w:sz="4" w:space="0" w:color="auto"/>
            </w:tcBorders>
            <w:shd w:val="clear" w:color="auto" w:fill="auto"/>
            <w:noWrap/>
            <w:vAlign w:val="bottom"/>
            <w:hideMark/>
          </w:tcPr>
          <w:p w14:paraId="499EFCA4" w14:textId="77777777" w:rsidR="003A3CE0" w:rsidRPr="000855B2" w:rsidRDefault="003A3CE0" w:rsidP="009C4D4C">
            <w:pPr>
              <w:spacing w:line="240" w:lineRule="auto"/>
              <w:jc w:val="center"/>
              <w:rPr>
                <w:sz w:val="16"/>
                <w:szCs w:val="16"/>
                <w:lang w:val="en-GB"/>
              </w:rPr>
            </w:pPr>
            <w:r w:rsidRPr="000855B2">
              <w:rPr>
                <w:sz w:val="16"/>
                <w:szCs w:val="16"/>
                <w:lang w:val="en-GB"/>
              </w:rPr>
              <w:t>0.34</w:t>
            </w:r>
          </w:p>
        </w:tc>
        <w:tc>
          <w:tcPr>
            <w:tcW w:w="576" w:type="dxa"/>
            <w:tcBorders>
              <w:top w:val="nil"/>
              <w:left w:val="nil"/>
              <w:bottom w:val="nil"/>
              <w:right w:val="single" w:sz="4" w:space="0" w:color="auto"/>
            </w:tcBorders>
            <w:shd w:val="clear" w:color="auto" w:fill="auto"/>
            <w:noWrap/>
            <w:vAlign w:val="bottom"/>
            <w:hideMark/>
          </w:tcPr>
          <w:p w14:paraId="734F0960"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576" w:type="dxa"/>
            <w:tcBorders>
              <w:top w:val="nil"/>
              <w:left w:val="nil"/>
              <w:bottom w:val="nil"/>
              <w:right w:val="double" w:sz="6" w:space="0" w:color="auto"/>
            </w:tcBorders>
            <w:shd w:val="clear" w:color="auto" w:fill="auto"/>
            <w:noWrap/>
            <w:vAlign w:val="bottom"/>
            <w:hideMark/>
          </w:tcPr>
          <w:p w14:paraId="3A27AB00"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02593895" w14:textId="77777777" w:rsidTr="00887829">
        <w:trPr>
          <w:trHeight w:val="300"/>
        </w:trPr>
        <w:tc>
          <w:tcPr>
            <w:tcW w:w="1441" w:type="dxa"/>
            <w:vMerge/>
            <w:tcBorders>
              <w:top w:val="nil"/>
              <w:left w:val="double" w:sz="6" w:space="0" w:color="auto"/>
              <w:bottom w:val="single" w:sz="8" w:space="0" w:color="000000"/>
              <w:right w:val="single" w:sz="4" w:space="0" w:color="auto"/>
            </w:tcBorders>
            <w:vAlign w:val="center"/>
            <w:hideMark/>
          </w:tcPr>
          <w:p w14:paraId="5DBA2A0D" w14:textId="77777777" w:rsidR="003A3CE0" w:rsidRPr="000855B2" w:rsidRDefault="003A3CE0" w:rsidP="009C4D4C">
            <w:pPr>
              <w:spacing w:line="240" w:lineRule="auto"/>
              <w:rPr>
                <w:b/>
                <w:bCs/>
                <w:sz w:val="16"/>
                <w:szCs w:val="16"/>
                <w:lang w:val="en-GB"/>
              </w:rPr>
            </w:pPr>
          </w:p>
        </w:tc>
        <w:tc>
          <w:tcPr>
            <w:tcW w:w="1701" w:type="dxa"/>
            <w:tcBorders>
              <w:top w:val="nil"/>
              <w:left w:val="nil"/>
              <w:bottom w:val="single" w:sz="8" w:space="0" w:color="auto"/>
              <w:right w:val="single" w:sz="4" w:space="0" w:color="auto"/>
            </w:tcBorders>
            <w:shd w:val="clear" w:color="auto" w:fill="auto"/>
            <w:noWrap/>
            <w:vAlign w:val="bottom"/>
            <w:hideMark/>
          </w:tcPr>
          <w:p w14:paraId="49EC2FAE" w14:textId="77777777" w:rsidR="003A3CE0" w:rsidRPr="000855B2" w:rsidRDefault="003A3CE0" w:rsidP="009C4D4C">
            <w:pPr>
              <w:spacing w:line="240" w:lineRule="auto"/>
              <w:rPr>
                <w:sz w:val="16"/>
                <w:szCs w:val="16"/>
                <w:lang w:val="en-GB"/>
              </w:rPr>
            </w:pPr>
            <w:r w:rsidRPr="000855B2">
              <w:rPr>
                <w:sz w:val="16"/>
                <w:szCs w:val="16"/>
                <w:lang w:val="en-GB"/>
              </w:rPr>
              <w:t>p-tolualdehyde</w:t>
            </w:r>
          </w:p>
        </w:tc>
        <w:tc>
          <w:tcPr>
            <w:tcW w:w="992" w:type="dxa"/>
            <w:tcBorders>
              <w:top w:val="nil"/>
              <w:left w:val="nil"/>
              <w:bottom w:val="single" w:sz="8" w:space="0" w:color="auto"/>
              <w:right w:val="single" w:sz="4" w:space="0" w:color="auto"/>
            </w:tcBorders>
            <w:shd w:val="clear" w:color="auto" w:fill="auto"/>
            <w:noWrap/>
            <w:vAlign w:val="bottom"/>
            <w:hideMark/>
          </w:tcPr>
          <w:p w14:paraId="04EE02D4" w14:textId="77777777" w:rsidR="003A3CE0" w:rsidRPr="000855B2" w:rsidRDefault="003A3CE0" w:rsidP="009C4D4C">
            <w:pPr>
              <w:spacing w:line="240" w:lineRule="auto"/>
              <w:jc w:val="center"/>
              <w:rPr>
                <w:sz w:val="16"/>
                <w:szCs w:val="16"/>
                <w:lang w:val="en-GB"/>
              </w:rPr>
            </w:pPr>
            <w:r w:rsidRPr="000855B2">
              <w:rPr>
                <w:sz w:val="16"/>
                <w:szCs w:val="16"/>
                <w:lang w:val="en-GB"/>
              </w:rPr>
              <w:t>0.19</w:t>
            </w:r>
          </w:p>
        </w:tc>
        <w:tc>
          <w:tcPr>
            <w:tcW w:w="1134" w:type="dxa"/>
            <w:tcBorders>
              <w:top w:val="nil"/>
              <w:left w:val="nil"/>
              <w:bottom w:val="single" w:sz="8" w:space="0" w:color="auto"/>
              <w:right w:val="single" w:sz="4" w:space="0" w:color="auto"/>
            </w:tcBorders>
            <w:shd w:val="clear" w:color="auto" w:fill="auto"/>
            <w:noWrap/>
            <w:vAlign w:val="bottom"/>
            <w:hideMark/>
          </w:tcPr>
          <w:p w14:paraId="39EF1F9C" w14:textId="77777777" w:rsidR="003A3CE0" w:rsidRPr="000855B2" w:rsidRDefault="003A3CE0" w:rsidP="009C4D4C">
            <w:pPr>
              <w:spacing w:line="240" w:lineRule="auto"/>
              <w:jc w:val="center"/>
              <w:rPr>
                <w:sz w:val="16"/>
                <w:szCs w:val="16"/>
                <w:lang w:val="en-GB"/>
              </w:rPr>
            </w:pPr>
            <w:r w:rsidRPr="000855B2">
              <w:rPr>
                <w:sz w:val="16"/>
                <w:szCs w:val="16"/>
                <w:lang w:val="en-GB"/>
              </w:rPr>
              <w:t>0.06</w:t>
            </w:r>
          </w:p>
        </w:tc>
        <w:tc>
          <w:tcPr>
            <w:tcW w:w="1559" w:type="dxa"/>
            <w:tcBorders>
              <w:top w:val="nil"/>
              <w:left w:val="nil"/>
              <w:bottom w:val="single" w:sz="8" w:space="0" w:color="auto"/>
              <w:right w:val="single" w:sz="4" w:space="0" w:color="auto"/>
            </w:tcBorders>
            <w:shd w:val="clear" w:color="auto" w:fill="auto"/>
            <w:noWrap/>
            <w:vAlign w:val="bottom"/>
            <w:hideMark/>
          </w:tcPr>
          <w:p w14:paraId="259C7E0A" w14:textId="77777777" w:rsidR="003A3CE0" w:rsidRPr="000855B2" w:rsidRDefault="003A3CE0" w:rsidP="009C4D4C">
            <w:pPr>
              <w:spacing w:line="240" w:lineRule="auto"/>
              <w:jc w:val="center"/>
              <w:rPr>
                <w:sz w:val="16"/>
                <w:szCs w:val="16"/>
                <w:lang w:val="en-GB"/>
              </w:rPr>
            </w:pPr>
            <w:r w:rsidRPr="000855B2">
              <w:rPr>
                <w:sz w:val="16"/>
                <w:szCs w:val="16"/>
                <w:lang w:val="en-GB"/>
              </w:rPr>
              <w:t>0.35</w:t>
            </w:r>
          </w:p>
        </w:tc>
        <w:tc>
          <w:tcPr>
            <w:tcW w:w="576" w:type="dxa"/>
            <w:tcBorders>
              <w:top w:val="nil"/>
              <w:left w:val="nil"/>
              <w:bottom w:val="single" w:sz="8" w:space="0" w:color="auto"/>
              <w:right w:val="single" w:sz="4" w:space="0" w:color="auto"/>
            </w:tcBorders>
            <w:shd w:val="clear" w:color="auto" w:fill="auto"/>
            <w:noWrap/>
            <w:vAlign w:val="bottom"/>
            <w:hideMark/>
          </w:tcPr>
          <w:p w14:paraId="7F9BFB5A"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single" w:sz="8" w:space="0" w:color="auto"/>
              <w:right w:val="double" w:sz="6" w:space="0" w:color="auto"/>
            </w:tcBorders>
            <w:shd w:val="clear" w:color="auto" w:fill="auto"/>
            <w:noWrap/>
            <w:vAlign w:val="bottom"/>
            <w:hideMark/>
          </w:tcPr>
          <w:p w14:paraId="1E06B4F7"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1EF15631" w14:textId="77777777" w:rsidTr="00887829">
        <w:trPr>
          <w:trHeight w:val="300"/>
        </w:trPr>
        <w:tc>
          <w:tcPr>
            <w:tcW w:w="1441" w:type="dxa"/>
            <w:vMerge w:val="restart"/>
            <w:tcBorders>
              <w:top w:val="nil"/>
              <w:left w:val="double" w:sz="6" w:space="0" w:color="auto"/>
              <w:bottom w:val="single" w:sz="8" w:space="0" w:color="000000"/>
              <w:right w:val="single" w:sz="4" w:space="0" w:color="auto"/>
            </w:tcBorders>
            <w:shd w:val="clear" w:color="auto" w:fill="auto"/>
            <w:noWrap/>
            <w:vAlign w:val="center"/>
            <w:hideMark/>
          </w:tcPr>
          <w:p w14:paraId="33DC5F3B"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KETONES</w:t>
            </w:r>
          </w:p>
        </w:tc>
        <w:tc>
          <w:tcPr>
            <w:tcW w:w="1701" w:type="dxa"/>
            <w:tcBorders>
              <w:top w:val="nil"/>
              <w:left w:val="nil"/>
              <w:bottom w:val="nil"/>
              <w:right w:val="single" w:sz="4" w:space="0" w:color="auto"/>
            </w:tcBorders>
            <w:shd w:val="clear" w:color="auto" w:fill="auto"/>
            <w:noWrap/>
            <w:vAlign w:val="bottom"/>
            <w:hideMark/>
          </w:tcPr>
          <w:p w14:paraId="283E2FA2" w14:textId="77777777" w:rsidR="003A3CE0" w:rsidRPr="000855B2" w:rsidRDefault="003A3CE0" w:rsidP="009C4D4C">
            <w:pPr>
              <w:spacing w:line="240" w:lineRule="auto"/>
              <w:rPr>
                <w:sz w:val="16"/>
                <w:szCs w:val="16"/>
                <w:lang w:val="en-GB"/>
              </w:rPr>
            </w:pPr>
            <w:r w:rsidRPr="000855B2">
              <w:rPr>
                <w:sz w:val="16"/>
                <w:szCs w:val="16"/>
                <w:lang w:val="en-GB"/>
              </w:rPr>
              <w:t>acetone</w:t>
            </w:r>
          </w:p>
        </w:tc>
        <w:tc>
          <w:tcPr>
            <w:tcW w:w="992" w:type="dxa"/>
            <w:tcBorders>
              <w:top w:val="nil"/>
              <w:left w:val="nil"/>
              <w:bottom w:val="nil"/>
              <w:right w:val="single" w:sz="4" w:space="0" w:color="auto"/>
            </w:tcBorders>
            <w:shd w:val="clear" w:color="auto" w:fill="auto"/>
            <w:noWrap/>
            <w:vAlign w:val="bottom"/>
            <w:hideMark/>
          </w:tcPr>
          <w:p w14:paraId="74B6121F" w14:textId="77777777" w:rsidR="003A3CE0" w:rsidRPr="000855B2" w:rsidRDefault="003A3CE0" w:rsidP="009C4D4C">
            <w:pPr>
              <w:spacing w:line="240" w:lineRule="auto"/>
              <w:jc w:val="center"/>
              <w:rPr>
                <w:sz w:val="16"/>
                <w:szCs w:val="16"/>
                <w:lang w:val="en-GB"/>
              </w:rPr>
            </w:pPr>
            <w:r w:rsidRPr="000855B2">
              <w:rPr>
                <w:sz w:val="16"/>
                <w:szCs w:val="16"/>
                <w:lang w:val="en-GB"/>
              </w:rPr>
              <w:t>0.21</w:t>
            </w:r>
          </w:p>
        </w:tc>
        <w:tc>
          <w:tcPr>
            <w:tcW w:w="1134" w:type="dxa"/>
            <w:tcBorders>
              <w:top w:val="nil"/>
              <w:left w:val="nil"/>
              <w:bottom w:val="nil"/>
              <w:right w:val="single" w:sz="4" w:space="0" w:color="auto"/>
            </w:tcBorders>
            <w:shd w:val="clear" w:color="auto" w:fill="auto"/>
            <w:noWrap/>
            <w:vAlign w:val="bottom"/>
            <w:hideMark/>
          </w:tcPr>
          <w:p w14:paraId="07E218EA" w14:textId="77777777" w:rsidR="003A3CE0" w:rsidRPr="000855B2" w:rsidRDefault="003A3CE0" w:rsidP="009C4D4C">
            <w:pPr>
              <w:spacing w:line="240" w:lineRule="auto"/>
              <w:jc w:val="center"/>
              <w:rPr>
                <w:sz w:val="16"/>
                <w:szCs w:val="16"/>
                <w:lang w:val="en-GB"/>
              </w:rPr>
            </w:pPr>
            <w:r w:rsidRPr="000855B2">
              <w:rPr>
                <w:sz w:val="16"/>
                <w:szCs w:val="16"/>
                <w:lang w:val="en-GB"/>
              </w:rPr>
              <w:t>0.61</w:t>
            </w:r>
          </w:p>
        </w:tc>
        <w:tc>
          <w:tcPr>
            <w:tcW w:w="1559" w:type="dxa"/>
            <w:tcBorders>
              <w:top w:val="nil"/>
              <w:left w:val="nil"/>
              <w:bottom w:val="nil"/>
              <w:right w:val="single" w:sz="4" w:space="0" w:color="auto"/>
            </w:tcBorders>
            <w:shd w:val="clear" w:color="auto" w:fill="auto"/>
            <w:noWrap/>
            <w:vAlign w:val="bottom"/>
            <w:hideMark/>
          </w:tcPr>
          <w:p w14:paraId="07E280FC" w14:textId="77777777" w:rsidR="003A3CE0" w:rsidRPr="000855B2" w:rsidRDefault="003A3CE0" w:rsidP="009C4D4C">
            <w:pPr>
              <w:spacing w:line="240" w:lineRule="auto"/>
              <w:jc w:val="center"/>
              <w:rPr>
                <w:sz w:val="16"/>
                <w:szCs w:val="16"/>
                <w:lang w:val="en-GB"/>
              </w:rPr>
            </w:pPr>
            <w:r w:rsidRPr="000855B2">
              <w:rPr>
                <w:sz w:val="16"/>
                <w:szCs w:val="16"/>
                <w:lang w:val="en-GB"/>
              </w:rPr>
              <w:t>2.94</w:t>
            </w:r>
          </w:p>
        </w:tc>
        <w:tc>
          <w:tcPr>
            <w:tcW w:w="576" w:type="dxa"/>
            <w:tcBorders>
              <w:top w:val="nil"/>
              <w:left w:val="nil"/>
              <w:bottom w:val="nil"/>
              <w:right w:val="single" w:sz="4" w:space="0" w:color="auto"/>
            </w:tcBorders>
            <w:shd w:val="clear" w:color="auto" w:fill="auto"/>
            <w:noWrap/>
            <w:vAlign w:val="bottom"/>
            <w:hideMark/>
          </w:tcPr>
          <w:p w14:paraId="177AEAF6"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double" w:sz="6" w:space="0" w:color="auto"/>
            </w:tcBorders>
            <w:shd w:val="clear" w:color="auto" w:fill="auto"/>
            <w:noWrap/>
            <w:vAlign w:val="bottom"/>
            <w:hideMark/>
          </w:tcPr>
          <w:p w14:paraId="6194A7AC" w14:textId="77777777" w:rsidR="003A3CE0" w:rsidRPr="000855B2" w:rsidRDefault="003A3CE0" w:rsidP="009C4D4C">
            <w:pPr>
              <w:spacing w:line="240" w:lineRule="auto"/>
              <w:jc w:val="center"/>
              <w:rPr>
                <w:sz w:val="16"/>
                <w:szCs w:val="16"/>
                <w:lang w:val="en-GB"/>
              </w:rPr>
            </w:pPr>
            <w:r w:rsidRPr="000855B2">
              <w:rPr>
                <w:sz w:val="16"/>
                <w:szCs w:val="16"/>
                <w:lang w:val="en-GB"/>
              </w:rPr>
              <w:t>0.78</w:t>
            </w:r>
          </w:p>
        </w:tc>
      </w:tr>
      <w:tr w:rsidR="003A3CE0" w:rsidRPr="000855B2" w14:paraId="04D8140E" w14:textId="77777777" w:rsidTr="00887829">
        <w:trPr>
          <w:trHeight w:val="270"/>
        </w:trPr>
        <w:tc>
          <w:tcPr>
            <w:tcW w:w="1441" w:type="dxa"/>
            <w:vMerge/>
            <w:tcBorders>
              <w:top w:val="nil"/>
              <w:left w:val="double" w:sz="6" w:space="0" w:color="auto"/>
              <w:bottom w:val="single" w:sz="8" w:space="0" w:color="000000"/>
              <w:right w:val="single" w:sz="4" w:space="0" w:color="auto"/>
            </w:tcBorders>
            <w:vAlign w:val="center"/>
            <w:hideMark/>
          </w:tcPr>
          <w:p w14:paraId="2B844E13" w14:textId="77777777" w:rsidR="003A3CE0" w:rsidRPr="000855B2" w:rsidRDefault="003A3CE0" w:rsidP="009C4D4C">
            <w:pPr>
              <w:spacing w:line="240" w:lineRule="auto"/>
              <w:rPr>
                <w:b/>
                <w:bCs/>
                <w:sz w:val="16"/>
                <w:szCs w:val="16"/>
                <w:lang w:val="en-GB"/>
              </w:rPr>
            </w:pPr>
          </w:p>
        </w:tc>
        <w:tc>
          <w:tcPr>
            <w:tcW w:w="1701" w:type="dxa"/>
            <w:tcBorders>
              <w:top w:val="nil"/>
              <w:left w:val="nil"/>
              <w:bottom w:val="single" w:sz="8" w:space="0" w:color="auto"/>
              <w:right w:val="single" w:sz="4" w:space="0" w:color="auto"/>
            </w:tcBorders>
            <w:shd w:val="clear" w:color="auto" w:fill="auto"/>
            <w:noWrap/>
            <w:vAlign w:val="bottom"/>
            <w:hideMark/>
          </w:tcPr>
          <w:p w14:paraId="0DB3F231" w14:textId="77777777" w:rsidR="003A3CE0" w:rsidRPr="000855B2" w:rsidRDefault="003A3CE0" w:rsidP="009C4D4C">
            <w:pPr>
              <w:spacing w:line="240" w:lineRule="auto"/>
              <w:rPr>
                <w:sz w:val="16"/>
                <w:szCs w:val="16"/>
                <w:lang w:val="en-GB"/>
              </w:rPr>
            </w:pPr>
            <w:r w:rsidRPr="000855B2">
              <w:rPr>
                <w:sz w:val="16"/>
                <w:szCs w:val="16"/>
                <w:lang w:val="en-GB"/>
              </w:rPr>
              <w:t>methylethlketone</w:t>
            </w:r>
          </w:p>
        </w:tc>
        <w:tc>
          <w:tcPr>
            <w:tcW w:w="992" w:type="dxa"/>
            <w:tcBorders>
              <w:top w:val="nil"/>
              <w:left w:val="nil"/>
              <w:bottom w:val="single" w:sz="8" w:space="0" w:color="auto"/>
              <w:right w:val="single" w:sz="4" w:space="0" w:color="auto"/>
            </w:tcBorders>
            <w:shd w:val="clear" w:color="auto" w:fill="auto"/>
            <w:noWrap/>
            <w:vAlign w:val="bottom"/>
            <w:hideMark/>
          </w:tcPr>
          <w:p w14:paraId="4B5EF99F" w14:textId="77777777" w:rsidR="003A3CE0" w:rsidRPr="000855B2" w:rsidRDefault="003A3CE0" w:rsidP="009C4D4C">
            <w:pPr>
              <w:spacing w:line="240" w:lineRule="auto"/>
              <w:jc w:val="center"/>
              <w:rPr>
                <w:sz w:val="16"/>
                <w:szCs w:val="16"/>
                <w:lang w:val="en-GB"/>
              </w:rPr>
            </w:pPr>
            <w:r w:rsidRPr="000855B2">
              <w:rPr>
                <w:sz w:val="16"/>
                <w:szCs w:val="16"/>
                <w:lang w:val="en-GB"/>
              </w:rPr>
              <w:t>0.11</w:t>
            </w:r>
          </w:p>
        </w:tc>
        <w:tc>
          <w:tcPr>
            <w:tcW w:w="1134" w:type="dxa"/>
            <w:tcBorders>
              <w:top w:val="nil"/>
              <w:left w:val="nil"/>
              <w:bottom w:val="single" w:sz="8" w:space="0" w:color="auto"/>
              <w:right w:val="single" w:sz="4" w:space="0" w:color="auto"/>
            </w:tcBorders>
            <w:shd w:val="clear" w:color="auto" w:fill="auto"/>
            <w:noWrap/>
            <w:vAlign w:val="bottom"/>
            <w:hideMark/>
          </w:tcPr>
          <w:p w14:paraId="159B2EF8"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c>
          <w:tcPr>
            <w:tcW w:w="1559" w:type="dxa"/>
            <w:tcBorders>
              <w:top w:val="nil"/>
              <w:left w:val="nil"/>
              <w:bottom w:val="single" w:sz="8" w:space="0" w:color="auto"/>
              <w:right w:val="single" w:sz="4" w:space="0" w:color="auto"/>
            </w:tcBorders>
            <w:shd w:val="clear" w:color="auto" w:fill="auto"/>
            <w:noWrap/>
            <w:vAlign w:val="bottom"/>
            <w:hideMark/>
          </w:tcPr>
          <w:p w14:paraId="7D658A46" w14:textId="77777777" w:rsidR="003A3CE0" w:rsidRPr="000855B2" w:rsidRDefault="003A3CE0" w:rsidP="009C4D4C">
            <w:pPr>
              <w:spacing w:line="240" w:lineRule="auto"/>
              <w:jc w:val="center"/>
              <w:rPr>
                <w:sz w:val="16"/>
                <w:szCs w:val="16"/>
                <w:lang w:val="en-GB"/>
              </w:rPr>
            </w:pPr>
            <w:r w:rsidRPr="000855B2">
              <w:rPr>
                <w:sz w:val="16"/>
                <w:szCs w:val="16"/>
                <w:lang w:val="en-GB"/>
              </w:rPr>
              <w:t>1.20</w:t>
            </w:r>
          </w:p>
        </w:tc>
        <w:tc>
          <w:tcPr>
            <w:tcW w:w="576" w:type="dxa"/>
            <w:tcBorders>
              <w:top w:val="nil"/>
              <w:left w:val="nil"/>
              <w:bottom w:val="single" w:sz="8" w:space="0" w:color="auto"/>
              <w:right w:val="single" w:sz="4" w:space="0" w:color="auto"/>
            </w:tcBorders>
            <w:shd w:val="clear" w:color="auto" w:fill="auto"/>
            <w:noWrap/>
            <w:vAlign w:val="bottom"/>
            <w:hideMark/>
          </w:tcPr>
          <w:p w14:paraId="3B76A9BF"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single" w:sz="8" w:space="0" w:color="auto"/>
              <w:right w:val="double" w:sz="6" w:space="0" w:color="auto"/>
            </w:tcBorders>
            <w:shd w:val="clear" w:color="auto" w:fill="auto"/>
            <w:noWrap/>
            <w:vAlign w:val="bottom"/>
            <w:hideMark/>
          </w:tcPr>
          <w:p w14:paraId="525AEA37"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63CD1323" w14:textId="77777777" w:rsidTr="00887829">
        <w:trPr>
          <w:trHeight w:val="255"/>
        </w:trPr>
        <w:tc>
          <w:tcPr>
            <w:tcW w:w="1441" w:type="dxa"/>
            <w:vMerge w:val="restart"/>
            <w:tcBorders>
              <w:top w:val="nil"/>
              <w:left w:val="double" w:sz="6" w:space="0" w:color="auto"/>
              <w:bottom w:val="single" w:sz="8" w:space="0" w:color="000000"/>
              <w:right w:val="single" w:sz="4" w:space="0" w:color="auto"/>
            </w:tcBorders>
            <w:shd w:val="clear" w:color="auto" w:fill="auto"/>
            <w:noWrap/>
            <w:textDirection w:val="btLr"/>
            <w:vAlign w:val="center"/>
            <w:hideMark/>
          </w:tcPr>
          <w:p w14:paraId="708608EB" w14:textId="77777777" w:rsidR="003A3CE0" w:rsidRPr="000855B2" w:rsidRDefault="003A3CE0" w:rsidP="009C4D4C">
            <w:pPr>
              <w:spacing w:line="240" w:lineRule="auto"/>
              <w:jc w:val="center"/>
              <w:rPr>
                <w:b/>
                <w:bCs/>
                <w:sz w:val="16"/>
                <w:szCs w:val="16"/>
                <w:lang w:val="en-GB"/>
              </w:rPr>
            </w:pPr>
            <w:r w:rsidRPr="000855B2">
              <w:rPr>
                <w:b/>
                <w:bCs/>
                <w:sz w:val="16"/>
                <w:szCs w:val="16"/>
                <w:lang w:val="en-GB"/>
              </w:rPr>
              <w:t>AROMATICS</w:t>
            </w:r>
          </w:p>
        </w:tc>
        <w:tc>
          <w:tcPr>
            <w:tcW w:w="1701" w:type="dxa"/>
            <w:tcBorders>
              <w:top w:val="nil"/>
              <w:left w:val="nil"/>
              <w:bottom w:val="nil"/>
              <w:right w:val="single" w:sz="4" w:space="0" w:color="auto"/>
            </w:tcBorders>
            <w:shd w:val="clear" w:color="auto" w:fill="auto"/>
            <w:noWrap/>
            <w:vAlign w:val="bottom"/>
            <w:hideMark/>
          </w:tcPr>
          <w:p w14:paraId="6111032D" w14:textId="77777777" w:rsidR="003A3CE0" w:rsidRPr="000855B2" w:rsidRDefault="003A3CE0" w:rsidP="009C4D4C">
            <w:pPr>
              <w:spacing w:line="240" w:lineRule="auto"/>
              <w:rPr>
                <w:sz w:val="16"/>
                <w:szCs w:val="16"/>
                <w:lang w:val="en-GB"/>
              </w:rPr>
            </w:pPr>
            <w:r w:rsidRPr="000855B2">
              <w:rPr>
                <w:sz w:val="16"/>
                <w:szCs w:val="16"/>
                <w:lang w:val="en-GB"/>
              </w:rPr>
              <w:t>toluene</w:t>
            </w:r>
          </w:p>
        </w:tc>
        <w:tc>
          <w:tcPr>
            <w:tcW w:w="992" w:type="dxa"/>
            <w:tcBorders>
              <w:top w:val="nil"/>
              <w:left w:val="nil"/>
              <w:bottom w:val="nil"/>
              <w:right w:val="single" w:sz="4" w:space="0" w:color="auto"/>
            </w:tcBorders>
            <w:shd w:val="clear" w:color="auto" w:fill="auto"/>
            <w:noWrap/>
            <w:vAlign w:val="bottom"/>
            <w:hideMark/>
          </w:tcPr>
          <w:p w14:paraId="64B3AD16" w14:textId="77777777" w:rsidR="003A3CE0" w:rsidRPr="000855B2" w:rsidRDefault="003A3CE0" w:rsidP="009C4D4C">
            <w:pPr>
              <w:spacing w:line="240" w:lineRule="auto"/>
              <w:jc w:val="center"/>
              <w:rPr>
                <w:sz w:val="16"/>
                <w:szCs w:val="16"/>
                <w:lang w:val="en-GB"/>
              </w:rPr>
            </w:pPr>
            <w:r w:rsidRPr="000855B2">
              <w:rPr>
                <w:sz w:val="16"/>
                <w:szCs w:val="16"/>
                <w:lang w:val="en-GB"/>
              </w:rPr>
              <w:t>12.84</w:t>
            </w:r>
          </w:p>
        </w:tc>
        <w:tc>
          <w:tcPr>
            <w:tcW w:w="1134" w:type="dxa"/>
            <w:tcBorders>
              <w:top w:val="nil"/>
              <w:left w:val="nil"/>
              <w:bottom w:val="nil"/>
              <w:right w:val="single" w:sz="4" w:space="0" w:color="auto"/>
            </w:tcBorders>
            <w:shd w:val="clear" w:color="auto" w:fill="auto"/>
            <w:noWrap/>
            <w:vAlign w:val="bottom"/>
            <w:hideMark/>
          </w:tcPr>
          <w:p w14:paraId="5C0419BB" w14:textId="77777777" w:rsidR="003A3CE0" w:rsidRPr="000855B2" w:rsidRDefault="003A3CE0" w:rsidP="009C4D4C">
            <w:pPr>
              <w:spacing w:line="240" w:lineRule="auto"/>
              <w:jc w:val="center"/>
              <w:rPr>
                <w:sz w:val="16"/>
                <w:szCs w:val="16"/>
                <w:lang w:val="en-GB"/>
              </w:rPr>
            </w:pPr>
            <w:r w:rsidRPr="000855B2">
              <w:rPr>
                <w:sz w:val="16"/>
                <w:szCs w:val="16"/>
                <w:lang w:val="en-GB"/>
              </w:rPr>
              <w:t>10.98</w:t>
            </w:r>
          </w:p>
        </w:tc>
        <w:tc>
          <w:tcPr>
            <w:tcW w:w="1559" w:type="dxa"/>
            <w:tcBorders>
              <w:top w:val="nil"/>
              <w:left w:val="nil"/>
              <w:bottom w:val="nil"/>
              <w:right w:val="single" w:sz="4" w:space="0" w:color="auto"/>
            </w:tcBorders>
            <w:shd w:val="clear" w:color="auto" w:fill="auto"/>
            <w:noWrap/>
            <w:vAlign w:val="bottom"/>
            <w:hideMark/>
          </w:tcPr>
          <w:p w14:paraId="245BF4A0" w14:textId="77777777" w:rsidR="003A3CE0" w:rsidRPr="000855B2" w:rsidRDefault="003A3CE0" w:rsidP="009C4D4C">
            <w:pPr>
              <w:spacing w:line="240" w:lineRule="auto"/>
              <w:jc w:val="center"/>
              <w:rPr>
                <w:sz w:val="16"/>
                <w:szCs w:val="16"/>
                <w:lang w:val="en-GB"/>
              </w:rPr>
            </w:pPr>
            <w:r w:rsidRPr="000855B2">
              <w:rPr>
                <w:sz w:val="16"/>
                <w:szCs w:val="16"/>
                <w:lang w:val="en-GB"/>
              </w:rPr>
              <w:t>0.69</w:t>
            </w:r>
          </w:p>
        </w:tc>
        <w:tc>
          <w:tcPr>
            <w:tcW w:w="576" w:type="dxa"/>
            <w:tcBorders>
              <w:top w:val="nil"/>
              <w:left w:val="nil"/>
              <w:bottom w:val="nil"/>
              <w:right w:val="single" w:sz="4" w:space="0" w:color="auto"/>
            </w:tcBorders>
            <w:shd w:val="clear" w:color="auto" w:fill="auto"/>
            <w:noWrap/>
            <w:vAlign w:val="bottom"/>
            <w:hideMark/>
          </w:tcPr>
          <w:p w14:paraId="76C461DB" w14:textId="77777777" w:rsidR="003A3CE0" w:rsidRPr="000855B2" w:rsidRDefault="003A3CE0" w:rsidP="009C4D4C">
            <w:pPr>
              <w:spacing w:line="240" w:lineRule="auto"/>
              <w:jc w:val="center"/>
              <w:rPr>
                <w:sz w:val="16"/>
                <w:szCs w:val="16"/>
                <w:lang w:val="en-GB"/>
              </w:rPr>
            </w:pPr>
            <w:r w:rsidRPr="000855B2">
              <w:rPr>
                <w:sz w:val="16"/>
                <w:szCs w:val="16"/>
                <w:lang w:val="en-GB"/>
              </w:rPr>
              <w:t>0.01</w:t>
            </w:r>
          </w:p>
        </w:tc>
        <w:tc>
          <w:tcPr>
            <w:tcW w:w="576" w:type="dxa"/>
            <w:tcBorders>
              <w:top w:val="nil"/>
              <w:left w:val="nil"/>
              <w:bottom w:val="nil"/>
              <w:right w:val="double" w:sz="6" w:space="0" w:color="auto"/>
            </w:tcBorders>
            <w:shd w:val="clear" w:color="auto" w:fill="auto"/>
            <w:noWrap/>
            <w:vAlign w:val="bottom"/>
            <w:hideMark/>
          </w:tcPr>
          <w:p w14:paraId="66EB168D" w14:textId="77777777" w:rsidR="003A3CE0" w:rsidRPr="000855B2" w:rsidRDefault="003A3CE0" w:rsidP="009C4D4C">
            <w:pPr>
              <w:spacing w:line="240" w:lineRule="auto"/>
              <w:jc w:val="center"/>
              <w:rPr>
                <w:sz w:val="16"/>
                <w:szCs w:val="16"/>
                <w:lang w:val="en-GB"/>
              </w:rPr>
            </w:pPr>
            <w:r w:rsidRPr="000855B2">
              <w:rPr>
                <w:sz w:val="16"/>
                <w:szCs w:val="16"/>
                <w:lang w:val="en-GB"/>
              </w:rPr>
              <w:t>1.22</w:t>
            </w:r>
          </w:p>
        </w:tc>
      </w:tr>
      <w:tr w:rsidR="003A3CE0" w:rsidRPr="000855B2" w14:paraId="4C3D9955"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4D63FF7A"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104CDC64" w14:textId="77777777" w:rsidR="003A3CE0" w:rsidRPr="000855B2" w:rsidRDefault="003A3CE0" w:rsidP="009C4D4C">
            <w:pPr>
              <w:spacing w:line="240" w:lineRule="auto"/>
              <w:rPr>
                <w:sz w:val="16"/>
                <w:szCs w:val="16"/>
                <w:lang w:val="en-GB"/>
              </w:rPr>
            </w:pPr>
            <w:r w:rsidRPr="000855B2">
              <w:rPr>
                <w:sz w:val="16"/>
                <w:szCs w:val="16"/>
                <w:lang w:val="en-GB"/>
              </w:rPr>
              <w:t>ethylbenzene</w:t>
            </w:r>
          </w:p>
        </w:tc>
        <w:tc>
          <w:tcPr>
            <w:tcW w:w="992" w:type="dxa"/>
            <w:tcBorders>
              <w:top w:val="nil"/>
              <w:left w:val="nil"/>
              <w:bottom w:val="nil"/>
              <w:right w:val="single" w:sz="4" w:space="0" w:color="auto"/>
            </w:tcBorders>
            <w:shd w:val="clear" w:color="auto" w:fill="auto"/>
            <w:noWrap/>
            <w:vAlign w:val="bottom"/>
            <w:hideMark/>
          </w:tcPr>
          <w:p w14:paraId="6FAF9F79" w14:textId="77777777" w:rsidR="003A3CE0" w:rsidRPr="000855B2" w:rsidRDefault="003A3CE0" w:rsidP="009C4D4C">
            <w:pPr>
              <w:spacing w:line="240" w:lineRule="auto"/>
              <w:jc w:val="center"/>
              <w:rPr>
                <w:sz w:val="16"/>
                <w:szCs w:val="16"/>
                <w:lang w:val="en-GB"/>
              </w:rPr>
            </w:pPr>
            <w:r w:rsidRPr="000855B2">
              <w:rPr>
                <w:sz w:val="16"/>
                <w:szCs w:val="16"/>
                <w:lang w:val="en-GB"/>
              </w:rPr>
              <w:t>4.78</w:t>
            </w:r>
          </w:p>
        </w:tc>
        <w:tc>
          <w:tcPr>
            <w:tcW w:w="1134" w:type="dxa"/>
            <w:tcBorders>
              <w:top w:val="nil"/>
              <w:left w:val="nil"/>
              <w:bottom w:val="nil"/>
              <w:right w:val="single" w:sz="4" w:space="0" w:color="auto"/>
            </w:tcBorders>
            <w:shd w:val="clear" w:color="auto" w:fill="auto"/>
            <w:noWrap/>
            <w:vAlign w:val="bottom"/>
            <w:hideMark/>
          </w:tcPr>
          <w:p w14:paraId="3F85D92C" w14:textId="77777777" w:rsidR="003A3CE0" w:rsidRPr="000855B2" w:rsidRDefault="003A3CE0" w:rsidP="009C4D4C">
            <w:pPr>
              <w:spacing w:line="240" w:lineRule="auto"/>
              <w:jc w:val="center"/>
              <w:rPr>
                <w:sz w:val="16"/>
                <w:szCs w:val="16"/>
                <w:lang w:val="en-GB"/>
              </w:rPr>
            </w:pPr>
            <w:r w:rsidRPr="000855B2">
              <w:rPr>
                <w:sz w:val="16"/>
                <w:szCs w:val="16"/>
                <w:lang w:val="en-GB"/>
              </w:rPr>
              <w:t>1.89</w:t>
            </w:r>
          </w:p>
        </w:tc>
        <w:tc>
          <w:tcPr>
            <w:tcW w:w="1559" w:type="dxa"/>
            <w:tcBorders>
              <w:top w:val="nil"/>
              <w:left w:val="nil"/>
              <w:bottom w:val="nil"/>
              <w:right w:val="single" w:sz="4" w:space="0" w:color="auto"/>
            </w:tcBorders>
            <w:shd w:val="clear" w:color="auto" w:fill="auto"/>
            <w:noWrap/>
            <w:vAlign w:val="bottom"/>
            <w:hideMark/>
          </w:tcPr>
          <w:p w14:paraId="0CE93C56" w14:textId="77777777" w:rsidR="003A3CE0" w:rsidRPr="000855B2" w:rsidRDefault="003A3CE0" w:rsidP="009C4D4C">
            <w:pPr>
              <w:spacing w:line="240" w:lineRule="auto"/>
              <w:jc w:val="center"/>
              <w:rPr>
                <w:sz w:val="16"/>
                <w:szCs w:val="16"/>
                <w:lang w:val="en-GB"/>
              </w:rPr>
            </w:pPr>
            <w:r w:rsidRPr="000855B2">
              <w:rPr>
                <w:sz w:val="16"/>
                <w:szCs w:val="16"/>
                <w:lang w:val="en-GB"/>
              </w:rPr>
              <w:t>0.29</w:t>
            </w:r>
          </w:p>
        </w:tc>
        <w:tc>
          <w:tcPr>
            <w:tcW w:w="576" w:type="dxa"/>
            <w:tcBorders>
              <w:top w:val="nil"/>
              <w:left w:val="nil"/>
              <w:bottom w:val="nil"/>
              <w:right w:val="single" w:sz="4" w:space="0" w:color="auto"/>
            </w:tcBorders>
            <w:shd w:val="clear" w:color="auto" w:fill="auto"/>
            <w:noWrap/>
            <w:vAlign w:val="bottom"/>
            <w:hideMark/>
          </w:tcPr>
          <w:p w14:paraId="6ABC706D"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double" w:sz="6" w:space="0" w:color="auto"/>
            </w:tcBorders>
            <w:shd w:val="clear" w:color="auto" w:fill="auto"/>
            <w:noWrap/>
            <w:vAlign w:val="bottom"/>
            <w:hideMark/>
          </w:tcPr>
          <w:p w14:paraId="5A3206D9" w14:textId="77777777" w:rsidR="003A3CE0" w:rsidRPr="000855B2" w:rsidRDefault="003A3CE0" w:rsidP="009C4D4C">
            <w:pPr>
              <w:spacing w:line="240" w:lineRule="auto"/>
              <w:jc w:val="center"/>
              <w:rPr>
                <w:sz w:val="16"/>
                <w:szCs w:val="16"/>
                <w:lang w:val="en-GB"/>
              </w:rPr>
            </w:pPr>
            <w:r w:rsidRPr="000855B2">
              <w:rPr>
                <w:sz w:val="16"/>
                <w:szCs w:val="16"/>
                <w:lang w:val="en-GB"/>
              </w:rPr>
              <w:t>0.24</w:t>
            </w:r>
          </w:p>
        </w:tc>
      </w:tr>
      <w:tr w:rsidR="003A3CE0" w:rsidRPr="000855B2" w14:paraId="315D963E"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72303E4C"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FD2E371" w14:textId="77777777" w:rsidR="003A3CE0" w:rsidRPr="000855B2" w:rsidRDefault="003A3CE0" w:rsidP="009C4D4C">
            <w:pPr>
              <w:spacing w:line="240" w:lineRule="auto"/>
              <w:rPr>
                <w:sz w:val="16"/>
                <w:szCs w:val="16"/>
                <w:lang w:val="en-GB"/>
              </w:rPr>
            </w:pPr>
            <w:r w:rsidRPr="000855B2">
              <w:rPr>
                <w:sz w:val="16"/>
                <w:szCs w:val="16"/>
                <w:lang w:val="en-GB"/>
              </w:rPr>
              <w:t>m,p-xylene</w:t>
            </w:r>
          </w:p>
        </w:tc>
        <w:tc>
          <w:tcPr>
            <w:tcW w:w="992" w:type="dxa"/>
            <w:tcBorders>
              <w:top w:val="nil"/>
              <w:left w:val="nil"/>
              <w:bottom w:val="nil"/>
              <w:right w:val="single" w:sz="4" w:space="0" w:color="auto"/>
            </w:tcBorders>
            <w:shd w:val="clear" w:color="auto" w:fill="auto"/>
            <w:noWrap/>
            <w:vAlign w:val="bottom"/>
            <w:hideMark/>
          </w:tcPr>
          <w:p w14:paraId="186C4D61" w14:textId="77777777" w:rsidR="003A3CE0" w:rsidRPr="000855B2" w:rsidRDefault="003A3CE0" w:rsidP="009C4D4C">
            <w:pPr>
              <w:spacing w:line="240" w:lineRule="auto"/>
              <w:jc w:val="center"/>
              <w:rPr>
                <w:sz w:val="16"/>
                <w:szCs w:val="16"/>
                <w:lang w:val="en-GB"/>
              </w:rPr>
            </w:pPr>
            <w:r w:rsidRPr="000855B2">
              <w:rPr>
                <w:sz w:val="16"/>
                <w:szCs w:val="16"/>
                <w:lang w:val="en-GB"/>
              </w:rPr>
              <w:t>6.66</w:t>
            </w:r>
          </w:p>
        </w:tc>
        <w:tc>
          <w:tcPr>
            <w:tcW w:w="1134" w:type="dxa"/>
            <w:tcBorders>
              <w:top w:val="nil"/>
              <w:left w:val="nil"/>
              <w:bottom w:val="nil"/>
              <w:right w:val="single" w:sz="4" w:space="0" w:color="auto"/>
            </w:tcBorders>
            <w:shd w:val="clear" w:color="auto" w:fill="auto"/>
            <w:noWrap/>
            <w:vAlign w:val="bottom"/>
            <w:hideMark/>
          </w:tcPr>
          <w:p w14:paraId="0DE1483A" w14:textId="77777777" w:rsidR="003A3CE0" w:rsidRPr="000855B2" w:rsidRDefault="003A3CE0" w:rsidP="009C4D4C">
            <w:pPr>
              <w:spacing w:line="240" w:lineRule="auto"/>
              <w:jc w:val="center"/>
              <w:rPr>
                <w:sz w:val="16"/>
                <w:szCs w:val="16"/>
                <w:lang w:val="en-GB"/>
              </w:rPr>
            </w:pPr>
            <w:r w:rsidRPr="000855B2">
              <w:rPr>
                <w:sz w:val="16"/>
                <w:szCs w:val="16"/>
                <w:lang w:val="en-GB"/>
              </w:rPr>
              <w:t>5.43</w:t>
            </w:r>
          </w:p>
        </w:tc>
        <w:tc>
          <w:tcPr>
            <w:tcW w:w="1559" w:type="dxa"/>
            <w:tcBorders>
              <w:top w:val="nil"/>
              <w:left w:val="nil"/>
              <w:bottom w:val="nil"/>
              <w:right w:val="single" w:sz="4" w:space="0" w:color="auto"/>
            </w:tcBorders>
            <w:shd w:val="clear" w:color="auto" w:fill="auto"/>
            <w:noWrap/>
            <w:vAlign w:val="bottom"/>
            <w:hideMark/>
          </w:tcPr>
          <w:p w14:paraId="169C7F36" w14:textId="77777777" w:rsidR="003A3CE0" w:rsidRPr="000855B2" w:rsidRDefault="003A3CE0" w:rsidP="009C4D4C">
            <w:pPr>
              <w:spacing w:line="240" w:lineRule="auto"/>
              <w:jc w:val="center"/>
              <w:rPr>
                <w:sz w:val="16"/>
                <w:szCs w:val="16"/>
                <w:lang w:val="en-GB"/>
              </w:rPr>
            </w:pPr>
            <w:r w:rsidRPr="000855B2">
              <w:rPr>
                <w:sz w:val="16"/>
                <w:szCs w:val="16"/>
                <w:lang w:val="en-GB"/>
              </w:rPr>
              <w:t>0.61</w:t>
            </w:r>
          </w:p>
        </w:tc>
        <w:tc>
          <w:tcPr>
            <w:tcW w:w="576" w:type="dxa"/>
            <w:tcBorders>
              <w:top w:val="nil"/>
              <w:left w:val="nil"/>
              <w:bottom w:val="nil"/>
              <w:right w:val="single" w:sz="4" w:space="0" w:color="auto"/>
            </w:tcBorders>
            <w:shd w:val="clear" w:color="auto" w:fill="auto"/>
            <w:noWrap/>
            <w:vAlign w:val="bottom"/>
            <w:hideMark/>
          </w:tcPr>
          <w:p w14:paraId="0CC8FF8E" w14:textId="77777777" w:rsidR="003A3CE0" w:rsidRPr="000855B2" w:rsidRDefault="003A3CE0" w:rsidP="009C4D4C">
            <w:pPr>
              <w:spacing w:line="240" w:lineRule="auto"/>
              <w:jc w:val="center"/>
              <w:rPr>
                <w:sz w:val="16"/>
                <w:szCs w:val="16"/>
                <w:lang w:val="en-GB"/>
              </w:rPr>
            </w:pPr>
            <w:r w:rsidRPr="000855B2">
              <w:rPr>
                <w:sz w:val="16"/>
                <w:szCs w:val="16"/>
                <w:lang w:val="en-GB"/>
              </w:rPr>
              <w:t>0.98</w:t>
            </w:r>
          </w:p>
        </w:tc>
        <w:tc>
          <w:tcPr>
            <w:tcW w:w="576" w:type="dxa"/>
            <w:tcBorders>
              <w:top w:val="nil"/>
              <w:left w:val="nil"/>
              <w:bottom w:val="nil"/>
              <w:right w:val="double" w:sz="6" w:space="0" w:color="auto"/>
            </w:tcBorders>
            <w:shd w:val="clear" w:color="auto" w:fill="auto"/>
            <w:noWrap/>
            <w:vAlign w:val="bottom"/>
            <w:hideMark/>
          </w:tcPr>
          <w:p w14:paraId="1600A243" w14:textId="77777777" w:rsidR="003A3CE0" w:rsidRPr="000855B2" w:rsidRDefault="003A3CE0" w:rsidP="009C4D4C">
            <w:pPr>
              <w:spacing w:line="240" w:lineRule="auto"/>
              <w:jc w:val="center"/>
              <w:rPr>
                <w:sz w:val="16"/>
                <w:szCs w:val="16"/>
                <w:lang w:val="en-GB"/>
              </w:rPr>
            </w:pPr>
            <w:r w:rsidRPr="000855B2">
              <w:rPr>
                <w:sz w:val="16"/>
                <w:szCs w:val="16"/>
                <w:lang w:val="en-GB"/>
              </w:rPr>
              <w:t>0.75</w:t>
            </w:r>
          </w:p>
        </w:tc>
      </w:tr>
      <w:tr w:rsidR="003A3CE0" w:rsidRPr="000855B2" w14:paraId="0FAA947C"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6E59A150"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F8E5D44" w14:textId="77777777" w:rsidR="003A3CE0" w:rsidRPr="000855B2" w:rsidRDefault="003A3CE0" w:rsidP="009C4D4C">
            <w:pPr>
              <w:spacing w:line="240" w:lineRule="auto"/>
              <w:rPr>
                <w:sz w:val="16"/>
                <w:szCs w:val="16"/>
                <w:lang w:val="en-GB"/>
              </w:rPr>
            </w:pPr>
            <w:r w:rsidRPr="000855B2">
              <w:rPr>
                <w:sz w:val="16"/>
                <w:szCs w:val="16"/>
                <w:lang w:val="en-GB"/>
              </w:rPr>
              <w:t>o-xylene</w:t>
            </w:r>
          </w:p>
        </w:tc>
        <w:tc>
          <w:tcPr>
            <w:tcW w:w="992" w:type="dxa"/>
            <w:tcBorders>
              <w:top w:val="nil"/>
              <w:left w:val="nil"/>
              <w:bottom w:val="nil"/>
              <w:right w:val="single" w:sz="4" w:space="0" w:color="auto"/>
            </w:tcBorders>
            <w:shd w:val="clear" w:color="auto" w:fill="auto"/>
            <w:noWrap/>
            <w:vAlign w:val="bottom"/>
            <w:hideMark/>
          </w:tcPr>
          <w:p w14:paraId="139CE66D" w14:textId="77777777" w:rsidR="003A3CE0" w:rsidRPr="000855B2" w:rsidRDefault="003A3CE0" w:rsidP="009C4D4C">
            <w:pPr>
              <w:spacing w:line="240" w:lineRule="auto"/>
              <w:jc w:val="center"/>
              <w:rPr>
                <w:sz w:val="16"/>
                <w:szCs w:val="16"/>
                <w:lang w:val="en-GB"/>
              </w:rPr>
            </w:pPr>
            <w:r w:rsidRPr="000855B2">
              <w:rPr>
                <w:sz w:val="16"/>
                <w:szCs w:val="16"/>
                <w:lang w:val="en-GB"/>
              </w:rPr>
              <w:t>4.52</w:t>
            </w:r>
          </w:p>
        </w:tc>
        <w:tc>
          <w:tcPr>
            <w:tcW w:w="1134" w:type="dxa"/>
            <w:tcBorders>
              <w:top w:val="nil"/>
              <w:left w:val="nil"/>
              <w:bottom w:val="nil"/>
              <w:right w:val="single" w:sz="4" w:space="0" w:color="auto"/>
            </w:tcBorders>
            <w:shd w:val="clear" w:color="auto" w:fill="auto"/>
            <w:noWrap/>
            <w:vAlign w:val="bottom"/>
            <w:hideMark/>
          </w:tcPr>
          <w:p w14:paraId="0540ACA8" w14:textId="77777777" w:rsidR="003A3CE0" w:rsidRPr="000855B2" w:rsidRDefault="003A3CE0" w:rsidP="009C4D4C">
            <w:pPr>
              <w:spacing w:line="240" w:lineRule="auto"/>
              <w:jc w:val="center"/>
              <w:rPr>
                <w:sz w:val="16"/>
                <w:szCs w:val="16"/>
                <w:lang w:val="en-GB"/>
              </w:rPr>
            </w:pPr>
            <w:r w:rsidRPr="000855B2">
              <w:rPr>
                <w:sz w:val="16"/>
                <w:szCs w:val="16"/>
                <w:lang w:val="en-GB"/>
              </w:rPr>
              <w:t>2.26</w:t>
            </w:r>
          </w:p>
        </w:tc>
        <w:tc>
          <w:tcPr>
            <w:tcW w:w="1559" w:type="dxa"/>
            <w:tcBorders>
              <w:top w:val="nil"/>
              <w:left w:val="nil"/>
              <w:bottom w:val="nil"/>
              <w:right w:val="single" w:sz="4" w:space="0" w:color="auto"/>
            </w:tcBorders>
            <w:shd w:val="clear" w:color="auto" w:fill="auto"/>
            <w:noWrap/>
            <w:vAlign w:val="bottom"/>
            <w:hideMark/>
          </w:tcPr>
          <w:p w14:paraId="1D2C6055" w14:textId="77777777" w:rsidR="003A3CE0" w:rsidRPr="000855B2" w:rsidRDefault="003A3CE0" w:rsidP="009C4D4C">
            <w:pPr>
              <w:spacing w:line="240" w:lineRule="auto"/>
              <w:jc w:val="center"/>
              <w:rPr>
                <w:sz w:val="16"/>
                <w:szCs w:val="16"/>
                <w:lang w:val="en-GB"/>
              </w:rPr>
            </w:pPr>
            <w:r w:rsidRPr="000855B2">
              <w:rPr>
                <w:sz w:val="16"/>
                <w:szCs w:val="16"/>
                <w:lang w:val="en-GB"/>
              </w:rPr>
              <w:t>0.27</w:t>
            </w:r>
          </w:p>
        </w:tc>
        <w:tc>
          <w:tcPr>
            <w:tcW w:w="576" w:type="dxa"/>
            <w:tcBorders>
              <w:top w:val="nil"/>
              <w:left w:val="nil"/>
              <w:bottom w:val="nil"/>
              <w:right w:val="single" w:sz="4" w:space="0" w:color="auto"/>
            </w:tcBorders>
            <w:shd w:val="clear" w:color="auto" w:fill="auto"/>
            <w:noWrap/>
            <w:vAlign w:val="bottom"/>
            <w:hideMark/>
          </w:tcPr>
          <w:p w14:paraId="4A78524D" w14:textId="77777777" w:rsidR="003A3CE0" w:rsidRPr="000855B2" w:rsidRDefault="003A3CE0" w:rsidP="009C4D4C">
            <w:pPr>
              <w:spacing w:line="240" w:lineRule="auto"/>
              <w:jc w:val="center"/>
              <w:rPr>
                <w:sz w:val="16"/>
                <w:szCs w:val="16"/>
                <w:lang w:val="en-GB"/>
              </w:rPr>
            </w:pPr>
            <w:r w:rsidRPr="000855B2">
              <w:rPr>
                <w:sz w:val="16"/>
                <w:szCs w:val="16"/>
                <w:lang w:val="en-GB"/>
              </w:rPr>
              <w:t>0.40</w:t>
            </w:r>
          </w:p>
        </w:tc>
        <w:tc>
          <w:tcPr>
            <w:tcW w:w="576" w:type="dxa"/>
            <w:tcBorders>
              <w:top w:val="nil"/>
              <w:left w:val="nil"/>
              <w:bottom w:val="nil"/>
              <w:right w:val="double" w:sz="6" w:space="0" w:color="auto"/>
            </w:tcBorders>
            <w:shd w:val="clear" w:color="auto" w:fill="auto"/>
            <w:noWrap/>
            <w:vAlign w:val="bottom"/>
            <w:hideMark/>
          </w:tcPr>
          <w:p w14:paraId="04FA415F" w14:textId="77777777" w:rsidR="003A3CE0" w:rsidRPr="000855B2" w:rsidRDefault="003A3CE0" w:rsidP="009C4D4C">
            <w:pPr>
              <w:spacing w:line="240" w:lineRule="auto"/>
              <w:jc w:val="center"/>
              <w:rPr>
                <w:sz w:val="16"/>
                <w:szCs w:val="16"/>
                <w:lang w:val="en-GB"/>
              </w:rPr>
            </w:pPr>
            <w:r w:rsidRPr="000855B2">
              <w:rPr>
                <w:sz w:val="16"/>
                <w:szCs w:val="16"/>
                <w:lang w:val="en-GB"/>
              </w:rPr>
              <w:t>0.26</w:t>
            </w:r>
          </w:p>
        </w:tc>
      </w:tr>
      <w:tr w:rsidR="003A3CE0" w:rsidRPr="000855B2" w14:paraId="37115EF9"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1E0F0AA7"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42186596" w14:textId="77777777" w:rsidR="003A3CE0" w:rsidRPr="000855B2" w:rsidRDefault="003A3CE0" w:rsidP="009C4D4C">
            <w:pPr>
              <w:spacing w:line="240" w:lineRule="auto"/>
              <w:rPr>
                <w:sz w:val="16"/>
                <w:szCs w:val="16"/>
                <w:lang w:val="en-GB"/>
              </w:rPr>
            </w:pPr>
            <w:r w:rsidRPr="000855B2">
              <w:rPr>
                <w:sz w:val="16"/>
                <w:szCs w:val="16"/>
                <w:lang w:val="en-GB"/>
              </w:rPr>
              <w:t>1,2,3 trimethylbenzene</w:t>
            </w:r>
          </w:p>
        </w:tc>
        <w:tc>
          <w:tcPr>
            <w:tcW w:w="992" w:type="dxa"/>
            <w:tcBorders>
              <w:top w:val="nil"/>
              <w:left w:val="nil"/>
              <w:bottom w:val="nil"/>
              <w:right w:val="single" w:sz="4" w:space="0" w:color="auto"/>
            </w:tcBorders>
            <w:shd w:val="clear" w:color="auto" w:fill="auto"/>
            <w:noWrap/>
            <w:vAlign w:val="bottom"/>
            <w:hideMark/>
          </w:tcPr>
          <w:p w14:paraId="3CFDF8D2" w14:textId="77777777" w:rsidR="003A3CE0" w:rsidRPr="000855B2" w:rsidRDefault="003A3CE0" w:rsidP="009C4D4C">
            <w:pPr>
              <w:spacing w:line="240" w:lineRule="auto"/>
              <w:jc w:val="center"/>
              <w:rPr>
                <w:sz w:val="16"/>
                <w:szCs w:val="16"/>
                <w:lang w:val="en-GB"/>
              </w:rPr>
            </w:pPr>
            <w:r w:rsidRPr="000855B2">
              <w:rPr>
                <w:sz w:val="16"/>
                <w:szCs w:val="16"/>
                <w:lang w:val="en-GB"/>
              </w:rPr>
              <w:t>0.59</w:t>
            </w:r>
          </w:p>
        </w:tc>
        <w:tc>
          <w:tcPr>
            <w:tcW w:w="1134" w:type="dxa"/>
            <w:tcBorders>
              <w:top w:val="nil"/>
              <w:left w:val="nil"/>
              <w:bottom w:val="nil"/>
              <w:right w:val="single" w:sz="4" w:space="0" w:color="auto"/>
            </w:tcBorders>
            <w:shd w:val="clear" w:color="auto" w:fill="auto"/>
            <w:noWrap/>
            <w:vAlign w:val="bottom"/>
            <w:hideMark/>
          </w:tcPr>
          <w:p w14:paraId="763F5525"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1559" w:type="dxa"/>
            <w:tcBorders>
              <w:top w:val="nil"/>
              <w:left w:val="nil"/>
              <w:bottom w:val="nil"/>
              <w:right w:val="single" w:sz="4" w:space="0" w:color="auto"/>
            </w:tcBorders>
            <w:shd w:val="clear" w:color="auto" w:fill="auto"/>
            <w:noWrap/>
            <w:vAlign w:val="bottom"/>
            <w:hideMark/>
          </w:tcPr>
          <w:p w14:paraId="76B269DE" w14:textId="77777777" w:rsidR="003A3CE0" w:rsidRPr="000855B2" w:rsidRDefault="003A3CE0" w:rsidP="009C4D4C">
            <w:pPr>
              <w:spacing w:line="240" w:lineRule="auto"/>
              <w:jc w:val="center"/>
              <w:rPr>
                <w:sz w:val="16"/>
                <w:szCs w:val="16"/>
                <w:lang w:val="en-GB"/>
              </w:rPr>
            </w:pPr>
            <w:r w:rsidRPr="000855B2">
              <w:rPr>
                <w:sz w:val="16"/>
                <w:szCs w:val="16"/>
                <w:lang w:val="en-GB"/>
              </w:rPr>
              <w:t>0.25</w:t>
            </w:r>
          </w:p>
        </w:tc>
        <w:tc>
          <w:tcPr>
            <w:tcW w:w="576" w:type="dxa"/>
            <w:tcBorders>
              <w:top w:val="nil"/>
              <w:left w:val="nil"/>
              <w:bottom w:val="nil"/>
              <w:right w:val="single" w:sz="4" w:space="0" w:color="auto"/>
            </w:tcBorders>
            <w:shd w:val="clear" w:color="auto" w:fill="auto"/>
            <w:noWrap/>
            <w:vAlign w:val="bottom"/>
            <w:hideMark/>
          </w:tcPr>
          <w:p w14:paraId="35946C8D" w14:textId="77777777" w:rsidR="003A3CE0" w:rsidRPr="000855B2" w:rsidRDefault="003A3CE0" w:rsidP="009C4D4C">
            <w:pPr>
              <w:spacing w:line="240" w:lineRule="auto"/>
              <w:jc w:val="center"/>
              <w:rPr>
                <w:sz w:val="16"/>
                <w:szCs w:val="16"/>
                <w:lang w:val="en-GB"/>
              </w:rPr>
            </w:pPr>
            <w:r w:rsidRPr="000855B2">
              <w:rPr>
                <w:sz w:val="16"/>
                <w:szCs w:val="16"/>
                <w:lang w:val="en-GB"/>
              </w:rPr>
              <w:t>0.30</w:t>
            </w:r>
          </w:p>
        </w:tc>
        <w:tc>
          <w:tcPr>
            <w:tcW w:w="576" w:type="dxa"/>
            <w:tcBorders>
              <w:top w:val="nil"/>
              <w:left w:val="nil"/>
              <w:bottom w:val="nil"/>
              <w:right w:val="double" w:sz="6" w:space="0" w:color="auto"/>
            </w:tcBorders>
            <w:shd w:val="clear" w:color="auto" w:fill="auto"/>
            <w:noWrap/>
            <w:vAlign w:val="bottom"/>
            <w:hideMark/>
          </w:tcPr>
          <w:p w14:paraId="1A151D4A" w14:textId="77777777" w:rsidR="003A3CE0" w:rsidRPr="000855B2" w:rsidRDefault="003A3CE0" w:rsidP="009C4D4C">
            <w:pPr>
              <w:spacing w:line="240" w:lineRule="auto"/>
              <w:jc w:val="center"/>
              <w:rPr>
                <w:sz w:val="16"/>
                <w:szCs w:val="16"/>
                <w:lang w:val="en-GB"/>
              </w:rPr>
            </w:pPr>
            <w:r w:rsidRPr="000855B2">
              <w:rPr>
                <w:sz w:val="16"/>
                <w:szCs w:val="16"/>
                <w:lang w:val="en-GB"/>
              </w:rPr>
              <w:t>0.05</w:t>
            </w:r>
          </w:p>
        </w:tc>
      </w:tr>
      <w:tr w:rsidR="003A3CE0" w:rsidRPr="000855B2" w14:paraId="141F5419"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30754E0D"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1F40092A" w14:textId="77777777" w:rsidR="003A3CE0" w:rsidRPr="000855B2" w:rsidRDefault="003A3CE0" w:rsidP="009C4D4C">
            <w:pPr>
              <w:spacing w:line="240" w:lineRule="auto"/>
              <w:rPr>
                <w:sz w:val="16"/>
                <w:szCs w:val="16"/>
                <w:lang w:val="en-GB"/>
              </w:rPr>
            </w:pPr>
            <w:r w:rsidRPr="000855B2">
              <w:rPr>
                <w:sz w:val="16"/>
                <w:szCs w:val="16"/>
                <w:lang w:val="en-GB"/>
              </w:rPr>
              <w:t>1,2,4 trimethylbenzene</w:t>
            </w:r>
          </w:p>
        </w:tc>
        <w:tc>
          <w:tcPr>
            <w:tcW w:w="992" w:type="dxa"/>
            <w:tcBorders>
              <w:top w:val="nil"/>
              <w:left w:val="nil"/>
              <w:bottom w:val="nil"/>
              <w:right w:val="single" w:sz="4" w:space="0" w:color="auto"/>
            </w:tcBorders>
            <w:shd w:val="clear" w:color="auto" w:fill="auto"/>
            <w:noWrap/>
            <w:vAlign w:val="bottom"/>
            <w:hideMark/>
          </w:tcPr>
          <w:p w14:paraId="76AC4BD3" w14:textId="77777777" w:rsidR="003A3CE0" w:rsidRPr="000855B2" w:rsidRDefault="003A3CE0" w:rsidP="009C4D4C">
            <w:pPr>
              <w:spacing w:line="240" w:lineRule="auto"/>
              <w:jc w:val="center"/>
              <w:rPr>
                <w:sz w:val="16"/>
                <w:szCs w:val="16"/>
                <w:lang w:val="en-GB"/>
              </w:rPr>
            </w:pPr>
            <w:r w:rsidRPr="000855B2">
              <w:rPr>
                <w:sz w:val="16"/>
                <w:szCs w:val="16"/>
                <w:lang w:val="en-GB"/>
              </w:rPr>
              <w:t>2.53</w:t>
            </w:r>
          </w:p>
        </w:tc>
        <w:tc>
          <w:tcPr>
            <w:tcW w:w="1134" w:type="dxa"/>
            <w:tcBorders>
              <w:top w:val="nil"/>
              <w:left w:val="nil"/>
              <w:bottom w:val="nil"/>
              <w:right w:val="single" w:sz="4" w:space="0" w:color="auto"/>
            </w:tcBorders>
            <w:shd w:val="clear" w:color="auto" w:fill="auto"/>
            <w:noWrap/>
            <w:vAlign w:val="bottom"/>
            <w:hideMark/>
          </w:tcPr>
          <w:p w14:paraId="4AE5C700" w14:textId="77777777" w:rsidR="003A3CE0" w:rsidRPr="000855B2" w:rsidRDefault="003A3CE0" w:rsidP="009C4D4C">
            <w:pPr>
              <w:spacing w:line="240" w:lineRule="auto"/>
              <w:jc w:val="center"/>
              <w:rPr>
                <w:sz w:val="16"/>
                <w:szCs w:val="16"/>
                <w:lang w:val="en-GB"/>
              </w:rPr>
            </w:pPr>
            <w:r w:rsidRPr="000855B2">
              <w:rPr>
                <w:sz w:val="16"/>
                <w:szCs w:val="16"/>
                <w:lang w:val="en-GB"/>
              </w:rPr>
              <w:t>4.21</w:t>
            </w:r>
          </w:p>
        </w:tc>
        <w:tc>
          <w:tcPr>
            <w:tcW w:w="1559" w:type="dxa"/>
            <w:tcBorders>
              <w:top w:val="nil"/>
              <w:left w:val="nil"/>
              <w:bottom w:val="nil"/>
              <w:right w:val="single" w:sz="4" w:space="0" w:color="auto"/>
            </w:tcBorders>
            <w:shd w:val="clear" w:color="auto" w:fill="auto"/>
            <w:noWrap/>
            <w:vAlign w:val="bottom"/>
            <w:hideMark/>
          </w:tcPr>
          <w:p w14:paraId="6C1033D3" w14:textId="77777777" w:rsidR="003A3CE0" w:rsidRPr="000855B2" w:rsidRDefault="003A3CE0" w:rsidP="009C4D4C">
            <w:pPr>
              <w:spacing w:line="240" w:lineRule="auto"/>
              <w:jc w:val="center"/>
              <w:rPr>
                <w:sz w:val="16"/>
                <w:szCs w:val="16"/>
                <w:lang w:val="en-GB"/>
              </w:rPr>
            </w:pPr>
            <w:r w:rsidRPr="000855B2">
              <w:rPr>
                <w:sz w:val="16"/>
                <w:szCs w:val="16"/>
                <w:lang w:val="en-GB"/>
              </w:rPr>
              <w:t>0.57</w:t>
            </w:r>
          </w:p>
        </w:tc>
        <w:tc>
          <w:tcPr>
            <w:tcW w:w="576" w:type="dxa"/>
            <w:tcBorders>
              <w:top w:val="nil"/>
              <w:left w:val="nil"/>
              <w:bottom w:val="nil"/>
              <w:right w:val="single" w:sz="4" w:space="0" w:color="auto"/>
            </w:tcBorders>
            <w:shd w:val="clear" w:color="auto" w:fill="auto"/>
            <w:noWrap/>
            <w:vAlign w:val="bottom"/>
            <w:hideMark/>
          </w:tcPr>
          <w:p w14:paraId="44A103EA" w14:textId="77777777" w:rsidR="003A3CE0" w:rsidRPr="000855B2" w:rsidRDefault="003A3CE0" w:rsidP="009C4D4C">
            <w:pPr>
              <w:spacing w:line="240" w:lineRule="auto"/>
              <w:jc w:val="center"/>
              <w:rPr>
                <w:sz w:val="16"/>
                <w:szCs w:val="16"/>
                <w:lang w:val="en-GB"/>
              </w:rPr>
            </w:pPr>
            <w:r w:rsidRPr="000855B2">
              <w:rPr>
                <w:sz w:val="16"/>
                <w:szCs w:val="16"/>
                <w:lang w:val="en-GB"/>
              </w:rPr>
              <w:t>0.86</w:t>
            </w:r>
          </w:p>
        </w:tc>
        <w:tc>
          <w:tcPr>
            <w:tcW w:w="576" w:type="dxa"/>
            <w:tcBorders>
              <w:top w:val="nil"/>
              <w:left w:val="nil"/>
              <w:bottom w:val="nil"/>
              <w:right w:val="double" w:sz="6" w:space="0" w:color="auto"/>
            </w:tcBorders>
            <w:shd w:val="clear" w:color="auto" w:fill="auto"/>
            <w:noWrap/>
            <w:vAlign w:val="bottom"/>
            <w:hideMark/>
          </w:tcPr>
          <w:p w14:paraId="701FEEF6" w14:textId="77777777" w:rsidR="003A3CE0" w:rsidRPr="000855B2" w:rsidRDefault="003A3CE0" w:rsidP="009C4D4C">
            <w:pPr>
              <w:spacing w:line="240" w:lineRule="auto"/>
              <w:jc w:val="center"/>
              <w:rPr>
                <w:sz w:val="16"/>
                <w:szCs w:val="16"/>
                <w:lang w:val="en-GB"/>
              </w:rPr>
            </w:pPr>
            <w:r w:rsidRPr="000855B2">
              <w:rPr>
                <w:sz w:val="16"/>
                <w:szCs w:val="16"/>
                <w:lang w:val="en-GB"/>
              </w:rPr>
              <w:t>0.25</w:t>
            </w:r>
          </w:p>
        </w:tc>
      </w:tr>
      <w:tr w:rsidR="003A3CE0" w:rsidRPr="000855B2" w14:paraId="074DFD0C"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10E9F8F5"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7B00997B" w14:textId="77777777" w:rsidR="003A3CE0" w:rsidRPr="000855B2" w:rsidRDefault="003A3CE0" w:rsidP="009C4D4C">
            <w:pPr>
              <w:spacing w:line="240" w:lineRule="auto"/>
              <w:rPr>
                <w:sz w:val="16"/>
                <w:szCs w:val="16"/>
                <w:lang w:val="en-GB"/>
              </w:rPr>
            </w:pPr>
            <w:r w:rsidRPr="000855B2">
              <w:rPr>
                <w:sz w:val="16"/>
                <w:szCs w:val="16"/>
                <w:lang w:val="en-GB"/>
              </w:rPr>
              <w:t>1,3,5 trimethylbenzene</w:t>
            </w:r>
          </w:p>
        </w:tc>
        <w:tc>
          <w:tcPr>
            <w:tcW w:w="992" w:type="dxa"/>
            <w:tcBorders>
              <w:top w:val="nil"/>
              <w:left w:val="nil"/>
              <w:bottom w:val="nil"/>
              <w:right w:val="single" w:sz="4" w:space="0" w:color="auto"/>
            </w:tcBorders>
            <w:shd w:val="clear" w:color="auto" w:fill="auto"/>
            <w:noWrap/>
            <w:vAlign w:val="bottom"/>
            <w:hideMark/>
          </w:tcPr>
          <w:p w14:paraId="610CF2A7" w14:textId="77777777" w:rsidR="003A3CE0" w:rsidRPr="000855B2" w:rsidRDefault="003A3CE0" w:rsidP="009C4D4C">
            <w:pPr>
              <w:spacing w:line="240" w:lineRule="auto"/>
              <w:jc w:val="center"/>
              <w:rPr>
                <w:sz w:val="16"/>
                <w:szCs w:val="16"/>
                <w:lang w:val="en-GB"/>
              </w:rPr>
            </w:pPr>
            <w:r w:rsidRPr="000855B2">
              <w:rPr>
                <w:sz w:val="16"/>
                <w:szCs w:val="16"/>
                <w:lang w:val="en-GB"/>
              </w:rPr>
              <w:t>1.11</w:t>
            </w:r>
          </w:p>
        </w:tc>
        <w:tc>
          <w:tcPr>
            <w:tcW w:w="1134" w:type="dxa"/>
            <w:tcBorders>
              <w:top w:val="nil"/>
              <w:left w:val="nil"/>
              <w:bottom w:val="nil"/>
              <w:right w:val="single" w:sz="4" w:space="0" w:color="auto"/>
            </w:tcBorders>
            <w:shd w:val="clear" w:color="auto" w:fill="auto"/>
            <w:noWrap/>
            <w:vAlign w:val="bottom"/>
            <w:hideMark/>
          </w:tcPr>
          <w:p w14:paraId="48C5CAF5" w14:textId="77777777" w:rsidR="003A3CE0" w:rsidRPr="000855B2" w:rsidRDefault="003A3CE0" w:rsidP="009C4D4C">
            <w:pPr>
              <w:spacing w:line="240" w:lineRule="auto"/>
              <w:jc w:val="center"/>
              <w:rPr>
                <w:sz w:val="16"/>
                <w:szCs w:val="16"/>
                <w:lang w:val="en-GB"/>
              </w:rPr>
            </w:pPr>
            <w:r w:rsidRPr="000855B2">
              <w:rPr>
                <w:sz w:val="16"/>
                <w:szCs w:val="16"/>
                <w:lang w:val="en-GB"/>
              </w:rPr>
              <w:t>1.42</w:t>
            </w:r>
          </w:p>
        </w:tc>
        <w:tc>
          <w:tcPr>
            <w:tcW w:w="1559" w:type="dxa"/>
            <w:tcBorders>
              <w:top w:val="nil"/>
              <w:left w:val="nil"/>
              <w:bottom w:val="nil"/>
              <w:right w:val="single" w:sz="4" w:space="0" w:color="auto"/>
            </w:tcBorders>
            <w:shd w:val="clear" w:color="auto" w:fill="auto"/>
            <w:noWrap/>
            <w:vAlign w:val="bottom"/>
            <w:hideMark/>
          </w:tcPr>
          <w:p w14:paraId="6707EE1F" w14:textId="77777777" w:rsidR="003A3CE0" w:rsidRPr="000855B2" w:rsidRDefault="003A3CE0" w:rsidP="009C4D4C">
            <w:pPr>
              <w:spacing w:line="240" w:lineRule="auto"/>
              <w:jc w:val="center"/>
              <w:rPr>
                <w:sz w:val="16"/>
                <w:szCs w:val="16"/>
                <w:lang w:val="en-GB"/>
              </w:rPr>
            </w:pPr>
            <w:r w:rsidRPr="000855B2">
              <w:rPr>
                <w:sz w:val="16"/>
                <w:szCs w:val="16"/>
                <w:lang w:val="en-GB"/>
              </w:rPr>
              <w:t>0.31</w:t>
            </w:r>
          </w:p>
        </w:tc>
        <w:tc>
          <w:tcPr>
            <w:tcW w:w="576" w:type="dxa"/>
            <w:tcBorders>
              <w:top w:val="nil"/>
              <w:left w:val="nil"/>
              <w:bottom w:val="nil"/>
              <w:right w:val="single" w:sz="4" w:space="0" w:color="auto"/>
            </w:tcBorders>
            <w:shd w:val="clear" w:color="auto" w:fill="auto"/>
            <w:noWrap/>
            <w:vAlign w:val="bottom"/>
            <w:hideMark/>
          </w:tcPr>
          <w:p w14:paraId="3647024A" w14:textId="77777777" w:rsidR="003A3CE0" w:rsidRPr="000855B2" w:rsidRDefault="003A3CE0" w:rsidP="009C4D4C">
            <w:pPr>
              <w:spacing w:line="240" w:lineRule="auto"/>
              <w:jc w:val="center"/>
              <w:rPr>
                <w:sz w:val="16"/>
                <w:szCs w:val="16"/>
                <w:lang w:val="en-GB"/>
              </w:rPr>
            </w:pPr>
            <w:r w:rsidRPr="000855B2">
              <w:rPr>
                <w:sz w:val="16"/>
                <w:szCs w:val="16"/>
                <w:lang w:val="en-GB"/>
              </w:rPr>
              <w:t>0.45</w:t>
            </w:r>
          </w:p>
        </w:tc>
        <w:tc>
          <w:tcPr>
            <w:tcW w:w="576" w:type="dxa"/>
            <w:tcBorders>
              <w:top w:val="nil"/>
              <w:left w:val="nil"/>
              <w:bottom w:val="nil"/>
              <w:right w:val="double" w:sz="6" w:space="0" w:color="auto"/>
            </w:tcBorders>
            <w:shd w:val="clear" w:color="auto" w:fill="auto"/>
            <w:noWrap/>
            <w:vAlign w:val="bottom"/>
            <w:hideMark/>
          </w:tcPr>
          <w:p w14:paraId="5D2FA15B" w14:textId="77777777" w:rsidR="003A3CE0" w:rsidRPr="000855B2" w:rsidRDefault="003A3CE0" w:rsidP="009C4D4C">
            <w:pPr>
              <w:spacing w:line="240" w:lineRule="auto"/>
              <w:jc w:val="center"/>
              <w:rPr>
                <w:sz w:val="16"/>
                <w:szCs w:val="16"/>
                <w:lang w:val="en-GB"/>
              </w:rPr>
            </w:pPr>
            <w:r w:rsidRPr="000855B2">
              <w:rPr>
                <w:sz w:val="16"/>
                <w:szCs w:val="16"/>
                <w:lang w:val="en-GB"/>
              </w:rPr>
              <w:t>0.08</w:t>
            </w:r>
          </w:p>
        </w:tc>
      </w:tr>
      <w:tr w:rsidR="003A3CE0" w:rsidRPr="000855B2" w14:paraId="0B22B196"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55F178CB"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2BB3EFDF" w14:textId="77777777" w:rsidR="003A3CE0" w:rsidRPr="000855B2" w:rsidRDefault="003A3CE0" w:rsidP="009C4D4C">
            <w:pPr>
              <w:spacing w:line="240" w:lineRule="auto"/>
              <w:rPr>
                <w:sz w:val="16"/>
                <w:szCs w:val="16"/>
                <w:lang w:val="en-GB"/>
              </w:rPr>
            </w:pPr>
            <w:r w:rsidRPr="000855B2">
              <w:rPr>
                <w:sz w:val="16"/>
                <w:szCs w:val="16"/>
                <w:lang w:val="en-GB"/>
              </w:rPr>
              <w:t>styrene</w:t>
            </w:r>
          </w:p>
        </w:tc>
        <w:tc>
          <w:tcPr>
            <w:tcW w:w="992" w:type="dxa"/>
            <w:tcBorders>
              <w:top w:val="nil"/>
              <w:left w:val="nil"/>
              <w:bottom w:val="nil"/>
              <w:right w:val="single" w:sz="4" w:space="0" w:color="auto"/>
            </w:tcBorders>
            <w:shd w:val="clear" w:color="auto" w:fill="auto"/>
            <w:noWrap/>
            <w:vAlign w:val="bottom"/>
            <w:hideMark/>
          </w:tcPr>
          <w:p w14:paraId="3105F59C" w14:textId="77777777" w:rsidR="003A3CE0" w:rsidRPr="000855B2" w:rsidRDefault="003A3CE0" w:rsidP="009C4D4C">
            <w:pPr>
              <w:spacing w:line="240" w:lineRule="auto"/>
              <w:jc w:val="center"/>
              <w:rPr>
                <w:sz w:val="16"/>
                <w:szCs w:val="16"/>
                <w:lang w:val="en-GB"/>
              </w:rPr>
            </w:pPr>
            <w:r w:rsidRPr="000855B2">
              <w:rPr>
                <w:sz w:val="16"/>
                <w:szCs w:val="16"/>
                <w:lang w:val="en-GB"/>
              </w:rPr>
              <w:t>0.57</w:t>
            </w:r>
          </w:p>
        </w:tc>
        <w:tc>
          <w:tcPr>
            <w:tcW w:w="1134" w:type="dxa"/>
            <w:tcBorders>
              <w:top w:val="nil"/>
              <w:left w:val="nil"/>
              <w:bottom w:val="nil"/>
              <w:right w:val="single" w:sz="4" w:space="0" w:color="auto"/>
            </w:tcBorders>
            <w:shd w:val="clear" w:color="auto" w:fill="auto"/>
            <w:noWrap/>
            <w:vAlign w:val="bottom"/>
            <w:hideMark/>
          </w:tcPr>
          <w:p w14:paraId="4CAC32F8" w14:textId="77777777" w:rsidR="003A3CE0" w:rsidRPr="000855B2" w:rsidRDefault="003A3CE0" w:rsidP="009C4D4C">
            <w:pPr>
              <w:spacing w:line="240" w:lineRule="auto"/>
              <w:jc w:val="center"/>
              <w:rPr>
                <w:sz w:val="16"/>
                <w:szCs w:val="16"/>
                <w:lang w:val="en-GB"/>
              </w:rPr>
            </w:pPr>
            <w:r w:rsidRPr="000855B2">
              <w:rPr>
                <w:sz w:val="16"/>
                <w:szCs w:val="16"/>
                <w:lang w:val="en-GB"/>
              </w:rPr>
              <w:t>1.01</w:t>
            </w:r>
          </w:p>
        </w:tc>
        <w:tc>
          <w:tcPr>
            <w:tcW w:w="1559" w:type="dxa"/>
            <w:tcBorders>
              <w:top w:val="nil"/>
              <w:left w:val="nil"/>
              <w:bottom w:val="nil"/>
              <w:right w:val="single" w:sz="4" w:space="0" w:color="auto"/>
            </w:tcBorders>
            <w:shd w:val="clear" w:color="auto" w:fill="auto"/>
            <w:noWrap/>
            <w:vAlign w:val="bottom"/>
            <w:hideMark/>
          </w:tcPr>
          <w:p w14:paraId="052C3102" w14:textId="77777777" w:rsidR="003A3CE0" w:rsidRPr="000855B2" w:rsidRDefault="003A3CE0" w:rsidP="009C4D4C">
            <w:pPr>
              <w:spacing w:line="240" w:lineRule="auto"/>
              <w:jc w:val="center"/>
              <w:rPr>
                <w:sz w:val="16"/>
                <w:szCs w:val="16"/>
                <w:lang w:val="en-GB"/>
              </w:rPr>
            </w:pPr>
            <w:r w:rsidRPr="000855B2">
              <w:rPr>
                <w:sz w:val="16"/>
                <w:szCs w:val="16"/>
                <w:lang w:val="en-GB"/>
              </w:rPr>
              <w:t>0.37</w:t>
            </w:r>
          </w:p>
        </w:tc>
        <w:tc>
          <w:tcPr>
            <w:tcW w:w="576" w:type="dxa"/>
            <w:tcBorders>
              <w:top w:val="nil"/>
              <w:left w:val="nil"/>
              <w:bottom w:val="nil"/>
              <w:right w:val="single" w:sz="4" w:space="0" w:color="auto"/>
            </w:tcBorders>
            <w:shd w:val="clear" w:color="auto" w:fill="auto"/>
            <w:noWrap/>
            <w:vAlign w:val="bottom"/>
            <w:hideMark/>
          </w:tcPr>
          <w:p w14:paraId="0B60D632" w14:textId="77777777" w:rsidR="003A3CE0" w:rsidRPr="000855B2" w:rsidRDefault="003A3CE0" w:rsidP="009C4D4C">
            <w:pPr>
              <w:spacing w:line="240" w:lineRule="auto"/>
              <w:jc w:val="center"/>
              <w:rPr>
                <w:sz w:val="16"/>
                <w:szCs w:val="16"/>
                <w:lang w:val="en-GB"/>
              </w:rPr>
            </w:pPr>
            <w:r w:rsidRPr="000855B2">
              <w:rPr>
                <w:sz w:val="16"/>
                <w:szCs w:val="16"/>
                <w:lang w:val="en-GB"/>
              </w:rPr>
              <w:t>0.56</w:t>
            </w:r>
          </w:p>
        </w:tc>
        <w:tc>
          <w:tcPr>
            <w:tcW w:w="576" w:type="dxa"/>
            <w:tcBorders>
              <w:top w:val="nil"/>
              <w:left w:val="nil"/>
              <w:bottom w:val="nil"/>
              <w:right w:val="double" w:sz="6" w:space="0" w:color="auto"/>
            </w:tcBorders>
            <w:shd w:val="clear" w:color="auto" w:fill="auto"/>
            <w:noWrap/>
            <w:vAlign w:val="bottom"/>
            <w:hideMark/>
          </w:tcPr>
          <w:p w14:paraId="1D06060C" w14:textId="77777777" w:rsidR="003A3CE0" w:rsidRPr="000855B2" w:rsidRDefault="003A3CE0" w:rsidP="009C4D4C">
            <w:pPr>
              <w:spacing w:line="240" w:lineRule="auto"/>
              <w:jc w:val="center"/>
              <w:rPr>
                <w:sz w:val="16"/>
                <w:szCs w:val="16"/>
                <w:lang w:val="en-GB"/>
              </w:rPr>
            </w:pPr>
            <w:r w:rsidRPr="000855B2">
              <w:rPr>
                <w:sz w:val="16"/>
                <w:szCs w:val="16"/>
                <w:lang w:val="en-GB"/>
              </w:rPr>
              <w:t>0.02</w:t>
            </w:r>
          </w:p>
        </w:tc>
      </w:tr>
      <w:tr w:rsidR="003A3CE0" w:rsidRPr="000855B2" w14:paraId="4D1189E7"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4D0375F2"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18D0B66F" w14:textId="77777777" w:rsidR="003A3CE0" w:rsidRPr="000855B2" w:rsidRDefault="003A3CE0" w:rsidP="009C4D4C">
            <w:pPr>
              <w:spacing w:line="240" w:lineRule="auto"/>
              <w:rPr>
                <w:sz w:val="16"/>
                <w:szCs w:val="16"/>
                <w:lang w:val="en-GB"/>
              </w:rPr>
            </w:pPr>
            <w:r w:rsidRPr="000855B2">
              <w:rPr>
                <w:sz w:val="16"/>
                <w:szCs w:val="16"/>
                <w:lang w:val="en-GB"/>
              </w:rPr>
              <w:t>benzene</w:t>
            </w:r>
          </w:p>
        </w:tc>
        <w:tc>
          <w:tcPr>
            <w:tcW w:w="992" w:type="dxa"/>
            <w:tcBorders>
              <w:top w:val="nil"/>
              <w:left w:val="nil"/>
              <w:bottom w:val="nil"/>
              <w:right w:val="single" w:sz="4" w:space="0" w:color="auto"/>
            </w:tcBorders>
            <w:shd w:val="clear" w:color="auto" w:fill="auto"/>
            <w:noWrap/>
            <w:vAlign w:val="bottom"/>
            <w:hideMark/>
          </w:tcPr>
          <w:p w14:paraId="19F37AEC" w14:textId="77777777" w:rsidR="003A3CE0" w:rsidRPr="000855B2" w:rsidRDefault="003A3CE0" w:rsidP="009C4D4C">
            <w:pPr>
              <w:spacing w:line="240" w:lineRule="auto"/>
              <w:jc w:val="center"/>
              <w:rPr>
                <w:sz w:val="16"/>
                <w:szCs w:val="16"/>
                <w:lang w:val="en-GB"/>
              </w:rPr>
            </w:pPr>
            <w:r w:rsidRPr="000855B2">
              <w:rPr>
                <w:sz w:val="16"/>
                <w:szCs w:val="16"/>
                <w:lang w:val="en-GB"/>
              </w:rPr>
              <w:t>6.83</w:t>
            </w:r>
          </w:p>
        </w:tc>
        <w:tc>
          <w:tcPr>
            <w:tcW w:w="1134" w:type="dxa"/>
            <w:tcBorders>
              <w:top w:val="nil"/>
              <w:left w:val="nil"/>
              <w:bottom w:val="nil"/>
              <w:right w:val="single" w:sz="4" w:space="0" w:color="auto"/>
            </w:tcBorders>
            <w:shd w:val="clear" w:color="auto" w:fill="auto"/>
            <w:noWrap/>
            <w:vAlign w:val="bottom"/>
            <w:hideMark/>
          </w:tcPr>
          <w:p w14:paraId="2CBF64DC" w14:textId="77777777" w:rsidR="003A3CE0" w:rsidRPr="000855B2" w:rsidRDefault="003A3CE0" w:rsidP="009C4D4C">
            <w:pPr>
              <w:spacing w:line="240" w:lineRule="auto"/>
              <w:jc w:val="center"/>
              <w:rPr>
                <w:sz w:val="16"/>
                <w:szCs w:val="16"/>
                <w:lang w:val="en-GB"/>
              </w:rPr>
            </w:pPr>
            <w:r w:rsidRPr="000855B2">
              <w:rPr>
                <w:sz w:val="16"/>
                <w:szCs w:val="16"/>
                <w:lang w:val="en-GB"/>
              </w:rPr>
              <w:t>5.61</w:t>
            </w:r>
          </w:p>
        </w:tc>
        <w:tc>
          <w:tcPr>
            <w:tcW w:w="1559" w:type="dxa"/>
            <w:tcBorders>
              <w:top w:val="nil"/>
              <w:left w:val="nil"/>
              <w:bottom w:val="nil"/>
              <w:right w:val="single" w:sz="4" w:space="0" w:color="auto"/>
            </w:tcBorders>
            <w:shd w:val="clear" w:color="auto" w:fill="auto"/>
            <w:noWrap/>
            <w:vAlign w:val="bottom"/>
            <w:hideMark/>
          </w:tcPr>
          <w:p w14:paraId="458D1D72" w14:textId="77777777" w:rsidR="003A3CE0" w:rsidRPr="000855B2" w:rsidRDefault="003A3CE0" w:rsidP="009C4D4C">
            <w:pPr>
              <w:spacing w:line="240" w:lineRule="auto"/>
              <w:jc w:val="center"/>
              <w:rPr>
                <w:sz w:val="16"/>
                <w:szCs w:val="16"/>
                <w:lang w:val="en-GB"/>
              </w:rPr>
            </w:pPr>
            <w:r w:rsidRPr="000855B2">
              <w:rPr>
                <w:sz w:val="16"/>
                <w:szCs w:val="16"/>
                <w:lang w:val="en-GB"/>
              </w:rPr>
              <w:t>1.98</w:t>
            </w:r>
          </w:p>
        </w:tc>
        <w:tc>
          <w:tcPr>
            <w:tcW w:w="576" w:type="dxa"/>
            <w:tcBorders>
              <w:top w:val="nil"/>
              <w:left w:val="nil"/>
              <w:bottom w:val="nil"/>
              <w:right w:val="single" w:sz="4" w:space="0" w:color="auto"/>
            </w:tcBorders>
            <w:shd w:val="clear" w:color="auto" w:fill="auto"/>
            <w:noWrap/>
            <w:vAlign w:val="bottom"/>
            <w:hideMark/>
          </w:tcPr>
          <w:p w14:paraId="51AF69DE" w14:textId="77777777" w:rsidR="003A3CE0" w:rsidRPr="000855B2" w:rsidRDefault="003A3CE0" w:rsidP="009C4D4C">
            <w:pPr>
              <w:spacing w:line="240" w:lineRule="auto"/>
              <w:jc w:val="center"/>
              <w:rPr>
                <w:sz w:val="16"/>
                <w:szCs w:val="16"/>
                <w:lang w:val="en-GB"/>
              </w:rPr>
            </w:pPr>
            <w:r w:rsidRPr="000855B2">
              <w:rPr>
                <w:sz w:val="16"/>
                <w:szCs w:val="16"/>
                <w:lang w:val="en-GB"/>
              </w:rPr>
              <w:t>0.07</w:t>
            </w:r>
          </w:p>
        </w:tc>
        <w:tc>
          <w:tcPr>
            <w:tcW w:w="576" w:type="dxa"/>
            <w:tcBorders>
              <w:top w:val="nil"/>
              <w:left w:val="nil"/>
              <w:bottom w:val="nil"/>
              <w:right w:val="double" w:sz="6" w:space="0" w:color="auto"/>
            </w:tcBorders>
            <w:shd w:val="clear" w:color="auto" w:fill="auto"/>
            <w:noWrap/>
            <w:vAlign w:val="bottom"/>
            <w:hideMark/>
          </w:tcPr>
          <w:p w14:paraId="517D401D" w14:textId="77777777" w:rsidR="003A3CE0" w:rsidRPr="000855B2" w:rsidRDefault="003A3CE0" w:rsidP="009C4D4C">
            <w:pPr>
              <w:spacing w:line="240" w:lineRule="auto"/>
              <w:jc w:val="center"/>
              <w:rPr>
                <w:sz w:val="16"/>
                <w:szCs w:val="16"/>
                <w:lang w:val="en-GB"/>
              </w:rPr>
            </w:pPr>
            <w:r w:rsidRPr="000855B2">
              <w:rPr>
                <w:sz w:val="16"/>
                <w:szCs w:val="16"/>
                <w:lang w:val="en-GB"/>
              </w:rPr>
              <w:t>0.63</w:t>
            </w:r>
          </w:p>
        </w:tc>
      </w:tr>
      <w:tr w:rsidR="003A3CE0" w:rsidRPr="000855B2" w14:paraId="63D96F30"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34E435F1"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31F61BEB" w14:textId="77777777" w:rsidR="003A3CE0" w:rsidRPr="000855B2" w:rsidRDefault="003A3CE0" w:rsidP="009C4D4C">
            <w:pPr>
              <w:spacing w:line="240" w:lineRule="auto"/>
              <w:rPr>
                <w:sz w:val="16"/>
                <w:szCs w:val="16"/>
                <w:lang w:val="en-GB"/>
              </w:rPr>
            </w:pPr>
            <w:r w:rsidRPr="000855B2">
              <w:rPr>
                <w:sz w:val="16"/>
                <w:szCs w:val="16"/>
                <w:lang w:val="en-GB"/>
              </w:rPr>
              <w:t>C9</w:t>
            </w:r>
          </w:p>
        </w:tc>
        <w:tc>
          <w:tcPr>
            <w:tcW w:w="992" w:type="dxa"/>
            <w:tcBorders>
              <w:top w:val="nil"/>
              <w:left w:val="nil"/>
              <w:bottom w:val="nil"/>
              <w:right w:val="single" w:sz="4" w:space="0" w:color="auto"/>
            </w:tcBorders>
            <w:shd w:val="clear" w:color="auto" w:fill="auto"/>
            <w:noWrap/>
            <w:vAlign w:val="bottom"/>
            <w:hideMark/>
          </w:tcPr>
          <w:p w14:paraId="4999D725" w14:textId="77777777" w:rsidR="003A3CE0" w:rsidRPr="000855B2" w:rsidRDefault="003A3CE0" w:rsidP="009C4D4C">
            <w:pPr>
              <w:spacing w:line="240" w:lineRule="auto"/>
              <w:jc w:val="center"/>
              <w:rPr>
                <w:sz w:val="16"/>
                <w:szCs w:val="16"/>
                <w:lang w:val="en-GB"/>
              </w:rPr>
            </w:pPr>
            <w:r w:rsidRPr="000855B2">
              <w:rPr>
                <w:sz w:val="16"/>
                <w:szCs w:val="16"/>
                <w:lang w:val="en-GB"/>
              </w:rPr>
              <w:t>3.12</w:t>
            </w:r>
          </w:p>
        </w:tc>
        <w:tc>
          <w:tcPr>
            <w:tcW w:w="1134" w:type="dxa"/>
            <w:tcBorders>
              <w:top w:val="nil"/>
              <w:left w:val="nil"/>
              <w:bottom w:val="nil"/>
              <w:right w:val="single" w:sz="4" w:space="0" w:color="auto"/>
            </w:tcBorders>
            <w:shd w:val="clear" w:color="auto" w:fill="auto"/>
            <w:noWrap/>
            <w:vAlign w:val="bottom"/>
            <w:hideMark/>
          </w:tcPr>
          <w:p w14:paraId="2DDF78F0" w14:textId="77777777" w:rsidR="003A3CE0" w:rsidRPr="000855B2" w:rsidRDefault="003A3CE0" w:rsidP="009C4D4C">
            <w:pPr>
              <w:spacing w:line="240" w:lineRule="auto"/>
              <w:jc w:val="center"/>
              <w:rPr>
                <w:sz w:val="16"/>
                <w:szCs w:val="16"/>
                <w:lang w:val="en-GB"/>
              </w:rPr>
            </w:pPr>
            <w:r w:rsidRPr="000855B2">
              <w:rPr>
                <w:sz w:val="16"/>
                <w:szCs w:val="16"/>
                <w:lang w:val="en-GB"/>
              </w:rPr>
              <w:t>4.21</w:t>
            </w:r>
          </w:p>
        </w:tc>
        <w:tc>
          <w:tcPr>
            <w:tcW w:w="1559" w:type="dxa"/>
            <w:tcBorders>
              <w:top w:val="nil"/>
              <w:left w:val="nil"/>
              <w:bottom w:val="nil"/>
              <w:right w:val="single" w:sz="4" w:space="0" w:color="auto"/>
            </w:tcBorders>
            <w:shd w:val="clear" w:color="auto" w:fill="auto"/>
            <w:noWrap/>
            <w:vAlign w:val="bottom"/>
            <w:hideMark/>
          </w:tcPr>
          <w:p w14:paraId="712F6880" w14:textId="77777777" w:rsidR="003A3CE0" w:rsidRPr="000855B2" w:rsidRDefault="003A3CE0" w:rsidP="009C4D4C">
            <w:pPr>
              <w:spacing w:line="240" w:lineRule="auto"/>
              <w:jc w:val="center"/>
              <w:rPr>
                <w:sz w:val="16"/>
                <w:szCs w:val="16"/>
                <w:lang w:val="en-GB"/>
              </w:rPr>
            </w:pPr>
            <w:r w:rsidRPr="000855B2">
              <w:rPr>
                <w:sz w:val="16"/>
                <w:szCs w:val="16"/>
                <w:lang w:val="en-GB"/>
              </w:rPr>
              <w:t>0.78</w:t>
            </w:r>
          </w:p>
        </w:tc>
        <w:tc>
          <w:tcPr>
            <w:tcW w:w="576" w:type="dxa"/>
            <w:tcBorders>
              <w:top w:val="nil"/>
              <w:left w:val="nil"/>
              <w:bottom w:val="nil"/>
              <w:right w:val="single" w:sz="4" w:space="0" w:color="auto"/>
            </w:tcBorders>
            <w:shd w:val="clear" w:color="auto" w:fill="auto"/>
            <w:noWrap/>
            <w:vAlign w:val="bottom"/>
            <w:hideMark/>
          </w:tcPr>
          <w:p w14:paraId="42C8E41F" w14:textId="77777777" w:rsidR="003A3CE0" w:rsidRPr="000855B2" w:rsidRDefault="003A3CE0" w:rsidP="009C4D4C">
            <w:pPr>
              <w:spacing w:line="240" w:lineRule="auto"/>
              <w:jc w:val="center"/>
              <w:rPr>
                <w:sz w:val="16"/>
                <w:szCs w:val="16"/>
                <w:lang w:val="en-GB"/>
              </w:rPr>
            </w:pPr>
            <w:r w:rsidRPr="000855B2">
              <w:rPr>
                <w:sz w:val="16"/>
                <w:szCs w:val="16"/>
                <w:lang w:val="en-GB"/>
              </w:rPr>
              <w:t>1.17</w:t>
            </w:r>
          </w:p>
        </w:tc>
        <w:tc>
          <w:tcPr>
            <w:tcW w:w="576" w:type="dxa"/>
            <w:tcBorders>
              <w:top w:val="nil"/>
              <w:left w:val="nil"/>
              <w:bottom w:val="nil"/>
              <w:right w:val="double" w:sz="6" w:space="0" w:color="auto"/>
            </w:tcBorders>
            <w:shd w:val="clear" w:color="auto" w:fill="auto"/>
            <w:noWrap/>
            <w:vAlign w:val="bottom"/>
            <w:hideMark/>
          </w:tcPr>
          <w:p w14:paraId="2FE44936" w14:textId="77777777" w:rsidR="003A3CE0" w:rsidRPr="000855B2" w:rsidRDefault="003A3CE0" w:rsidP="009C4D4C">
            <w:pPr>
              <w:spacing w:line="240" w:lineRule="auto"/>
              <w:jc w:val="center"/>
              <w:rPr>
                <w:sz w:val="16"/>
                <w:szCs w:val="16"/>
                <w:lang w:val="en-GB"/>
              </w:rPr>
            </w:pPr>
            <w:r w:rsidRPr="000855B2">
              <w:rPr>
                <w:sz w:val="16"/>
                <w:szCs w:val="16"/>
                <w:lang w:val="en-GB"/>
              </w:rPr>
              <w:t>0.25</w:t>
            </w:r>
          </w:p>
        </w:tc>
      </w:tr>
      <w:tr w:rsidR="003A3CE0" w:rsidRPr="000855B2" w14:paraId="543AE99E" w14:textId="77777777" w:rsidTr="00887829">
        <w:trPr>
          <w:trHeight w:val="255"/>
        </w:trPr>
        <w:tc>
          <w:tcPr>
            <w:tcW w:w="1441" w:type="dxa"/>
            <w:vMerge/>
            <w:tcBorders>
              <w:top w:val="nil"/>
              <w:left w:val="double" w:sz="6" w:space="0" w:color="auto"/>
              <w:bottom w:val="single" w:sz="8" w:space="0" w:color="000000"/>
              <w:right w:val="single" w:sz="4" w:space="0" w:color="auto"/>
            </w:tcBorders>
            <w:vAlign w:val="center"/>
            <w:hideMark/>
          </w:tcPr>
          <w:p w14:paraId="278B64B9" w14:textId="77777777" w:rsidR="003A3CE0" w:rsidRPr="000855B2" w:rsidRDefault="003A3CE0" w:rsidP="009C4D4C">
            <w:pPr>
              <w:spacing w:line="240" w:lineRule="auto"/>
              <w:rPr>
                <w:b/>
                <w:bCs/>
                <w:sz w:val="16"/>
                <w:szCs w:val="16"/>
                <w:lang w:val="en-GB"/>
              </w:rPr>
            </w:pPr>
          </w:p>
        </w:tc>
        <w:tc>
          <w:tcPr>
            <w:tcW w:w="1701" w:type="dxa"/>
            <w:tcBorders>
              <w:top w:val="nil"/>
              <w:left w:val="nil"/>
              <w:bottom w:val="nil"/>
              <w:right w:val="single" w:sz="4" w:space="0" w:color="auto"/>
            </w:tcBorders>
            <w:shd w:val="clear" w:color="auto" w:fill="auto"/>
            <w:noWrap/>
            <w:vAlign w:val="bottom"/>
            <w:hideMark/>
          </w:tcPr>
          <w:p w14:paraId="29A3D058" w14:textId="77777777" w:rsidR="003A3CE0" w:rsidRPr="000855B2" w:rsidRDefault="003A3CE0" w:rsidP="009C4D4C">
            <w:pPr>
              <w:spacing w:line="240" w:lineRule="auto"/>
              <w:rPr>
                <w:sz w:val="16"/>
                <w:szCs w:val="16"/>
                <w:lang w:val="en-GB"/>
              </w:rPr>
            </w:pPr>
            <w:r w:rsidRPr="000855B2">
              <w:rPr>
                <w:sz w:val="16"/>
                <w:szCs w:val="16"/>
                <w:lang w:val="en-GB"/>
              </w:rPr>
              <w:t>C10</w:t>
            </w:r>
          </w:p>
        </w:tc>
        <w:tc>
          <w:tcPr>
            <w:tcW w:w="992" w:type="dxa"/>
            <w:tcBorders>
              <w:top w:val="nil"/>
              <w:left w:val="nil"/>
              <w:bottom w:val="nil"/>
              <w:right w:val="single" w:sz="4" w:space="0" w:color="auto"/>
            </w:tcBorders>
            <w:shd w:val="clear" w:color="auto" w:fill="auto"/>
            <w:noWrap/>
            <w:vAlign w:val="bottom"/>
            <w:hideMark/>
          </w:tcPr>
          <w:p w14:paraId="0C7C9038"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1134" w:type="dxa"/>
            <w:tcBorders>
              <w:top w:val="nil"/>
              <w:left w:val="nil"/>
              <w:bottom w:val="nil"/>
              <w:right w:val="single" w:sz="4" w:space="0" w:color="auto"/>
            </w:tcBorders>
            <w:shd w:val="clear" w:color="auto" w:fill="auto"/>
            <w:noWrap/>
            <w:vAlign w:val="bottom"/>
            <w:hideMark/>
          </w:tcPr>
          <w:p w14:paraId="21B57C6D" w14:textId="77777777" w:rsidR="003A3CE0" w:rsidRPr="000855B2" w:rsidRDefault="003A3CE0" w:rsidP="009C4D4C">
            <w:pPr>
              <w:spacing w:line="240" w:lineRule="auto"/>
              <w:jc w:val="center"/>
              <w:rPr>
                <w:sz w:val="16"/>
                <w:szCs w:val="16"/>
                <w:lang w:val="en-GB"/>
              </w:rPr>
            </w:pPr>
            <w:r w:rsidRPr="000855B2">
              <w:rPr>
                <w:sz w:val="16"/>
                <w:szCs w:val="16"/>
                <w:lang w:val="en-GB"/>
              </w:rPr>
              <w:t>3.07</w:t>
            </w:r>
          </w:p>
        </w:tc>
        <w:tc>
          <w:tcPr>
            <w:tcW w:w="1559" w:type="dxa"/>
            <w:tcBorders>
              <w:top w:val="nil"/>
              <w:left w:val="nil"/>
              <w:bottom w:val="nil"/>
              <w:right w:val="single" w:sz="4" w:space="0" w:color="auto"/>
            </w:tcBorders>
            <w:shd w:val="clear" w:color="auto" w:fill="auto"/>
            <w:noWrap/>
            <w:vAlign w:val="bottom"/>
            <w:hideMark/>
          </w:tcPr>
          <w:p w14:paraId="4A733165"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single" w:sz="4" w:space="0" w:color="auto"/>
            </w:tcBorders>
            <w:shd w:val="clear" w:color="auto" w:fill="auto"/>
            <w:noWrap/>
            <w:vAlign w:val="bottom"/>
            <w:hideMark/>
          </w:tcPr>
          <w:p w14:paraId="403ADAB0"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c>
          <w:tcPr>
            <w:tcW w:w="576" w:type="dxa"/>
            <w:tcBorders>
              <w:top w:val="nil"/>
              <w:left w:val="nil"/>
              <w:bottom w:val="nil"/>
              <w:right w:val="double" w:sz="6" w:space="0" w:color="auto"/>
            </w:tcBorders>
            <w:shd w:val="clear" w:color="auto" w:fill="auto"/>
            <w:noWrap/>
            <w:vAlign w:val="bottom"/>
            <w:hideMark/>
          </w:tcPr>
          <w:p w14:paraId="2CE47A77"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73BAAA05" w14:textId="77777777" w:rsidTr="00887829">
        <w:trPr>
          <w:trHeight w:val="270"/>
        </w:trPr>
        <w:tc>
          <w:tcPr>
            <w:tcW w:w="1441" w:type="dxa"/>
            <w:vMerge/>
            <w:tcBorders>
              <w:top w:val="nil"/>
              <w:left w:val="double" w:sz="6" w:space="0" w:color="auto"/>
              <w:bottom w:val="single" w:sz="8" w:space="0" w:color="000000"/>
              <w:right w:val="single" w:sz="4" w:space="0" w:color="auto"/>
            </w:tcBorders>
            <w:vAlign w:val="center"/>
            <w:hideMark/>
          </w:tcPr>
          <w:p w14:paraId="732129B0" w14:textId="77777777" w:rsidR="003A3CE0" w:rsidRPr="000855B2" w:rsidRDefault="003A3CE0" w:rsidP="009C4D4C">
            <w:pPr>
              <w:spacing w:line="240" w:lineRule="auto"/>
              <w:rPr>
                <w:b/>
                <w:bCs/>
                <w:sz w:val="16"/>
                <w:szCs w:val="16"/>
                <w:lang w:val="en-GB"/>
              </w:rPr>
            </w:pPr>
          </w:p>
        </w:tc>
        <w:tc>
          <w:tcPr>
            <w:tcW w:w="1701" w:type="dxa"/>
            <w:tcBorders>
              <w:top w:val="nil"/>
              <w:left w:val="nil"/>
              <w:bottom w:val="single" w:sz="8" w:space="0" w:color="auto"/>
              <w:right w:val="single" w:sz="4" w:space="0" w:color="auto"/>
            </w:tcBorders>
            <w:shd w:val="clear" w:color="auto" w:fill="auto"/>
            <w:noWrap/>
            <w:vAlign w:val="bottom"/>
            <w:hideMark/>
          </w:tcPr>
          <w:p w14:paraId="5A49363A" w14:textId="77777777" w:rsidR="003A3CE0" w:rsidRPr="000855B2" w:rsidRDefault="003A3CE0" w:rsidP="009C4D4C">
            <w:pPr>
              <w:spacing w:line="240" w:lineRule="auto"/>
              <w:rPr>
                <w:sz w:val="16"/>
                <w:szCs w:val="16"/>
                <w:lang w:val="en-GB"/>
              </w:rPr>
            </w:pPr>
            <w:r w:rsidRPr="000855B2">
              <w:rPr>
                <w:sz w:val="16"/>
                <w:szCs w:val="16"/>
                <w:lang w:val="en-GB"/>
              </w:rPr>
              <w:t>C&gt;13</w:t>
            </w:r>
          </w:p>
        </w:tc>
        <w:tc>
          <w:tcPr>
            <w:tcW w:w="992" w:type="dxa"/>
            <w:tcBorders>
              <w:top w:val="nil"/>
              <w:left w:val="nil"/>
              <w:bottom w:val="single" w:sz="8" w:space="0" w:color="auto"/>
              <w:right w:val="single" w:sz="4" w:space="0" w:color="auto"/>
            </w:tcBorders>
            <w:shd w:val="clear" w:color="auto" w:fill="auto"/>
            <w:noWrap/>
            <w:vAlign w:val="bottom"/>
            <w:hideMark/>
          </w:tcPr>
          <w:p w14:paraId="45B2417C" w14:textId="77777777" w:rsidR="003A3CE0" w:rsidRPr="000855B2" w:rsidRDefault="003A3CE0" w:rsidP="009C4D4C">
            <w:pPr>
              <w:spacing w:line="240" w:lineRule="auto"/>
              <w:jc w:val="center"/>
              <w:rPr>
                <w:sz w:val="16"/>
                <w:szCs w:val="16"/>
                <w:lang w:val="en-GB"/>
              </w:rPr>
            </w:pPr>
            <w:r w:rsidRPr="000855B2">
              <w:rPr>
                <w:sz w:val="16"/>
                <w:szCs w:val="16"/>
                <w:lang w:val="en-GB"/>
              </w:rPr>
              <w:t>6.01</w:t>
            </w:r>
          </w:p>
        </w:tc>
        <w:tc>
          <w:tcPr>
            <w:tcW w:w="1134" w:type="dxa"/>
            <w:tcBorders>
              <w:top w:val="nil"/>
              <w:left w:val="nil"/>
              <w:bottom w:val="single" w:sz="8" w:space="0" w:color="auto"/>
              <w:right w:val="single" w:sz="4" w:space="0" w:color="auto"/>
            </w:tcBorders>
            <w:shd w:val="clear" w:color="auto" w:fill="auto"/>
            <w:noWrap/>
            <w:vAlign w:val="bottom"/>
            <w:hideMark/>
          </w:tcPr>
          <w:p w14:paraId="628719E5" w14:textId="77777777" w:rsidR="003A3CE0" w:rsidRPr="000855B2" w:rsidRDefault="003A3CE0" w:rsidP="009C4D4C">
            <w:pPr>
              <w:spacing w:line="240" w:lineRule="auto"/>
              <w:jc w:val="center"/>
              <w:rPr>
                <w:sz w:val="16"/>
                <w:szCs w:val="16"/>
                <w:lang w:val="en-GB"/>
              </w:rPr>
            </w:pPr>
            <w:r w:rsidRPr="000855B2">
              <w:rPr>
                <w:sz w:val="16"/>
                <w:szCs w:val="16"/>
                <w:lang w:val="en-GB"/>
              </w:rPr>
              <w:t>3.46</w:t>
            </w:r>
          </w:p>
        </w:tc>
        <w:tc>
          <w:tcPr>
            <w:tcW w:w="1559" w:type="dxa"/>
            <w:tcBorders>
              <w:top w:val="nil"/>
              <w:left w:val="nil"/>
              <w:bottom w:val="single" w:sz="8" w:space="0" w:color="auto"/>
              <w:right w:val="single" w:sz="4" w:space="0" w:color="auto"/>
            </w:tcBorders>
            <w:shd w:val="clear" w:color="auto" w:fill="auto"/>
            <w:noWrap/>
            <w:vAlign w:val="bottom"/>
            <w:hideMark/>
          </w:tcPr>
          <w:p w14:paraId="73F95CF3" w14:textId="77777777" w:rsidR="003A3CE0" w:rsidRPr="000855B2" w:rsidRDefault="003A3CE0" w:rsidP="009C4D4C">
            <w:pPr>
              <w:spacing w:line="240" w:lineRule="auto"/>
              <w:jc w:val="center"/>
              <w:rPr>
                <w:sz w:val="16"/>
                <w:szCs w:val="16"/>
                <w:lang w:val="en-GB"/>
              </w:rPr>
            </w:pPr>
            <w:r w:rsidRPr="000855B2">
              <w:rPr>
                <w:sz w:val="16"/>
                <w:szCs w:val="16"/>
                <w:lang w:val="en-GB"/>
              </w:rPr>
              <w:t>13.37</w:t>
            </w:r>
          </w:p>
        </w:tc>
        <w:tc>
          <w:tcPr>
            <w:tcW w:w="576" w:type="dxa"/>
            <w:tcBorders>
              <w:top w:val="nil"/>
              <w:left w:val="nil"/>
              <w:bottom w:val="single" w:sz="8" w:space="0" w:color="auto"/>
              <w:right w:val="single" w:sz="4" w:space="0" w:color="auto"/>
            </w:tcBorders>
            <w:shd w:val="clear" w:color="auto" w:fill="auto"/>
            <w:noWrap/>
            <w:vAlign w:val="bottom"/>
            <w:hideMark/>
          </w:tcPr>
          <w:p w14:paraId="406FD2A9" w14:textId="77777777" w:rsidR="003A3CE0" w:rsidRPr="000855B2" w:rsidRDefault="003A3CE0" w:rsidP="009C4D4C">
            <w:pPr>
              <w:spacing w:line="240" w:lineRule="auto"/>
              <w:jc w:val="center"/>
              <w:rPr>
                <w:sz w:val="16"/>
                <w:szCs w:val="16"/>
                <w:lang w:val="en-GB"/>
              </w:rPr>
            </w:pPr>
            <w:r w:rsidRPr="000855B2">
              <w:rPr>
                <w:sz w:val="16"/>
                <w:szCs w:val="16"/>
                <w:lang w:val="en-GB"/>
              </w:rPr>
              <w:t>20.37</w:t>
            </w:r>
          </w:p>
        </w:tc>
        <w:tc>
          <w:tcPr>
            <w:tcW w:w="576" w:type="dxa"/>
            <w:tcBorders>
              <w:top w:val="nil"/>
              <w:left w:val="nil"/>
              <w:bottom w:val="single" w:sz="8" w:space="0" w:color="auto"/>
              <w:right w:val="double" w:sz="6" w:space="0" w:color="auto"/>
            </w:tcBorders>
            <w:shd w:val="clear" w:color="auto" w:fill="auto"/>
            <w:noWrap/>
            <w:vAlign w:val="bottom"/>
            <w:hideMark/>
          </w:tcPr>
          <w:p w14:paraId="1CF164F4" w14:textId="77777777" w:rsidR="003A3CE0" w:rsidRPr="000855B2" w:rsidRDefault="003A3CE0" w:rsidP="009C4D4C">
            <w:pPr>
              <w:spacing w:line="240" w:lineRule="auto"/>
              <w:jc w:val="center"/>
              <w:rPr>
                <w:sz w:val="16"/>
                <w:szCs w:val="16"/>
                <w:lang w:val="en-GB"/>
              </w:rPr>
            </w:pPr>
            <w:r w:rsidRPr="000855B2">
              <w:rPr>
                <w:sz w:val="16"/>
                <w:szCs w:val="16"/>
                <w:lang w:val="en-GB"/>
              </w:rPr>
              <w:t> </w:t>
            </w:r>
          </w:p>
        </w:tc>
      </w:tr>
      <w:tr w:rsidR="003A3CE0" w:rsidRPr="000855B2" w14:paraId="64FB0920" w14:textId="77777777" w:rsidTr="008D2AFB">
        <w:trPr>
          <w:trHeight w:val="270"/>
        </w:trPr>
        <w:tc>
          <w:tcPr>
            <w:tcW w:w="1441" w:type="dxa"/>
            <w:tcBorders>
              <w:top w:val="nil"/>
              <w:left w:val="double" w:sz="6" w:space="0" w:color="auto"/>
              <w:bottom w:val="double" w:sz="6" w:space="0" w:color="auto"/>
              <w:right w:val="single" w:sz="4" w:space="0" w:color="auto"/>
            </w:tcBorders>
            <w:shd w:val="clear" w:color="auto" w:fill="auto"/>
            <w:noWrap/>
            <w:vAlign w:val="bottom"/>
            <w:hideMark/>
          </w:tcPr>
          <w:p w14:paraId="5B1989A9" w14:textId="77777777" w:rsidR="003A3CE0" w:rsidRPr="000855B2" w:rsidRDefault="003A3CE0" w:rsidP="009C4D4C">
            <w:pPr>
              <w:spacing w:line="240" w:lineRule="auto"/>
              <w:rPr>
                <w:b/>
                <w:bCs/>
                <w:sz w:val="16"/>
                <w:szCs w:val="16"/>
                <w:lang w:val="en-GB"/>
              </w:rPr>
            </w:pPr>
            <w:r w:rsidRPr="000855B2">
              <w:rPr>
                <w:b/>
                <w:bCs/>
                <w:sz w:val="16"/>
                <w:szCs w:val="16"/>
                <w:lang w:val="en-GB"/>
              </w:rPr>
              <w:t>TOTALS (all NMVOC species)</w:t>
            </w:r>
          </w:p>
        </w:tc>
        <w:tc>
          <w:tcPr>
            <w:tcW w:w="1701" w:type="dxa"/>
            <w:tcBorders>
              <w:top w:val="nil"/>
              <w:left w:val="nil"/>
              <w:bottom w:val="double" w:sz="6" w:space="0" w:color="auto"/>
              <w:right w:val="single" w:sz="4" w:space="0" w:color="auto"/>
            </w:tcBorders>
            <w:shd w:val="clear" w:color="auto" w:fill="auto"/>
            <w:noWrap/>
            <w:vAlign w:val="center"/>
            <w:hideMark/>
          </w:tcPr>
          <w:p w14:paraId="7DC2FE5E" w14:textId="77777777" w:rsidR="003A3CE0" w:rsidRPr="000855B2" w:rsidRDefault="003A3CE0" w:rsidP="008D2AFB">
            <w:pPr>
              <w:spacing w:line="240" w:lineRule="auto"/>
              <w:jc w:val="center"/>
              <w:rPr>
                <w:sz w:val="16"/>
                <w:szCs w:val="16"/>
                <w:lang w:val="en-GB"/>
              </w:rPr>
            </w:pPr>
          </w:p>
        </w:tc>
        <w:tc>
          <w:tcPr>
            <w:tcW w:w="992" w:type="dxa"/>
            <w:tcBorders>
              <w:top w:val="nil"/>
              <w:left w:val="nil"/>
              <w:bottom w:val="double" w:sz="6" w:space="0" w:color="auto"/>
              <w:right w:val="single" w:sz="4" w:space="0" w:color="auto"/>
            </w:tcBorders>
            <w:shd w:val="clear" w:color="auto" w:fill="auto"/>
            <w:noWrap/>
            <w:vAlign w:val="center"/>
            <w:hideMark/>
          </w:tcPr>
          <w:p w14:paraId="3CA56485"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99.98</w:t>
            </w:r>
          </w:p>
        </w:tc>
        <w:tc>
          <w:tcPr>
            <w:tcW w:w="1134" w:type="dxa"/>
            <w:tcBorders>
              <w:top w:val="nil"/>
              <w:left w:val="nil"/>
              <w:bottom w:val="double" w:sz="6" w:space="0" w:color="auto"/>
              <w:right w:val="single" w:sz="4" w:space="0" w:color="auto"/>
            </w:tcBorders>
            <w:shd w:val="clear" w:color="auto" w:fill="auto"/>
            <w:noWrap/>
            <w:vAlign w:val="center"/>
            <w:hideMark/>
          </w:tcPr>
          <w:p w14:paraId="300E0C46"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99.65</w:t>
            </w:r>
          </w:p>
        </w:tc>
        <w:tc>
          <w:tcPr>
            <w:tcW w:w="1559" w:type="dxa"/>
            <w:tcBorders>
              <w:top w:val="nil"/>
              <w:left w:val="nil"/>
              <w:bottom w:val="double" w:sz="6" w:space="0" w:color="auto"/>
              <w:right w:val="single" w:sz="4" w:space="0" w:color="auto"/>
            </w:tcBorders>
            <w:shd w:val="clear" w:color="auto" w:fill="auto"/>
            <w:noWrap/>
            <w:vAlign w:val="center"/>
            <w:hideMark/>
          </w:tcPr>
          <w:p w14:paraId="25F9979F"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99.42</w:t>
            </w:r>
          </w:p>
        </w:tc>
        <w:tc>
          <w:tcPr>
            <w:tcW w:w="576" w:type="dxa"/>
            <w:tcBorders>
              <w:top w:val="nil"/>
              <w:left w:val="nil"/>
              <w:bottom w:val="double" w:sz="6" w:space="0" w:color="auto"/>
              <w:right w:val="single" w:sz="4" w:space="0" w:color="auto"/>
            </w:tcBorders>
            <w:shd w:val="clear" w:color="auto" w:fill="auto"/>
            <w:noWrap/>
            <w:vAlign w:val="center"/>
            <w:hideMark/>
          </w:tcPr>
          <w:p w14:paraId="733A7F75"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96.71</w:t>
            </w:r>
          </w:p>
        </w:tc>
        <w:tc>
          <w:tcPr>
            <w:tcW w:w="576" w:type="dxa"/>
            <w:tcBorders>
              <w:top w:val="nil"/>
              <w:left w:val="nil"/>
              <w:bottom w:val="double" w:sz="6" w:space="0" w:color="auto"/>
              <w:right w:val="double" w:sz="6" w:space="0" w:color="auto"/>
            </w:tcBorders>
            <w:shd w:val="clear" w:color="auto" w:fill="auto"/>
            <w:noWrap/>
            <w:vAlign w:val="center"/>
            <w:hideMark/>
          </w:tcPr>
          <w:p w14:paraId="26389D66" w14:textId="77777777" w:rsidR="003A3CE0" w:rsidRPr="000855B2" w:rsidRDefault="003A3CE0" w:rsidP="008D2AFB">
            <w:pPr>
              <w:spacing w:line="240" w:lineRule="auto"/>
              <w:jc w:val="center"/>
              <w:rPr>
                <w:b/>
                <w:bCs/>
                <w:sz w:val="16"/>
                <w:szCs w:val="16"/>
                <w:lang w:val="en-GB"/>
              </w:rPr>
            </w:pPr>
            <w:r w:rsidRPr="000855B2">
              <w:rPr>
                <w:b/>
                <w:bCs/>
                <w:sz w:val="16"/>
                <w:szCs w:val="16"/>
                <w:lang w:val="en-GB"/>
              </w:rPr>
              <w:t>99.98</w:t>
            </w:r>
          </w:p>
        </w:tc>
      </w:tr>
    </w:tbl>
    <w:p w14:paraId="0D99FDE0" w14:textId="77777777" w:rsidR="000855B2" w:rsidRPr="000855B2" w:rsidRDefault="000855B2" w:rsidP="00ED27AC">
      <w:pPr>
        <w:pStyle w:val="BodyText"/>
        <w:ind w:left="-45" w:firstLine="45"/>
      </w:pPr>
    </w:p>
    <w:p w14:paraId="67AD2768" w14:textId="77777777" w:rsidR="000855B2" w:rsidRPr="000855B2" w:rsidRDefault="000855B2" w:rsidP="00E0469F">
      <w:pPr>
        <w:pStyle w:val="Heading5"/>
      </w:pPr>
      <w:r w:rsidRPr="000855B2">
        <w:br w:type="page"/>
      </w:r>
      <w:r w:rsidRPr="000855B2">
        <w:lastRenderedPageBreak/>
        <w:t>NO</w:t>
      </w:r>
      <w:r w:rsidRPr="000855B2">
        <w:rPr>
          <w:vertAlign w:val="subscript"/>
        </w:rPr>
        <w:t>x</w:t>
      </w:r>
      <w:r w:rsidRPr="000855B2">
        <w:t xml:space="preserve"> speciation</w:t>
      </w:r>
    </w:p>
    <w:p w14:paraId="78CDA0FC" w14:textId="44CF1A8C" w:rsidR="001D2587" w:rsidRPr="000855B2" w:rsidRDefault="00A90F95" w:rsidP="0083104A">
      <w:pPr>
        <w:pStyle w:val="BodyText"/>
      </w:pPr>
      <w:r w:rsidRPr="000855B2">
        <w:t>Nitrogen oxides (NO</w:t>
      </w:r>
      <w:r w:rsidRPr="000855B2">
        <w:rPr>
          <w:vertAlign w:val="subscript"/>
        </w:rPr>
        <w:t>x</w:t>
      </w:r>
      <w:r w:rsidRPr="000855B2">
        <w:t>) in vehicle exhausts mainly consist of NO and NO</w:t>
      </w:r>
      <w:r w:rsidRPr="000855B2">
        <w:rPr>
          <w:vertAlign w:val="subscript"/>
        </w:rPr>
        <w:t>2</w:t>
      </w:r>
      <w:r w:rsidRPr="000855B2">
        <w:t>. The NO</w:t>
      </w:r>
      <w:r w:rsidRPr="000855B2">
        <w:rPr>
          <w:vertAlign w:val="subscript"/>
        </w:rPr>
        <w:t>2</w:t>
      </w:r>
      <w:r w:rsidRPr="000855B2">
        <w:t xml:space="preserve"> mass fraction of total NO</w:t>
      </w:r>
      <w:r w:rsidRPr="000855B2">
        <w:rPr>
          <w:vertAlign w:val="subscript"/>
        </w:rPr>
        <w:t>x</w:t>
      </w:r>
      <w:r w:rsidRPr="000855B2">
        <w:t xml:space="preserve"> (primary NO</w:t>
      </w:r>
      <w:r w:rsidRPr="000855B2">
        <w:rPr>
          <w:vertAlign w:val="subscript"/>
        </w:rPr>
        <w:t>2</w:t>
      </w:r>
      <w:r w:rsidRPr="000855B2">
        <w:t>) is of particular importance due to the higher toxicity of NO</w:t>
      </w:r>
      <w:r w:rsidRPr="000855B2">
        <w:rPr>
          <w:vertAlign w:val="subscript"/>
        </w:rPr>
        <w:t>2</w:t>
      </w:r>
      <w:r w:rsidRPr="000855B2">
        <w:t xml:space="preserve"> compared to NO. This mass fraction is quoted as f-NO</w:t>
      </w:r>
      <w:r w:rsidRPr="000855B2">
        <w:rPr>
          <w:vertAlign w:val="subscript"/>
        </w:rPr>
        <w:t>2</w:t>
      </w:r>
      <w:r w:rsidRPr="000855B2">
        <w:t xml:space="preserve">, in consistency to the AQEG (2006) report. </w:t>
      </w:r>
      <w:r w:rsidR="00FB454C">
        <w:fldChar w:fldCharType="begin"/>
      </w:r>
      <w:r w:rsidR="00FB454C">
        <w:instrText xml:space="preserve"> REF _Ref172057339 \h  \* MERGEFORMAT </w:instrText>
      </w:r>
      <w:r w:rsidR="00FB454C">
        <w:fldChar w:fldCharType="separate"/>
      </w:r>
      <w:r w:rsidR="0071604C" w:rsidRPr="000855B2">
        <w:t>Table </w:t>
      </w:r>
      <w:r w:rsidR="0071604C">
        <w:t>3.87</w:t>
      </w:r>
      <w:r w:rsidR="00FB454C">
        <w:fldChar w:fldCharType="end"/>
      </w:r>
      <w:r w:rsidR="00FB6247" w:rsidRPr="000855B2">
        <w:t xml:space="preserve"> provides the r</w:t>
      </w:r>
      <w:r w:rsidRPr="000855B2">
        <w:t>ange of f-NO</w:t>
      </w:r>
      <w:r w:rsidRPr="000855B2">
        <w:rPr>
          <w:vertAlign w:val="subscript"/>
        </w:rPr>
        <w:t>2</w:t>
      </w:r>
      <w:r w:rsidRPr="000855B2">
        <w:t xml:space="preserve"> values (expressed as a percentage)</w:t>
      </w:r>
      <w:r w:rsidR="00193F58" w:rsidRPr="000855B2">
        <w:t xml:space="preserve"> </w:t>
      </w:r>
      <w:r w:rsidR="001D2587" w:rsidRPr="000855B2">
        <w:t xml:space="preserve">developed in the framework of two relevant studies in Europe. The AEAT (2007) study </w:t>
      </w:r>
      <w:r w:rsidR="00D6493A" w:rsidRPr="000855B2">
        <w:t>was</w:t>
      </w:r>
      <w:r w:rsidR="001D2587" w:rsidRPr="000855B2">
        <w:t xml:space="preserve"> performed on behalf of DG Environment within a project aiming at assessing air quality targets for the future. The </w:t>
      </w:r>
      <w:smartTag w:uri="urn:schemas-microsoft-com:office:smarttags" w:element="stockticker">
        <w:r w:rsidR="001D2587" w:rsidRPr="000855B2">
          <w:t>TNO</w:t>
        </w:r>
      </w:smartTag>
      <w:r w:rsidR="001D2587" w:rsidRPr="000855B2">
        <w:t xml:space="preserve"> study refers to national data used for the NO</w:t>
      </w:r>
      <w:r w:rsidR="001D2587" w:rsidRPr="000855B2">
        <w:rPr>
          <w:vertAlign w:val="subscript"/>
        </w:rPr>
        <w:t>2</w:t>
      </w:r>
      <w:r w:rsidR="001D2587" w:rsidRPr="000855B2">
        <w:t xml:space="preserve"> emission assessment in the Netherlands (Smit, 2007). The same </w:t>
      </w:r>
      <w:r w:rsidR="00A040D1" w:rsidRPr="000855B2">
        <w:t>Table </w:t>
      </w:r>
      <w:r w:rsidR="001D2587" w:rsidRPr="000855B2">
        <w:t xml:space="preserve">includes the values suggested for use. These values correspond to the AEAT study for Euro 4 and previous vehicle technologies. In general, the </w:t>
      </w:r>
      <w:smartTag w:uri="urn:schemas-microsoft-com:office:smarttags" w:element="stockticker">
        <w:r w:rsidR="001D2587" w:rsidRPr="000855B2">
          <w:t>TNO</w:t>
        </w:r>
      </w:smartTag>
      <w:r w:rsidR="001D2587" w:rsidRPr="000855B2">
        <w:t xml:space="preserve"> and AEAT studies do not </w:t>
      </w:r>
      <w:r w:rsidR="00D6493A" w:rsidRPr="000855B2">
        <w:t xml:space="preserve">differ </w:t>
      </w:r>
      <w:r w:rsidR="001D2587" w:rsidRPr="000855B2">
        <w:t xml:space="preserve">significantly for older vehicle technologies. It could be considered that the difference is lower than the expected uncertainty in any of the values proposed, given the limited sample of measurements available and the measurement uncertainty </w:t>
      </w:r>
      <w:r w:rsidR="00D6493A" w:rsidRPr="000855B2">
        <w:t>for</w:t>
      </w:r>
      <w:r w:rsidR="001D2587" w:rsidRPr="000855B2">
        <w:t xml:space="preserve"> NO</w:t>
      </w:r>
      <w:r w:rsidR="001D2587" w:rsidRPr="000855B2">
        <w:rPr>
          <w:vertAlign w:val="subscript"/>
        </w:rPr>
        <w:t>2</w:t>
      </w:r>
      <w:r w:rsidR="001D2587" w:rsidRPr="000855B2">
        <w:t>. The AEAT study was considered more up-to-date</w:t>
      </w:r>
      <w:r w:rsidR="00D6493A" w:rsidRPr="000855B2">
        <w:t>,</w:t>
      </w:r>
      <w:r w:rsidR="001D2587" w:rsidRPr="000855B2">
        <w:t xml:space="preserve"> given the detailed discussion within UK concerning primary NO</w:t>
      </w:r>
      <w:r w:rsidR="001D2587" w:rsidRPr="000855B2">
        <w:rPr>
          <w:vertAlign w:val="subscript"/>
        </w:rPr>
        <w:t>2</w:t>
      </w:r>
      <w:r w:rsidR="001D2587" w:rsidRPr="000855B2">
        <w:t xml:space="preserve"> emission rates (AQEG, 2006) and </w:t>
      </w:r>
      <w:r w:rsidR="00D6493A" w:rsidRPr="000855B2">
        <w:t xml:space="preserve">the </w:t>
      </w:r>
      <w:r w:rsidR="001D2587" w:rsidRPr="000855B2">
        <w:t>NO</w:t>
      </w:r>
      <w:r w:rsidR="001D2587" w:rsidRPr="000855B2">
        <w:rPr>
          <w:vertAlign w:val="subscript"/>
        </w:rPr>
        <w:t>2</w:t>
      </w:r>
      <w:r w:rsidR="001D2587" w:rsidRPr="000855B2">
        <w:t>/NO</w:t>
      </w:r>
      <w:r w:rsidR="001D2587" w:rsidRPr="000855B2">
        <w:rPr>
          <w:vertAlign w:val="subscript"/>
        </w:rPr>
        <w:t>x</w:t>
      </w:r>
      <w:r w:rsidR="001D2587" w:rsidRPr="000855B2">
        <w:t xml:space="preserve"> data provided to AEAT by LAT. The ranges proposed in the AEAT study for passenger cars have </w:t>
      </w:r>
      <w:r w:rsidR="00D6493A" w:rsidRPr="000855B2">
        <w:t xml:space="preserve">also </w:t>
      </w:r>
      <w:r w:rsidR="001D2587" w:rsidRPr="000855B2">
        <w:t xml:space="preserve">been transferred to </w:t>
      </w:r>
      <w:r w:rsidR="00CF67A4" w:rsidRPr="000855B2">
        <w:t>light commercial</w:t>
      </w:r>
      <w:r w:rsidR="001D2587" w:rsidRPr="000855B2">
        <w:t xml:space="preserve"> vehicles.</w:t>
      </w:r>
    </w:p>
    <w:p w14:paraId="03A5EC72" w14:textId="2D19B5EF" w:rsidR="001D2587" w:rsidRPr="000855B2" w:rsidRDefault="00A040D1" w:rsidP="008D1A83">
      <w:pPr>
        <w:pStyle w:val="Caption"/>
      </w:pPr>
      <w:bookmarkStart w:id="290" w:name="_Ref172057339"/>
      <w:r w:rsidRPr="000855B2">
        <w:lastRenderedPageBreak/>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87</w:t>
      </w:r>
      <w:r w:rsidR="00FB454C">
        <w:rPr>
          <w:noProof/>
        </w:rPr>
        <w:fldChar w:fldCharType="end"/>
      </w:r>
      <w:bookmarkEnd w:id="290"/>
      <w:r w:rsidR="001D2587" w:rsidRPr="000855B2">
        <w:t>: Mass fraction of NO</w:t>
      </w:r>
      <w:r w:rsidR="001D2587" w:rsidRPr="000855B2">
        <w:rPr>
          <w:vertAlign w:val="subscript"/>
        </w:rPr>
        <w:t>2</w:t>
      </w:r>
      <w:r w:rsidR="001D2587" w:rsidRPr="000855B2">
        <w:t xml:space="preserve"> in NO</w:t>
      </w:r>
      <w:r w:rsidR="001D2587" w:rsidRPr="000855B2">
        <w:rPr>
          <w:vertAlign w:val="subscript"/>
        </w:rPr>
        <w:t>x</w:t>
      </w:r>
      <w:r w:rsidR="001D2587" w:rsidRPr="000855B2">
        <w:t xml:space="preserve"> emissions</w:t>
      </w:r>
      <w:r w:rsidR="00A90F95" w:rsidRPr="000855B2">
        <w:t xml:space="preserve"> (f-NO</w:t>
      </w:r>
      <w:r w:rsidR="00A90F95" w:rsidRPr="000855B2">
        <w:rPr>
          <w:vertAlign w:val="subscript"/>
        </w:rPr>
        <w:t>2</w:t>
      </w:r>
      <w:r w:rsidR="00A90F95" w:rsidRPr="000855B2">
        <w:t>)</w:t>
      </w:r>
    </w:p>
    <w:tbl>
      <w:tblPr>
        <w:tblW w:w="8397" w:type="dxa"/>
        <w:tblLook w:val="0000" w:firstRow="0" w:lastRow="0" w:firstColumn="0" w:lastColumn="0" w:noHBand="0" w:noVBand="0"/>
      </w:tblPr>
      <w:tblGrid>
        <w:gridCol w:w="1380"/>
        <w:gridCol w:w="2194"/>
        <w:gridCol w:w="1662"/>
        <w:gridCol w:w="1701"/>
        <w:gridCol w:w="1460"/>
      </w:tblGrid>
      <w:tr w:rsidR="001D2587" w:rsidRPr="000855B2" w14:paraId="35936574" w14:textId="77777777" w:rsidTr="00887829">
        <w:trPr>
          <w:cantSplit/>
          <w:trHeight w:val="405"/>
        </w:trPr>
        <w:tc>
          <w:tcPr>
            <w:tcW w:w="1380" w:type="dxa"/>
            <w:vMerge w:val="restart"/>
            <w:tcBorders>
              <w:top w:val="double" w:sz="6" w:space="0" w:color="000000"/>
              <w:left w:val="double" w:sz="6" w:space="0" w:color="000000"/>
              <w:bottom w:val="single" w:sz="12" w:space="0" w:color="auto"/>
              <w:right w:val="single" w:sz="4" w:space="0" w:color="auto"/>
            </w:tcBorders>
            <w:vAlign w:val="center"/>
          </w:tcPr>
          <w:p w14:paraId="0F6C7F80" w14:textId="77777777" w:rsidR="001D2587" w:rsidRPr="000855B2" w:rsidRDefault="001D2587"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lastRenderedPageBreak/>
              <w:t>Category</w:t>
            </w:r>
          </w:p>
        </w:tc>
        <w:tc>
          <w:tcPr>
            <w:tcW w:w="2194" w:type="dxa"/>
            <w:vMerge w:val="restart"/>
            <w:tcBorders>
              <w:top w:val="double" w:sz="6" w:space="0" w:color="000000"/>
              <w:left w:val="single" w:sz="4" w:space="0" w:color="auto"/>
              <w:bottom w:val="single" w:sz="12" w:space="0" w:color="auto"/>
              <w:right w:val="single" w:sz="4" w:space="0" w:color="auto"/>
            </w:tcBorders>
            <w:vAlign w:val="center"/>
          </w:tcPr>
          <w:p w14:paraId="5063F9D0" w14:textId="77777777" w:rsidR="001D2587" w:rsidRPr="000855B2" w:rsidRDefault="001D2587"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 xml:space="preserve">Emission </w:t>
            </w:r>
            <w:r w:rsidR="00D6493A" w:rsidRPr="000855B2">
              <w:rPr>
                <w:b/>
                <w:bCs/>
                <w:sz w:val="16"/>
                <w:szCs w:val="16"/>
                <w:lang w:val="en-GB" w:eastAsia="el-GR"/>
              </w:rPr>
              <w:t>s</w:t>
            </w:r>
            <w:r w:rsidRPr="000855B2">
              <w:rPr>
                <w:b/>
                <w:bCs/>
                <w:sz w:val="16"/>
                <w:szCs w:val="16"/>
                <w:lang w:val="en-GB" w:eastAsia="el-GR"/>
              </w:rPr>
              <w:t>tandard</w:t>
            </w:r>
          </w:p>
        </w:tc>
        <w:tc>
          <w:tcPr>
            <w:tcW w:w="4823" w:type="dxa"/>
            <w:gridSpan w:val="3"/>
            <w:tcBorders>
              <w:top w:val="double" w:sz="6" w:space="0" w:color="000000"/>
              <w:left w:val="nil"/>
              <w:bottom w:val="single" w:sz="12" w:space="0" w:color="auto"/>
              <w:right w:val="double" w:sz="6" w:space="0" w:color="000000"/>
            </w:tcBorders>
            <w:noWrap/>
            <w:vAlign w:val="center"/>
          </w:tcPr>
          <w:p w14:paraId="26736FC3" w14:textId="77777777" w:rsidR="001D2587" w:rsidRPr="000855B2" w:rsidRDefault="00A90F95" w:rsidP="005C7955">
            <w:pPr>
              <w:keepNext/>
              <w:keepLines/>
              <w:suppressAutoHyphens/>
              <w:spacing w:line="240" w:lineRule="atLeast"/>
              <w:jc w:val="center"/>
              <w:rPr>
                <w:b/>
                <w:bCs/>
                <w:sz w:val="16"/>
                <w:szCs w:val="16"/>
                <w:lang w:val="en-GB" w:eastAsia="el-GR"/>
              </w:rPr>
            </w:pPr>
            <w:r w:rsidRPr="000855B2">
              <w:rPr>
                <w:b/>
                <w:bCs/>
                <w:sz w:val="16"/>
                <w:szCs w:val="16"/>
                <w:lang w:val="en-GB" w:eastAsia="el-GR"/>
              </w:rPr>
              <w:t>f-NO</w:t>
            </w:r>
            <w:r w:rsidRPr="000855B2">
              <w:rPr>
                <w:b/>
                <w:bCs/>
                <w:sz w:val="16"/>
                <w:szCs w:val="16"/>
                <w:vertAlign w:val="subscript"/>
                <w:lang w:val="en-GB" w:eastAsia="el-GR"/>
              </w:rPr>
              <w:t>2</w:t>
            </w:r>
            <w:r w:rsidR="001D2587" w:rsidRPr="000855B2">
              <w:rPr>
                <w:b/>
                <w:bCs/>
                <w:sz w:val="16"/>
                <w:szCs w:val="16"/>
                <w:lang w:val="en-GB" w:eastAsia="el-GR"/>
              </w:rPr>
              <w:t xml:space="preserve"> (%)</w:t>
            </w:r>
          </w:p>
        </w:tc>
      </w:tr>
      <w:tr w:rsidR="001D2587" w:rsidRPr="000855B2" w14:paraId="3A9B75FF" w14:textId="77777777" w:rsidTr="00887829">
        <w:trPr>
          <w:cantSplit/>
          <w:trHeight w:val="285"/>
        </w:trPr>
        <w:tc>
          <w:tcPr>
            <w:tcW w:w="1380" w:type="dxa"/>
            <w:vMerge/>
            <w:tcBorders>
              <w:top w:val="single" w:sz="8" w:space="0" w:color="auto"/>
              <w:left w:val="double" w:sz="6" w:space="0" w:color="000000"/>
              <w:bottom w:val="single" w:sz="12" w:space="0" w:color="auto"/>
              <w:right w:val="single" w:sz="4" w:space="0" w:color="auto"/>
            </w:tcBorders>
            <w:vAlign w:val="center"/>
          </w:tcPr>
          <w:p w14:paraId="72A7F645" w14:textId="77777777" w:rsidR="001D2587" w:rsidRPr="000855B2" w:rsidRDefault="001D2587" w:rsidP="005C7955">
            <w:pPr>
              <w:keepNext/>
              <w:keepLines/>
              <w:suppressAutoHyphens/>
              <w:spacing w:line="240" w:lineRule="atLeast"/>
              <w:rPr>
                <w:b/>
                <w:bCs/>
                <w:sz w:val="16"/>
                <w:szCs w:val="16"/>
                <w:lang w:val="en-GB" w:eastAsia="el-GR"/>
              </w:rPr>
            </w:pPr>
          </w:p>
        </w:tc>
        <w:tc>
          <w:tcPr>
            <w:tcW w:w="2194" w:type="dxa"/>
            <w:vMerge/>
            <w:tcBorders>
              <w:top w:val="single" w:sz="8" w:space="0" w:color="auto"/>
              <w:left w:val="single" w:sz="4" w:space="0" w:color="auto"/>
              <w:bottom w:val="single" w:sz="12" w:space="0" w:color="auto"/>
              <w:right w:val="single" w:sz="4" w:space="0" w:color="auto"/>
            </w:tcBorders>
            <w:vAlign w:val="center"/>
          </w:tcPr>
          <w:p w14:paraId="309F9AD2" w14:textId="77777777" w:rsidR="001D2587" w:rsidRPr="000855B2" w:rsidRDefault="001D2587" w:rsidP="005C7955">
            <w:pPr>
              <w:keepNext/>
              <w:keepLines/>
              <w:suppressAutoHyphens/>
              <w:spacing w:line="240" w:lineRule="atLeast"/>
              <w:rPr>
                <w:b/>
                <w:bCs/>
                <w:sz w:val="16"/>
                <w:szCs w:val="16"/>
                <w:lang w:val="en-GB" w:eastAsia="el-GR"/>
              </w:rPr>
            </w:pPr>
          </w:p>
        </w:tc>
        <w:tc>
          <w:tcPr>
            <w:tcW w:w="1662" w:type="dxa"/>
            <w:vMerge w:val="restart"/>
            <w:tcBorders>
              <w:top w:val="nil"/>
              <w:left w:val="single" w:sz="4" w:space="0" w:color="auto"/>
              <w:bottom w:val="single" w:sz="12" w:space="0" w:color="auto"/>
              <w:right w:val="single" w:sz="4" w:space="0" w:color="auto"/>
            </w:tcBorders>
            <w:vAlign w:val="center"/>
          </w:tcPr>
          <w:p w14:paraId="7603378A" w14:textId="77777777" w:rsidR="001D2587" w:rsidRPr="008D2AFB" w:rsidRDefault="001D2587" w:rsidP="005C7955">
            <w:pPr>
              <w:keepNext/>
              <w:keepLines/>
              <w:suppressAutoHyphens/>
              <w:spacing w:line="240" w:lineRule="atLeast"/>
              <w:jc w:val="center"/>
              <w:rPr>
                <w:b/>
                <w:sz w:val="16"/>
                <w:szCs w:val="16"/>
                <w:lang w:val="en-GB" w:eastAsia="el-GR"/>
              </w:rPr>
            </w:pPr>
            <w:r w:rsidRPr="008D2AFB">
              <w:rPr>
                <w:b/>
                <w:sz w:val="16"/>
                <w:szCs w:val="16"/>
                <w:lang w:val="en-GB" w:eastAsia="el-GR"/>
              </w:rPr>
              <w:t>AEAT Study</w:t>
            </w:r>
          </w:p>
        </w:tc>
        <w:tc>
          <w:tcPr>
            <w:tcW w:w="1701" w:type="dxa"/>
            <w:vMerge w:val="restart"/>
            <w:tcBorders>
              <w:top w:val="nil"/>
              <w:left w:val="single" w:sz="4" w:space="0" w:color="auto"/>
              <w:bottom w:val="single" w:sz="12" w:space="0" w:color="auto"/>
              <w:right w:val="single" w:sz="4" w:space="0" w:color="auto"/>
            </w:tcBorders>
            <w:vAlign w:val="center"/>
          </w:tcPr>
          <w:p w14:paraId="74768D62" w14:textId="77777777" w:rsidR="001D2587" w:rsidRPr="008D2AFB" w:rsidRDefault="001D2587" w:rsidP="005C7955">
            <w:pPr>
              <w:keepNext/>
              <w:keepLines/>
              <w:suppressAutoHyphens/>
              <w:spacing w:line="240" w:lineRule="atLeast"/>
              <w:jc w:val="center"/>
              <w:rPr>
                <w:b/>
                <w:sz w:val="16"/>
                <w:szCs w:val="16"/>
                <w:lang w:val="en-GB" w:eastAsia="el-GR"/>
              </w:rPr>
            </w:pPr>
            <w:smartTag w:uri="urn:schemas-microsoft-com:office:smarttags" w:element="stockticker">
              <w:r w:rsidRPr="008D2AFB">
                <w:rPr>
                  <w:b/>
                  <w:sz w:val="16"/>
                  <w:szCs w:val="16"/>
                  <w:lang w:val="en-GB" w:eastAsia="el-GR"/>
                </w:rPr>
                <w:t>TNO</w:t>
              </w:r>
            </w:smartTag>
            <w:r w:rsidRPr="008D2AFB">
              <w:rPr>
                <w:b/>
                <w:sz w:val="16"/>
                <w:szCs w:val="16"/>
                <w:lang w:val="en-GB" w:eastAsia="el-GR"/>
              </w:rPr>
              <w:t xml:space="preserve"> Study</w:t>
            </w:r>
          </w:p>
        </w:tc>
        <w:tc>
          <w:tcPr>
            <w:tcW w:w="1460" w:type="dxa"/>
            <w:vMerge w:val="restart"/>
            <w:tcBorders>
              <w:top w:val="nil"/>
              <w:left w:val="single" w:sz="4" w:space="0" w:color="auto"/>
              <w:bottom w:val="single" w:sz="12" w:space="0" w:color="auto"/>
              <w:right w:val="double" w:sz="6" w:space="0" w:color="000000"/>
            </w:tcBorders>
            <w:noWrap/>
            <w:vAlign w:val="center"/>
          </w:tcPr>
          <w:p w14:paraId="031AEA4E" w14:textId="77777777" w:rsidR="001D2587" w:rsidRPr="008D2AFB" w:rsidRDefault="001D2587" w:rsidP="005C7955">
            <w:pPr>
              <w:keepNext/>
              <w:keepLines/>
              <w:suppressAutoHyphens/>
              <w:spacing w:line="240" w:lineRule="atLeast"/>
              <w:jc w:val="center"/>
              <w:rPr>
                <w:b/>
                <w:sz w:val="16"/>
                <w:szCs w:val="16"/>
                <w:lang w:val="en-GB" w:eastAsia="el-GR"/>
              </w:rPr>
            </w:pPr>
            <w:r w:rsidRPr="008D2AFB">
              <w:rPr>
                <w:b/>
                <w:sz w:val="16"/>
                <w:szCs w:val="16"/>
                <w:lang w:val="en-GB" w:eastAsia="el-GR"/>
              </w:rPr>
              <w:t>Suggested Value</w:t>
            </w:r>
          </w:p>
        </w:tc>
      </w:tr>
      <w:tr w:rsidR="001D2587" w:rsidRPr="000855B2" w14:paraId="192D6148" w14:textId="77777777" w:rsidTr="00887829">
        <w:trPr>
          <w:cantSplit/>
          <w:trHeight w:val="285"/>
        </w:trPr>
        <w:tc>
          <w:tcPr>
            <w:tcW w:w="1380" w:type="dxa"/>
            <w:vMerge/>
            <w:tcBorders>
              <w:top w:val="single" w:sz="8" w:space="0" w:color="auto"/>
              <w:left w:val="double" w:sz="6" w:space="0" w:color="000000"/>
              <w:bottom w:val="single" w:sz="12" w:space="0" w:color="auto"/>
              <w:right w:val="single" w:sz="4" w:space="0" w:color="auto"/>
            </w:tcBorders>
            <w:vAlign w:val="center"/>
          </w:tcPr>
          <w:p w14:paraId="790A924D" w14:textId="77777777" w:rsidR="001D2587" w:rsidRPr="000855B2" w:rsidRDefault="001D2587" w:rsidP="005C7955">
            <w:pPr>
              <w:keepNext/>
              <w:keepLines/>
              <w:suppressAutoHyphens/>
              <w:spacing w:line="240" w:lineRule="atLeast"/>
              <w:rPr>
                <w:b/>
                <w:bCs/>
                <w:sz w:val="16"/>
                <w:szCs w:val="16"/>
                <w:lang w:val="en-GB" w:eastAsia="el-GR"/>
              </w:rPr>
            </w:pPr>
          </w:p>
        </w:tc>
        <w:tc>
          <w:tcPr>
            <w:tcW w:w="2194" w:type="dxa"/>
            <w:vMerge/>
            <w:tcBorders>
              <w:top w:val="single" w:sz="8" w:space="0" w:color="auto"/>
              <w:left w:val="single" w:sz="4" w:space="0" w:color="auto"/>
              <w:bottom w:val="single" w:sz="12" w:space="0" w:color="auto"/>
              <w:right w:val="single" w:sz="4" w:space="0" w:color="auto"/>
            </w:tcBorders>
            <w:vAlign w:val="center"/>
          </w:tcPr>
          <w:p w14:paraId="259B7C93" w14:textId="77777777" w:rsidR="001D2587" w:rsidRPr="000855B2" w:rsidRDefault="001D2587" w:rsidP="005C7955">
            <w:pPr>
              <w:keepNext/>
              <w:keepLines/>
              <w:suppressAutoHyphens/>
              <w:spacing w:line="240" w:lineRule="atLeast"/>
              <w:rPr>
                <w:b/>
                <w:bCs/>
                <w:sz w:val="16"/>
                <w:szCs w:val="16"/>
                <w:lang w:val="en-GB" w:eastAsia="el-GR"/>
              </w:rPr>
            </w:pPr>
          </w:p>
        </w:tc>
        <w:tc>
          <w:tcPr>
            <w:tcW w:w="1662" w:type="dxa"/>
            <w:vMerge/>
            <w:tcBorders>
              <w:top w:val="nil"/>
              <w:left w:val="single" w:sz="4" w:space="0" w:color="auto"/>
              <w:bottom w:val="single" w:sz="12" w:space="0" w:color="auto"/>
              <w:right w:val="single" w:sz="4" w:space="0" w:color="auto"/>
            </w:tcBorders>
            <w:vAlign w:val="center"/>
          </w:tcPr>
          <w:p w14:paraId="5906DCC2" w14:textId="77777777" w:rsidR="001D2587" w:rsidRPr="000855B2" w:rsidRDefault="001D2587" w:rsidP="005C7955">
            <w:pPr>
              <w:keepNext/>
              <w:keepLines/>
              <w:suppressAutoHyphens/>
              <w:spacing w:line="240" w:lineRule="atLeast"/>
              <w:rPr>
                <w:sz w:val="16"/>
                <w:szCs w:val="16"/>
                <w:lang w:val="en-GB" w:eastAsia="el-GR"/>
              </w:rPr>
            </w:pPr>
          </w:p>
        </w:tc>
        <w:tc>
          <w:tcPr>
            <w:tcW w:w="1701" w:type="dxa"/>
            <w:vMerge/>
            <w:tcBorders>
              <w:top w:val="nil"/>
              <w:left w:val="single" w:sz="4" w:space="0" w:color="auto"/>
              <w:bottom w:val="single" w:sz="12" w:space="0" w:color="auto"/>
              <w:right w:val="single" w:sz="4" w:space="0" w:color="auto"/>
            </w:tcBorders>
            <w:vAlign w:val="center"/>
          </w:tcPr>
          <w:p w14:paraId="774FD1A5" w14:textId="77777777" w:rsidR="001D2587" w:rsidRPr="000855B2" w:rsidRDefault="001D2587" w:rsidP="005C7955">
            <w:pPr>
              <w:keepNext/>
              <w:keepLines/>
              <w:suppressAutoHyphens/>
              <w:spacing w:line="240" w:lineRule="atLeast"/>
              <w:rPr>
                <w:sz w:val="16"/>
                <w:szCs w:val="16"/>
                <w:lang w:val="en-GB" w:eastAsia="el-GR"/>
              </w:rPr>
            </w:pPr>
          </w:p>
        </w:tc>
        <w:tc>
          <w:tcPr>
            <w:tcW w:w="1460" w:type="dxa"/>
            <w:vMerge/>
            <w:tcBorders>
              <w:top w:val="nil"/>
              <w:left w:val="single" w:sz="4" w:space="0" w:color="auto"/>
              <w:bottom w:val="single" w:sz="12" w:space="0" w:color="auto"/>
              <w:right w:val="double" w:sz="6" w:space="0" w:color="000000"/>
            </w:tcBorders>
            <w:vAlign w:val="center"/>
          </w:tcPr>
          <w:p w14:paraId="4C2A989B" w14:textId="77777777" w:rsidR="001D2587" w:rsidRPr="000855B2" w:rsidRDefault="001D2587" w:rsidP="005C7955">
            <w:pPr>
              <w:keepNext/>
              <w:keepLines/>
              <w:suppressAutoHyphens/>
              <w:spacing w:line="240" w:lineRule="atLeast"/>
              <w:rPr>
                <w:sz w:val="16"/>
                <w:szCs w:val="16"/>
                <w:lang w:val="en-GB" w:eastAsia="el-GR"/>
              </w:rPr>
            </w:pPr>
          </w:p>
        </w:tc>
      </w:tr>
      <w:tr w:rsidR="0016010F" w:rsidRPr="000855B2" w14:paraId="5F0453B7" w14:textId="77777777" w:rsidTr="00887829">
        <w:trPr>
          <w:cantSplit/>
          <w:trHeight w:val="255"/>
        </w:trPr>
        <w:tc>
          <w:tcPr>
            <w:tcW w:w="1380" w:type="dxa"/>
            <w:vMerge w:val="restart"/>
            <w:tcBorders>
              <w:top w:val="single" w:sz="12" w:space="0" w:color="auto"/>
              <w:left w:val="double" w:sz="6" w:space="0" w:color="000000"/>
              <w:right w:val="single" w:sz="4" w:space="0" w:color="auto"/>
            </w:tcBorders>
            <w:vAlign w:val="center"/>
          </w:tcPr>
          <w:p w14:paraId="7CF9BB01" w14:textId="77777777" w:rsidR="0016010F"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6010F" w:rsidRPr="000855B2">
              <w:rPr>
                <w:sz w:val="16"/>
                <w:szCs w:val="16"/>
                <w:lang w:val="en-GB" w:eastAsia="el-GR"/>
              </w:rPr>
              <w:t xml:space="preserve"> PCs</w:t>
            </w:r>
          </w:p>
        </w:tc>
        <w:tc>
          <w:tcPr>
            <w:tcW w:w="2194" w:type="dxa"/>
            <w:tcBorders>
              <w:top w:val="single" w:sz="12" w:space="0" w:color="auto"/>
              <w:left w:val="nil"/>
              <w:bottom w:val="single" w:sz="4" w:space="0" w:color="auto"/>
              <w:right w:val="single" w:sz="4" w:space="0" w:color="auto"/>
            </w:tcBorders>
            <w:noWrap/>
            <w:vAlign w:val="center"/>
          </w:tcPr>
          <w:p w14:paraId="138809E1"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single" w:sz="12" w:space="0" w:color="auto"/>
              <w:left w:val="nil"/>
              <w:bottom w:val="single" w:sz="4" w:space="0" w:color="auto"/>
              <w:right w:val="single" w:sz="4" w:space="0" w:color="auto"/>
            </w:tcBorders>
            <w:noWrap/>
            <w:vAlign w:val="center"/>
          </w:tcPr>
          <w:p w14:paraId="64EFC198"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c>
          <w:tcPr>
            <w:tcW w:w="1701" w:type="dxa"/>
            <w:tcBorders>
              <w:top w:val="single" w:sz="12" w:space="0" w:color="auto"/>
              <w:left w:val="nil"/>
              <w:bottom w:val="single" w:sz="4" w:space="0" w:color="auto"/>
              <w:right w:val="single" w:sz="4" w:space="0" w:color="auto"/>
            </w:tcBorders>
            <w:noWrap/>
            <w:vAlign w:val="center"/>
          </w:tcPr>
          <w:p w14:paraId="5CE2E1A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single" w:sz="12" w:space="0" w:color="auto"/>
              <w:left w:val="nil"/>
              <w:bottom w:val="single" w:sz="4" w:space="0" w:color="auto"/>
              <w:right w:val="double" w:sz="6" w:space="0" w:color="000000"/>
            </w:tcBorders>
            <w:noWrap/>
            <w:vAlign w:val="center"/>
          </w:tcPr>
          <w:p w14:paraId="06F779B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16010F" w:rsidRPr="000855B2" w14:paraId="419655D4" w14:textId="77777777" w:rsidTr="00887829">
        <w:trPr>
          <w:cantSplit/>
          <w:trHeight w:val="255"/>
        </w:trPr>
        <w:tc>
          <w:tcPr>
            <w:tcW w:w="1380" w:type="dxa"/>
            <w:vMerge/>
            <w:tcBorders>
              <w:left w:val="double" w:sz="6" w:space="0" w:color="000000"/>
              <w:right w:val="single" w:sz="4" w:space="0" w:color="auto"/>
            </w:tcBorders>
            <w:vAlign w:val="center"/>
          </w:tcPr>
          <w:p w14:paraId="440C7A35"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DB91E38"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31C91174"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c>
          <w:tcPr>
            <w:tcW w:w="1701" w:type="dxa"/>
            <w:tcBorders>
              <w:top w:val="nil"/>
              <w:left w:val="nil"/>
              <w:bottom w:val="single" w:sz="4" w:space="0" w:color="auto"/>
              <w:right w:val="single" w:sz="4" w:space="0" w:color="auto"/>
            </w:tcBorders>
            <w:noWrap/>
            <w:vAlign w:val="center"/>
          </w:tcPr>
          <w:p w14:paraId="09AF5115"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25C6401D"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16010F" w:rsidRPr="000855B2" w14:paraId="7CB6A2A9" w14:textId="77777777" w:rsidTr="00887829">
        <w:trPr>
          <w:cantSplit/>
          <w:trHeight w:val="255"/>
        </w:trPr>
        <w:tc>
          <w:tcPr>
            <w:tcW w:w="1380" w:type="dxa"/>
            <w:vMerge/>
            <w:tcBorders>
              <w:left w:val="double" w:sz="6" w:space="0" w:color="000000"/>
              <w:right w:val="single" w:sz="4" w:space="0" w:color="auto"/>
            </w:tcBorders>
            <w:vAlign w:val="center"/>
          </w:tcPr>
          <w:p w14:paraId="3F676FD2"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7E39A1E7"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3 — Euro 4</w:t>
            </w:r>
          </w:p>
        </w:tc>
        <w:tc>
          <w:tcPr>
            <w:tcW w:w="1662" w:type="dxa"/>
            <w:tcBorders>
              <w:top w:val="nil"/>
              <w:left w:val="nil"/>
              <w:bottom w:val="single" w:sz="4" w:space="0" w:color="auto"/>
              <w:right w:val="single" w:sz="4" w:space="0" w:color="auto"/>
            </w:tcBorders>
            <w:noWrap/>
            <w:vAlign w:val="center"/>
          </w:tcPr>
          <w:p w14:paraId="04051A3A"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c>
          <w:tcPr>
            <w:tcW w:w="1701" w:type="dxa"/>
            <w:tcBorders>
              <w:top w:val="nil"/>
              <w:left w:val="nil"/>
              <w:bottom w:val="single" w:sz="4" w:space="0" w:color="auto"/>
              <w:right w:val="single" w:sz="4" w:space="0" w:color="auto"/>
            </w:tcBorders>
            <w:noWrap/>
            <w:vAlign w:val="center"/>
          </w:tcPr>
          <w:p w14:paraId="52CBC78F"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6EB3A465"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16010F" w:rsidRPr="000855B2" w14:paraId="4E65450D" w14:textId="77777777" w:rsidTr="00887829">
        <w:trPr>
          <w:cantSplit/>
          <w:trHeight w:val="255"/>
        </w:trPr>
        <w:tc>
          <w:tcPr>
            <w:tcW w:w="1380" w:type="dxa"/>
            <w:vMerge/>
            <w:tcBorders>
              <w:left w:val="double" w:sz="6" w:space="0" w:color="000000"/>
              <w:right w:val="single" w:sz="4" w:space="0" w:color="auto"/>
            </w:tcBorders>
            <w:vAlign w:val="center"/>
          </w:tcPr>
          <w:p w14:paraId="058B23DC"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5EB6924"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732D691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c>
          <w:tcPr>
            <w:tcW w:w="1701" w:type="dxa"/>
            <w:tcBorders>
              <w:top w:val="nil"/>
              <w:left w:val="nil"/>
              <w:bottom w:val="single" w:sz="4" w:space="0" w:color="auto"/>
              <w:right w:val="single" w:sz="4" w:space="0" w:color="auto"/>
            </w:tcBorders>
            <w:noWrap/>
            <w:vAlign w:val="center"/>
          </w:tcPr>
          <w:p w14:paraId="3025571F"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238C09EB"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16010F" w:rsidRPr="000855B2" w14:paraId="5088DA0A" w14:textId="77777777" w:rsidTr="00887829">
        <w:trPr>
          <w:cantSplit/>
          <w:trHeight w:val="255"/>
        </w:trPr>
        <w:tc>
          <w:tcPr>
            <w:tcW w:w="1380" w:type="dxa"/>
            <w:vMerge/>
            <w:tcBorders>
              <w:left w:val="double" w:sz="6" w:space="0" w:color="000000"/>
              <w:right w:val="single" w:sz="4" w:space="0" w:color="auto"/>
            </w:tcBorders>
            <w:vAlign w:val="center"/>
          </w:tcPr>
          <w:p w14:paraId="1E16E4E8"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F58624F"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6</w:t>
            </w:r>
            <w:r w:rsidR="00264846">
              <w:rPr>
                <w:sz w:val="16"/>
                <w:szCs w:val="16"/>
                <w:lang w:val="en-GB" w:eastAsia="el-GR"/>
              </w:rPr>
              <w:t xml:space="preserve"> up to 2016</w:t>
            </w:r>
          </w:p>
        </w:tc>
        <w:tc>
          <w:tcPr>
            <w:tcW w:w="1662" w:type="dxa"/>
            <w:tcBorders>
              <w:top w:val="nil"/>
              <w:left w:val="nil"/>
              <w:bottom w:val="single" w:sz="4" w:space="0" w:color="auto"/>
              <w:right w:val="single" w:sz="4" w:space="0" w:color="auto"/>
            </w:tcBorders>
            <w:noWrap/>
            <w:vAlign w:val="center"/>
          </w:tcPr>
          <w:p w14:paraId="2CC05C39"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A9EC35B"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67B9734A"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264846" w:rsidRPr="000855B2" w14:paraId="0D3CE3D7"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2D218AA6" w14:textId="77777777" w:rsidR="00264846" w:rsidRPr="000855B2" w:rsidRDefault="0026484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7AD0D40C" w14:textId="77777777" w:rsidR="00264846" w:rsidRPr="000855B2" w:rsidRDefault="00264846"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2017-2019</w:t>
            </w:r>
          </w:p>
        </w:tc>
        <w:tc>
          <w:tcPr>
            <w:tcW w:w="1662" w:type="dxa"/>
            <w:tcBorders>
              <w:top w:val="nil"/>
              <w:left w:val="nil"/>
              <w:bottom w:val="single" w:sz="4" w:space="0" w:color="auto"/>
              <w:right w:val="single" w:sz="4" w:space="0" w:color="auto"/>
            </w:tcBorders>
            <w:noWrap/>
            <w:vAlign w:val="center"/>
          </w:tcPr>
          <w:p w14:paraId="3863D715" w14:textId="77777777" w:rsidR="00264846" w:rsidRPr="000855B2" w:rsidRDefault="00264846" w:rsidP="005C7955">
            <w:pPr>
              <w:keepNext/>
              <w:keepLines/>
              <w:suppressAutoHyphens/>
              <w:spacing w:line="240" w:lineRule="atLeast"/>
              <w:jc w:val="center"/>
              <w:rPr>
                <w:sz w:val="16"/>
                <w:szCs w:val="16"/>
                <w:lang w:val="en-GB" w:eastAsia="el-GR"/>
              </w:rPr>
            </w:pPr>
            <w:r>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93F0AE1" w14:textId="77777777" w:rsidR="00264846" w:rsidRPr="000855B2" w:rsidRDefault="00264846" w:rsidP="005C7955">
            <w:pPr>
              <w:keepNext/>
              <w:keepLines/>
              <w:suppressAutoHyphens/>
              <w:spacing w:line="240" w:lineRule="atLeast"/>
              <w:jc w:val="center"/>
              <w:rPr>
                <w:sz w:val="16"/>
                <w:szCs w:val="16"/>
                <w:lang w:val="en-GB" w:eastAsia="el-GR"/>
              </w:rPr>
            </w:pPr>
            <w:r>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32915A2B" w14:textId="77777777" w:rsidR="00264846" w:rsidRPr="000855B2" w:rsidRDefault="00264846" w:rsidP="005C7955">
            <w:pPr>
              <w:keepNext/>
              <w:keepLines/>
              <w:suppressAutoHyphens/>
              <w:spacing w:line="240" w:lineRule="atLeast"/>
              <w:jc w:val="center"/>
              <w:rPr>
                <w:sz w:val="16"/>
                <w:szCs w:val="16"/>
                <w:lang w:val="en-GB" w:eastAsia="el-GR"/>
              </w:rPr>
            </w:pPr>
            <w:r>
              <w:rPr>
                <w:sz w:val="16"/>
                <w:szCs w:val="16"/>
                <w:lang w:val="en-GB" w:eastAsia="el-GR"/>
              </w:rPr>
              <w:t>3</w:t>
            </w:r>
          </w:p>
        </w:tc>
      </w:tr>
      <w:tr w:rsidR="0016010F" w:rsidRPr="000855B2" w14:paraId="50994426"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73FD55C4"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8D035EA" w14:textId="77777777" w:rsidR="00957E20" w:rsidRDefault="0016010F"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sidR="00264846">
              <w:rPr>
                <w:sz w:val="16"/>
                <w:szCs w:val="16"/>
                <w:lang w:val="en-GB" w:eastAsia="el-GR"/>
              </w:rPr>
              <w:t>2020+</w:t>
            </w:r>
          </w:p>
        </w:tc>
        <w:tc>
          <w:tcPr>
            <w:tcW w:w="1662" w:type="dxa"/>
            <w:tcBorders>
              <w:top w:val="nil"/>
              <w:left w:val="nil"/>
              <w:bottom w:val="single" w:sz="4" w:space="0" w:color="auto"/>
              <w:right w:val="single" w:sz="4" w:space="0" w:color="auto"/>
            </w:tcBorders>
            <w:noWrap/>
            <w:vAlign w:val="center"/>
          </w:tcPr>
          <w:p w14:paraId="46B139A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7FCDDB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5AD24B2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16010F" w:rsidRPr="000855B2" w14:paraId="40B78D2F"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22D835C1"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Diesel PCs</w:t>
            </w:r>
          </w:p>
        </w:tc>
        <w:tc>
          <w:tcPr>
            <w:tcW w:w="2194" w:type="dxa"/>
            <w:tcBorders>
              <w:top w:val="nil"/>
              <w:left w:val="nil"/>
              <w:bottom w:val="single" w:sz="4" w:space="0" w:color="auto"/>
              <w:right w:val="single" w:sz="4" w:space="0" w:color="auto"/>
            </w:tcBorders>
            <w:noWrap/>
            <w:vAlign w:val="center"/>
          </w:tcPr>
          <w:p w14:paraId="5B92FFAF"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3167BCDC"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73C5070E"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68AC9AB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15</w:t>
            </w:r>
          </w:p>
        </w:tc>
      </w:tr>
      <w:tr w:rsidR="0016010F" w:rsidRPr="000855B2" w14:paraId="290AC77A" w14:textId="77777777" w:rsidTr="00887829">
        <w:trPr>
          <w:cantSplit/>
          <w:trHeight w:val="255"/>
        </w:trPr>
        <w:tc>
          <w:tcPr>
            <w:tcW w:w="1380" w:type="dxa"/>
            <w:vMerge/>
            <w:tcBorders>
              <w:left w:val="double" w:sz="6" w:space="0" w:color="000000"/>
              <w:right w:val="single" w:sz="4" w:space="0" w:color="auto"/>
            </w:tcBorders>
            <w:vAlign w:val="center"/>
          </w:tcPr>
          <w:p w14:paraId="5CB01AD7"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B0290FB"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5C80D615"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55A1C8DB"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3AA3629C"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13</w:t>
            </w:r>
          </w:p>
        </w:tc>
      </w:tr>
      <w:tr w:rsidR="0016010F" w:rsidRPr="000855B2" w14:paraId="1E809E2A" w14:textId="77777777" w:rsidTr="00887829">
        <w:trPr>
          <w:cantSplit/>
          <w:trHeight w:val="255"/>
        </w:trPr>
        <w:tc>
          <w:tcPr>
            <w:tcW w:w="1380" w:type="dxa"/>
            <w:vMerge/>
            <w:tcBorders>
              <w:left w:val="double" w:sz="6" w:space="0" w:color="000000"/>
              <w:right w:val="single" w:sz="4" w:space="0" w:color="auto"/>
            </w:tcBorders>
            <w:vAlign w:val="center"/>
          </w:tcPr>
          <w:p w14:paraId="1D934DC4"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71B25C1"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3</w:t>
            </w:r>
          </w:p>
        </w:tc>
        <w:tc>
          <w:tcPr>
            <w:tcW w:w="1662" w:type="dxa"/>
            <w:tcBorders>
              <w:top w:val="nil"/>
              <w:left w:val="nil"/>
              <w:bottom w:val="single" w:sz="4" w:space="0" w:color="auto"/>
              <w:right w:val="single" w:sz="4" w:space="0" w:color="auto"/>
            </w:tcBorders>
            <w:noWrap/>
            <w:vAlign w:val="center"/>
          </w:tcPr>
          <w:p w14:paraId="278436E1"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25</w:t>
            </w:r>
          </w:p>
        </w:tc>
        <w:tc>
          <w:tcPr>
            <w:tcW w:w="1701" w:type="dxa"/>
            <w:tcBorders>
              <w:top w:val="nil"/>
              <w:left w:val="nil"/>
              <w:bottom w:val="single" w:sz="4" w:space="0" w:color="auto"/>
              <w:right w:val="single" w:sz="4" w:space="0" w:color="auto"/>
            </w:tcBorders>
            <w:noWrap/>
            <w:vAlign w:val="center"/>
          </w:tcPr>
          <w:p w14:paraId="163A207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40</w:t>
            </w:r>
          </w:p>
        </w:tc>
        <w:tc>
          <w:tcPr>
            <w:tcW w:w="1460" w:type="dxa"/>
            <w:tcBorders>
              <w:top w:val="nil"/>
              <w:left w:val="nil"/>
              <w:bottom w:val="single" w:sz="4" w:space="0" w:color="auto"/>
              <w:right w:val="double" w:sz="6" w:space="0" w:color="000000"/>
            </w:tcBorders>
            <w:noWrap/>
            <w:vAlign w:val="center"/>
          </w:tcPr>
          <w:p w14:paraId="4EFB6C90"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27</w:t>
            </w:r>
          </w:p>
        </w:tc>
      </w:tr>
      <w:tr w:rsidR="0016010F" w:rsidRPr="000855B2" w14:paraId="3DF11D36" w14:textId="77777777" w:rsidTr="00887829">
        <w:trPr>
          <w:cantSplit/>
          <w:trHeight w:val="255"/>
        </w:trPr>
        <w:tc>
          <w:tcPr>
            <w:tcW w:w="1380" w:type="dxa"/>
            <w:vMerge/>
            <w:tcBorders>
              <w:left w:val="double" w:sz="6" w:space="0" w:color="000000"/>
              <w:right w:val="single" w:sz="4" w:space="0" w:color="auto"/>
            </w:tcBorders>
            <w:vAlign w:val="center"/>
          </w:tcPr>
          <w:p w14:paraId="47408088"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108FC1FE"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3 with DPF</w:t>
            </w:r>
          </w:p>
        </w:tc>
        <w:tc>
          <w:tcPr>
            <w:tcW w:w="1662" w:type="dxa"/>
            <w:tcBorders>
              <w:top w:val="nil"/>
              <w:left w:val="nil"/>
              <w:bottom w:val="single" w:sz="4" w:space="0" w:color="auto"/>
              <w:right w:val="single" w:sz="4" w:space="0" w:color="auto"/>
            </w:tcBorders>
            <w:noWrap/>
            <w:vAlign w:val="center"/>
          </w:tcPr>
          <w:p w14:paraId="7611E5EB"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27AE4E80"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65064E27"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51</w:t>
            </w:r>
          </w:p>
        </w:tc>
      </w:tr>
      <w:tr w:rsidR="0016010F" w:rsidRPr="000855B2" w14:paraId="5FD8DC27" w14:textId="77777777" w:rsidTr="00887829">
        <w:trPr>
          <w:cantSplit/>
          <w:trHeight w:val="255"/>
        </w:trPr>
        <w:tc>
          <w:tcPr>
            <w:tcW w:w="1380" w:type="dxa"/>
            <w:vMerge/>
            <w:tcBorders>
              <w:left w:val="double" w:sz="6" w:space="0" w:color="000000"/>
              <w:right w:val="single" w:sz="4" w:space="0" w:color="auto"/>
            </w:tcBorders>
            <w:vAlign w:val="center"/>
          </w:tcPr>
          <w:p w14:paraId="65FA81CC"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6525F80"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nil"/>
              <w:bottom w:val="single" w:sz="4" w:space="0" w:color="auto"/>
              <w:right w:val="single" w:sz="4" w:space="0" w:color="auto"/>
            </w:tcBorders>
            <w:noWrap/>
            <w:vAlign w:val="center"/>
          </w:tcPr>
          <w:p w14:paraId="31269D0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55</w:t>
            </w:r>
          </w:p>
        </w:tc>
        <w:tc>
          <w:tcPr>
            <w:tcW w:w="1701" w:type="dxa"/>
            <w:tcBorders>
              <w:top w:val="nil"/>
              <w:left w:val="nil"/>
              <w:bottom w:val="single" w:sz="4" w:space="0" w:color="auto"/>
              <w:right w:val="single" w:sz="4" w:space="0" w:color="auto"/>
            </w:tcBorders>
            <w:noWrap/>
            <w:vAlign w:val="center"/>
          </w:tcPr>
          <w:p w14:paraId="3162BBC2"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40-70</w:t>
            </w:r>
          </w:p>
        </w:tc>
        <w:tc>
          <w:tcPr>
            <w:tcW w:w="1460" w:type="dxa"/>
            <w:tcBorders>
              <w:top w:val="nil"/>
              <w:left w:val="nil"/>
              <w:bottom w:val="single" w:sz="4" w:space="0" w:color="auto"/>
              <w:right w:val="double" w:sz="6" w:space="0" w:color="000000"/>
            </w:tcBorders>
            <w:noWrap/>
            <w:vAlign w:val="center"/>
          </w:tcPr>
          <w:p w14:paraId="33C9CD61"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46</w:t>
            </w:r>
          </w:p>
        </w:tc>
      </w:tr>
      <w:tr w:rsidR="0016010F" w:rsidRPr="000855B2" w14:paraId="7C49865A" w14:textId="77777777" w:rsidTr="00887829">
        <w:trPr>
          <w:cantSplit/>
          <w:trHeight w:val="255"/>
        </w:trPr>
        <w:tc>
          <w:tcPr>
            <w:tcW w:w="1380" w:type="dxa"/>
            <w:vMerge/>
            <w:tcBorders>
              <w:left w:val="double" w:sz="6" w:space="0" w:color="000000"/>
              <w:right w:val="single" w:sz="4" w:space="0" w:color="auto"/>
            </w:tcBorders>
            <w:vAlign w:val="center"/>
          </w:tcPr>
          <w:p w14:paraId="1D829CD0" w14:textId="77777777" w:rsidR="0016010F" w:rsidRPr="000855B2" w:rsidRDefault="0016010F"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6C68678" w14:textId="77777777" w:rsidR="0016010F" w:rsidRPr="000855B2" w:rsidRDefault="0016010F"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79217831"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55</w:t>
            </w:r>
          </w:p>
        </w:tc>
        <w:tc>
          <w:tcPr>
            <w:tcW w:w="1701" w:type="dxa"/>
            <w:tcBorders>
              <w:top w:val="nil"/>
              <w:left w:val="nil"/>
              <w:bottom w:val="single" w:sz="4" w:space="0" w:color="auto"/>
              <w:right w:val="single" w:sz="4" w:space="0" w:color="auto"/>
            </w:tcBorders>
            <w:noWrap/>
            <w:vAlign w:val="center"/>
          </w:tcPr>
          <w:p w14:paraId="140CDE66"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70</w:t>
            </w:r>
          </w:p>
        </w:tc>
        <w:tc>
          <w:tcPr>
            <w:tcW w:w="1460" w:type="dxa"/>
            <w:tcBorders>
              <w:top w:val="nil"/>
              <w:left w:val="nil"/>
              <w:bottom w:val="single" w:sz="4" w:space="0" w:color="auto"/>
              <w:right w:val="double" w:sz="6" w:space="0" w:color="000000"/>
            </w:tcBorders>
            <w:noWrap/>
            <w:vAlign w:val="center"/>
          </w:tcPr>
          <w:p w14:paraId="4CBCA66D" w14:textId="77777777" w:rsidR="0016010F" w:rsidRPr="000855B2" w:rsidRDefault="0016010F" w:rsidP="005C7955">
            <w:pPr>
              <w:keepNext/>
              <w:keepLines/>
              <w:suppressAutoHyphens/>
              <w:spacing w:line="240" w:lineRule="atLeast"/>
              <w:jc w:val="center"/>
              <w:rPr>
                <w:sz w:val="16"/>
                <w:szCs w:val="16"/>
                <w:lang w:val="en-GB" w:eastAsia="el-GR"/>
              </w:rPr>
            </w:pPr>
            <w:r w:rsidRPr="000855B2">
              <w:rPr>
                <w:sz w:val="16"/>
                <w:szCs w:val="16"/>
                <w:lang w:val="en-GB" w:eastAsia="el-GR"/>
              </w:rPr>
              <w:t>33</w:t>
            </w:r>
          </w:p>
        </w:tc>
      </w:tr>
      <w:tr w:rsidR="00920069" w:rsidRPr="000855B2" w14:paraId="2D6171EF" w14:textId="77777777" w:rsidTr="00887829">
        <w:trPr>
          <w:cantSplit/>
          <w:trHeight w:val="255"/>
        </w:trPr>
        <w:tc>
          <w:tcPr>
            <w:tcW w:w="1380" w:type="dxa"/>
            <w:vMerge/>
            <w:tcBorders>
              <w:left w:val="double" w:sz="6" w:space="0" w:color="000000"/>
              <w:right w:val="single" w:sz="4" w:space="0" w:color="auto"/>
            </w:tcBorders>
            <w:vAlign w:val="center"/>
          </w:tcPr>
          <w:p w14:paraId="2BB413F9"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66EF2E0"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6</w:t>
            </w:r>
            <w:r>
              <w:rPr>
                <w:sz w:val="16"/>
                <w:szCs w:val="16"/>
                <w:lang w:val="en-GB" w:eastAsia="el-GR"/>
              </w:rPr>
              <w:t xml:space="preserve"> up to 2016</w:t>
            </w:r>
          </w:p>
        </w:tc>
        <w:tc>
          <w:tcPr>
            <w:tcW w:w="1662" w:type="dxa"/>
            <w:tcBorders>
              <w:top w:val="nil"/>
              <w:left w:val="nil"/>
              <w:bottom w:val="single" w:sz="4" w:space="0" w:color="auto"/>
              <w:right w:val="single" w:sz="4" w:space="0" w:color="auto"/>
            </w:tcBorders>
            <w:noWrap/>
            <w:vAlign w:val="center"/>
          </w:tcPr>
          <w:p w14:paraId="596856C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2D64DF1"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4278BFC3"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920069" w:rsidRPr="000855B2" w14:paraId="0B4D5E85" w14:textId="77777777" w:rsidTr="00887829">
        <w:trPr>
          <w:cantSplit/>
          <w:trHeight w:val="255"/>
        </w:trPr>
        <w:tc>
          <w:tcPr>
            <w:tcW w:w="1380" w:type="dxa"/>
            <w:vMerge/>
            <w:tcBorders>
              <w:left w:val="double" w:sz="6" w:space="0" w:color="000000"/>
              <w:right w:val="single" w:sz="4" w:space="0" w:color="auto"/>
            </w:tcBorders>
            <w:vAlign w:val="center"/>
          </w:tcPr>
          <w:p w14:paraId="0E5CAC5A"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144CB9F6"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2017-2019</w:t>
            </w:r>
          </w:p>
        </w:tc>
        <w:tc>
          <w:tcPr>
            <w:tcW w:w="1662" w:type="dxa"/>
            <w:tcBorders>
              <w:top w:val="nil"/>
              <w:left w:val="nil"/>
              <w:bottom w:val="single" w:sz="4" w:space="0" w:color="auto"/>
              <w:right w:val="single" w:sz="4" w:space="0" w:color="auto"/>
            </w:tcBorders>
            <w:noWrap/>
            <w:vAlign w:val="center"/>
          </w:tcPr>
          <w:p w14:paraId="5E86CDDC"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7494534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794C9DC4"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920069" w:rsidRPr="000855B2" w14:paraId="093852D0" w14:textId="77777777" w:rsidTr="00887829">
        <w:trPr>
          <w:cantSplit/>
          <w:trHeight w:val="255"/>
        </w:trPr>
        <w:tc>
          <w:tcPr>
            <w:tcW w:w="1380" w:type="dxa"/>
            <w:tcBorders>
              <w:left w:val="double" w:sz="6" w:space="0" w:color="000000"/>
              <w:bottom w:val="single" w:sz="4" w:space="0" w:color="auto"/>
              <w:right w:val="single" w:sz="4" w:space="0" w:color="auto"/>
            </w:tcBorders>
            <w:vAlign w:val="center"/>
          </w:tcPr>
          <w:p w14:paraId="322FC09A"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CFC94D5"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2020+</w:t>
            </w:r>
          </w:p>
        </w:tc>
        <w:tc>
          <w:tcPr>
            <w:tcW w:w="1662" w:type="dxa"/>
            <w:tcBorders>
              <w:top w:val="nil"/>
              <w:left w:val="nil"/>
              <w:bottom w:val="single" w:sz="4" w:space="0" w:color="auto"/>
              <w:right w:val="single" w:sz="4" w:space="0" w:color="auto"/>
            </w:tcBorders>
            <w:noWrap/>
            <w:vAlign w:val="center"/>
          </w:tcPr>
          <w:p w14:paraId="30E694C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8E5A72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3D4B34E0"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1D2587" w:rsidRPr="000855B2" w14:paraId="62295BE6" w14:textId="77777777" w:rsidTr="00887829">
        <w:trPr>
          <w:cantSplit/>
          <w:trHeight w:val="255"/>
        </w:trPr>
        <w:tc>
          <w:tcPr>
            <w:tcW w:w="1380" w:type="dxa"/>
            <w:vMerge w:val="restart"/>
            <w:tcBorders>
              <w:top w:val="single" w:sz="4" w:space="0" w:color="auto"/>
              <w:left w:val="double" w:sz="6" w:space="0" w:color="000000"/>
              <w:bottom w:val="single" w:sz="4" w:space="0" w:color="auto"/>
              <w:right w:val="single" w:sz="4" w:space="0" w:color="auto"/>
            </w:tcBorders>
            <w:vAlign w:val="center"/>
          </w:tcPr>
          <w:p w14:paraId="50CDBC72"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LPG PCs</w:t>
            </w:r>
          </w:p>
        </w:tc>
        <w:tc>
          <w:tcPr>
            <w:tcW w:w="2194" w:type="dxa"/>
            <w:tcBorders>
              <w:top w:val="nil"/>
              <w:left w:val="nil"/>
              <w:bottom w:val="single" w:sz="4" w:space="0" w:color="auto"/>
              <w:right w:val="single" w:sz="4" w:space="0" w:color="auto"/>
            </w:tcBorders>
            <w:noWrap/>
            <w:vAlign w:val="center"/>
          </w:tcPr>
          <w:p w14:paraId="7FC334CE"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vMerge w:val="restart"/>
            <w:tcBorders>
              <w:top w:val="nil"/>
              <w:left w:val="single" w:sz="4" w:space="0" w:color="auto"/>
              <w:bottom w:val="single" w:sz="4" w:space="0" w:color="auto"/>
              <w:right w:val="single" w:sz="4" w:space="0" w:color="auto"/>
            </w:tcBorders>
            <w:noWrap/>
            <w:vAlign w:val="center"/>
          </w:tcPr>
          <w:p w14:paraId="7ECDC967"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701" w:type="dxa"/>
            <w:tcBorders>
              <w:top w:val="nil"/>
              <w:left w:val="nil"/>
              <w:bottom w:val="single" w:sz="4" w:space="0" w:color="auto"/>
              <w:right w:val="single" w:sz="4" w:space="0" w:color="auto"/>
            </w:tcBorders>
            <w:noWrap/>
            <w:vAlign w:val="center"/>
          </w:tcPr>
          <w:p w14:paraId="37B47D50"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22383A82"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5A62D1A2"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67B77C1D"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5216484"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1</w:t>
            </w:r>
            <w:r w:rsidR="00106C64" w:rsidRPr="000855B2">
              <w:rPr>
                <w:sz w:val="16"/>
                <w:szCs w:val="16"/>
                <w:lang w:val="en-GB" w:eastAsia="el-GR"/>
              </w:rPr>
              <w:t xml:space="preserve"> — </w:t>
            </w:r>
            <w:r w:rsidRPr="000855B2">
              <w:rPr>
                <w:sz w:val="16"/>
                <w:szCs w:val="16"/>
                <w:lang w:val="en-GB" w:eastAsia="el-GR"/>
              </w:rPr>
              <w:t>Euro 3</w:t>
            </w:r>
          </w:p>
        </w:tc>
        <w:tc>
          <w:tcPr>
            <w:tcW w:w="1662" w:type="dxa"/>
            <w:vMerge/>
            <w:tcBorders>
              <w:top w:val="nil"/>
              <w:left w:val="single" w:sz="4" w:space="0" w:color="auto"/>
              <w:bottom w:val="single" w:sz="4" w:space="0" w:color="auto"/>
              <w:right w:val="single" w:sz="4" w:space="0" w:color="auto"/>
            </w:tcBorders>
            <w:vAlign w:val="center"/>
          </w:tcPr>
          <w:p w14:paraId="6D19D8B8"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139BF099"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6069EAD5"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35B2522F"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1C110F0B"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57ACEA5"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vMerge/>
            <w:tcBorders>
              <w:top w:val="nil"/>
              <w:left w:val="single" w:sz="4" w:space="0" w:color="auto"/>
              <w:bottom w:val="single" w:sz="4" w:space="0" w:color="auto"/>
              <w:right w:val="single" w:sz="4" w:space="0" w:color="auto"/>
            </w:tcBorders>
            <w:vAlign w:val="center"/>
          </w:tcPr>
          <w:p w14:paraId="63566BE0"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05756BB6"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04B1D7D9"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53C118A5"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1507B150"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32A148A"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vMerge/>
            <w:tcBorders>
              <w:top w:val="nil"/>
              <w:left w:val="single" w:sz="4" w:space="0" w:color="auto"/>
              <w:bottom w:val="single" w:sz="4" w:space="0" w:color="auto"/>
              <w:right w:val="single" w:sz="4" w:space="0" w:color="auto"/>
            </w:tcBorders>
            <w:vAlign w:val="center"/>
          </w:tcPr>
          <w:p w14:paraId="6062E11A"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4C627CA9"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79552D8B"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1D2587" w:rsidRPr="000855B2" w14:paraId="27D68923" w14:textId="77777777" w:rsidTr="00887829">
        <w:trPr>
          <w:cantSplit/>
          <w:trHeight w:val="255"/>
        </w:trPr>
        <w:tc>
          <w:tcPr>
            <w:tcW w:w="1380" w:type="dxa"/>
            <w:vMerge/>
            <w:tcBorders>
              <w:top w:val="nil"/>
              <w:left w:val="double" w:sz="6" w:space="0" w:color="000000"/>
              <w:bottom w:val="single" w:sz="4" w:space="0" w:color="auto"/>
              <w:right w:val="single" w:sz="4" w:space="0" w:color="auto"/>
            </w:tcBorders>
            <w:vAlign w:val="center"/>
          </w:tcPr>
          <w:p w14:paraId="31DB4231" w14:textId="77777777" w:rsidR="001D2587" w:rsidRPr="000855B2" w:rsidRDefault="001D2587"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38719E2" w14:textId="77777777" w:rsidR="001D2587" w:rsidRPr="000855B2" w:rsidRDefault="001D2587"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662" w:type="dxa"/>
            <w:vMerge/>
            <w:tcBorders>
              <w:top w:val="nil"/>
              <w:left w:val="single" w:sz="4" w:space="0" w:color="auto"/>
              <w:bottom w:val="single" w:sz="4" w:space="0" w:color="auto"/>
              <w:right w:val="single" w:sz="4" w:space="0" w:color="auto"/>
            </w:tcBorders>
            <w:vAlign w:val="center"/>
          </w:tcPr>
          <w:p w14:paraId="30F8C2E7" w14:textId="77777777" w:rsidR="001D2587" w:rsidRPr="000855B2" w:rsidRDefault="001D2587" w:rsidP="005C7955">
            <w:pPr>
              <w:keepNext/>
              <w:keepLines/>
              <w:suppressAutoHyphens/>
              <w:spacing w:line="240" w:lineRule="atLeast"/>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5259DC8D"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5C6EF5BF" w14:textId="77777777" w:rsidR="001D2587" w:rsidRPr="000855B2" w:rsidRDefault="001D2587"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r>
      <w:tr w:rsidR="006D1856" w:rsidRPr="000855B2" w14:paraId="3A10B2E8"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6C57DB01"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E85 PCs</w:t>
            </w:r>
          </w:p>
        </w:tc>
        <w:tc>
          <w:tcPr>
            <w:tcW w:w="2194" w:type="dxa"/>
            <w:tcBorders>
              <w:top w:val="nil"/>
              <w:left w:val="nil"/>
              <w:bottom w:val="single" w:sz="4" w:space="0" w:color="auto"/>
              <w:right w:val="single" w:sz="4" w:space="0" w:color="auto"/>
            </w:tcBorders>
            <w:noWrap/>
            <w:vAlign w:val="center"/>
          </w:tcPr>
          <w:p w14:paraId="0179A6A9"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single" w:sz="4" w:space="0" w:color="auto"/>
              <w:bottom w:val="single" w:sz="4" w:space="0" w:color="auto"/>
              <w:right w:val="single" w:sz="4" w:space="0" w:color="auto"/>
            </w:tcBorders>
            <w:vAlign w:val="center"/>
          </w:tcPr>
          <w:p w14:paraId="32FB4716"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CE2D87A"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5597C295"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759D65E2" w14:textId="77777777" w:rsidTr="00887829">
        <w:trPr>
          <w:cantSplit/>
          <w:trHeight w:val="255"/>
        </w:trPr>
        <w:tc>
          <w:tcPr>
            <w:tcW w:w="1380" w:type="dxa"/>
            <w:vMerge/>
            <w:tcBorders>
              <w:left w:val="double" w:sz="6" w:space="0" w:color="000000"/>
              <w:right w:val="single" w:sz="4" w:space="0" w:color="auto"/>
            </w:tcBorders>
            <w:vAlign w:val="center"/>
          </w:tcPr>
          <w:p w14:paraId="2DAC53E3"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71AEAA1"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single" w:sz="4" w:space="0" w:color="auto"/>
              <w:bottom w:val="single" w:sz="4" w:space="0" w:color="auto"/>
              <w:right w:val="single" w:sz="4" w:space="0" w:color="auto"/>
            </w:tcBorders>
            <w:vAlign w:val="center"/>
          </w:tcPr>
          <w:p w14:paraId="6EA8010C"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E3D0C0A"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4703BE03"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635A3FEF"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325A856A"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5BD0627"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662" w:type="dxa"/>
            <w:tcBorders>
              <w:top w:val="nil"/>
              <w:left w:val="single" w:sz="4" w:space="0" w:color="auto"/>
              <w:bottom w:val="single" w:sz="4" w:space="0" w:color="auto"/>
              <w:right w:val="single" w:sz="4" w:space="0" w:color="auto"/>
            </w:tcBorders>
            <w:vAlign w:val="center"/>
          </w:tcPr>
          <w:p w14:paraId="4FA1ED6B"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21E0741"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2508F2E0"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2</w:t>
            </w:r>
          </w:p>
        </w:tc>
      </w:tr>
      <w:tr w:rsidR="006D1856" w:rsidRPr="000855B2" w14:paraId="536FEA40" w14:textId="77777777" w:rsidTr="00887829">
        <w:trPr>
          <w:cantSplit/>
          <w:trHeight w:val="255"/>
        </w:trPr>
        <w:tc>
          <w:tcPr>
            <w:tcW w:w="1380" w:type="dxa"/>
            <w:vMerge w:val="restart"/>
            <w:tcBorders>
              <w:left w:val="double" w:sz="6" w:space="0" w:color="000000"/>
              <w:right w:val="single" w:sz="4" w:space="0" w:color="auto"/>
            </w:tcBorders>
            <w:vAlign w:val="center"/>
          </w:tcPr>
          <w:p w14:paraId="18539562"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CNG PCs</w:t>
            </w:r>
          </w:p>
        </w:tc>
        <w:tc>
          <w:tcPr>
            <w:tcW w:w="2194" w:type="dxa"/>
            <w:tcBorders>
              <w:top w:val="nil"/>
              <w:left w:val="nil"/>
              <w:bottom w:val="single" w:sz="4" w:space="0" w:color="auto"/>
              <w:right w:val="single" w:sz="4" w:space="0" w:color="auto"/>
            </w:tcBorders>
            <w:noWrap/>
            <w:vAlign w:val="center"/>
          </w:tcPr>
          <w:p w14:paraId="5996971C"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single" w:sz="4" w:space="0" w:color="auto"/>
              <w:bottom w:val="single" w:sz="4" w:space="0" w:color="auto"/>
              <w:right w:val="single" w:sz="4" w:space="0" w:color="auto"/>
            </w:tcBorders>
            <w:vAlign w:val="center"/>
          </w:tcPr>
          <w:p w14:paraId="012FE418"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254E14CF"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3F81037F"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0C279410" w14:textId="77777777" w:rsidTr="00887829">
        <w:trPr>
          <w:cantSplit/>
          <w:trHeight w:val="255"/>
        </w:trPr>
        <w:tc>
          <w:tcPr>
            <w:tcW w:w="1380" w:type="dxa"/>
            <w:vMerge/>
            <w:tcBorders>
              <w:left w:val="double" w:sz="6" w:space="0" w:color="000000"/>
              <w:right w:val="single" w:sz="4" w:space="0" w:color="auto"/>
            </w:tcBorders>
            <w:vAlign w:val="center"/>
          </w:tcPr>
          <w:p w14:paraId="077A89F2"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30AC396"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single" w:sz="4" w:space="0" w:color="auto"/>
              <w:bottom w:val="single" w:sz="4" w:space="0" w:color="auto"/>
              <w:right w:val="single" w:sz="4" w:space="0" w:color="auto"/>
            </w:tcBorders>
            <w:vAlign w:val="center"/>
          </w:tcPr>
          <w:p w14:paraId="4EFE0D96"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035C00E6"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7B9B3405"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6D1856" w:rsidRPr="000855B2" w14:paraId="6C17C1B8"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6567E12F" w14:textId="77777777" w:rsidR="006D1856" w:rsidRPr="000855B2" w:rsidRDefault="006D1856"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D36AAD4" w14:textId="77777777" w:rsidR="006D1856" w:rsidRPr="000855B2" w:rsidRDefault="006D1856" w:rsidP="005C7955">
            <w:pPr>
              <w:keepNext/>
              <w:keepLines/>
              <w:suppressAutoHyphens/>
              <w:spacing w:line="240" w:lineRule="atLeast"/>
              <w:rPr>
                <w:sz w:val="16"/>
                <w:szCs w:val="16"/>
                <w:lang w:val="en-GB" w:eastAsia="el-GR"/>
              </w:rPr>
            </w:pPr>
            <w:r w:rsidRPr="000855B2">
              <w:rPr>
                <w:sz w:val="16"/>
                <w:szCs w:val="16"/>
                <w:lang w:val="en-GB" w:eastAsia="el-GR"/>
              </w:rPr>
              <w:t>Euro 6</w:t>
            </w:r>
          </w:p>
        </w:tc>
        <w:tc>
          <w:tcPr>
            <w:tcW w:w="1662" w:type="dxa"/>
            <w:tcBorders>
              <w:top w:val="nil"/>
              <w:left w:val="single" w:sz="4" w:space="0" w:color="auto"/>
              <w:bottom w:val="single" w:sz="4" w:space="0" w:color="auto"/>
              <w:right w:val="single" w:sz="4" w:space="0" w:color="auto"/>
            </w:tcBorders>
            <w:vAlign w:val="center"/>
          </w:tcPr>
          <w:p w14:paraId="1544704B"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7D94A896"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4B147D4D" w14:textId="77777777" w:rsidR="006D1856" w:rsidRPr="000855B2" w:rsidRDefault="006D1856" w:rsidP="005C7955">
            <w:pPr>
              <w:keepNext/>
              <w:keepLines/>
              <w:suppressAutoHyphens/>
              <w:spacing w:line="240" w:lineRule="atLeast"/>
              <w:jc w:val="center"/>
              <w:rPr>
                <w:sz w:val="16"/>
                <w:szCs w:val="16"/>
                <w:lang w:val="en-GB" w:eastAsia="el-GR"/>
              </w:rPr>
            </w:pPr>
            <w:r w:rsidRPr="000855B2">
              <w:rPr>
                <w:sz w:val="16"/>
                <w:szCs w:val="16"/>
                <w:lang w:val="en-GB" w:eastAsia="el-GR"/>
              </w:rPr>
              <w:t>2</w:t>
            </w:r>
          </w:p>
        </w:tc>
      </w:tr>
      <w:tr w:rsidR="00920069" w:rsidRPr="000855B2" w14:paraId="1DE1A070"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666FAC5F" w14:textId="77777777" w:rsidR="00920069" w:rsidRPr="000855B2" w:rsidRDefault="004E1503" w:rsidP="005C7955">
            <w:pPr>
              <w:keepNext/>
              <w:keepLines/>
              <w:suppressAutoHyphens/>
              <w:spacing w:line="240" w:lineRule="atLeast"/>
              <w:rPr>
                <w:sz w:val="16"/>
                <w:szCs w:val="16"/>
                <w:lang w:val="en-GB" w:eastAsia="el-GR"/>
              </w:rPr>
            </w:pPr>
            <w:r>
              <w:rPr>
                <w:sz w:val="16"/>
                <w:szCs w:val="16"/>
                <w:lang w:val="en-GB" w:eastAsia="el-GR"/>
              </w:rPr>
              <w:t>Petrol</w:t>
            </w:r>
            <w:r w:rsidR="00920069" w:rsidRPr="000855B2">
              <w:rPr>
                <w:sz w:val="16"/>
                <w:szCs w:val="16"/>
                <w:lang w:val="en-GB" w:eastAsia="el-GR"/>
              </w:rPr>
              <w:t xml:space="preserve"> LCVs</w:t>
            </w:r>
          </w:p>
        </w:tc>
        <w:tc>
          <w:tcPr>
            <w:tcW w:w="2194" w:type="dxa"/>
            <w:tcBorders>
              <w:top w:val="nil"/>
              <w:left w:val="nil"/>
              <w:bottom w:val="single" w:sz="4" w:space="0" w:color="auto"/>
              <w:right w:val="single" w:sz="4" w:space="0" w:color="auto"/>
            </w:tcBorders>
            <w:noWrap/>
            <w:vAlign w:val="center"/>
          </w:tcPr>
          <w:p w14:paraId="6534B484"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31FE1D6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7CBA85A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1AA743D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920069" w:rsidRPr="000855B2" w14:paraId="58519AC1" w14:textId="77777777" w:rsidTr="00887829">
        <w:trPr>
          <w:cantSplit/>
          <w:trHeight w:val="255"/>
        </w:trPr>
        <w:tc>
          <w:tcPr>
            <w:tcW w:w="1380" w:type="dxa"/>
            <w:vMerge/>
            <w:tcBorders>
              <w:left w:val="double" w:sz="6" w:space="0" w:color="000000"/>
              <w:right w:val="single" w:sz="4" w:space="0" w:color="auto"/>
            </w:tcBorders>
            <w:vAlign w:val="center"/>
          </w:tcPr>
          <w:p w14:paraId="73D4B7A9"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296B978"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2B55F9C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C5CF2B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34D7DD4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w:t>
            </w:r>
          </w:p>
        </w:tc>
      </w:tr>
      <w:tr w:rsidR="00920069" w:rsidRPr="000855B2" w14:paraId="51C2C313" w14:textId="77777777" w:rsidTr="00887829">
        <w:trPr>
          <w:cantSplit/>
          <w:trHeight w:val="255"/>
        </w:trPr>
        <w:tc>
          <w:tcPr>
            <w:tcW w:w="1380" w:type="dxa"/>
            <w:vMerge/>
            <w:tcBorders>
              <w:left w:val="double" w:sz="6" w:space="0" w:color="000000"/>
              <w:right w:val="single" w:sz="4" w:space="0" w:color="auto"/>
            </w:tcBorders>
            <w:vAlign w:val="center"/>
          </w:tcPr>
          <w:p w14:paraId="4DAAB867"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9711C8A"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3 — Euro 4</w:t>
            </w:r>
          </w:p>
        </w:tc>
        <w:tc>
          <w:tcPr>
            <w:tcW w:w="1662" w:type="dxa"/>
            <w:tcBorders>
              <w:top w:val="nil"/>
              <w:left w:val="nil"/>
              <w:bottom w:val="single" w:sz="4" w:space="0" w:color="auto"/>
              <w:right w:val="single" w:sz="4" w:space="0" w:color="auto"/>
            </w:tcBorders>
            <w:noWrap/>
            <w:vAlign w:val="center"/>
          </w:tcPr>
          <w:p w14:paraId="73609AC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5C1F549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38FCB544"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920069" w:rsidRPr="000855B2" w14:paraId="1C4DC71C" w14:textId="77777777" w:rsidTr="00887829">
        <w:trPr>
          <w:cantSplit/>
          <w:trHeight w:val="255"/>
        </w:trPr>
        <w:tc>
          <w:tcPr>
            <w:tcW w:w="1380" w:type="dxa"/>
            <w:vMerge/>
            <w:tcBorders>
              <w:left w:val="double" w:sz="6" w:space="0" w:color="000000"/>
              <w:right w:val="single" w:sz="4" w:space="0" w:color="auto"/>
            </w:tcBorders>
            <w:vAlign w:val="center"/>
          </w:tcPr>
          <w:p w14:paraId="37C293C8"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EAC3E5E"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70E16666"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222577C"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5</w:t>
            </w:r>
          </w:p>
        </w:tc>
        <w:tc>
          <w:tcPr>
            <w:tcW w:w="1460" w:type="dxa"/>
            <w:tcBorders>
              <w:top w:val="nil"/>
              <w:left w:val="nil"/>
              <w:bottom w:val="single" w:sz="4" w:space="0" w:color="auto"/>
              <w:right w:val="double" w:sz="6" w:space="0" w:color="000000"/>
            </w:tcBorders>
            <w:noWrap/>
            <w:vAlign w:val="center"/>
          </w:tcPr>
          <w:p w14:paraId="4A82F06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920069" w:rsidRPr="000855B2" w14:paraId="026B602D" w14:textId="77777777" w:rsidTr="00887829">
        <w:trPr>
          <w:cantSplit/>
          <w:trHeight w:val="255"/>
        </w:trPr>
        <w:tc>
          <w:tcPr>
            <w:tcW w:w="1380" w:type="dxa"/>
            <w:vMerge/>
            <w:tcBorders>
              <w:left w:val="double" w:sz="6" w:space="0" w:color="000000"/>
              <w:right w:val="single" w:sz="4" w:space="0" w:color="auto"/>
            </w:tcBorders>
            <w:vAlign w:val="center"/>
          </w:tcPr>
          <w:p w14:paraId="6EDC4447"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13344019"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6</w:t>
            </w:r>
            <w:r>
              <w:rPr>
                <w:sz w:val="16"/>
                <w:szCs w:val="16"/>
                <w:lang w:val="en-GB" w:eastAsia="el-GR"/>
              </w:rPr>
              <w:t xml:space="preserve"> up to 2017</w:t>
            </w:r>
          </w:p>
        </w:tc>
        <w:tc>
          <w:tcPr>
            <w:tcW w:w="1662" w:type="dxa"/>
            <w:tcBorders>
              <w:top w:val="nil"/>
              <w:left w:val="nil"/>
              <w:bottom w:val="single" w:sz="4" w:space="0" w:color="auto"/>
              <w:right w:val="single" w:sz="4" w:space="0" w:color="auto"/>
            </w:tcBorders>
            <w:noWrap/>
            <w:vAlign w:val="center"/>
          </w:tcPr>
          <w:p w14:paraId="568BAC90"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767F3F8"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 -</w:t>
            </w:r>
          </w:p>
        </w:tc>
        <w:tc>
          <w:tcPr>
            <w:tcW w:w="1460" w:type="dxa"/>
            <w:tcBorders>
              <w:top w:val="nil"/>
              <w:left w:val="nil"/>
              <w:bottom w:val="single" w:sz="4" w:space="0" w:color="auto"/>
              <w:right w:val="double" w:sz="6" w:space="0" w:color="000000"/>
            </w:tcBorders>
            <w:noWrap/>
            <w:vAlign w:val="center"/>
          </w:tcPr>
          <w:p w14:paraId="7A073AE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920069" w:rsidRPr="000855B2" w14:paraId="13DF04EC" w14:textId="77777777" w:rsidTr="00887829">
        <w:trPr>
          <w:cantSplit/>
          <w:trHeight w:val="255"/>
        </w:trPr>
        <w:tc>
          <w:tcPr>
            <w:tcW w:w="1380" w:type="dxa"/>
            <w:vMerge/>
            <w:tcBorders>
              <w:left w:val="double" w:sz="6" w:space="0" w:color="000000"/>
              <w:right w:val="single" w:sz="4" w:space="0" w:color="auto"/>
            </w:tcBorders>
            <w:vAlign w:val="center"/>
          </w:tcPr>
          <w:p w14:paraId="6C5550EC"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00E5EE1"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2018-2020</w:t>
            </w:r>
          </w:p>
        </w:tc>
        <w:tc>
          <w:tcPr>
            <w:tcW w:w="1662" w:type="dxa"/>
            <w:tcBorders>
              <w:top w:val="nil"/>
              <w:left w:val="nil"/>
              <w:bottom w:val="single" w:sz="4" w:space="0" w:color="auto"/>
              <w:right w:val="single" w:sz="4" w:space="0" w:color="auto"/>
            </w:tcBorders>
            <w:noWrap/>
            <w:vAlign w:val="center"/>
          </w:tcPr>
          <w:p w14:paraId="625AB2E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C8F427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 -</w:t>
            </w:r>
          </w:p>
        </w:tc>
        <w:tc>
          <w:tcPr>
            <w:tcW w:w="1460" w:type="dxa"/>
            <w:tcBorders>
              <w:top w:val="nil"/>
              <w:left w:val="nil"/>
              <w:bottom w:val="single" w:sz="4" w:space="0" w:color="auto"/>
              <w:right w:val="double" w:sz="6" w:space="0" w:color="000000"/>
            </w:tcBorders>
            <w:noWrap/>
            <w:vAlign w:val="center"/>
          </w:tcPr>
          <w:p w14:paraId="2EF54ED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920069" w:rsidRPr="000855B2" w14:paraId="68901235"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6DCC91A5"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BFC64D2" w14:textId="77777777" w:rsidR="00957E20"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2021+</w:t>
            </w:r>
          </w:p>
        </w:tc>
        <w:tc>
          <w:tcPr>
            <w:tcW w:w="1662" w:type="dxa"/>
            <w:tcBorders>
              <w:top w:val="nil"/>
              <w:left w:val="nil"/>
              <w:bottom w:val="single" w:sz="4" w:space="0" w:color="auto"/>
              <w:right w:val="single" w:sz="4" w:space="0" w:color="auto"/>
            </w:tcBorders>
            <w:noWrap/>
            <w:vAlign w:val="center"/>
          </w:tcPr>
          <w:p w14:paraId="7CB4AC1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A3C0751"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2BF17130"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w:t>
            </w:r>
          </w:p>
        </w:tc>
      </w:tr>
      <w:tr w:rsidR="00920069" w:rsidRPr="000855B2" w14:paraId="2337B490" w14:textId="77777777" w:rsidTr="00887829">
        <w:trPr>
          <w:cantSplit/>
          <w:trHeight w:val="255"/>
        </w:trPr>
        <w:tc>
          <w:tcPr>
            <w:tcW w:w="1380" w:type="dxa"/>
            <w:vMerge w:val="restart"/>
            <w:tcBorders>
              <w:top w:val="nil"/>
              <w:left w:val="double" w:sz="6" w:space="0" w:color="000000"/>
              <w:right w:val="single" w:sz="4" w:space="0" w:color="auto"/>
            </w:tcBorders>
            <w:vAlign w:val="center"/>
          </w:tcPr>
          <w:p w14:paraId="7A1757F0"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Diesel LCVs</w:t>
            </w:r>
          </w:p>
        </w:tc>
        <w:tc>
          <w:tcPr>
            <w:tcW w:w="2194" w:type="dxa"/>
            <w:tcBorders>
              <w:top w:val="nil"/>
              <w:left w:val="nil"/>
              <w:bottom w:val="single" w:sz="4" w:space="0" w:color="auto"/>
              <w:right w:val="single" w:sz="4" w:space="0" w:color="auto"/>
            </w:tcBorders>
            <w:noWrap/>
            <w:vAlign w:val="center"/>
          </w:tcPr>
          <w:p w14:paraId="6C958679"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3F54CC90"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3388CDA"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1B804730"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15</w:t>
            </w:r>
          </w:p>
        </w:tc>
      </w:tr>
      <w:tr w:rsidR="00920069" w:rsidRPr="000855B2" w14:paraId="06C9DFAD" w14:textId="77777777" w:rsidTr="00887829">
        <w:trPr>
          <w:cantSplit/>
          <w:trHeight w:val="255"/>
        </w:trPr>
        <w:tc>
          <w:tcPr>
            <w:tcW w:w="1380" w:type="dxa"/>
            <w:vMerge/>
            <w:tcBorders>
              <w:left w:val="double" w:sz="6" w:space="0" w:color="000000"/>
              <w:right w:val="single" w:sz="4" w:space="0" w:color="auto"/>
            </w:tcBorders>
            <w:vAlign w:val="center"/>
          </w:tcPr>
          <w:p w14:paraId="2B16ADAA"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01112D3"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1 — Euro 2</w:t>
            </w:r>
          </w:p>
        </w:tc>
        <w:tc>
          <w:tcPr>
            <w:tcW w:w="1662" w:type="dxa"/>
            <w:tcBorders>
              <w:top w:val="nil"/>
              <w:left w:val="nil"/>
              <w:bottom w:val="single" w:sz="4" w:space="0" w:color="auto"/>
              <w:right w:val="single" w:sz="4" w:space="0" w:color="auto"/>
            </w:tcBorders>
            <w:noWrap/>
            <w:vAlign w:val="center"/>
          </w:tcPr>
          <w:p w14:paraId="4A0BE7B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5C63B9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20</w:t>
            </w:r>
          </w:p>
        </w:tc>
        <w:tc>
          <w:tcPr>
            <w:tcW w:w="1460" w:type="dxa"/>
            <w:tcBorders>
              <w:top w:val="nil"/>
              <w:left w:val="nil"/>
              <w:bottom w:val="single" w:sz="4" w:space="0" w:color="auto"/>
              <w:right w:val="double" w:sz="6" w:space="0" w:color="000000"/>
            </w:tcBorders>
            <w:noWrap/>
            <w:vAlign w:val="center"/>
          </w:tcPr>
          <w:p w14:paraId="60E9DCD6"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13</w:t>
            </w:r>
          </w:p>
        </w:tc>
      </w:tr>
      <w:tr w:rsidR="00920069" w:rsidRPr="000855B2" w14:paraId="7DDC3679" w14:textId="77777777" w:rsidTr="00887829">
        <w:trPr>
          <w:cantSplit/>
          <w:trHeight w:val="255"/>
        </w:trPr>
        <w:tc>
          <w:tcPr>
            <w:tcW w:w="1380" w:type="dxa"/>
            <w:vMerge/>
            <w:tcBorders>
              <w:left w:val="double" w:sz="6" w:space="0" w:color="000000"/>
              <w:right w:val="single" w:sz="4" w:space="0" w:color="auto"/>
            </w:tcBorders>
            <w:vAlign w:val="center"/>
          </w:tcPr>
          <w:p w14:paraId="0996B2D6"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75577E0D"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3</w:t>
            </w:r>
          </w:p>
        </w:tc>
        <w:tc>
          <w:tcPr>
            <w:tcW w:w="1662" w:type="dxa"/>
            <w:tcBorders>
              <w:top w:val="nil"/>
              <w:left w:val="nil"/>
              <w:bottom w:val="single" w:sz="4" w:space="0" w:color="auto"/>
              <w:right w:val="single" w:sz="4" w:space="0" w:color="auto"/>
            </w:tcBorders>
            <w:noWrap/>
            <w:vAlign w:val="center"/>
          </w:tcPr>
          <w:p w14:paraId="388BAF6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61D51E31"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40</w:t>
            </w:r>
          </w:p>
        </w:tc>
        <w:tc>
          <w:tcPr>
            <w:tcW w:w="1460" w:type="dxa"/>
            <w:tcBorders>
              <w:top w:val="nil"/>
              <w:left w:val="nil"/>
              <w:bottom w:val="single" w:sz="4" w:space="0" w:color="auto"/>
              <w:right w:val="double" w:sz="6" w:space="0" w:color="000000"/>
            </w:tcBorders>
            <w:noWrap/>
            <w:vAlign w:val="center"/>
          </w:tcPr>
          <w:p w14:paraId="47F42FD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27</w:t>
            </w:r>
          </w:p>
        </w:tc>
      </w:tr>
      <w:tr w:rsidR="00920069" w:rsidRPr="000855B2" w14:paraId="5F08E805" w14:textId="77777777" w:rsidTr="00887829">
        <w:trPr>
          <w:cantSplit/>
          <w:trHeight w:val="255"/>
        </w:trPr>
        <w:tc>
          <w:tcPr>
            <w:tcW w:w="1380" w:type="dxa"/>
            <w:vMerge/>
            <w:tcBorders>
              <w:left w:val="double" w:sz="6" w:space="0" w:color="000000"/>
              <w:right w:val="single" w:sz="4" w:space="0" w:color="auto"/>
            </w:tcBorders>
            <w:vAlign w:val="center"/>
          </w:tcPr>
          <w:p w14:paraId="0422CB54"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45DF034C"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4</w:t>
            </w:r>
          </w:p>
        </w:tc>
        <w:tc>
          <w:tcPr>
            <w:tcW w:w="1662" w:type="dxa"/>
            <w:tcBorders>
              <w:top w:val="nil"/>
              <w:left w:val="nil"/>
              <w:bottom w:val="single" w:sz="4" w:space="0" w:color="auto"/>
              <w:right w:val="single" w:sz="4" w:space="0" w:color="auto"/>
            </w:tcBorders>
            <w:noWrap/>
            <w:vAlign w:val="center"/>
          </w:tcPr>
          <w:p w14:paraId="178E53C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A30B29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40-70</w:t>
            </w:r>
          </w:p>
        </w:tc>
        <w:tc>
          <w:tcPr>
            <w:tcW w:w="1460" w:type="dxa"/>
            <w:tcBorders>
              <w:top w:val="nil"/>
              <w:left w:val="nil"/>
              <w:bottom w:val="single" w:sz="4" w:space="0" w:color="auto"/>
              <w:right w:val="double" w:sz="6" w:space="0" w:color="000000"/>
            </w:tcBorders>
            <w:noWrap/>
            <w:vAlign w:val="center"/>
          </w:tcPr>
          <w:p w14:paraId="4941092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46</w:t>
            </w:r>
          </w:p>
        </w:tc>
      </w:tr>
      <w:tr w:rsidR="00920069" w:rsidRPr="000855B2" w14:paraId="0384F8C2" w14:textId="77777777" w:rsidTr="00887829">
        <w:trPr>
          <w:cantSplit/>
          <w:trHeight w:val="255"/>
        </w:trPr>
        <w:tc>
          <w:tcPr>
            <w:tcW w:w="1380" w:type="dxa"/>
            <w:vMerge/>
            <w:tcBorders>
              <w:left w:val="double" w:sz="6" w:space="0" w:color="000000"/>
              <w:right w:val="single" w:sz="4" w:space="0" w:color="auto"/>
            </w:tcBorders>
            <w:vAlign w:val="center"/>
          </w:tcPr>
          <w:p w14:paraId="73B9F343"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FB63D50"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5</w:t>
            </w:r>
          </w:p>
        </w:tc>
        <w:tc>
          <w:tcPr>
            <w:tcW w:w="1662" w:type="dxa"/>
            <w:tcBorders>
              <w:top w:val="nil"/>
              <w:left w:val="nil"/>
              <w:bottom w:val="single" w:sz="4" w:space="0" w:color="auto"/>
              <w:right w:val="single" w:sz="4" w:space="0" w:color="auto"/>
            </w:tcBorders>
            <w:noWrap/>
            <w:vAlign w:val="center"/>
          </w:tcPr>
          <w:p w14:paraId="4D5AF62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35A2636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70</w:t>
            </w:r>
          </w:p>
        </w:tc>
        <w:tc>
          <w:tcPr>
            <w:tcW w:w="1460" w:type="dxa"/>
            <w:tcBorders>
              <w:top w:val="nil"/>
              <w:left w:val="nil"/>
              <w:bottom w:val="single" w:sz="4" w:space="0" w:color="auto"/>
              <w:right w:val="double" w:sz="6" w:space="0" w:color="000000"/>
            </w:tcBorders>
            <w:noWrap/>
            <w:vAlign w:val="center"/>
          </w:tcPr>
          <w:p w14:paraId="31CC3E76"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33</w:t>
            </w:r>
          </w:p>
        </w:tc>
      </w:tr>
      <w:tr w:rsidR="00920069" w:rsidRPr="000855B2" w14:paraId="210D9AAB" w14:textId="77777777" w:rsidTr="00887829">
        <w:trPr>
          <w:cantSplit/>
          <w:trHeight w:val="255"/>
        </w:trPr>
        <w:tc>
          <w:tcPr>
            <w:tcW w:w="1380" w:type="dxa"/>
            <w:vMerge/>
            <w:tcBorders>
              <w:left w:val="double" w:sz="6" w:space="0" w:color="000000"/>
              <w:right w:val="single" w:sz="4" w:space="0" w:color="auto"/>
            </w:tcBorders>
            <w:vAlign w:val="center"/>
          </w:tcPr>
          <w:p w14:paraId="1F47CD52"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09C8806"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6</w:t>
            </w:r>
            <w:r>
              <w:rPr>
                <w:sz w:val="16"/>
                <w:szCs w:val="16"/>
                <w:lang w:val="en-GB" w:eastAsia="el-GR"/>
              </w:rPr>
              <w:t xml:space="preserve"> up to 2017</w:t>
            </w:r>
          </w:p>
        </w:tc>
        <w:tc>
          <w:tcPr>
            <w:tcW w:w="1662" w:type="dxa"/>
            <w:tcBorders>
              <w:top w:val="nil"/>
              <w:left w:val="nil"/>
              <w:bottom w:val="single" w:sz="4" w:space="0" w:color="auto"/>
              <w:right w:val="single" w:sz="4" w:space="0" w:color="auto"/>
            </w:tcBorders>
            <w:noWrap/>
            <w:vAlign w:val="center"/>
          </w:tcPr>
          <w:p w14:paraId="301B21BA"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BE9A45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6D52EAFB"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920069" w:rsidRPr="000855B2" w14:paraId="5FFBBF2E" w14:textId="77777777" w:rsidTr="00887829">
        <w:trPr>
          <w:cantSplit/>
          <w:trHeight w:val="255"/>
        </w:trPr>
        <w:tc>
          <w:tcPr>
            <w:tcW w:w="1380" w:type="dxa"/>
            <w:vMerge/>
            <w:tcBorders>
              <w:left w:val="double" w:sz="6" w:space="0" w:color="000000"/>
              <w:right w:val="single" w:sz="4" w:space="0" w:color="auto"/>
            </w:tcBorders>
            <w:vAlign w:val="center"/>
          </w:tcPr>
          <w:p w14:paraId="21F352C9"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EBBB97F"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2018-2020</w:t>
            </w:r>
          </w:p>
        </w:tc>
        <w:tc>
          <w:tcPr>
            <w:tcW w:w="1662" w:type="dxa"/>
            <w:tcBorders>
              <w:top w:val="nil"/>
              <w:left w:val="nil"/>
              <w:bottom w:val="single" w:sz="4" w:space="0" w:color="auto"/>
              <w:right w:val="single" w:sz="4" w:space="0" w:color="auto"/>
            </w:tcBorders>
            <w:noWrap/>
            <w:vAlign w:val="center"/>
          </w:tcPr>
          <w:p w14:paraId="52C7F3C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5BDF4346"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1F24C08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920069" w:rsidRPr="000855B2" w14:paraId="742A954D" w14:textId="77777777" w:rsidTr="00887829">
        <w:trPr>
          <w:cantSplit/>
          <w:trHeight w:val="255"/>
        </w:trPr>
        <w:tc>
          <w:tcPr>
            <w:tcW w:w="1380" w:type="dxa"/>
            <w:vMerge/>
            <w:tcBorders>
              <w:left w:val="double" w:sz="6" w:space="0" w:color="000000"/>
              <w:bottom w:val="single" w:sz="4" w:space="0" w:color="auto"/>
              <w:right w:val="single" w:sz="4" w:space="0" w:color="auto"/>
            </w:tcBorders>
            <w:vAlign w:val="center"/>
          </w:tcPr>
          <w:p w14:paraId="57E23F5F"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1DA5FC6D"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r>
              <w:rPr>
                <w:sz w:val="16"/>
                <w:szCs w:val="16"/>
                <w:lang w:val="en-GB" w:eastAsia="el-GR"/>
              </w:rPr>
              <w:t>6 2021+</w:t>
            </w:r>
          </w:p>
        </w:tc>
        <w:tc>
          <w:tcPr>
            <w:tcW w:w="1662" w:type="dxa"/>
            <w:tcBorders>
              <w:top w:val="nil"/>
              <w:left w:val="nil"/>
              <w:bottom w:val="single" w:sz="4" w:space="0" w:color="auto"/>
              <w:right w:val="single" w:sz="4" w:space="0" w:color="auto"/>
            </w:tcBorders>
            <w:noWrap/>
            <w:vAlign w:val="center"/>
          </w:tcPr>
          <w:p w14:paraId="03D19E12" w14:textId="77777777" w:rsidR="00920069" w:rsidRPr="000855B2" w:rsidRDefault="00920069" w:rsidP="005C7955">
            <w:pPr>
              <w:keepNext/>
              <w:keepLines/>
              <w:suppressAutoHyphens/>
              <w:spacing w:line="240" w:lineRule="atLeast"/>
              <w:jc w:val="center"/>
              <w:rPr>
                <w:sz w:val="16"/>
                <w:szCs w:val="16"/>
                <w:lang w:val="en-GB" w:eastAsia="el-GR"/>
              </w:rPr>
            </w:pPr>
          </w:p>
        </w:tc>
        <w:tc>
          <w:tcPr>
            <w:tcW w:w="1701" w:type="dxa"/>
            <w:tcBorders>
              <w:top w:val="nil"/>
              <w:left w:val="nil"/>
              <w:bottom w:val="single" w:sz="4" w:space="0" w:color="auto"/>
              <w:right w:val="single" w:sz="4" w:space="0" w:color="auto"/>
            </w:tcBorders>
            <w:noWrap/>
            <w:vAlign w:val="center"/>
          </w:tcPr>
          <w:p w14:paraId="1BA9BC0F" w14:textId="77777777" w:rsidR="00920069" w:rsidRPr="000855B2" w:rsidRDefault="00920069" w:rsidP="005C7955">
            <w:pPr>
              <w:keepNext/>
              <w:keepLines/>
              <w:suppressAutoHyphens/>
              <w:spacing w:line="240" w:lineRule="atLeast"/>
              <w:jc w:val="center"/>
              <w:rPr>
                <w:sz w:val="16"/>
                <w:szCs w:val="16"/>
                <w:lang w:val="en-GB" w:eastAsia="el-GR"/>
              </w:rPr>
            </w:pPr>
          </w:p>
        </w:tc>
        <w:tc>
          <w:tcPr>
            <w:tcW w:w="1460" w:type="dxa"/>
            <w:tcBorders>
              <w:top w:val="nil"/>
              <w:left w:val="nil"/>
              <w:bottom w:val="single" w:sz="4" w:space="0" w:color="auto"/>
              <w:right w:val="double" w:sz="6" w:space="0" w:color="000000"/>
            </w:tcBorders>
            <w:noWrap/>
            <w:vAlign w:val="center"/>
          </w:tcPr>
          <w:p w14:paraId="59A042AC"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30</w:t>
            </w:r>
          </w:p>
        </w:tc>
      </w:tr>
      <w:tr w:rsidR="00920069" w:rsidRPr="000855B2" w14:paraId="42B1175F" w14:textId="77777777" w:rsidTr="00887829">
        <w:trPr>
          <w:cantSplit/>
          <w:trHeight w:val="255"/>
        </w:trPr>
        <w:tc>
          <w:tcPr>
            <w:tcW w:w="1380" w:type="dxa"/>
            <w:vMerge w:val="restart"/>
            <w:tcBorders>
              <w:top w:val="nil"/>
              <w:left w:val="double" w:sz="6" w:space="0" w:color="000000"/>
              <w:bottom w:val="single" w:sz="8" w:space="0" w:color="000000"/>
              <w:right w:val="single" w:sz="4" w:space="0" w:color="auto"/>
            </w:tcBorders>
            <w:vAlign w:val="center"/>
          </w:tcPr>
          <w:p w14:paraId="20AE9C7E"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HDVs (</w:t>
            </w:r>
            <w:smartTag w:uri="urn:schemas-microsoft-com:office:smarttags" w:element="stockticker">
              <w:r w:rsidRPr="000855B2">
                <w:rPr>
                  <w:sz w:val="16"/>
                  <w:szCs w:val="16"/>
                  <w:lang w:val="en-GB" w:eastAsia="el-GR"/>
                </w:rPr>
                <w:t>ETC</w:t>
              </w:r>
            </w:smartTag>
            <w:r w:rsidRPr="000855B2">
              <w:rPr>
                <w:sz w:val="16"/>
                <w:szCs w:val="16"/>
                <w:lang w:val="en-GB" w:eastAsia="el-GR"/>
              </w:rPr>
              <w:t>)</w:t>
            </w:r>
          </w:p>
        </w:tc>
        <w:tc>
          <w:tcPr>
            <w:tcW w:w="2194" w:type="dxa"/>
            <w:tcBorders>
              <w:top w:val="nil"/>
              <w:left w:val="nil"/>
              <w:bottom w:val="single" w:sz="4" w:space="0" w:color="auto"/>
              <w:right w:val="single" w:sz="4" w:space="0" w:color="auto"/>
            </w:tcBorders>
            <w:noWrap/>
            <w:vAlign w:val="center"/>
          </w:tcPr>
          <w:p w14:paraId="65B64871"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pre-Euro</w:t>
            </w:r>
          </w:p>
        </w:tc>
        <w:tc>
          <w:tcPr>
            <w:tcW w:w="1662" w:type="dxa"/>
            <w:tcBorders>
              <w:top w:val="nil"/>
              <w:left w:val="nil"/>
              <w:bottom w:val="single" w:sz="4" w:space="0" w:color="auto"/>
              <w:right w:val="single" w:sz="4" w:space="0" w:color="auto"/>
            </w:tcBorders>
            <w:noWrap/>
            <w:vAlign w:val="center"/>
          </w:tcPr>
          <w:p w14:paraId="1D05F98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0941BDA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3A149551"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r>
      <w:tr w:rsidR="00920069" w:rsidRPr="000855B2" w14:paraId="45980E8C"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1EDA7446"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3DAB7653"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I — Euro II</w:t>
            </w:r>
          </w:p>
        </w:tc>
        <w:tc>
          <w:tcPr>
            <w:tcW w:w="1662" w:type="dxa"/>
            <w:tcBorders>
              <w:top w:val="nil"/>
              <w:left w:val="nil"/>
              <w:bottom w:val="single" w:sz="4" w:space="0" w:color="auto"/>
              <w:right w:val="single" w:sz="4" w:space="0" w:color="auto"/>
            </w:tcBorders>
            <w:noWrap/>
            <w:vAlign w:val="center"/>
          </w:tcPr>
          <w:p w14:paraId="75E7204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c>
          <w:tcPr>
            <w:tcW w:w="1701" w:type="dxa"/>
            <w:tcBorders>
              <w:top w:val="nil"/>
              <w:left w:val="nil"/>
              <w:bottom w:val="single" w:sz="4" w:space="0" w:color="auto"/>
              <w:right w:val="single" w:sz="4" w:space="0" w:color="auto"/>
            </w:tcBorders>
            <w:noWrap/>
            <w:vAlign w:val="center"/>
          </w:tcPr>
          <w:p w14:paraId="3ECDFA44"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7F06DEA3"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11</w:t>
            </w:r>
          </w:p>
        </w:tc>
      </w:tr>
      <w:tr w:rsidR="00920069" w:rsidRPr="000855B2" w14:paraId="392B39E0"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7572EA19"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548BA7BC"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smartTag w:uri="urn:schemas-microsoft-com:office:smarttags" w:element="stockticker">
              <w:r w:rsidRPr="000855B2">
                <w:rPr>
                  <w:sz w:val="16"/>
                  <w:szCs w:val="16"/>
                  <w:lang w:val="en-GB" w:eastAsia="el-GR"/>
                </w:rPr>
                <w:t>III</w:t>
              </w:r>
            </w:smartTag>
          </w:p>
        </w:tc>
        <w:tc>
          <w:tcPr>
            <w:tcW w:w="1662" w:type="dxa"/>
            <w:tcBorders>
              <w:top w:val="nil"/>
              <w:left w:val="nil"/>
              <w:bottom w:val="single" w:sz="4" w:space="0" w:color="auto"/>
              <w:right w:val="single" w:sz="4" w:space="0" w:color="auto"/>
            </w:tcBorders>
            <w:noWrap/>
            <w:vAlign w:val="center"/>
          </w:tcPr>
          <w:p w14:paraId="0CAEAB7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14</w:t>
            </w:r>
          </w:p>
        </w:tc>
        <w:tc>
          <w:tcPr>
            <w:tcW w:w="1701" w:type="dxa"/>
            <w:tcBorders>
              <w:top w:val="nil"/>
              <w:left w:val="nil"/>
              <w:bottom w:val="single" w:sz="4" w:space="0" w:color="auto"/>
              <w:right w:val="single" w:sz="4" w:space="0" w:color="auto"/>
            </w:tcBorders>
            <w:noWrap/>
            <w:vAlign w:val="center"/>
          </w:tcPr>
          <w:p w14:paraId="23F3E738"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5EFA08AA"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14</w:t>
            </w:r>
          </w:p>
        </w:tc>
      </w:tr>
      <w:tr w:rsidR="00920069" w:rsidRPr="000855B2" w14:paraId="3517E6A3"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4A58113A"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2F99C985"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IV</w:t>
            </w:r>
          </w:p>
        </w:tc>
        <w:tc>
          <w:tcPr>
            <w:tcW w:w="1662" w:type="dxa"/>
            <w:tcBorders>
              <w:top w:val="nil"/>
              <w:left w:val="nil"/>
              <w:bottom w:val="single" w:sz="4" w:space="0" w:color="auto"/>
              <w:right w:val="single" w:sz="4" w:space="0" w:color="auto"/>
            </w:tcBorders>
            <w:noWrap/>
            <w:vAlign w:val="center"/>
          </w:tcPr>
          <w:p w14:paraId="39D4B8E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701" w:type="dxa"/>
            <w:tcBorders>
              <w:top w:val="nil"/>
              <w:left w:val="nil"/>
              <w:bottom w:val="single" w:sz="4" w:space="0" w:color="auto"/>
              <w:right w:val="single" w:sz="4" w:space="0" w:color="auto"/>
            </w:tcBorders>
            <w:noWrap/>
            <w:vAlign w:val="center"/>
          </w:tcPr>
          <w:p w14:paraId="30C72C1F"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63F47AC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r>
      <w:tr w:rsidR="00920069" w:rsidRPr="000855B2" w14:paraId="780302BC"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70F7BEB9"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6B5CB24B"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V</w:t>
            </w:r>
          </w:p>
        </w:tc>
        <w:tc>
          <w:tcPr>
            <w:tcW w:w="1662" w:type="dxa"/>
            <w:tcBorders>
              <w:top w:val="nil"/>
              <w:left w:val="nil"/>
              <w:bottom w:val="single" w:sz="4" w:space="0" w:color="auto"/>
              <w:right w:val="single" w:sz="4" w:space="0" w:color="auto"/>
            </w:tcBorders>
            <w:noWrap/>
            <w:vAlign w:val="center"/>
          </w:tcPr>
          <w:p w14:paraId="5E30E77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152BF887"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10</w:t>
            </w:r>
          </w:p>
        </w:tc>
        <w:tc>
          <w:tcPr>
            <w:tcW w:w="1460" w:type="dxa"/>
            <w:tcBorders>
              <w:top w:val="nil"/>
              <w:left w:val="nil"/>
              <w:bottom w:val="single" w:sz="4" w:space="0" w:color="auto"/>
              <w:right w:val="double" w:sz="6" w:space="0" w:color="000000"/>
            </w:tcBorders>
            <w:noWrap/>
            <w:vAlign w:val="center"/>
          </w:tcPr>
          <w:p w14:paraId="52EA0D09"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12</w:t>
            </w:r>
          </w:p>
        </w:tc>
      </w:tr>
      <w:tr w:rsidR="00920069" w:rsidRPr="000855B2" w14:paraId="70F985A0" w14:textId="77777777" w:rsidTr="00887829">
        <w:trPr>
          <w:cantSplit/>
          <w:trHeight w:val="255"/>
        </w:trPr>
        <w:tc>
          <w:tcPr>
            <w:tcW w:w="1380" w:type="dxa"/>
            <w:vMerge/>
            <w:tcBorders>
              <w:top w:val="nil"/>
              <w:left w:val="double" w:sz="6" w:space="0" w:color="000000"/>
              <w:bottom w:val="single" w:sz="8" w:space="0" w:color="000000"/>
              <w:right w:val="single" w:sz="4" w:space="0" w:color="auto"/>
            </w:tcBorders>
            <w:vAlign w:val="center"/>
          </w:tcPr>
          <w:p w14:paraId="268CD8CA"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single" w:sz="4" w:space="0" w:color="auto"/>
              <w:right w:val="single" w:sz="4" w:space="0" w:color="auto"/>
            </w:tcBorders>
            <w:noWrap/>
            <w:vAlign w:val="center"/>
          </w:tcPr>
          <w:p w14:paraId="046585D8"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Euro VI</w:t>
            </w:r>
          </w:p>
        </w:tc>
        <w:tc>
          <w:tcPr>
            <w:tcW w:w="1662" w:type="dxa"/>
            <w:tcBorders>
              <w:top w:val="nil"/>
              <w:left w:val="nil"/>
              <w:bottom w:val="single" w:sz="4" w:space="0" w:color="auto"/>
              <w:right w:val="single" w:sz="4" w:space="0" w:color="auto"/>
            </w:tcBorders>
            <w:noWrap/>
            <w:vAlign w:val="center"/>
          </w:tcPr>
          <w:p w14:paraId="45CC5562"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701" w:type="dxa"/>
            <w:tcBorders>
              <w:top w:val="nil"/>
              <w:left w:val="nil"/>
              <w:bottom w:val="single" w:sz="4" w:space="0" w:color="auto"/>
              <w:right w:val="single" w:sz="4" w:space="0" w:color="auto"/>
            </w:tcBorders>
            <w:noWrap/>
            <w:vAlign w:val="center"/>
          </w:tcPr>
          <w:p w14:paraId="4AF466F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single" w:sz="4" w:space="0" w:color="auto"/>
              <w:right w:val="double" w:sz="6" w:space="0" w:color="000000"/>
            </w:tcBorders>
            <w:noWrap/>
            <w:vAlign w:val="center"/>
          </w:tcPr>
          <w:p w14:paraId="1D2008AD"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8</w:t>
            </w:r>
          </w:p>
        </w:tc>
      </w:tr>
      <w:tr w:rsidR="00920069" w:rsidRPr="000855B2" w14:paraId="286A7188" w14:textId="77777777" w:rsidTr="00887829">
        <w:trPr>
          <w:cantSplit/>
          <w:trHeight w:val="270"/>
        </w:trPr>
        <w:tc>
          <w:tcPr>
            <w:tcW w:w="1380" w:type="dxa"/>
            <w:vMerge/>
            <w:tcBorders>
              <w:top w:val="nil"/>
              <w:left w:val="double" w:sz="6" w:space="0" w:color="000000"/>
              <w:bottom w:val="double" w:sz="6" w:space="0" w:color="000000"/>
              <w:right w:val="single" w:sz="4" w:space="0" w:color="auto"/>
            </w:tcBorders>
            <w:vAlign w:val="center"/>
          </w:tcPr>
          <w:p w14:paraId="2F882E7B" w14:textId="77777777" w:rsidR="00920069" w:rsidRPr="000855B2" w:rsidRDefault="00920069" w:rsidP="005C7955">
            <w:pPr>
              <w:keepNext/>
              <w:keepLines/>
              <w:suppressAutoHyphens/>
              <w:spacing w:line="240" w:lineRule="atLeast"/>
              <w:rPr>
                <w:sz w:val="16"/>
                <w:szCs w:val="16"/>
                <w:lang w:val="en-GB" w:eastAsia="el-GR"/>
              </w:rPr>
            </w:pPr>
          </w:p>
        </w:tc>
        <w:tc>
          <w:tcPr>
            <w:tcW w:w="2194" w:type="dxa"/>
            <w:tcBorders>
              <w:top w:val="nil"/>
              <w:left w:val="nil"/>
              <w:bottom w:val="double" w:sz="6" w:space="0" w:color="000000"/>
              <w:right w:val="single" w:sz="4" w:space="0" w:color="auto"/>
            </w:tcBorders>
            <w:noWrap/>
            <w:vAlign w:val="center"/>
          </w:tcPr>
          <w:p w14:paraId="166BF921" w14:textId="77777777" w:rsidR="00920069" w:rsidRPr="000855B2" w:rsidRDefault="00920069" w:rsidP="005C7955">
            <w:pPr>
              <w:keepNext/>
              <w:keepLines/>
              <w:suppressAutoHyphens/>
              <w:spacing w:line="240" w:lineRule="atLeast"/>
              <w:rPr>
                <w:sz w:val="16"/>
                <w:szCs w:val="16"/>
                <w:lang w:val="en-GB" w:eastAsia="el-GR"/>
              </w:rPr>
            </w:pPr>
            <w:r w:rsidRPr="000855B2">
              <w:rPr>
                <w:sz w:val="16"/>
                <w:szCs w:val="16"/>
                <w:lang w:val="en-GB" w:eastAsia="el-GR"/>
              </w:rPr>
              <w:t xml:space="preserve">Euro </w:t>
            </w:r>
            <w:smartTag w:uri="urn:schemas-microsoft-com:office:smarttags" w:element="stockticker">
              <w:r w:rsidRPr="000855B2">
                <w:rPr>
                  <w:sz w:val="16"/>
                  <w:szCs w:val="16"/>
                  <w:lang w:val="en-GB" w:eastAsia="el-GR"/>
                </w:rPr>
                <w:t>III</w:t>
              </w:r>
            </w:smartTag>
            <w:r w:rsidRPr="000855B2">
              <w:rPr>
                <w:sz w:val="16"/>
                <w:szCs w:val="16"/>
                <w:lang w:val="en-GB" w:eastAsia="el-GR"/>
              </w:rPr>
              <w:t>+</w:t>
            </w:r>
            <w:smartTag w:uri="urn:schemas-microsoft-com:office:smarttags" w:element="stockticker">
              <w:r w:rsidRPr="000855B2">
                <w:rPr>
                  <w:sz w:val="16"/>
                  <w:szCs w:val="16"/>
                  <w:lang w:val="en-GB" w:eastAsia="el-GR"/>
                </w:rPr>
                <w:t>CRT</w:t>
              </w:r>
            </w:smartTag>
          </w:p>
        </w:tc>
        <w:tc>
          <w:tcPr>
            <w:tcW w:w="1662" w:type="dxa"/>
            <w:tcBorders>
              <w:top w:val="nil"/>
              <w:left w:val="nil"/>
              <w:bottom w:val="double" w:sz="6" w:space="0" w:color="000000"/>
              <w:right w:val="single" w:sz="4" w:space="0" w:color="auto"/>
            </w:tcBorders>
            <w:noWrap/>
            <w:vAlign w:val="center"/>
          </w:tcPr>
          <w:p w14:paraId="474135AA"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35</w:t>
            </w:r>
          </w:p>
        </w:tc>
        <w:tc>
          <w:tcPr>
            <w:tcW w:w="1701" w:type="dxa"/>
            <w:tcBorders>
              <w:top w:val="nil"/>
              <w:left w:val="nil"/>
              <w:bottom w:val="double" w:sz="6" w:space="0" w:color="000000"/>
              <w:right w:val="single" w:sz="4" w:space="0" w:color="auto"/>
            </w:tcBorders>
            <w:noWrap/>
            <w:vAlign w:val="center"/>
          </w:tcPr>
          <w:p w14:paraId="2BB489F5"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w:t>
            </w:r>
          </w:p>
        </w:tc>
        <w:tc>
          <w:tcPr>
            <w:tcW w:w="1460" w:type="dxa"/>
            <w:tcBorders>
              <w:top w:val="nil"/>
              <w:left w:val="nil"/>
              <w:bottom w:val="double" w:sz="6" w:space="0" w:color="000000"/>
              <w:right w:val="double" w:sz="6" w:space="0" w:color="000000"/>
            </w:tcBorders>
            <w:noWrap/>
            <w:vAlign w:val="center"/>
          </w:tcPr>
          <w:p w14:paraId="481D559E" w14:textId="77777777" w:rsidR="00920069" w:rsidRPr="000855B2" w:rsidRDefault="00920069" w:rsidP="005C7955">
            <w:pPr>
              <w:keepNext/>
              <w:keepLines/>
              <w:suppressAutoHyphens/>
              <w:spacing w:line="240" w:lineRule="atLeast"/>
              <w:jc w:val="center"/>
              <w:rPr>
                <w:sz w:val="16"/>
                <w:szCs w:val="16"/>
                <w:lang w:val="en-GB" w:eastAsia="el-GR"/>
              </w:rPr>
            </w:pPr>
            <w:r w:rsidRPr="000855B2">
              <w:rPr>
                <w:sz w:val="16"/>
                <w:szCs w:val="16"/>
                <w:lang w:val="en-GB" w:eastAsia="el-GR"/>
              </w:rPr>
              <w:t>35</w:t>
            </w:r>
          </w:p>
        </w:tc>
      </w:tr>
    </w:tbl>
    <w:p w14:paraId="16922DCC" w14:textId="2B86D0F1" w:rsidR="00E47710" w:rsidRPr="000855B2" w:rsidRDefault="00E47710" w:rsidP="00E47710">
      <w:pPr>
        <w:pStyle w:val="BodyText"/>
      </w:pPr>
      <w:r w:rsidRPr="000855B2">
        <w:t>With regard to Euro 5 and, in particular, Euro 6 diesel passenger cars, the exact configuration of the exhaust after</w:t>
      </w:r>
      <w:r w:rsidR="00F73BA1" w:rsidRPr="000855B2">
        <w:t>-</w:t>
      </w:r>
      <w:r w:rsidRPr="000855B2">
        <w:t>treatment system i</w:t>
      </w:r>
      <w:r w:rsidR="00CD5312" w:rsidRPr="000855B2">
        <w:t>s a decisive factor in the f-NO</w:t>
      </w:r>
      <w:r w:rsidR="00CD5312" w:rsidRPr="000855B2">
        <w:rPr>
          <w:vertAlign w:val="subscript"/>
        </w:rPr>
        <w:t>2</w:t>
      </w:r>
      <w:r w:rsidRPr="000855B2">
        <w:t xml:space="preserve"> values.  Use of an LNT may lead to f-NO</w:t>
      </w:r>
      <w:r w:rsidRPr="000855B2">
        <w:rPr>
          <w:vertAlign w:val="subscript"/>
        </w:rPr>
        <w:t>2</w:t>
      </w:r>
      <w:r w:rsidRPr="000855B2">
        <w:t xml:space="preserve"> values of above 40%, while use of SCR limits f-NO</w:t>
      </w:r>
      <w:r w:rsidRPr="000855B2">
        <w:rPr>
          <w:vertAlign w:val="subscript"/>
        </w:rPr>
        <w:t>2</w:t>
      </w:r>
      <w:r w:rsidRPr="000855B2">
        <w:t xml:space="preserve"> to a moderate 10-20% in real world conditions. However, if a catalysed DPF follows the SCR, then this could increase f-NO</w:t>
      </w:r>
      <w:r w:rsidRPr="000855B2">
        <w:rPr>
          <w:vertAlign w:val="subscript"/>
        </w:rPr>
        <w:t>2</w:t>
      </w:r>
      <w:r w:rsidRPr="000855B2">
        <w:t xml:space="preserve"> to levels to up to  50%. A Euro 6 diesel passennger car without any deNO</w:t>
      </w:r>
      <w:r w:rsidRPr="000855B2">
        <w:rPr>
          <w:vertAlign w:val="subscript"/>
        </w:rPr>
        <w:t>x</w:t>
      </w:r>
      <w:r w:rsidRPr="000855B2">
        <w:t xml:space="preserve"> aftertreatment has demonstrated f-NO</w:t>
      </w:r>
      <w:r w:rsidRPr="000855B2">
        <w:rPr>
          <w:vertAlign w:val="subscript"/>
        </w:rPr>
        <w:t>2</w:t>
      </w:r>
      <w:r w:rsidRPr="000855B2">
        <w:t xml:space="preserve"> values that are at </w:t>
      </w:r>
      <w:r w:rsidR="005E4DC4">
        <w:t>petrol</w:t>
      </w:r>
      <w:r w:rsidRPr="000855B2">
        <w:t xml:space="preserve"> car levels (2.5%). This concept is not considered to be really popular between the individual manufacturers. </w:t>
      </w:r>
      <w:r w:rsidR="004F7A18" w:rsidRPr="000855B2">
        <w:t xml:space="preserve"> </w:t>
      </w:r>
      <w:r w:rsidRPr="000855B2">
        <w:t>Thus, a wide range of possible values for f-NO</w:t>
      </w:r>
      <w:r w:rsidRPr="000855B2">
        <w:rPr>
          <w:vertAlign w:val="subscript"/>
        </w:rPr>
        <w:t>2</w:t>
      </w:r>
      <w:r w:rsidRPr="000855B2">
        <w:t xml:space="preserve"> exists for diesel Euro 6 cars, and the actual average value will depend on the share of each aftertreatment configuration to the total vehicle fleet. The suggested value in </w:t>
      </w:r>
      <w:r w:rsidR="00E17971" w:rsidRPr="000855B2">
        <w:fldChar w:fldCharType="begin"/>
      </w:r>
      <w:r w:rsidRPr="000855B2">
        <w:instrText xml:space="preserve"> REF _Ref172057339 \h </w:instrText>
      </w:r>
      <w:r w:rsidR="00E17971" w:rsidRPr="000855B2">
        <w:fldChar w:fldCharType="separate"/>
      </w:r>
      <w:r w:rsidR="0071604C" w:rsidRPr="000855B2">
        <w:t>Table </w:t>
      </w:r>
      <w:r w:rsidR="0071604C">
        <w:rPr>
          <w:noProof/>
        </w:rPr>
        <w:t>3</w:t>
      </w:r>
      <w:r w:rsidR="0071604C">
        <w:t>.</w:t>
      </w:r>
      <w:r w:rsidR="0071604C">
        <w:rPr>
          <w:noProof/>
        </w:rPr>
        <w:t>87</w:t>
      </w:r>
      <w:r w:rsidR="00E17971" w:rsidRPr="000855B2">
        <w:fldChar w:fldCharType="end"/>
      </w:r>
      <w:r w:rsidRPr="000855B2">
        <w:t xml:space="preserve"> assumes SCR to be the dominant de</w:t>
      </w:r>
      <w:r w:rsidR="00F73BA1" w:rsidRPr="000855B2">
        <w:t>-</w:t>
      </w:r>
      <w:r w:rsidRPr="000855B2">
        <w:t>NO</w:t>
      </w:r>
      <w:r w:rsidRPr="000855B2">
        <w:rPr>
          <w:vertAlign w:val="subscript"/>
        </w:rPr>
        <w:t>x</w:t>
      </w:r>
      <w:r w:rsidRPr="000855B2">
        <w:t xml:space="preserve"> technology with some 70% of SCRs preceding the DPF and 30% of SCRs following the DPF.    </w:t>
      </w:r>
    </w:p>
    <w:p w14:paraId="00F3B837" w14:textId="77777777" w:rsidR="00E47710" w:rsidRPr="000855B2" w:rsidRDefault="00E47710" w:rsidP="00E47710">
      <w:pPr>
        <w:pStyle w:val="BodyText"/>
      </w:pPr>
      <w:r w:rsidRPr="000855B2">
        <w:t xml:space="preserve">With regard to </w:t>
      </w:r>
      <w:r w:rsidR="005E4DC4">
        <w:t>petrol</w:t>
      </w:r>
      <w:r w:rsidRPr="000855B2">
        <w:t xml:space="preserve"> passenger cars, current evidence suggests that the NO</w:t>
      </w:r>
      <w:r w:rsidRPr="000855B2">
        <w:rPr>
          <w:vertAlign w:val="subscript"/>
        </w:rPr>
        <w:t>2</w:t>
      </w:r>
      <w:r w:rsidRPr="000855B2">
        <w:t xml:space="preserve"> emissions from late vehicle technologies will remain minimal. The efficiency of the three-way catalyst has led to a reduction in NO</w:t>
      </w:r>
      <w:r w:rsidRPr="000855B2">
        <w:rPr>
          <w:vertAlign w:val="subscript"/>
        </w:rPr>
        <w:t>x</w:t>
      </w:r>
      <w:r w:rsidRPr="000855B2">
        <w:t xml:space="preserve"> emissions over the consecutive Euro level vehicles, and at the same time kept f-NO</w:t>
      </w:r>
      <w:r w:rsidRPr="000855B2">
        <w:rPr>
          <w:vertAlign w:val="subscript"/>
        </w:rPr>
        <w:t>2</w:t>
      </w:r>
      <w:r w:rsidRPr="000855B2">
        <w:t xml:space="preserve"> levels low, at 3%.</w:t>
      </w:r>
    </w:p>
    <w:p w14:paraId="20EEC5F0" w14:textId="4B222CF3" w:rsidR="00E47710" w:rsidRPr="000855B2" w:rsidRDefault="00E47710" w:rsidP="0083104A">
      <w:pPr>
        <w:pStyle w:val="BodyText"/>
      </w:pPr>
      <w:r w:rsidRPr="000855B2">
        <w:t>The f-NO</w:t>
      </w:r>
      <w:r w:rsidRPr="000855B2">
        <w:rPr>
          <w:vertAlign w:val="subscript"/>
        </w:rPr>
        <w:t>2</w:t>
      </w:r>
      <w:r w:rsidRPr="000855B2">
        <w:t xml:space="preserve"> values for Euro V and Euro VI trucks remain relatively low. In all commercial applications, the SCR is installed downstream of the DPF, so NO remains well controlled. A special case is also presented in </w:t>
      </w:r>
      <w:r w:rsidR="00E17971" w:rsidRPr="000855B2">
        <w:fldChar w:fldCharType="begin"/>
      </w:r>
      <w:r w:rsidRPr="000855B2">
        <w:instrText xml:space="preserve"> REF _Ref172057339 \h </w:instrText>
      </w:r>
      <w:r w:rsidR="00E17971" w:rsidRPr="000855B2">
        <w:fldChar w:fldCharType="separate"/>
      </w:r>
      <w:r w:rsidR="0071604C" w:rsidRPr="000855B2">
        <w:t>Table </w:t>
      </w:r>
      <w:r w:rsidR="0071604C">
        <w:rPr>
          <w:noProof/>
        </w:rPr>
        <w:t>3</w:t>
      </w:r>
      <w:r w:rsidR="0071604C">
        <w:t>.</w:t>
      </w:r>
      <w:r w:rsidR="0071604C">
        <w:rPr>
          <w:noProof/>
        </w:rPr>
        <w:t>87</w:t>
      </w:r>
      <w:r w:rsidR="00E17971" w:rsidRPr="000855B2">
        <w:fldChar w:fldCharType="end"/>
      </w:r>
      <w:r w:rsidRPr="000855B2">
        <w:t xml:space="preserve"> for those earlier heavy duty vehicles (Euro III) retrofitted with continuous regeneration particle filters (CRT). The DPF installed in this case disproportionally increases the f-NO</w:t>
      </w:r>
      <w:r w:rsidRPr="000855B2">
        <w:rPr>
          <w:vertAlign w:val="subscript"/>
        </w:rPr>
        <w:t>2</w:t>
      </w:r>
      <w:r w:rsidRPr="000855B2">
        <w:t xml:space="preserve">. </w:t>
      </w:r>
    </w:p>
    <w:p w14:paraId="032C4542" w14:textId="77777777" w:rsidR="001D2587" w:rsidRPr="000855B2" w:rsidRDefault="00724366" w:rsidP="00E0469F">
      <w:pPr>
        <w:pStyle w:val="Heading5"/>
      </w:pPr>
      <w:r w:rsidRPr="000855B2">
        <w:t xml:space="preserve">PM </w:t>
      </w:r>
      <w:r w:rsidR="00EB15EF" w:rsidRPr="000855B2">
        <w:t>s</w:t>
      </w:r>
      <w:r w:rsidRPr="000855B2">
        <w:t xml:space="preserve">peciation and </w:t>
      </w:r>
      <w:r w:rsidR="00EB15EF" w:rsidRPr="000855B2">
        <w:t>b</w:t>
      </w:r>
      <w:r w:rsidRPr="000855B2">
        <w:t xml:space="preserve">lack </w:t>
      </w:r>
      <w:r w:rsidR="00EB15EF" w:rsidRPr="000855B2">
        <w:t>c</w:t>
      </w:r>
      <w:r w:rsidRPr="000855B2">
        <w:t>arbon</w:t>
      </w:r>
    </w:p>
    <w:p w14:paraId="5469B560" w14:textId="77777777" w:rsidR="00E57114" w:rsidRPr="000855B2" w:rsidRDefault="00DA4181" w:rsidP="0083104A">
      <w:pPr>
        <w:pStyle w:val="BodyText"/>
      </w:pPr>
      <w:r w:rsidRPr="000855B2">
        <w:t xml:space="preserve">Exhaust PM mainly consists of elemental </w:t>
      </w:r>
      <w:r w:rsidR="00540058" w:rsidRPr="000855B2">
        <w:t>carbon (EC)</w:t>
      </w:r>
      <w:r w:rsidR="00FD7C7D" w:rsidRPr="000855B2">
        <w:t>,</w:t>
      </w:r>
      <w:r w:rsidR="00540058" w:rsidRPr="000855B2">
        <w:t xml:space="preserve"> </w:t>
      </w:r>
      <w:r w:rsidR="00292C0E" w:rsidRPr="000855B2">
        <w:t>or</w:t>
      </w:r>
      <w:r w:rsidRPr="000855B2">
        <w:t>ganic carbon</w:t>
      </w:r>
      <w:r w:rsidR="00540058" w:rsidRPr="000855B2">
        <w:t xml:space="preserve"> (OC)</w:t>
      </w:r>
      <w:r w:rsidR="00FD7C7D" w:rsidRPr="000855B2">
        <w:t xml:space="preserve"> and inorganic components including metallic ash and ions</w:t>
      </w:r>
      <w:r w:rsidRPr="000855B2">
        <w:t xml:space="preserve">. </w:t>
      </w:r>
      <w:r w:rsidR="00FD7C7D" w:rsidRPr="000855B2">
        <w:t>The</w:t>
      </w:r>
      <w:r w:rsidRPr="000855B2">
        <w:t xml:space="preserve"> PM </w:t>
      </w:r>
      <w:r w:rsidR="00FD7C7D" w:rsidRPr="000855B2">
        <w:t xml:space="preserve">speciation </w:t>
      </w:r>
      <w:r w:rsidRPr="000855B2">
        <w:t>is important both because th</w:t>
      </w:r>
      <w:r w:rsidR="00FD7C7D" w:rsidRPr="000855B2">
        <w:t>is</w:t>
      </w:r>
      <w:r w:rsidRPr="000855B2">
        <w:t xml:space="preserve"> affect</w:t>
      </w:r>
      <w:r w:rsidR="00FD7C7D" w:rsidRPr="000855B2">
        <w:t>s</w:t>
      </w:r>
      <w:r w:rsidRPr="000855B2">
        <w:t xml:space="preserve"> the health and environmental </w:t>
      </w:r>
      <w:r w:rsidR="00EB15EF" w:rsidRPr="000855B2">
        <w:t>impacts</w:t>
      </w:r>
      <w:r w:rsidRPr="000855B2">
        <w:t xml:space="preserve"> of the emitted particles b</w:t>
      </w:r>
      <w:r w:rsidR="00540058" w:rsidRPr="000855B2">
        <w:t>u</w:t>
      </w:r>
      <w:r w:rsidRPr="000855B2">
        <w:t xml:space="preserve">t also because </w:t>
      </w:r>
      <w:r w:rsidR="00540058" w:rsidRPr="000855B2">
        <w:t xml:space="preserve">this is </w:t>
      </w:r>
      <w:r w:rsidR="00FD7C7D" w:rsidRPr="000855B2">
        <w:t xml:space="preserve">necessary </w:t>
      </w:r>
      <w:r w:rsidR="00540058" w:rsidRPr="000855B2">
        <w:t xml:space="preserve">input to atmospheric modelling studies. Therefore, different literature values have been collected and </w:t>
      </w:r>
      <w:r w:rsidR="00143C65" w:rsidRPr="000855B2">
        <w:t xml:space="preserve">average </w:t>
      </w:r>
      <w:r w:rsidR="00540058" w:rsidRPr="000855B2">
        <w:t>EC and OC values have been proposed</w:t>
      </w:r>
      <w:r w:rsidR="00C3022A" w:rsidRPr="000855B2">
        <w:t xml:space="preserve"> (Ntziachristos et al., 2007).</w:t>
      </w:r>
    </w:p>
    <w:p w14:paraId="76601581" w14:textId="77777777" w:rsidR="00FD7C7D" w:rsidRPr="000855B2" w:rsidRDefault="00E57114" w:rsidP="0083104A">
      <w:pPr>
        <w:pStyle w:val="BodyText"/>
      </w:pPr>
      <w:r w:rsidRPr="000855B2">
        <w:t xml:space="preserve">The variability of the data collected from tunnel, roadway and dynamometer studies, and the uncertainties in the measurement of, in particular, organic carbon (OC), indicate that exhaust PM speciation is bound to be highly uncertain. Because of this uncertainty, </w:t>
      </w:r>
      <w:r w:rsidR="001817AF" w:rsidRPr="000855B2">
        <w:t xml:space="preserve">mean </w:t>
      </w:r>
      <w:r w:rsidR="00FD7C7D" w:rsidRPr="000855B2">
        <w:t xml:space="preserve">EC and black carbon (BC) values are considered </w:t>
      </w:r>
      <w:r w:rsidR="00C3022A" w:rsidRPr="000855B2">
        <w:t>practically equal</w:t>
      </w:r>
      <w:r w:rsidR="00143C65" w:rsidRPr="000855B2">
        <w:t xml:space="preserve"> in this chapter</w:t>
      </w:r>
      <w:r w:rsidR="00C3022A" w:rsidRPr="000855B2">
        <w:t xml:space="preserve"> (e.g. Battye &amp; Boyer; May et al., 2010; Flanner et al., 2007)</w:t>
      </w:r>
      <w:r w:rsidR="00FD7C7D" w:rsidRPr="000855B2">
        <w:t xml:space="preserve">. Although it is known that EC and BC definitions and determination methods differ, </w:t>
      </w:r>
      <w:r w:rsidR="00F04B3C" w:rsidRPr="000855B2">
        <w:t xml:space="preserve">this is considered to be of inferior </w:t>
      </w:r>
      <w:r w:rsidR="001817AF" w:rsidRPr="000855B2">
        <w:t>importance</w:t>
      </w:r>
      <w:r w:rsidR="00F04B3C" w:rsidRPr="000855B2">
        <w:t xml:space="preserve"> compared to the overall uncertainty in determining either of them per vehicle emission control technology.</w:t>
      </w:r>
    </w:p>
    <w:p w14:paraId="5F25E50E" w14:textId="77777777" w:rsidR="001D2587" w:rsidRPr="000855B2" w:rsidRDefault="00E57114" w:rsidP="0083104A">
      <w:pPr>
        <w:pStyle w:val="BodyText"/>
      </w:pPr>
      <w:r w:rsidRPr="000855B2">
        <w:t xml:space="preserve">Despite overall uncertainties, reliable </w:t>
      </w:r>
      <w:r w:rsidR="00F04B3C" w:rsidRPr="000855B2">
        <w:t>B</w:t>
      </w:r>
      <w:r w:rsidR="00540058" w:rsidRPr="000855B2">
        <w:t>C/OC ratios</w:t>
      </w:r>
      <w:r w:rsidR="001D2587" w:rsidRPr="000855B2">
        <w:t xml:space="preserve"> </w:t>
      </w:r>
      <w:r w:rsidRPr="000855B2">
        <w:t>can be developed</w:t>
      </w:r>
      <w:r w:rsidR="001D2587" w:rsidRPr="000855B2">
        <w:t xml:space="preserve">, because there is a general agreement in </w:t>
      </w:r>
      <w:r w:rsidR="003B38C3" w:rsidRPr="000855B2">
        <w:t xml:space="preserve">the </w:t>
      </w:r>
      <w:r w:rsidR="001D2587" w:rsidRPr="000855B2">
        <w:t>measurements</w:t>
      </w:r>
      <w:r w:rsidR="003B38C3" w:rsidRPr="000855B2">
        <w:t xml:space="preserve"> from</w:t>
      </w:r>
      <w:r w:rsidR="001D2587" w:rsidRPr="000855B2">
        <w:t xml:space="preserve"> tunnel and laboratory studies with regard to the emission characteristics of diesel and </w:t>
      </w:r>
      <w:r w:rsidR="005E4DC4">
        <w:t>petrol</w:t>
      </w:r>
      <w:r w:rsidR="001D2587" w:rsidRPr="000855B2">
        <w:t xml:space="preserve"> vehicles. </w:t>
      </w:r>
      <w:r w:rsidR="003B38C3" w:rsidRPr="000855B2">
        <w:t>T</w:t>
      </w:r>
      <w:r w:rsidR="001D2587" w:rsidRPr="000855B2">
        <w:t>he effect of different technologies (</w:t>
      </w:r>
      <w:r w:rsidR="00D73F59" w:rsidRPr="000855B2">
        <w:t>e.g</w:t>
      </w:r>
      <w:r w:rsidR="001D2587" w:rsidRPr="000855B2">
        <w:rPr>
          <w:i/>
        </w:rPr>
        <w:t>.</w:t>
      </w:r>
      <w:r w:rsidR="001D2587" w:rsidRPr="000855B2">
        <w:t xml:space="preserve"> oxidation catalyst, diesel particle filter) on emissions is also </w:t>
      </w:r>
      <w:r w:rsidR="00540058" w:rsidRPr="000855B2">
        <w:t xml:space="preserve">rather </w:t>
      </w:r>
      <w:r w:rsidR="001D2587" w:rsidRPr="000855B2">
        <w:t>predictable.</w:t>
      </w:r>
    </w:p>
    <w:p w14:paraId="4BD13934" w14:textId="3DEEB1C4" w:rsidR="001D2587" w:rsidRPr="000855B2" w:rsidRDefault="00FB454C" w:rsidP="0083104A">
      <w:pPr>
        <w:pStyle w:val="BodyText"/>
      </w:pPr>
      <w:r>
        <w:fldChar w:fldCharType="begin"/>
      </w:r>
      <w:r>
        <w:instrText xml:space="preserve"> REF _Ref172058046 \h  \* MERGEFORMAT </w:instrText>
      </w:r>
      <w:r>
        <w:fldChar w:fldCharType="separate"/>
      </w:r>
      <w:r w:rsidR="0071604C" w:rsidRPr="000855B2">
        <w:t>Table </w:t>
      </w:r>
      <w:r w:rsidR="0071604C">
        <w:t>3.88</w:t>
      </w:r>
      <w:r>
        <w:fldChar w:fldCharType="end"/>
      </w:r>
      <w:r w:rsidR="001D2587" w:rsidRPr="000855B2">
        <w:t xml:space="preserve"> suggests ratios </w:t>
      </w:r>
      <w:r w:rsidR="003B38C3" w:rsidRPr="000855B2">
        <w:t>between</w:t>
      </w:r>
      <w:r w:rsidR="001D2587" w:rsidRPr="000855B2">
        <w:t xml:space="preserve"> organic material (OM) </w:t>
      </w:r>
      <w:r w:rsidR="003B38C3" w:rsidRPr="000855B2">
        <w:t>and</w:t>
      </w:r>
      <w:r w:rsidR="001D2587" w:rsidRPr="000855B2">
        <w:t xml:space="preserve"> </w:t>
      </w:r>
      <w:r w:rsidR="00E57114" w:rsidRPr="000855B2">
        <w:t xml:space="preserve">black </w:t>
      </w:r>
      <w:r w:rsidR="001D2587" w:rsidRPr="000855B2">
        <w:t>carbon (OM/</w:t>
      </w:r>
      <w:r w:rsidR="00E57114" w:rsidRPr="000855B2">
        <w:t>BC</w:t>
      </w:r>
      <w:r w:rsidR="001D2587" w:rsidRPr="000855B2">
        <w:t xml:space="preserve">) and </w:t>
      </w:r>
      <w:r w:rsidR="00E57114" w:rsidRPr="000855B2">
        <w:t>BC</w:t>
      </w:r>
      <w:r w:rsidR="001D2587" w:rsidRPr="000855B2">
        <w:t>/PM</w:t>
      </w:r>
      <w:r w:rsidR="001D2587" w:rsidRPr="000855B2">
        <w:rPr>
          <w:vertAlign w:val="subscript"/>
        </w:rPr>
        <w:t>2.5</w:t>
      </w:r>
      <w:r w:rsidR="001D2587" w:rsidRPr="000855B2">
        <w:t xml:space="preserve"> </w:t>
      </w:r>
      <w:r w:rsidR="003B38C3" w:rsidRPr="000855B2">
        <w:t xml:space="preserve">(both expressed as percentages) </w:t>
      </w:r>
      <w:r w:rsidR="001D2587" w:rsidRPr="000855B2">
        <w:t xml:space="preserve">that can be </w:t>
      </w:r>
      <w:r w:rsidR="003B38C3" w:rsidRPr="000855B2">
        <w:t>applied to</w:t>
      </w:r>
      <w:r w:rsidR="001D2587" w:rsidRPr="000855B2">
        <w:t xml:space="preserve"> the exhaust PM emissions for different vehicle technologies. </w:t>
      </w:r>
      <w:r w:rsidR="003B38C3" w:rsidRPr="000855B2">
        <w:t>‘</w:t>
      </w:r>
      <w:r w:rsidR="001D2587" w:rsidRPr="000855B2">
        <w:t>Organic material</w:t>
      </w:r>
      <w:r w:rsidR="003B38C3" w:rsidRPr="000855B2">
        <w:t>’</w:t>
      </w:r>
      <w:r w:rsidR="001D2587" w:rsidRPr="000855B2">
        <w:t xml:space="preserve"> is the mass of organic carbon corrected for the hydrogen content of the </w:t>
      </w:r>
      <w:r w:rsidR="003B38C3" w:rsidRPr="000855B2">
        <w:t>compounds</w:t>
      </w:r>
      <w:r w:rsidR="001D2587" w:rsidRPr="000855B2">
        <w:t xml:space="preserve"> collected. The sources of these data</w:t>
      </w:r>
      <w:r w:rsidR="003B38C3" w:rsidRPr="000855B2">
        <w:t>,</w:t>
      </w:r>
      <w:r w:rsidR="001D2587" w:rsidRPr="000855B2">
        <w:t xml:space="preserve"> and the methodology followed to estimate these values</w:t>
      </w:r>
      <w:r w:rsidR="003B38C3" w:rsidRPr="000855B2">
        <w:t>,</w:t>
      </w:r>
      <w:r w:rsidR="001D2587" w:rsidRPr="000855B2">
        <w:t xml:space="preserve"> is given in Ntziachristos </w:t>
      </w:r>
      <w:r w:rsidR="00D73F59" w:rsidRPr="000855B2">
        <w:t>et al</w:t>
      </w:r>
      <w:r w:rsidR="001D2587" w:rsidRPr="000855B2">
        <w:rPr>
          <w:i/>
        </w:rPr>
        <w:t>.</w:t>
      </w:r>
      <w:r w:rsidR="001D2587" w:rsidRPr="000855B2">
        <w:t xml:space="preserve"> (2007). An uncertainty range is also proposed</w:t>
      </w:r>
      <w:r w:rsidR="003B38C3" w:rsidRPr="000855B2">
        <w:t>, based upon</w:t>
      </w:r>
      <w:r w:rsidR="001D2587" w:rsidRPr="000855B2">
        <w:t xml:space="preserve"> </w:t>
      </w:r>
      <w:r w:rsidR="003B38C3" w:rsidRPr="000855B2">
        <w:t xml:space="preserve">the values in the </w:t>
      </w:r>
      <w:r w:rsidR="001D2587" w:rsidRPr="000855B2">
        <w:t>literature. The uncertainty is in percentage units</w:t>
      </w:r>
      <w:r w:rsidR="003B38C3" w:rsidRPr="000855B2">
        <w:t>,</w:t>
      </w:r>
      <w:r w:rsidR="001D2587" w:rsidRPr="000855B2">
        <w:t xml:space="preserve"> and is given as a range for both ratios proposed. For </w:t>
      </w:r>
      <w:r w:rsidR="001D2587" w:rsidRPr="000855B2">
        <w:lastRenderedPageBreak/>
        <w:t>example, if the OM/EC ratio for a particular technology is 50</w:t>
      </w:r>
      <w:r w:rsidR="006502D0" w:rsidRPr="000855B2">
        <w:t> %</w:t>
      </w:r>
      <w:r w:rsidR="001D2587" w:rsidRPr="000855B2">
        <w:t xml:space="preserve"> and the uncertainty is 20</w:t>
      </w:r>
      <w:r w:rsidR="006502D0" w:rsidRPr="000855B2">
        <w:t> %</w:t>
      </w:r>
      <w:r w:rsidR="001D2587" w:rsidRPr="000855B2">
        <w:t>, this would mean that the OM/EC ratio is expected to range from 40</w:t>
      </w:r>
      <w:r w:rsidR="006502D0" w:rsidRPr="000855B2">
        <w:t> %</w:t>
      </w:r>
      <w:r w:rsidR="001D2587" w:rsidRPr="000855B2">
        <w:t xml:space="preserve"> to 60</w:t>
      </w:r>
      <w:r w:rsidR="006502D0" w:rsidRPr="000855B2">
        <w:t> %</w:t>
      </w:r>
      <w:r w:rsidR="001D2587" w:rsidRPr="000855B2">
        <w:t>. This is the uncertainty expected on fleet-average emissions</w:t>
      </w:r>
      <w:r w:rsidR="003B38C3" w:rsidRPr="000855B2">
        <w:t>,</w:t>
      </w:r>
      <w:r w:rsidR="001D2587" w:rsidRPr="000855B2">
        <w:t xml:space="preserve"> and not on an individual vehicle basis</w:t>
      </w:r>
      <w:r w:rsidR="003B38C3" w:rsidRPr="000855B2">
        <w:t xml:space="preserve">; </w:t>
      </w:r>
      <w:r w:rsidR="00505C7C" w:rsidRPr="000855B2">
        <w:t>I</w:t>
      </w:r>
      <w:r w:rsidR="001D2587" w:rsidRPr="000855B2">
        <w:t xml:space="preserve">ndividual vehicles in a specific category may exceed this uncertainty range. The ratios </w:t>
      </w:r>
      <w:r w:rsidR="003B38C3" w:rsidRPr="000855B2">
        <w:t xml:space="preserve">also </w:t>
      </w:r>
      <w:r w:rsidR="001D2587" w:rsidRPr="000855B2">
        <w:t>correspond to average driving conditions</w:t>
      </w:r>
      <w:r w:rsidR="003B38C3" w:rsidRPr="000855B2">
        <w:t>,</w:t>
      </w:r>
      <w:r w:rsidR="001D2587" w:rsidRPr="000855B2">
        <w:t xml:space="preserve"> with no distinction between driving modes or </w:t>
      </w:r>
      <w:r w:rsidR="003B38C3" w:rsidRPr="000855B2">
        <w:t xml:space="preserve">hot and </w:t>
      </w:r>
      <w:r w:rsidR="001D2587" w:rsidRPr="000855B2">
        <w:t xml:space="preserve">cold-start operation. </w:t>
      </w:r>
    </w:p>
    <w:p w14:paraId="348C680B" w14:textId="03D64E32" w:rsidR="001D2587" w:rsidRPr="000855B2" w:rsidRDefault="00095EA7" w:rsidP="008D1A83">
      <w:pPr>
        <w:pStyle w:val="Caption"/>
      </w:pPr>
      <w:bookmarkStart w:id="291" w:name="_Ref451177520"/>
      <w:bookmarkStart w:id="292" w:name="_Ref172058046"/>
      <w:r w:rsidRPr="000855B2">
        <w:t>Table </w:t>
      </w:r>
      <w:r w:rsidR="00FB454C">
        <w:fldChar w:fldCharType="begin"/>
      </w:r>
      <w:r w:rsidR="00FB454C">
        <w:instrText xml:space="preserve"> STYLEREF 1 \s </w:instrText>
      </w:r>
      <w:r w:rsidR="00FB454C">
        <w:fldChar w:fldCharType="separate"/>
      </w:r>
      <w:r w:rsidR="0071604C">
        <w:rPr>
          <w:noProof/>
        </w:rPr>
        <w:t>3</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88</w:t>
      </w:r>
      <w:r w:rsidR="00FB454C">
        <w:rPr>
          <w:noProof/>
        </w:rPr>
        <w:fldChar w:fldCharType="end"/>
      </w:r>
      <w:bookmarkEnd w:id="291"/>
      <w:bookmarkEnd w:id="292"/>
      <w:r w:rsidR="001D2587" w:rsidRPr="000855B2">
        <w:t>: Split of PM in elemental (</w:t>
      </w:r>
      <w:r w:rsidR="007F2B3F" w:rsidRPr="000855B2">
        <w:t>B</w:t>
      </w:r>
      <w:r w:rsidR="001D2587" w:rsidRPr="000855B2">
        <w:t>C) and organic mass (OM)</w:t>
      </w:r>
    </w:p>
    <w:tbl>
      <w:tblPr>
        <w:tblW w:w="8267"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1241"/>
        <w:gridCol w:w="2337"/>
        <w:gridCol w:w="1559"/>
        <w:gridCol w:w="1418"/>
        <w:gridCol w:w="1712"/>
      </w:tblGrid>
      <w:tr w:rsidR="001D2587" w:rsidRPr="000855B2" w14:paraId="4D121902" w14:textId="77777777" w:rsidTr="00887829">
        <w:trPr>
          <w:trHeight w:val="400"/>
        </w:trPr>
        <w:tc>
          <w:tcPr>
            <w:tcW w:w="1241" w:type="dxa"/>
            <w:tcBorders>
              <w:top w:val="double" w:sz="6" w:space="0" w:color="000000"/>
              <w:bottom w:val="single" w:sz="12" w:space="0" w:color="auto"/>
            </w:tcBorders>
            <w:vAlign w:val="center"/>
          </w:tcPr>
          <w:p w14:paraId="098033E8" w14:textId="77777777" w:rsidR="001D2587" w:rsidRPr="008D1A83" w:rsidRDefault="001D2587"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Category</w:t>
            </w:r>
          </w:p>
        </w:tc>
        <w:tc>
          <w:tcPr>
            <w:tcW w:w="2337" w:type="dxa"/>
            <w:tcBorders>
              <w:top w:val="double" w:sz="6" w:space="0" w:color="000000"/>
              <w:bottom w:val="single" w:sz="12" w:space="0" w:color="auto"/>
            </w:tcBorders>
            <w:vAlign w:val="center"/>
          </w:tcPr>
          <w:p w14:paraId="165410D1" w14:textId="77777777" w:rsidR="001D2587" w:rsidRPr="008D1A83" w:rsidRDefault="001D2587" w:rsidP="005C7955">
            <w:pPr>
              <w:keepNext/>
              <w:keepLines/>
              <w:suppressAutoHyphens/>
              <w:spacing w:line="240" w:lineRule="atLeast"/>
              <w:rPr>
                <w:b/>
                <w:bCs/>
                <w:sz w:val="16"/>
                <w:szCs w:val="16"/>
                <w:lang w:val="en-GB" w:eastAsia="el-GR"/>
              </w:rPr>
            </w:pPr>
            <w:r w:rsidRPr="008D1A83">
              <w:rPr>
                <w:b/>
                <w:bCs/>
                <w:sz w:val="16"/>
                <w:szCs w:val="16"/>
                <w:lang w:val="en-GB" w:eastAsia="el-GR"/>
              </w:rPr>
              <w:t xml:space="preserve">Euro </w:t>
            </w:r>
            <w:r w:rsidR="003B38C3" w:rsidRPr="008D1A83">
              <w:rPr>
                <w:b/>
                <w:bCs/>
                <w:sz w:val="16"/>
                <w:szCs w:val="16"/>
                <w:lang w:val="en-GB" w:eastAsia="el-GR"/>
              </w:rPr>
              <w:t>s</w:t>
            </w:r>
            <w:r w:rsidRPr="008D1A83">
              <w:rPr>
                <w:b/>
                <w:bCs/>
                <w:sz w:val="16"/>
                <w:szCs w:val="16"/>
                <w:lang w:val="en-GB" w:eastAsia="el-GR"/>
              </w:rPr>
              <w:t>tandard</w:t>
            </w:r>
          </w:p>
        </w:tc>
        <w:tc>
          <w:tcPr>
            <w:tcW w:w="1559" w:type="dxa"/>
            <w:tcBorders>
              <w:top w:val="double" w:sz="6" w:space="0" w:color="000000"/>
              <w:bottom w:val="single" w:sz="12" w:space="0" w:color="auto"/>
            </w:tcBorders>
            <w:vAlign w:val="center"/>
          </w:tcPr>
          <w:p w14:paraId="3215EAFB" w14:textId="77777777" w:rsidR="001D2587" w:rsidRPr="008D1A83" w:rsidRDefault="007F2B3F"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B</w:t>
            </w:r>
            <w:r w:rsidR="001D2587" w:rsidRPr="008D1A83">
              <w:rPr>
                <w:b/>
                <w:bCs/>
                <w:sz w:val="16"/>
                <w:szCs w:val="16"/>
                <w:lang w:val="en-GB" w:eastAsia="el-GR"/>
              </w:rPr>
              <w:t>C/PM</w:t>
            </w:r>
            <w:r w:rsidR="001D2587" w:rsidRPr="008D1A83">
              <w:rPr>
                <w:b/>
                <w:bCs/>
                <w:sz w:val="16"/>
                <w:szCs w:val="16"/>
                <w:vertAlign w:val="subscript"/>
                <w:lang w:val="en-GB" w:eastAsia="el-GR"/>
              </w:rPr>
              <w:t>2.5</w:t>
            </w:r>
            <w:r w:rsidR="001D2587" w:rsidRPr="008D1A83">
              <w:rPr>
                <w:b/>
                <w:bCs/>
                <w:sz w:val="16"/>
                <w:szCs w:val="16"/>
                <w:lang w:val="en-GB" w:eastAsia="el-GR"/>
              </w:rPr>
              <w:t xml:space="preserve"> (%)</w:t>
            </w:r>
          </w:p>
        </w:tc>
        <w:tc>
          <w:tcPr>
            <w:tcW w:w="1418" w:type="dxa"/>
            <w:tcBorders>
              <w:top w:val="double" w:sz="6" w:space="0" w:color="000000"/>
              <w:bottom w:val="single" w:sz="12" w:space="0" w:color="auto"/>
            </w:tcBorders>
            <w:vAlign w:val="center"/>
          </w:tcPr>
          <w:p w14:paraId="0DE47CD9" w14:textId="77777777" w:rsidR="001D2587" w:rsidRPr="008D1A83" w:rsidRDefault="001D2587"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OM/</w:t>
            </w:r>
            <w:r w:rsidR="007F2B3F" w:rsidRPr="008D1A83">
              <w:rPr>
                <w:b/>
                <w:bCs/>
                <w:sz w:val="16"/>
                <w:szCs w:val="16"/>
                <w:lang w:val="en-GB" w:eastAsia="el-GR"/>
              </w:rPr>
              <w:t>Β</w:t>
            </w:r>
            <w:r w:rsidRPr="008D1A83">
              <w:rPr>
                <w:b/>
                <w:bCs/>
                <w:sz w:val="16"/>
                <w:szCs w:val="16"/>
                <w:lang w:val="en-GB" w:eastAsia="el-GR"/>
              </w:rPr>
              <w:t>C (%)</w:t>
            </w:r>
          </w:p>
        </w:tc>
        <w:tc>
          <w:tcPr>
            <w:tcW w:w="1712" w:type="dxa"/>
            <w:tcBorders>
              <w:top w:val="double" w:sz="6" w:space="0" w:color="000000"/>
              <w:bottom w:val="single" w:sz="12" w:space="0" w:color="auto"/>
            </w:tcBorders>
            <w:vAlign w:val="center"/>
          </w:tcPr>
          <w:p w14:paraId="11964642" w14:textId="77777777" w:rsidR="001D2587" w:rsidRPr="008D1A83" w:rsidRDefault="001D2587" w:rsidP="005C7955">
            <w:pPr>
              <w:keepNext/>
              <w:keepLines/>
              <w:suppressAutoHyphens/>
              <w:spacing w:line="240" w:lineRule="atLeast"/>
              <w:jc w:val="center"/>
              <w:rPr>
                <w:b/>
                <w:bCs/>
                <w:sz w:val="16"/>
                <w:szCs w:val="16"/>
                <w:lang w:val="en-GB" w:eastAsia="el-GR"/>
              </w:rPr>
            </w:pPr>
            <w:r w:rsidRPr="008D1A83">
              <w:rPr>
                <w:b/>
                <w:bCs/>
                <w:sz w:val="16"/>
                <w:szCs w:val="16"/>
                <w:lang w:val="en-GB" w:eastAsia="el-GR"/>
              </w:rPr>
              <w:t>Uncertainty (%)</w:t>
            </w:r>
          </w:p>
        </w:tc>
      </w:tr>
      <w:tr w:rsidR="001D2587" w:rsidRPr="000855B2" w14:paraId="186FB8E4" w14:textId="77777777" w:rsidTr="00887829">
        <w:trPr>
          <w:cantSplit/>
          <w:trHeight w:val="255"/>
        </w:trPr>
        <w:tc>
          <w:tcPr>
            <w:tcW w:w="1241" w:type="dxa"/>
            <w:vMerge w:val="restart"/>
            <w:tcBorders>
              <w:top w:val="single" w:sz="12" w:space="0" w:color="auto"/>
            </w:tcBorders>
            <w:vAlign w:val="center"/>
          </w:tcPr>
          <w:p w14:paraId="4A56430F" w14:textId="77777777" w:rsidR="001D2587" w:rsidRPr="008D1A83" w:rsidRDefault="004E1503" w:rsidP="005C7955">
            <w:pPr>
              <w:keepNext/>
              <w:keepLines/>
              <w:suppressAutoHyphens/>
              <w:spacing w:line="240" w:lineRule="atLeast"/>
              <w:rPr>
                <w:sz w:val="16"/>
                <w:szCs w:val="16"/>
                <w:lang w:val="en-GB" w:eastAsia="el-GR"/>
              </w:rPr>
            </w:pPr>
            <w:r>
              <w:rPr>
                <w:sz w:val="16"/>
                <w:szCs w:val="16"/>
                <w:lang w:val="en-GB" w:eastAsia="el-GR"/>
              </w:rPr>
              <w:t>Petrol</w:t>
            </w:r>
            <w:r w:rsidR="001D2587" w:rsidRPr="008D1A83">
              <w:rPr>
                <w:sz w:val="16"/>
                <w:szCs w:val="16"/>
                <w:lang w:val="en-GB" w:eastAsia="el-GR"/>
              </w:rPr>
              <w:t xml:space="preserve"> PC and </w:t>
            </w:r>
            <w:r w:rsidR="00757EE1" w:rsidRPr="008D1A83">
              <w:rPr>
                <w:sz w:val="16"/>
                <w:szCs w:val="16"/>
                <w:lang w:val="en-GB" w:eastAsia="el-GR"/>
              </w:rPr>
              <w:t>LCV</w:t>
            </w:r>
          </w:p>
        </w:tc>
        <w:tc>
          <w:tcPr>
            <w:tcW w:w="2337" w:type="dxa"/>
            <w:tcBorders>
              <w:top w:val="single" w:sz="12" w:space="0" w:color="auto"/>
            </w:tcBorders>
            <w:vAlign w:val="center"/>
          </w:tcPr>
          <w:p w14:paraId="6A576E6A" w14:textId="77777777" w:rsidR="001D2587" w:rsidRPr="008D1A83" w:rsidRDefault="001D2587" w:rsidP="005C7955">
            <w:pPr>
              <w:keepNext/>
              <w:keepLines/>
              <w:suppressAutoHyphens/>
              <w:spacing w:line="240" w:lineRule="atLeast"/>
              <w:rPr>
                <w:sz w:val="16"/>
                <w:szCs w:val="16"/>
                <w:lang w:val="en-GB" w:eastAsia="el-GR"/>
              </w:rPr>
            </w:pPr>
            <w:smartTag w:uri="urn:schemas-microsoft-com:office:smarttags" w:element="stockticker">
              <w:r w:rsidRPr="008D1A83">
                <w:rPr>
                  <w:sz w:val="16"/>
                  <w:szCs w:val="16"/>
                  <w:lang w:val="en-GB" w:eastAsia="el-GR"/>
                </w:rPr>
                <w:t>PRE</w:t>
              </w:r>
            </w:smartTag>
            <w:r w:rsidRPr="008D1A83">
              <w:rPr>
                <w:sz w:val="16"/>
                <w:szCs w:val="16"/>
                <w:lang w:val="en-GB" w:eastAsia="el-GR"/>
              </w:rPr>
              <w:t>-ECE</w:t>
            </w:r>
          </w:p>
        </w:tc>
        <w:tc>
          <w:tcPr>
            <w:tcW w:w="1559" w:type="dxa"/>
            <w:tcBorders>
              <w:top w:val="single" w:sz="12" w:space="0" w:color="auto"/>
            </w:tcBorders>
            <w:vAlign w:val="center"/>
          </w:tcPr>
          <w:p w14:paraId="3733BBC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w:t>
            </w:r>
          </w:p>
        </w:tc>
        <w:tc>
          <w:tcPr>
            <w:tcW w:w="1418" w:type="dxa"/>
            <w:tcBorders>
              <w:top w:val="single" w:sz="12" w:space="0" w:color="auto"/>
            </w:tcBorders>
            <w:vAlign w:val="center"/>
          </w:tcPr>
          <w:p w14:paraId="56B801B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4900</w:t>
            </w:r>
          </w:p>
        </w:tc>
        <w:tc>
          <w:tcPr>
            <w:tcW w:w="1712" w:type="dxa"/>
            <w:tcBorders>
              <w:top w:val="single" w:sz="12" w:space="0" w:color="auto"/>
            </w:tcBorders>
            <w:vAlign w:val="center"/>
          </w:tcPr>
          <w:p w14:paraId="6C2667F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48CF6BD9" w14:textId="77777777" w:rsidTr="00887829">
        <w:trPr>
          <w:cantSplit/>
          <w:trHeight w:val="133"/>
        </w:trPr>
        <w:tc>
          <w:tcPr>
            <w:tcW w:w="1241" w:type="dxa"/>
            <w:vMerge/>
            <w:vAlign w:val="center"/>
          </w:tcPr>
          <w:p w14:paraId="1114B901"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630A1B5A"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ECE 15 00/01</w:t>
            </w:r>
          </w:p>
        </w:tc>
        <w:tc>
          <w:tcPr>
            <w:tcW w:w="1559" w:type="dxa"/>
            <w:vAlign w:val="center"/>
          </w:tcPr>
          <w:p w14:paraId="15C82A2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c>
          <w:tcPr>
            <w:tcW w:w="1418" w:type="dxa"/>
            <w:vAlign w:val="center"/>
          </w:tcPr>
          <w:p w14:paraId="3B07026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1900</w:t>
            </w:r>
          </w:p>
        </w:tc>
        <w:tc>
          <w:tcPr>
            <w:tcW w:w="1712" w:type="dxa"/>
            <w:vAlign w:val="center"/>
          </w:tcPr>
          <w:p w14:paraId="16F4CFA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1B00860C" w14:textId="77777777" w:rsidTr="00887829">
        <w:trPr>
          <w:cantSplit/>
          <w:trHeight w:val="139"/>
        </w:trPr>
        <w:tc>
          <w:tcPr>
            <w:tcW w:w="1241" w:type="dxa"/>
            <w:vMerge/>
            <w:vAlign w:val="center"/>
          </w:tcPr>
          <w:p w14:paraId="58693B6C"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58198509"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ECE 15 02/03</w:t>
            </w:r>
          </w:p>
        </w:tc>
        <w:tc>
          <w:tcPr>
            <w:tcW w:w="1559" w:type="dxa"/>
            <w:vAlign w:val="center"/>
          </w:tcPr>
          <w:p w14:paraId="66118C33"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c>
          <w:tcPr>
            <w:tcW w:w="1418" w:type="dxa"/>
            <w:vAlign w:val="center"/>
          </w:tcPr>
          <w:p w14:paraId="4A3C69E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1900</w:t>
            </w:r>
          </w:p>
        </w:tc>
        <w:tc>
          <w:tcPr>
            <w:tcW w:w="1712" w:type="dxa"/>
            <w:vAlign w:val="center"/>
          </w:tcPr>
          <w:p w14:paraId="0AB69F0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10A35A1A" w14:textId="77777777" w:rsidTr="00887829">
        <w:trPr>
          <w:cantSplit/>
          <w:trHeight w:val="255"/>
        </w:trPr>
        <w:tc>
          <w:tcPr>
            <w:tcW w:w="1241" w:type="dxa"/>
            <w:vMerge/>
            <w:vAlign w:val="center"/>
          </w:tcPr>
          <w:p w14:paraId="7E234968"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AC40CD3"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ECE 15 04</w:t>
            </w:r>
          </w:p>
        </w:tc>
        <w:tc>
          <w:tcPr>
            <w:tcW w:w="1559" w:type="dxa"/>
            <w:vAlign w:val="center"/>
          </w:tcPr>
          <w:p w14:paraId="3E2CBFD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center"/>
          </w:tcPr>
          <w:p w14:paraId="55C75B23"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400</w:t>
            </w:r>
          </w:p>
        </w:tc>
        <w:tc>
          <w:tcPr>
            <w:tcW w:w="1712" w:type="dxa"/>
            <w:vAlign w:val="center"/>
          </w:tcPr>
          <w:p w14:paraId="5C003FF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0D1E72FD" w14:textId="77777777" w:rsidTr="00887829">
        <w:trPr>
          <w:cantSplit/>
          <w:trHeight w:val="255"/>
        </w:trPr>
        <w:tc>
          <w:tcPr>
            <w:tcW w:w="1241" w:type="dxa"/>
            <w:vMerge/>
            <w:vAlign w:val="center"/>
          </w:tcPr>
          <w:p w14:paraId="65C449B8"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364D137A"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 xml:space="preserve">Open </w:t>
            </w:r>
            <w:r w:rsidR="00FD5EAB" w:rsidRPr="008D1A83">
              <w:rPr>
                <w:sz w:val="16"/>
                <w:szCs w:val="16"/>
                <w:lang w:val="en-GB" w:eastAsia="el-GR"/>
              </w:rPr>
              <w:t>l</w:t>
            </w:r>
            <w:r w:rsidRPr="008D1A83">
              <w:rPr>
                <w:sz w:val="16"/>
                <w:szCs w:val="16"/>
                <w:lang w:val="en-GB" w:eastAsia="el-GR"/>
              </w:rPr>
              <w:t>oop</w:t>
            </w:r>
          </w:p>
        </w:tc>
        <w:tc>
          <w:tcPr>
            <w:tcW w:w="1559" w:type="dxa"/>
            <w:vAlign w:val="center"/>
          </w:tcPr>
          <w:p w14:paraId="45F0FDE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c>
          <w:tcPr>
            <w:tcW w:w="1418" w:type="dxa"/>
            <w:vAlign w:val="center"/>
          </w:tcPr>
          <w:p w14:paraId="494A0EF7"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233</w:t>
            </w:r>
          </w:p>
        </w:tc>
        <w:tc>
          <w:tcPr>
            <w:tcW w:w="1712" w:type="dxa"/>
            <w:vAlign w:val="center"/>
          </w:tcPr>
          <w:p w14:paraId="392CF777"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53F95662" w14:textId="77777777" w:rsidTr="00887829">
        <w:trPr>
          <w:cantSplit/>
          <w:trHeight w:val="255"/>
        </w:trPr>
        <w:tc>
          <w:tcPr>
            <w:tcW w:w="1241" w:type="dxa"/>
            <w:vMerge/>
            <w:vAlign w:val="center"/>
          </w:tcPr>
          <w:p w14:paraId="642E16D2"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572E57FF"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p>
        </w:tc>
        <w:tc>
          <w:tcPr>
            <w:tcW w:w="1559" w:type="dxa"/>
            <w:vAlign w:val="center"/>
          </w:tcPr>
          <w:p w14:paraId="27F2A61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center"/>
          </w:tcPr>
          <w:p w14:paraId="22DA424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250</w:t>
            </w:r>
          </w:p>
        </w:tc>
        <w:tc>
          <w:tcPr>
            <w:tcW w:w="1712" w:type="dxa"/>
            <w:vAlign w:val="center"/>
          </w:tcPr>
          <w:p w14:paraId="2A2E798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5358FD04" w14:textId="77777777" w:rsidTr="00887829">
        <w:trPr>
          <w:cantSplit/>
          <w:trHeight w:val="255"/>
        </w:trPr>
        <w:tc>
          <w:tcPr>
            <w:tcW w:w="1241" w:type="dxa"/>
            <w:vMerge/>
            <w:vAlign w:val="center"/>
          </w:tcPr>
          <w:p w14:paraId="1F73D0BC"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391B7BB0"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p>
        </w:tc>
        <w:tc>
          <w:tcPr>
            <w:tcW w:w="1559" w:type="dxa"/>
            <w:vAlign w:val="center"/>
          </w:tcPr>
          <w:p w14:paraId="6E64DC0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center"/>
          </w:tcPr>
          <w:p w14:paraId="2E5A41F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250</w:t>
            </w:r>
          </w:p>
        </w:tc>
        <w:tc>
          <w:tcPr>
            <w:tcW w:w="1712" w:type="dxa"/>
            <w:vAlign w:val="center"/>
          </w:tcPr>
          <w:p w14:paraId="57A0EAB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14715D1A" w14:textId="77777777" w:rsidTr="00887829">
        <w:trPr>
          <w:cantSplit/>
          <w:trHeight w:val="90"/>
        </w:trPr>
        <w:tc>
          <w:tcPr>
            <w:tcW w:w="1241" w:type="dxa"/>
            <w:vMerge/>
            <w:vAlign w:val="center"/>
          </w:tcPr>
          <w:p w14:paraId="17EF6570"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56132B24"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w:t>
            </w:r>
          </w:p>
        </w:tc>
        <w:tc>
          <w:tcPr>
            <w:tcW w:w="1559" w:type="dxa"/>
            <w:vAlign w:val="center"/>
          </w:tcPr>
          <w:p w14:paraId="386AD96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center"/>
          </w:tcPr>
          <w:p w14:paraId="7623D9C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center"/>
          </w:tcPr>
          <w:p w14:paraId="586777F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0DFA0C0E" w14:textId="77777777" w:rsidTr="00887829">
        <w:trPr>
          <w:cantSplit/>
          <w:trHeight w:val="118"/>
        </w:trPr>
        <w:tc>
          <w:tcPr>
            <w:tcW w:w="1241" w:type="dxa"/>
            <w:vMerge/>
            <w:vAlign w:val="center"/>
          </w:tcPr>
          <w:p w14:paraId="5C0D6E48"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0A4CB712"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4</w:t>
            </w:r>
          </w:p>
        </w:tc>
        <w:tc>
          <w:tcPr>
            <w:tcW w:w="1559" w:type="dxa"/>
            <w:vAlign w:val="center"/>
          </w:tcPr>
          <w:p w14:paraId="3C17EB2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center"/>
          </w:tcPr>
          <w:p w14:paraId="7CA436A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center"/>
          </w:tcPr>
          <w:p w14:paraId="42D2044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6E7947AD" w14:textId="77777777" w:rsidTr="00887829">
        <w:trPr>
          <w:cantSplit/>
          <w:trHeight w:val="90"/>
        </w:trPr>
        <w:tc>
          <w:tcPr>
            <w:tcW w:w="1241" w:type="dxa"/>
            <w:vMerge w:val="restart"/>
            <w:vAlign w:val="center"/>
          </w:tcPr>
          <w:p w14:paraId="4CAD31C7"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 xml:space="preserve">Diesel PC and </w:t>
            </w:r>
            <w:r w:rsidR="00757EE1" w:rsidRPr="008D1A83">
              <w:rPr>
                <w:sz w:val="16"/>
                <w:szCs w:val="16"/>
                <w:lang w:val="en-GB" w:eastAsia="el-GR"/>
              </w:rPr>
              <w:t>LCV</w:t>
            </w:r>
          </w:p>
        </w:tc>
        <w:tc>
          <w:tcPr>
            <w:tcW w:w="2337" w:type="dxa"/>
            <w:vAlign w:val="center"/>
          </w:tcPr>
          <w:p w14:paraId="2B5B7E14"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p>
        </w:tc>
        <w:tc>
          <w:tcPr>
            <w:tcW w:w="1559" w:type="dxa"/>
            <w:vAlign w:val="center"/>
          </w:tcPr>
          <w:p w14:paraId="7000967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55</w:t>
            </w:r>
          </w:p>
        </w:tc>
        <w:tc>
          <w:tcPr>
            <w:tcW w:w="1418" w:type="dxa"/>
            <w:vAlign w:val="center"/>
          </w:tcPr>
          <w:p w14:paraId="619A0F5A"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70</w:t>
            </w:r>
          </w:p>
        </w:tc>
        <w:tc>
          <w:tcPr>
            <w:tcW w:w="1712" w:type="dxa"/>
            <w:vAlign w:val="center"/>
          </w:tcPr>
          <w:p w14:paraId="6E4BD6B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r>
      <w:tr w:rsidR="001D2587" w:rsidRPr="000855B2" w14:paraId="0D9A1014" w14:textId="77777777" w:rsidTr="00887829">
        <w:trPr>
          <w:cantSplit/>
          <w:trHeight w:val="255"/>
        </w:trPr>
        <w:tc>
          <w:tcPr>
            <w:tcW w:w="1241" w:type="dxa"/>
            <w:vMerge/>
            <w:vAlign w:val="center"/>
          </w:tcPr>
          <w:p w14:paraId="3DBFBB59"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7F8316C7"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p>
        </w:tc>
        <w:tc>
          <w:tcPr>
            <w:tcW w:w="1559" w:type="dxa"/>
            <w:vAlign w:val="center"/>
          </w:tcPr>
          <w:p w14:paraId="630DBB2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70</w:t>
            </w:r>
          </w:p>
        </w:tc>
        <w:tc>
          <w:tcPr>
            <w:tcW w:w="1418" w:type="dxa"/>
            <w:vAlign w:val="center"/>
          </w:tcPr>
          <w:p w14:paraId="20D12ED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w:t>
            </w:r>
          </w:p>
        </w:tc>
        <w:tc>
          <w:tcPr>
            <w:tcW w:w="1712" w:type="dxa"/>
            <w:vAlign w:val="center"/>
          </w:tcPr>
          <w:p w14:paraId="13FDE07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r>
      <w:tr w:rsidR="001D2587" w:rsidRPr="000855B2" w14:paraId="2064B2CB" w14:textId="77777777" w:rsidTr="00887829">
        <w:trPr>
          <w:cantSplit/>
          <w:trHeight w:val="255"/>
        </w:trPr>
        <w:tc>
          <w:tcPr>
            <w:tcW w:w="1241" w:type="dxa"/>
            <w:vMerge/>
            <w:vAlign w:val="center"/>
          </w:tcPr>
          <w:p w14:paraId="6A677B9F"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1EFE70FC"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p>
        </w:tc>
        <w:tc>
          <w:tcPr>
            <w:tcW w:w="1559" w:type="dxa"/>
            <w:vAlign w:val="center"/>
          </w:tcPr>
          <w:p w14:paraId="22412E71"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80</w:t>
            </w:r>
          </w:p>
        </w:tc>
        <w:tc>
          <w:tcPr>
            <w:tcW w:w="1418" w:type="dxa"/>
            <w:vAlign w:val="center"/>
          </w:tcPr>
          <w:p w14:paraId="399F760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23</w:t>
            </w:r>
          </w:p>
        </w:tc>
        <w:tc>
          <w:tcPr>
            <w:tcW w:w="1712" w:type="dxa"/>
            <w:vAlign w:val="center"/>
          </w:tcPr>
          <w:p w14:paraId="358091C3"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r>
      <w:tr w:rsidR="001D2587" w:rsidRPr="000855B2" w14:paraId="3CDC05AC" w14:textId="77777777" w:rsidTr="00887829">
        <w:trPr>
          <w:cantSplit/>
          <w:trHeight w:val="255"/>
        </w:trPr>
        <w:tc>
          <w:tcPr>
            <w:tcW w:w="1241" w:type="dxa"/>
            <w:vMerge/>
            <w:vAlign w:val="center"/>
          </w:tcPr>
          <w:p w14:paraId="522BDE20"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77F55D4B"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w:t>
            </w:r>
          </w:p>
        </w:tc>
        <w:tc>
          <w:tcPr>
            <w:tcW w:w="1559" w:type="dxa"/>
            <w:vAlign w:val="center"/>
          </w:tcPr>
          <w:p w14:paraId="1B09072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85</w:t>
            </w:r>
          </w:p>
        </w:tc>
        <w:tc>
          <w:tcPr>
            <w:tcW w:w="1418" w:type="dxa"/>
            <w:vAlign w:val="center"/>
          </w:tcPr>
          <w:p w14:paraId="44631A4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712" w:type="dxa"/>
            <w:vAlign w:val="center"/>
          </w:tcPr>
          <w:p w14:paraId="28F43D2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r>
      <w:tr w:rsidR="001D2587" w:rsidRPr="000855B2" w14:paraId="3848D2FA" w14:textId="77777777" w:rsidTr="00887829">
        <w:trPr>
          <w:cantSplit/>
          <w:trHeight w:val="255"/>
        </w:trPr>
        <w:tc>
          <w:tcPr>
            <w:tcW w:w="1241" w:type="dxa"/>
            <w:vMerge/>
            <w:vAlign w:val="center"/>
          </w:tcPr>
          <w:p w14:paraId="5FD269E7"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635BBA1"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4</w:t>
            </w:r>
          </w:p>
        </w:tc>
        <w:tc>
          <w:tcPr>
            <w:tcW w:w="1559" w:type="dxa"/>
            <w:vAlign w:val="center"/>
          </w:tcPr>
          <w:p w14:paraId="766BDAD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87</w:t>
            </w:r>
          </w:p>
        </w:tc>
        <w:tc>
          <w:tcPr>
            <w:tcW w:w="1418" w:type="dxa"/>
            <w:vAlign w:val="center"/>
          </w:tcPr>
          <w:p w14:paraId="22B8462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13</w:t>
            </w:r>
          </w:p>
        </w:tc>
        <w:tc>
          <w:tcPr>
            <w:tcW w:w="1712" w:type="dxa"/>
            <w:vAlign w:val="center"/>
          </w:tcPr>
          <w:p w14:paraId="1267EF0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w:t>
            </w:r>
          </w:p>
        </w:tc>
      </w:tr>
      <w:tr w:rsidR="001D2587" w:rsidRPr="000855B2" w14:paraId="7DE785E6" w14:textId="77777777" w:rsidTr="00887829">
        <w:trPr>
          <w:cantSplit/>
          <w:trHeight w:val="255"/>
        </w:trPr>
        <w:tc>
          <w:tcPr>
            <w:tcW w:w="1241" w:type="dxa"/>
            <w:vMerge/>
            <w:vAlign w:val="center"/>
          </w:tcPr>
          <w:p w14:paraId="5CD2A3F3"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17E88708"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 Euro 4, Euro 5</w:t>
            </w:r>
          </w:p>
          <w:p w14:paraId="4E910B02" w14:textId="77777777" w:rsidR="007440A7" w:rsidRPr="008D1A83" w:rsidRDefault="007440A7" w:rsidP="005C7955">
            <w:pPr>
              <w:keepNext/>
              <w:keepLines/>
              <w:suppressAutoHyphens/>
              <w:spacing w:line="240" w:lineRule="atLeast"/>
              <w:rPr>
                <w:sz w:val="16"/>
                <w:szCs w:val="16"/>
                <w:lang w:val="en-GB" w:eastAsia="el-GR"/>
              </w:rPr>
            </w:pPr>
            <w:r w:rsidRPr="008D1A83">
              <w:rPr>
                <w:sz w:val="16"/>
                <w:szCs w:val="16"/>
                <w:lang w:val="en-GB" w:eastAsia="el-GR"/>
              </w:rPr>
              <w:t>Equipped with DPF and fuel additive</w:t>
            </w:r>
          </w:p>
        </w:tc>
        <w:tc>
          <w:tcPr>
            <w:tcW w:w="1559" w:type="dxa"/>
            <w:vAlign w:val="center"/>
          </w:tcPr>
          <w:p w14:paraId="2D60220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c>
          <w:tcPr>
            <w:tcW w:w="1418" w:type="dxa"/>
            <w:vAlign w:val="center"/>
          </w:tcPr>
          <w:p w14:paraId="5C06E36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500</w:t>
            </w:r>
          </w:p>
        </w:tc>
        <w:tc>
          <w:tcPr>
            <w:tcW w:w="1712" w:type="dxa"/>
            <w:vAlign w:val="center"/>
          </w:tcPr>
          <w:p w14:paraId="0F4FA7D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69FF3A21" w14:textId="77777777" w:rsidTr="00887829">
        <w:trPr>
          <w:cantSplit/>
          <w:trHeight w:val="270"/>
        </w:trPr>
        <w:tc>
          <w:tcPr>
            <w:tcW w:w="1241" w:type="dxa"/>
            <w:vMerge/>
            <w:vAlign w:val="center"/>
          </w:tcPr>
          <w:p w14:paraId="3608C6BC"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09BCEFA5"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 Euro 4, Euro 5</w:t>
            </w:r>
            <w:r w:rsidR="007440A7" w:rsidRPr="008D1A83">
              <w:rPr>
                <w:sz w:val="16"/>
                <w:szCs w:val="16"/>
                <w:lang w:val="en-GB" w:eastAsia="el-GR"/>
              </w:rPr>
              <w:t xml:space="preserve"> equipped with a catalyzed DPF</w:t>
            </w:r>
          </w:p>
        </w:tc>
        <w:tc>
          <w:tcPr>
            <w:tcW w:w="1559" w:type="dxa"/>
            <w:vAlign w:val="center"/>
          </w:tcPr>
          <w:p w14:paraId="30423C2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center"/>
          </w:tcPr>
          <w:p w14:paraId="780A41E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200</w:t>
            </w:r>
          </w:p>
        </w:tc>
        <w:tc>
          <w:tcPr>
            <w:tcW w:w="1712" w:type="dxa"/>
            <w:vAlign w:val="center"/>
          </w:tcPr>
          <w:p w14:paraId="3C8F8C1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03EC1A08" w14:textId="77777777" w:rsidTr="00887829">
        <w:trPr>
          <w:cantSplit/>
          <w:trHeight w:val="90"/>
        </w:trPr>
        <w:tc>
          <w:tcPr>
            <w:tcW w:w="1241" w:type="dxa"/>
            <w:vMerge w:val="restart"/>
            <w:vAlign w:val="center"/>
          </w:tcPr>
          <w:p w14:paraId="7F65FF04"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Diesel HDV</w:t>
            </w:r>
          </w:p>
        </w:tc>
        <w:tc>
          <w:tcPr>
            <w:tcW w:w="2337" w:type="dxa"/>
            <w:vAlign w:val="center"/>
          </w:tcPr>
          <w:p w14:paraId="06F54666"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p>
        </w:tc>
        <w:tc>
          <w:tcPr>
            <w:tcW w:w="1559" w:type="dxa"/>
            <w:vAlign w:val="center"/>
          </w:tcPr>
          <w:p w14:paraId="0A9A79F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c>
          <w:tcPr>
            <w:tcW w:w="1418" w:type="dxa"/>
            <w:vAlign w:val="center"/>
          </w:tcPr>
          <w:p w14:paraId="6345DA6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80</w:t>
            </w:r>
          </w:p>
        </w:tc>
        <w:tc>
          <w:tcPr>
            <w:tcW w:w="1712" w:type="dxa"/>
            <w:vAlign w:val="center"/>
          </w:tcPr>
          <w:p w14:paraId="09D9CF23"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278162C3" w14:textId="77777777" w:rsidTr="00887829">
        <w:trPr>
          <w:cantSplit/>
          <w:trHeight w:val="90"/>
        </w:trPr>
        <w:tc>
          <w:tcPr>
            <w:tcW w:w="1241" w:type="dxa"/>
            <w:vMerge/>
            <w:vAlign w:val="center"/>
          </w:tcPr>
          <w:p w14:paraId="13AF4DBF"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47464BA3"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w:t>
            </w:r>
          </w:p>
        </w:tc>
        <w:tc>
          <w:tcPr>
            <w:tcW w:w="1559" w:type="dxa"/>
            <w:vAlign w:val="center"/>
          </w:tcPr>
          <w:p w14:paraId="6ED08F5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65</w:t>
            </w:r>
          </w:p>
        </w:tc>
        <w:tc>
          <w:tcPr>
            <w:tcW w:w="1418" w:type="dxa"/>
            <w:vAlign w:val="center"/>
          </w:tcPr>
          <w:p w14:paraId="521808B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w:t>
            </w:r>
          </w:p>
        </w:tc>
        <w:tc>
          <w:tcPr>
            <w:tcW w:w="1712" w:type="dxa"/>
            <w:vAlign w:val="center"/>
          </w:tcPr>
          <w:p w14:paraId="7F136E7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0A050421" w14:textId="77777777" w:rsidTr="00887829">
        <w:trPr>
          <w:cantSplit/>
          <w:trHeight w:val="90"/>
        </w:trPr>
        <w:tc>
          <w:tcPr>
            <w:tcW w:w="1241" w:type="dxa"/>
            <w:vMerge/>
            <w:vAlign w:val="center"/>
          </w:tcPr>
          <w:p w14:paraId="29B687D1"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5A852083"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II</w:t>
            </w:r>
          </w:p>
        </w:tc>
        <w:tc>
          <w:tcPr>
            <w:tcW w:w="1559" w:type="dxa"/>
            <w:vAlign w:val="center"/>
          </w:tcPr>
          <w:p w14:paraId="403D154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65</w:t>
            </w:r>
          </w:p>
        </w:tc>
        <w:tc>
          <w:tcPr>
            <w:tcW w:w="1418" w:type="dxa"/>
            <w:vAlign w:val="center"/>
          </w:tcPr>
          <w:p w14:paraId="0266673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w:t>
            </w:r>
          </w:p>
        </w:tc>
        <w:tc>
          <w:tcPr>
            <w:tcW w:w="1712" w:type="dxa"/>
            <w:vAlign w:val="center"/>
          </w:tcPr>
          <w:p w14:paraId="2D93613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6BFF16E1" w14:textId="77777777" w:rsidTr="00887829">
        <w:trPr>
          <w:cantSplit/>
          <w:trHeight w:val="90"/>
        </w:trPr>
        <w:tc>
          <w:tcPr>
            <w:tcW w:w="1241" w:type="dxa"/>
            <w:vMerge/>
            <w:vAlign w:val="center"/>
          </w:tcPr>
          <w:p w14:paraId="7D7C103F"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1B882BD0"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 xml:space="preserve">Euro </w:t>
            </w:r>
            <w:smartTag w:uri="urn:schemas-microsoft-com:office:smarttags" w:element="stockticker">
              <w:r w:rsidRPr="008D1A83">
                <w:rPr>
                  <w:sz w:val="16"/>
                  <w:szCs w:val="16"/>
                  <w:lang w:val="en-GB" w:eastAsia="el-GR"/>
                </w:rPr>
                <w:t>III</w:t>
              </w:r>
            </w:smartTag>
          </w:p>
        </w:tc>
        <w:tc>
          <w:tcPr>
            <w:tcW w:w="1559" w:type="dxa"/>
            <w:vAlign w:val="center"/>
          </w:tcPr>
          <w:p w14:paraId="520585D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70</w:t>
            </w:r>
          </w:p>
        </w:tc>
        <w:tc>
          <w:tcPr>
            <w:tcW w:w="1418" w:type="dxa"/>
            <w:vAlign w:val="center"/>
          </w:tcPr>
          <w:p w14:paraId="38EC09D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c>
          <w:tcPr>
            <w:tcW w:w="1712" w:type="dxa"/>
            <w:vAlign w:val="center"/>
          </w:tcPr>
          <w:p w14:paraId="5242E95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1E098C27" w14:textId="77777777" w:rsidTr="00887829">
        <w:trPr>
          <w:cantSplit/>
          <w:trHeight w:val="255"/>
        </w:trPr>
        <w:tc>
          <w:tcPr>
            <w:tcW w:w="1241" w:type="dxa"/>
            <w:vMerge/>
            <w:vAlign w:val="center"/>
          </w:tcPr>
          <w:p w14:paraId="341DB93D"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73582A9B"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IV</w:t>
            </w:r>
          </w:p>
        </w:tc>
        <w:tc>
          <w:tcPr>
            <w:tcW w:w="1559" w:type="dxa"/>
            <w:vAlign w:val="center"/>
          </w:tcPr>
          <w:p w14:paraId="1867672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75</w:t>
            </w:r>
          </w:p>
        </w:tc>
        <w:tc>
          <w:tcPr>
            <w:tcW w:w="1418" w:type="dxa"/>
            <w:vAlign w:val="center"/>
          </w:tcPr>
          <w:p w14:paraId="51ED4445"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712" w:type="dxa"/>
            <w:vAlign w:val="center"/>
          </w:tcPr>
          <w:p w14:paraId="1660E3A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39C86106" w14:textId="77777777" w:rsidTr="00887829">
        <w:trPr>
          <w:cantSplit/>
          <w:trHeight w:val="255"/>
        </w:trPr>
        <w:tc>
          <w:tcPr>
            <w:tcW w:w="1241" w:type="dxa"/>
            <w:vMerge/>
            <w:vAlign w:val="center"/>
          </w:tcPr>
          <w:p w14:paraId="6F5286E3"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4C0DA0AF"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IV</w:t>
            </w:r>
          </w:p>
        </w:tc>
        <w:tc>
          <w:tcPr>
            <w:tcW w:w="1559" w:type="dxa"/>
            <w:vAlign w:val="center"/>
          </w:tcPr>
          <w:p w14:paraId="41DA3AE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75</w:t>
            </w:r>
          </w:p>
        </w:tc>
        <w:tc>
          <w:tcPr>
            <w:tcW w:w="1418" w:type="dxa"/>
            <w:vAlign w:val="center"/>
          </w:tcPr>
          <w:p w14:paraId="6C12AE3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712" w:type="dxa"/>
            <w:vAlign w:val="center"/>
          </w:tcPr>
          <w:p w14:paraId="23B38A2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r>
      <w:tr w:rsidR="001D2587" w:rsidRPr="000855B2" w14:paraId="402EFF21" w14:textId="77777777" w:rsidTr="00887829">
        <w:trPr>
          <w:cantSplit/>
          <w:trHeight w:val="270"/>
        </w:trPr>
        <w:tc>
          <w:tcPr>
            <w:tcW w:w="1241" w:type="dxa"/>
            <w:vMerge/>
            <w:vAlign w:val="center"/>
          </w:tcPr>
          <w:p w14:paraId="573EEF02"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center"/>
          </w:tcPr>
          <w:p w14:paraId="2463F2AD"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VI</w:t>
            </w:r>
          </w:p>
        </w:tc>
        <w:tc>
          <w:tcPr>
            <w:tcW w:w="1559" w:type="dxa"/>
            <w:vAlign w:val="center"/>
          </w:tcPr>
          <w:p w14:paraId="29618D3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center"/>
          </w:tcPr>
          <w:p w14:paraId="1E747EC8"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center"/>
          </w:tcPr>
          <w:p w14:paraId="763090C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w:t>
            </w:r>
          </w:p>
        </w:tc>
      </w:tr>
      <w:tr w:rsidR="001D2587" w:rsidRPr="000855B2" w14:paraId="24D9FA8B" w14:textId="77777777" w:rsidTr="00887829">
        <w:trPr>
          <w:cantSplit/>
          <w:trHeight w:val="90"/>
        </w:trPr>
        <w:tc>
          <w:tcPr>
            <w:tcW w:w="1241" w:type="dxa"/>
            <w:vMerge w:val="restart"/>
            <w:vAlign w:val="center"/>
          </w:tcPr>
          <w:p w14:paraId="65FE70EC"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Two</w:t>
            </w:r>
            <w:r w:rsidR="003B38C3" w:rsidRPr="008D1A83">
              <w:rPr>
                <w:sz w:val="16"/>
                <w:szCs w:val="16"/>
                <w:lang w:val="en-GB" w:eastAsia="el-GR"/>
              </w:rPr>
              <w:t>-w</w:t>
            </w:r>
            <w:r w:rsidRPr="008D1A83">
              <w:rPr>
                <w:sz w:val="16"/>
                <w:szCs w:val="16"/>
                <w:lang w:val="en-GB" w:eastAsia="el-GR"/>
              </w:rPr>
              <w:t>heel</w:t>
            </w:r>
            <w:r w:rsidR="003B38C3" w:rsidRPr="008D1A83">
              <w:rPr>
                <w:sz w:val="16"/>
                <w:szCs w:val="16"/>
                <w:lang w:val="en-GB" w:eastAsia="el-GR"/>
              </w:rPr>
              <w:t xml:space="preserve"> vehicles</w:t>
            </w:r>
          </w:p>
        </w:tc>
        <w:tc>
          <w:tcPr>
            <w:tcW w:w="2337" w:type="dxa"/>
            <w:vAlign w:val="bottom"/>
          </w:tcPr>
          <w:p w14:paraId="6D3F0910"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p>
        </w:tc>
        <w:tc>
          <w:tcPr>
            <w:tcW w:w="1559" w:type="dxa"/>
            <w:vAlign w:val="bottom"/>
          </w:tcPr>
          <w:p w14:paraId="264BAA44"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10</w:t>
            </w:r>
          </w:p>
        </w:tc>
        <w:tc>
          <w:tcPr>
            <w:tcW w:w="1418" w:type="dxa"/>
            <w:vAlign w:val="bottom"/>
          </w:tcPr>
          <w:p w14:paraId="3FCFCB7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900</w:t>
            </w:r>
          </w:p>
        </w:tc>
        <w:tc>
          <w:tcPr>
            <w:tcW w:w="1712" w:type="dxa"/>
            <w:vAlign w:val="bottom"/>
          </w:tcPr>
          <w:p w14:paraId="21BE83F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008E1EAD" w14:textId="77777777" w:rsidTr="00887829">
        <w:trPr>
          <w:cantSplit/>
          <w:trHeight w:val="255"/>
        </w:trPr>
        <w:tc>
          <w:tcPr>
            <w:tcW w:w="1241" w:type="dxa"/>
            <w:vMerge/>
            <w:vAlign w:val="center"/>
          </w:tcPr>
          <w:p w14:paraId="596D6F7A"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565A7203"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p>
        </w:tc>
        <w:tc>
          <w:tcPr>
            <w:tcW w:w="1559" w:type="dxa"/>
            <w:vAlign w:val="bottom"/>
          </w:tcPr>
          <w:p w14:paraId="66D4BCF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bottom"/>
          </w:tcPr>
          <w:p w14:paraId="0A636FA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400</w:t>
            </w:r>
          </w:p>
        </w:tc>
        <w:tc>
          <w:tcPr>
            <w:tcW w:w="1712" w:type="dxa"/>
            <w:vAlign w:val="bottom"/>
          </w:tcPr>
          <w:p w14:paraId="23BF64E3"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7CC1024E" w14:textId="77777777" w:rsidTr="00887829">
        <w:trPr>
          <w:cantSplit/>
          <w:trHeight w:val="255"/>
        </w:trPr>
        <w:tc>
          <w:tcPr>
            <w:tcW w:w="1241" w:type="dxa"/>
            <w:vMerge/>
            <w:vAlign w:val="center"/>
          </w:tcPr>
          <w:p w14:paraId="673B8DE4"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72BF42C3"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p>
        </w:tc>
        <w:tc>
          <w:tcPr>
            <w:tcW w:w="1559" w:type="dxa"/>
            <w:vAlign w:val="bottom"/>
          </w:tcPr>
          <w:p w14:paraId="2E711D77"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20</w:t>
            </w:r>
          </w:p>
        </w:tc>
        <w:tc>
          <w:tcPr>
            <w:tcW w:w="1418" w:type="dxa"/>
            <w:vAlign w:val="bottom"/>
          </w:tcPr>
          <w:p w14:paraId="448423F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400</w:t>
            </w:r>
          </w:p>
        </w:tc>
        <w:tc>
          <w:tcPr>
            <w:tcW w:w="1712" w:type="dxa"/>
            <w:vAlign w:val="bottom"/>
          </w:tcPr>
          <w:p w14:paraId="1C657EDF"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3F82A5ED" w14:textId="77777777" w:rsidTr="00887829">
        <w:trPr>
          <w:cantSplit/>
          <w:trHeight w:val="255"/>
        </w:trPr>
        <w:tc>
          <w:tcPr>
            <w:tcW w:w="1241" w:type="dxa"/>
            <w:vMerge/>
            <w:vAlign w:val="center"/>
          </w:tcPr>
          <w:p w14:paraId="13826D9D"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0DB3DC81"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Conventional</w:t>
            </w:r>
          </w:p>
        </w:tc>
        <w:tc>
          <w:tcPr>
            <w:tcW w:w="1559" w:type="dxa"/>
            <w:vAlign w:val="bottom"/>
          </w:tcPr>
          <w:p w14:paraId="481F0AB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15</w:t>
            </w:r>
          </w:p>
        </w:tc>
        <w:tc>
          <w:tcPr>
            <w:tcW w:w="1418" w:type="dxa"/>
            <w:vAlign w:val="bottom"/>
          </w:tcPr>
          <w:p w14:paraId="69EBF89B"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560</w:t>
            </w:r>
          </w:p>
        </w:tc>
        <w:tc>
          <w:tcPr>
            <w:tcW w:w="1712" w:type="dxa"/>
            <w:vAlign w:val="bottom"/>
          </w:tcPr>
          <w:p w14:paraId="1CAD4D7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48041D4E" w14:textId="77777777" w:rsidTr="00887829">
        <w:trPr>
          <w:cantSplit/>
          <w:trHeight w:val="255"/>
        </w:trPr>
        <w:tc>
          <w:tcPr>
            <w:tcW w:w="1241" w:type="dxa"/>
            <w:vMerge/>
            <w:vAlign w:val="center"/>
          </w:tcPr>
          <w:p w14:paraId="1224560F"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17063294"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1</w:t>
            </w:r>
          </w:p>
        </w:tc>
        <w:tc>
          <w:tcPr>
            <w:tcW w:w="1559" w:type="dxa"/>
            <w:vAlign w:val="bottom"/>
          </w:tcPr>
          <w:p w14:paraId="63CF02E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bottom"/>
          </w:tcPr>
          <w:p w14:paraId="17B0098E"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bottom"/>
          </w:tcPr>
          <w:p w14:paraId="576B3CB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04BFF92F" w14:textId="77777777" w:rsidTr="00887829">
        <w:trPr>
          <w:cantSplit/>
          <w:trHeight w:val="255"/>
        </w:trPr>
        <w:tc>
          <w:tcPr>
            <w:tcW w:w="1241" w:type="dxa"/>
            <w:vMerge/>
            <w:vAlign w:val="center"/>
          </w:tcPr>
          <w:p w14:paraId="60E50C5B"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4E17E2CA"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2</w:t>
            </w:r>
          </w:p>
        </w:tc>
        <w:tc>
          <w:tcPr>
            <w:tcW w:w="1559" w:type="dxa"/>
            <w:vAlign w:val="bottom"/>
          </w:tcPr>
          <w:p w14:paraId="05643029"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bottom"/>
          </w:tcPr>
          <w:p w14:paraId="6F984106"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300</w:t>
            </w:r>
          </w:p>
        </w:tc>
        <w:tc>
          <w:tcPr>
            <w:tcW w:w="1712" w:type="dxa"/>
            <w:vAlign w:val="bottom"/>
          </w:tcPr>
          <w:p w14:paraId="3F0382DC"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r w:rsidR="001D2587" w:rsidRPr="000855B2" w14:paraId="70577821" w14:textId="77777777" w:rsidTr="00887829">
        <w:trPr>
          <w:cantSplit/>
          <w:trHeight w:val="270"/>
        </w:trPr>
        <w:tc>
          <w:tcPr>
            <w:tcW w:w="1241" w:type="dxa"/>
            <w:vMerge/>
            <w:vAlign w:val="center"/>
          </w:tcPr>
          <w:p w14:paraId="53C72995" w14:textId="77777777" w:rsidR="001D2587" w:rsidRPr="008D1A83" w:rsidRDefault="001D2587" w:rsidP="005C7955">
            <w:pPr>
              <w:keepNext/>
              <w:keepLines/>
              <w:suppressAutoHyphens/>
              <w:spacing w:line="240" w:lineRule="atLeast"/>
              <w:rPr>
                <w:sz w:val="16"/>
                <w:szCs w:val="16"/>
                <w:lang w:val="en-GB" w:eastAsia="el-GR"/>
              </w:rPr>
            </w:pPr>
          </w:p>
        </w:tc>
        <w:tc>
          <w:tcPr>
            <w:tcW w:w="2337" w:type="dxa"/>
            <w:vAlign w:val="bottom"/>
          </w:tcPr>
          <w:p w14:paraId="1A932B19" w14:textId="77777777" w:rsidR="001D2587" w:rsidRPr="008D1A83" w:rsidRDefault="001D2587" w:rsidP="005C7955">
            <w:pPr>
              <w:keepNext/>
              <w:keepLines/>
              <w:suppressAutoHyphens/>
              <w:spacing w:line="240" w:lineRule="atLeast"/>
              <w:rPr>
                <w:sz w:val="16"/>
                <w:szCs w:val="16"/>
                <w:lang w:val="en-GB" w:eastAsia="el-GR"/>
              </w:rPr>
            </w:pPr>
            <w:r w:rsidRPr="008D1A83">
              <w:rPr>
                <w:sz w:val="16"/>
                <w:szCs w:val="16"/>
                <w:lang w:val="en-GB" w:eastAsia="el-GR"/>
              </w:rPr>
              <w:t>Euro 3</w:t>
            </w:r>
          </w:p>
        </w:tc>
        <w:tc>
          <w:tcPr>
            <w:tcW w:w="1559" w:type="dxa"/>
            <w:vAlign w:val="bottom"/>
          </w:tcPr>
          <w:p w14:paraId="1AE91C20"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w:t>
            </w:r>
          </w:p>
        </w:tc>
        <w:tc>
          <w:tcPr>
            <w:tcW w:w="1418" w:type="dxa"/>
            <w:vAlign w:val="bottom"/>
          </w:tcPr>
          <w:p w14:paraId="7BE8BA62"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250</w:t>
            </w:r>
          </w:p>
        </w:tc>
        <w:tc>
          <w:tcPr>
            <w:tcW w:w="1712" w:type="dxa"/>
            <w:vAlign w:val="bottom"/>
          </w:tcPr>
          <w:p w14:paraId="2A433BBD" w14:textId="77777777" w:rsidR="001D2587" w:rsidRPr="008D1A83" w:rsidRDefault="001D2587" w:rsidP="005C7955">
            <w:pPr>
              <w:keepNext/>
              <w:keepLines/>
              <w:suppressAutoHyphens/>
              <w:spacing w:line="240" w:lineRule="atLeast"/>
              <w:jc w:val="center"/>
              <w:rPr>
                <w:sz w:val="16"/>
                <w:szCs w:val="16"/>
                <w:lang w:val="en-GB" w:eastAsia="el-GR"/>
              </w:rPr>
            </w:pPr>
            <w:r w:rsidRPr="008D1A83">
              <w:rPr>
                <w:sz w:val="16"/>
                <w:szCs w:val="16"/>
                <w:lang w:val="en-GB" w:eastAsia="el-GR"/>
              </w:rPr>
              <w:t>50</w:t>
            </w:r>
          </w:p>
        </w:tc>
      </w:tr>
    </w:tbl>
    <w:p w14:paraId="66A88C36" w14:textId="0F647E3D" w:rsidR="001D2587" w:rsidRPr="000855B2" w:rsidRDefault="001D2587" w:rsidP="0083104A">
      <w:pPr>
        <w:pStyle w:val="BodyText"/>
      </w:pPr>
      <w:r w:rsidRPr="000855B2">
        <w:t>The values</w:t>
      </w:r>
      <w:r w:rsidR="003B38C3" w:rsidRPr="000855B2">
        <w:t xml:space="preserve"> in</w:t>
      </w:r>
      <w:r w:rsidRPr="000855B2">
        <w:t xml:space="preserve"> </w:t>
      </w:r>
      <w:r w:rsidR="00FB454C">
        <w:fldChar w:fldCharType="begin"/>
      </w:r>
      <w:r w:rsidR="00FB454C">
        <w:instrText xml:space="preserve"> REF _Ref172058046 \h  \* MERGEFORMAT </w:instrText>
      </w:r>
      <w:r w:rsidR="00FB454C">
        <w:fldChar w:fldCharType="separate"/>
      </w:r>
      <w:r w:rsidR="0071604C" w:rsidRPr="000855B2">
        <w:t>Table </w:t>
      </w:r>
      <w:r w:rsidR="0071604C">
        <w:t>3.88</w:t>
      </w:r>
      <w:r w:rsidR="00FB454C">
        <w:fldChar w:fldCharType="end"/>
      </w:r>
      <w:r w:rsidR="003B38C3" w:rsidRPr="000855B2">
        <w:t xml:space="preserve"> </w:t>
      </w:r>
      <w:r w:rsidRPr="000855B2">
        <w:t>originate from available</w:t>
      </w:r>
      <w:r w:rsidR="009C3BF2" w:rsidRPr="000855B2">
        <w:t xml:space="preserve"> data in the</w:t>
      </w:r>
      <w:r w:rsidRPr="000855B2">
        <w:t xml:space="preserve"> literature and engineering estimates of the effect</w:t>
      </w:r>
      <w:r w:rsidR="009C3BF2" w:rsidRPr="000855B2">
        <w:t>s</w:t>
      </w:r>
      <w:r w:rsidRPr="000855B2">
        <w:t xml:space="preserve"> of </w:t>
      </w:r>
      <w:r w:rsidR="009C3BF2" w:rsidRPr="000855B2">
        <w:t xml:space="preserve">specific </w:t>
      </w:r>
      <w:r w:rsidRPr="000855B2">
        <w:t>technologi</w:t>
      </w:r>
      <w:r w:rsidR="009C3BF2" w:rsidRPr="000855B2">
        <w:t>es</w:t>
      </w:r>
      <w:r w:rsidRPr="000855B2">
        <w:t xml:space="preserve"> (catalysts, DPFs, </w:t>
      </w:r>
      <w:r w:rsidR="00D73F59" w:rsidRPr="000855B2">
        <w:t>etc</w:t>
      </w:r>
      <w:r w:rsidRPr="000855B2">
        <w:rPr>
          <w:i/>
        </w:rPr>
        <w:t>.</w:t>
      </w:r>
      <w:r w:rsidRPr="000855B2">
        <w:t xml:space="preserve">) on emissions. </w:t>
      </w:r>
      <w:r w:rsidR="009C3BF2" w:rsidRPr="000855B2">
        <w:t>The estimates are also based on the assumption that</w:t>
      </w:r>
      <w:r w:rsidRPr="000855B2">
        <w:t xml:space="preserve"> low</w:t>
      </w:r>
      <w:r w:rsidR="009C3BF2" w:rsidRPr="000855B2">
        <w:t>-</w:t>
      </w:r>
      <w:r w:rsidRPr="000855B2">
        <w:t>sulphur fuels (</w:t>
      </w:r>
      <w:r w:rsidR="00D205E2" w:rsidRPr="000855B2">
        <w:t>&lt; </w:t>
      </w:r>
      <w:r w:rsidRPr="000855B2">
        <w:t>50</w:t>
      </w:r>
      <w:r w:rsidR="00C130F8" w:rsidRPr="000855B2">
        <w:t> ppm</w:t>
      </w:r>
      <w:r w:rsidRPr="000855B2">
        <w:t xml:space="preserve"> </w:t>
      </w:r>
      <w:r w:rsidR="00106C64" w:rsidRPr="000855B2">
        <w:t> </w:t>
      </w:r>
      <w:r w:rsidRPr="000855B2">
        <w:t>t. S)</w:t>
      </w:r>
      <w:r w:rsidR="009C3BF2" w:rsidRPr="000855B2">
        <w:t xml:space="preserve"> are used</w:t>
      </w:r>
      <w:r w:rsidRPr="000855B2">
        <w:t xml:space="preserve">. Hence, the contribution of sulphate </w:t>
      </w:r>
      <w:r w:rsidR="009C3BF2" w:rsidRPr="000855B2">
        <w:t>to</w:t>
      </w:r>
      <w:r w:rsidRPr="000855B2">
        <w:t xml:space="preserve"> PM emissions is generally low. In cases where advanced aftertreatment is used (such as catalysed DPFs)</w:t>
      </w:r>
      <w:r w:rsidR="009C3BF2" w:rsidRPr="000855B2">
        <w:t>,</w:t>
      </w:r>
      <w:r w:rsidRPr="000855B2">
        <w:t xml:space="preserve"> then EC and OM does not</w:t>
      </w:r>
      <w:r w:rsidR="009C3BF2" w:rsidRPr="000855B2">
        <w:t xml:space="preserve"> add</w:t>
      </w:r>
      <w:r w:rsidRPr="000855B2">
        <w:t xml:space="preserve"> up to 100</w:t>
      </w:r>
      <w:r w:rsidR="006502D0" w:rsidRPr="000855B2">
        <w:t> %</w:t>
      </w:r>
      <w:r w:rsidRPr="000855B2">
        <w:t>. The remaining fraction is assumed to be ash, nitrates, sulphates, water and ammonium</w:t>
      </w:r>
      <w:r w:rsidR="009C3BF2" w:rsidRPr="000855B2">
        <w:t xml:space="preserve"> salts</w:t>
      </w:r>
      <w:r w:rsidRPr="000855B2">
        <w:t>.</w:t>
      </w:r>
    </w:p>
    <w:p w14:paraId="0F312524" w14:textId="77777777" w:rsidR="001D2587" w:rsidRPr="000855B2" w:rsidRDefault="001D2587" w:rsidP="00EA3292">
      <w:pPr>
        <w:pStyle w:val="Heading1"/>
      </w:pPr>
      <w:bookmarkStart w:id="293" w:name="_Toc200272615"/>
      <w:bookmarkStart w:id="294" w:name="_Toc482003901"/>
      <w:r w:rsidRPr="000855B2">
        <w:lastRenderedPageBreak/>
        <w:t>Data quality</w:t>
      </w:r>
      <w:bookmarkEnd w:id="293"/>
      <w:bookmarkEnd w:id="294"/>
    </w:p>
    <w:p w14:paraId="6B6A7FF6" w14:textId="77777777" w:rsidR="001D2587" w:rsidRPr="000855B2" w:rsidRDefault="001D2587" w:rsidP="00F516D0">
      <w:pPr>
        <w:pStyle w:val="Heading2"/>
      </w:pPr>
      <w:bookmarkStart w:id="295" w:name="_Toc200272616"/>
      <w:bookmarkStart w:id="296" w:name="_Toc482003902"/>
      <w:r w:rsidRPr="000855B2">
        <w:t>Completeness</w:t>
      </w:r>
      <w:bookmarkEnd w:id="295"/>
      <w:bookmarkEnd w:id="296"/>
    </w:p>
    <w:p w14:paraId="6FBBEECF" w14:textId="77777777" w:rsidR="001D2587" w:rsidRPr="000855B2" w:rsidRDefault="001D2587" w:rsidP="0083104A">
      <w:pPr>
        <w:pStyle w:val="BodyText"/>
      </w:pPr>
      <w:r w:rsidRPr="000855B2">
        <w:t xml:space="preserve">It </w:t>
      </w:r>
      <w:r w:rsidR="00134F2D" w:rsidRPr="000855B2">
        <w:t>should be considered</w:t>
      </w:r>
      <w:r w:rsidRPr="000855B2">
        <w:t xml:space="preserve"> that all significant </w:t>
      </w:r>
      <w:r w:rsidR="00134F2D" w:rsidRPr="000855B2">
        <w:t xml:space="preserve">exhaust </w:t>
      </w:r>
      <w:r w:rsidRPr="000855B2">
        <w:t>emissions from road transport</w:t>
      </w:r>
      <w:r w:rsidR="00207205" w:rsidRPr="000855B2">
        <w:t xml:space="preserve"> must</w:t>
      </w:r>
      <w:r w:rsidRPr="000855B2">
        <w:t xml:space="preserve"> </w:t>
      </w:r>
      <w:r w:rsidR="00F13E54" w:rsidRPr="000855B2">
        <w:t>have been addressed</w:t>
      </w:r>
      <w:r w:rsidRPr="000855B2">
        <w:t xml:space="preserve"> by following the methodology </w:t>
      </w:r>
      <w:r w:rsidR="00FD5EAB" w:rsidRPr="000855B2">
        <w:t xml:space="preserve">described </w:t>
      </w:r>
      <w:r w:rsidRPr="000855B2">
        <w:t xml:space="preserve">in the </w:t>
      </w:r>
      <w:r w:rsidR="0069595F" w:rsidRPr="000855B2">
        <w:t>preceding</w:t>
      </w:r>
      <w:r w:rsidR="00FD5EAB" w:rsidRPr="000855B2">
        <w:t xml:space="preserve"> </w:t>
      </w:r>
      <w:r w:rsidRPr="000855B2">
        <w:t xml:space="preserve">sections. </w:t>
      </w:r>
      <w:r w:rsidR="00134F2D" w:rsidRPr="000855B2">
        <w:t xml:space="preserve">Non-exhaust emissions induced </w:t>
      </w:r>
      <w:r w:rsidR="00711D3C" w:rsidRPr="000855B2">
        <w:t>by vehicles’ operation (fuel evaporation and PM from the wear of components) are addressed in separate chapters.</w:t>
      </w:r>
    </w:p>
    <w:p w14:paraId="17C57184" w14:textId="77777777" w:rsidR="001D2587" w:rsidRPr="000855B2" w:rsidRDefault="001D2587" w:rsidP="00F516D0">
      <w:pPr>
        <w:pStyle w:val="Heading2"/>
      </w:pPr>
      <w:bookmarkStart w:id="297" w:name="_Toc164843779"/>
      <w:bookmarkStart w:id="298" w:name="_Toc200272617"/>
      <w:bookmarkStart w:id="299" w:name="_Toc482003903"/>
      <w:r w:rsidRPr="000855B2">
        <w:t>Avoiding double counting with other sectors</w:t>
      </w:r>
      <w:bookmarkEnd w:id="297"/>
      <w:bookmarkEnd w:id="298"/>
      <w:bookmarkEnd w:id="299"/>
    </w:p>
    <w:p w14:paraId="0CA0813D" w14:textId="77777777" w:rsidR="001D2587" w:rsidRPr="000855B2" w:rsidRDefault="004E1503" w:rsidP="0083104A">
      <w:pPr>
        <w:pStyle w:val="BodyText"/>
      </w:pPr>
      <w:bookmarkStart w:id="300" w:name="_Toc164843780"/>
      <w:r>
        <w:t>Petrol</w:t>
      </w:r>
      <w:r w:rsidR="00711D3C" w:rsidRPr="000855B2">
        <w:t xml:space="preserve"> and, in particular, diesel fuel sold by gas stations may also be used for off-road machinery (e.g. agriculture tractors). Attention should be given so that the fuel consumption reported for road transport does not include sales for off-road use.</w:t>
      </w:r>
    </w:p>
    <w:p w14:paraId="048AC20D" w14:textId="78642DF6" w:rsidR="00711D3C" w:rsidRPr="000855B2" w:rsidRDefault="00711D3C" w:rsidP="0083104A">
      <w:pPr>
        <w:pStyle w:val="BodyText"/>
      </w:pPr>
      <w:r w:rsidRPr="000855B2">
        <w:t>In addition, care should be given not to include CO</w:t>
      </w:r>
      <w:r w:rsidRPr="000855B2">
        <w:rPr>
          <w:vertAlign w:val="subscript"/>
        </w:rPr>
        <w:t>2</w:t>
      </w:r>
      <w:r w:rsidRPr="000855B2">
        <w:t xml:space="preserve"> emissions produced by the combustion of biofuels (bioethanol, biodiesel, and biogas). Section </w:t>
      </w:r>
      <w:r w:rsidR="00FB454C">
        <w:fldChar w:fldCharType="begin"/>
      </w:r>
      <w:r w:rsidR="00FB454C">
        <w:instrText xml:space="preserve"> REF _Ref247619288 \r \h  \* MERGEFORMAT </w:instrText>
      </w:r>
      <w:r w:rsidR="00FB454C">
        <w:fldChar w:fldCharType="separate"/>
      </w:r>
      <w:r w:rsidR="0071604C">
        <w:t>0</w:t>
      </w:r>
      <w:r w:rsidR="00FB454C">
        <w:fldChar w:fldCharType="end"/>
      </w:r>
      <w:r w:rsidRPr="000855B2">
        <w:t>.C explains how the calculation of total Greenhouse gas emissions should be reported when biofuels are blende</w:t>
      </w:r>
      <w:r w:rsidR="00B051B8" w:rsidRPr="000855B2">
        <w:t>d to</w:t>
      </w:r>
      <w:r w:rsidRPr="000855B2">
        <w:t xml:space="preserve"> fossil fuels. According to the IPCC 2006 Guidelines, CO</w:t>
      </w:r>
      <w:r w:rsidRPr="000855B2">
        <w:rPr>
          <w:vertAlign w:val="subscript"/>
        </w:rPr>
        <w:t>2</w:t>
      </w:r>
      <w:r w:rsidRPr="000855B2">
        <w:t xml:space="preserve"> emissions from the production of biofuels is reported in the Land Use, Land-Use Change and Forestry sector</w:t>
      </w:r>
      <w:r w:rsidR="00B051B8" w:rsidRPr="000855B2">
        <w:t>, while CO</w:t>
      </w:r>
      <w:r w:rsidR="00B051B8" w:rsidRPr="000855B2">
        <w:rPr>
          <w:vertAlign w:val="subscript"/>
        </w:rPr>
        <w:t>2</w:t>
      </w:r>
      <w:r w:rsidR="00B051B8" w:rsidRPr="000855B2">
        <w:t xml:space="preserve"> from the combustion of biofuels should not be reported</w:t>
      </w:r>
      <w:r w:rsidRPr="000855B2">
        <w:t>. This does not apply to other greenhouse gases produced when combusting biofuels (CH</w:t>
      </w:r>
      <w:r w:rsidRPr="000855B2">
        <w:rPr>
          <w:vertAlign w:val="subscript"/>
        </w:rPr>
        <w:t>4</w:t>
      </w:r>
      <w:r w:rsidRPr="000855B2">
        <w:t>, N</w:t>
      </w:r>
      <w:r w:rsidRPr="000855B2">
        <w:rPr>
          <w:vertAlign w:val="subscript"/>
        </w:rPr>
        <w:t>2</w:t>
      </w:r>
      <w:r w:rsidRPr="000855B2">
        <w:t xml:space="preserve">O). These should be included in the reporting of greenhouse </w:t>
      </w:r>
      <w:r w:rsidR="006A0119" w:rsidRPr="000855B2">
        <w:t xml:space="preserve">gas </w:t>
      </w:r>
      <w:r w:rsidRPr="000855B2">
        <w:t>emissions from road transport.</w:t>
      </w:r>
    </w:p>
    <w:p w14:paraId="5A432BBC" w14:textId="77777777" w:rsidR="0083104A" w:rsidRPr="000855B2" w:rsidRDefault="00097E43" w:rsidP="0083104A">
      <w:pPr>
        <w:pStyle w:val="BodyText"/>
      </w:pPr>
      <w:r w:rsidRPr="000855B2">
        <w:t>Finally double-counting may occur in countries where gas used in CNG or LPG processes results from coal gasification. Also in this case, coal-derived CO</w:t>
      </w:r>
      <w:r w:rsidRPr="000855B2">
        <w:rPr>
          <w:vertAlign w:val="subscript"/>
        </w:rPr>
        <w:t>2</w:t>
      </w:r>
      <w:r w:rsidRPr="000855B2">
        <w:t xml:space="preserve"> are part of industrial procedures and the resulting CO</w:t>
      </w:r>
      <w:r w:rsidRPr="000855B2">
        <w:rPr>
          <w:vertAlign w:val="subscript"/>
        </w:rPr>
        <w:t>2</w:t>
      </w:r>
      <w:r w:rsidRPr="000855B2">
        <w:t xml:space="preserve"> from the combustion of the derived gas should not be counted in road transport totals.</w:t>
      </w:r>
    </w:p>
    <w:p w14:paraId="5DF1C248" w14:textId="77777777" w:rsidR="001D2587" w:rsidRPr="000855B2" w:rsidRDefault="001D2587" w:rsidP="00F516D0">
      <w:pPr>
        <w:pStyle w:val="Heading2"/>
      </w:pPr>
      <w:bookmarkStart w:id="301" w:name="_Toc200272618"/>
      <w:bookmarkStart w:id="302" w:name="_Toc482003904"/>
      <w:r w:rsidRPr="000855B2">
        <w:t>Verification</w:t>
      </w:r>
      <w:bookmarkEnd w:id="301"/>
      <w:bookmarkEnd w:id="302"/>
    </w:p>
    <w:p w14:paraId="1EB72F15" w14:textId="77777777" w:rsidR="001D2587" w:rsidRPr="000855B2" w:rsidRDefault="006A0119" w:rsidP="0083104A">
      <w:pPr>
        <w:pStyle w:val="BodyText"/>
      </w:pPr>
      <w:r w:rsidRPr="000855B2">
        <w:t>A</w:t>
      </w:r>
      <w:r w:rsidR="00FD5EAB" w:rsidRPr="000855B2">
        <w:t xml:space="preserve"> few</w:t>
      </w:r>
      <w:r w:rsidR="001D2587" w:rsidRPr="000855B2">
        <w:t xml:space="preserve"> </w:t>
      </w:r>
      <w:r w:rsidRPr="000855B2">
        <w:t xml:space="preserve">remarks </w:t>
      </w:r>
      <w:r w:rsidR="00FD5EAB" w:rsidRPr="000855B2">
        <w:t>on</w:t>
      </w:r>
      <w:r w:rsidR="001D2587" w:rsidRPr="000855B2">
        <w:t xml:space="preserve"> </w:t>
      </w:r>
      <w:r w:rsidR="00FD5EAB" w:rsidRPr="000855B2">
        <w:t xml:space="preserve">the verification of road transport </w:t>
      </w:r>
      <w:r w:rsidR="001D2587" w:rsidRPr="000855B2">
        <w:t>emission</w:t>
      </w:r>
      <w:r w:rsidR="00F13E54" w:rsidRPr="000855B2">
        <w:t xml:space="preserve"> inventories</w:t>
      </w:r>
      <w:r w:rsidR="001D2587" w:rsidRPr="000855B2">
        <w:t xml:space="preserve"> are </w:t>
      </w:r>
      <w:r w:rsidR="00FD5EAB" w:rsidRPr="000855B2">
        <w:t>presented</w:t>
      </w:r>
      <w:r w:rsidRPr="000855B2">
        <w:t xml:space="preserve"> in the following paragraphs,</w:t>
      </w:r>
      <w:r w:rsidR="00FD5EAB" w:rsidRPr="000855B2">
        <w:t xml:space="preserve">. </w:t>
      </w:r>
      <w:r w:rsidR="001D2587" w:rsidRPr="000855B2">
        <w:t xml:space="preserve">For a </w:t>
      </w:r>
      <w:r w:rsidR="00207205" w:rsidRPr="000855B2">
        <w:t>c</w:t>
      </w:r>
      <w:r w:rsidRPr="000855B2">
        <w:t>omple</w:t>
      </w:r>
      <w:r w:rsidR="00207205" w:rsidRPr="000855B2">
        <w:t>mentary</w:t>
      </w:r>
      <w:r w:rsidR="001D2587" w:rsidRPr="000855B2">
        <w:t xml:space="preserve"> discussion o</w:t>
      </w:r>
      <w:r w:rsidR="00FD5EAB" w:rsidRPr="000855B2">
        <w:t>f</w:t>
      </w:r>
      <w:r w:rsidR="001D2587" w:rsidRPr="000855B2">
        <w:t xml:space="preserve"> these issues, refer to </w:t>
      </w:r>
      <w:r w:rsidR="00D04856" w:rsidRPr="000855B2">
        <w:t>the</w:t>
      </w:r>
      <w:r w:rsidR="001D2587" w:rsidRPr="000855B2">
        <w:t xml:space="preserve"> </w:t>
      </w:r>
      <w:r w:rsidRPr="000855B2">
        <w:t>c</w:t>
      </w:r>
      <w:r w:rsidR="001D2587" w:rsidRPr="000855B2">
        <w:t xml:space="preserve">hapter on </w:t>
      </w:r>
      <w:r w:rsidR="00BC5284" w:rsidRPr="000855B2">
        <w:t>‘</w:t>
      </w:r>
      <w:r w:rsidR="00AB0CC0" w:rsidRPr="000855B2">
        <w:t>Inventory management, improvement and QA/QC</w:t>
      </w:r>
      <w:r w:rsidR="00BC5284" w:rsidRPr="000855B2">
        <w:t>’</w:t>
      </w:r>
      <w:r w:rsidR="001D2587" w:rsidRPr="000855B2">
        <w:t xml:space="preserve"> in this Guidebook</w:t>
      </w:r>
      <w:r w:rsidR="00D04856" w:rsidRPr="000855B2">
        <w:t xml:space="preserve"> and the studies referenced therein</w:t>
      </w:r>
      <w:r w:rsidR="001D2587" w:rsidRPr="000855B2">
        <w:t>. In general</w:t>
      </w:r>
      <w:r w:rsidR="00FD5EAB" w:rsidRPr="000855B2">
        <w:t>,</w:t>
      </w:r>
      <w:r w:rsidR="001D2587" w:rsidRPr="000855B2">
        <w:t xml:space="preserve"> these approaches can be categorised </w:t>
      </w:r>
      <w:r w:rsidR="00FD5EAB" w:rsidRPr="000855B2">
        <w:t>as either</w:t>
      </w:r>
      <w:r w:rsidR="001D2587" w:rsidRPr="000855B2">
        <w:t xml:space="preserve"> </w:t>
      </w:r>
      <w:r w:rsidR="00FD5EAB" w:rsidRPr="000855B2">
        <w:t>‘</w:t>
      </w:r>
      <w:r w:rsidR="001D2587" w:rsidRPr="000855B2">
        <w:t>soft</w:t>
      </w:r>
      <w:r w:rsidR="00FD5EAB" w:rsidRPr="000855B2">
        <w:t>’</w:t>
      </w:r>
      <w:r w:rsidR="001D2587" w:rsidRPr="000855B2">
        <w:t xml:space="preserve"> </w:t>
      </w:r>
      <w:r w:rsidR="00FD5EAB" w:rsidRPr="000855B2">
        <w:t>or</w:t>
      </w:r>
      <w:r w:rsidR="001D2587" w:rsidRPr="000855B2">
        <w:t xml:space="preserve"> </w:t>
      </w:r>
      <w:r w:rsidR="00FD5EAB" w:rsidRPr="000855B2">
        <w:t>‘</w:t>
      </w:r>
      <w:r w:rsidR="001D2587" w:rsidRPr="000855B2">
        <w:t>ground truth</w:t>
      </w:r>
      <w:r w:rsidR="00FD5EAB" w:rsidRPr="000855B2">
        <w:t>’</w:t>
      </w:r>
      <w:r w:rsidR="001D2587" w:rsidRPr="000855B2">
        <w:t xml:space="preserve"> verification </w:t>
      </w:r>
      <w:r w:rsidRPr="000855B2">
        <w:t>methods</w:t>
      </w:r>
      <w:r w:rsidR="001D2587" w:rsidRPr="000855B2">
        <w:t>.</w:t>
      </w:r>
      <w:r w:rsidR="00B051B8" w:rsidRPr="000855B2">
        <w:t xml:space="preserve"> S</w:t>
      </w:r>
      <w:r w:rsidRPr="000855B2">
        <w:t>ome</w:t>
      </w:r>
      <w:r w:rsidR="002F2A1D" w:rsidRPr="000855B2">
        <w:t xml:space="preserve"> detail of methods applied </w:t>
      </w:r>
      <w:r w:rsidRPr="000855B2">
        <w:t>to verify emission inventorying models</w:t>
      </w:r>
      <w:r w:rsidR="002F2A1D" w:rsidRPr="000855B2">
        <w:t xml:space="preserve"> is provided by Smit et al. (2010). </w:t>
      </w:r>
    </w:p>
    <w:p w14:paraId="7495F3D2" w14:textId="77777777" w:rsidR="001D2587" w:rsidRPr="000855B2" w:rsidRDefault="00FD5EAB" w:rsidP="0083104A">
      <w:pPr>
        <w:pStyle w:val="BodyText"/>
      </w:pPr>
      <w:r w:rsidRPr="000855B2">
        <w:rPr>
          <w:b/>
        </w:rPr>
        <w:t>Soft verification</w:t>
      </w:r>
      <w:r w:rsidR="00D04856" w:rsidRPr="000855B2">
        <w:rPr>
          <w:b/>
        </w:rPr>
        <w:t xml:space="preserve">: </w:t>
      </w:r>
      <w:r w:rsidR="00D04856" w:rsidRPr="000855B2">
        <w:t xml:space="preserve">This mainly refers to a </w:t>
      </w:r>
      <w:r w:rsidR="00575996" w:rsidRPr="000855B2">
        <w:rPr>
          <w:i/>
        </w:rPr>
        <w:t>c</w:t>
      </w:r>
      <w:r w:rsidR="001D2587" w:rsidRPr="000855B2">
        <w:rPr>
          <w:i/>
        </w:rPr>
        <w:t>omparison of alternat</w:t>
      </w:r>
      <w:r w:rsidRPr="000855B2">
        <w:rPr>
          <w:i/>
        </w:rPr>
        <w:t>ive</w:t>
      </w:r>
      <w:r w:rsidR="001D2587" w:rsidRPr="000855B2">
        <w:rPr>
          <w:i/>
        </w:rPr>
        <w:t xml:space="preserve"> estimates</w:t>
      </w:r>
      <w:r w:rsidR="001D2587" w:rsidRPr="000855B2">
        <w:t xml:space="preserve">: </w:t>
      </w:r>
      <w:r w:rsidR="00106C64" w:rsidRPr="000855B2">
        <w:t>a</w:t>
      </w:r>
      <w:r w:rsidRPr="000855B2">
        <w:t xml:space="preserve">lternative </w:t>
      </w:r>
      <w:r w:rsidR="001D2587" w:rsidRPr="000855B2">
        <w:t xml:space="preserve">estimates can be compared </w:t>
      </w:r>
      <w:r w:rsidRPr="000855B2">
        <w:t>with</w:t>
      </w:r>
      <w:r w:rsidR="001D2587" w:rsidRPr="000855B2">
        <w:t xml:space="preserve"> each other to infer the validity of the data</w:t>
      </w:r>
      <w:r w:rsidR="00207205" w:rsidRPr="000855B2">
        <w:t>,</w:t>
      </w:r>
      <w:r w:rsidR="001D2587" w:rsidRPr="000855B2">
        <w:t xml:space="preserve"> based on the degree of agreement. </w:t>
      </w:r>
      <w:r w:rsidR="00207205" w:rsidRPr="000855B2">
        <w:t>This</w:t>
      </w:r>
      <w:r w:rsidR="001D2587" w:rsidRPr="000855B2">
        <w:t xml:space="preserve"> process can help to homogenise </w:t>
      </w:r>
      <w:r w:rsidRPr="000855B2">
        <w:t xml:space="preserve">the </w:t>
      </w:r>
      <w:r w:rsidR="001D2587" w:rsidRPr="000855B2">
        <w:t xml:space="preserve">data </w:t>
      </w:r>
      <w:r w:rsidR="00207205" w:rsidRPr="000855B2">
        <w:t xml:space="preserve">collected with </w:t>
      </w:r>
      <w:r w:rsidR="001D2587" w:rsidRPr="000855B2">
        <w:t xml:space="preserve">different </w:t>
      </w:r>
      <w:r w:rsidR="00207205" w:rsidRPr="000855B2">
        <w:t>methods</w:t>
      </w:r>
      <w:r w:rsidR="002F2A1D" w:rsidRPr="000855B2">
        <w:t xml:space="preserve">. For example, comparison of an inventory produced by a Tier 2 method (distance </w:t>
      </w:r>
      <w:r w:rsidR="00EC7DD0" w:rsidRPr="000855B2">
        <w:t xml:space="preserve">driven </w:t>
      </w:r>
      <w:r w:rsidR="002F2A1D" w:rsidRPr="000855B2">
        <w:t>based) with an inventory produced by a Tier 1 method (fuel consumed based) can provide two alt</w:t>
      </w:r>
      <w:r w:rsidR="00B051B8" w:rsidRPr="000855B2">
        <w:t>ernative methods of estimating the same inventory</w:t>
      </w:r>
      <w:r w:rsidR="002F2A1D" w:rsidRPr="000855B2">
        <w:t>. These</w:t>
      </w:r>
      <w:r w:rsidR="00EC7DD0" w:rsidRPr="000855B2">
        <w:t xml:space="preserve"> two can be used to verify the </w:t>
      </w:r>
      <w:r w:rsidR="002F2A1D" w:rsidRPr="000855B2">
        <w:t>calculations of either method.</w:t>
      </w:r>
      <w:r w:rsidR="00207205" w:rsidRPr="000855B2">
        <w:t xml:space="preserve"> Depending on the reliability of the source of data, one may need to correct either the reported fuel consumption or the distance travelled.</w:t>
      </w:r>
    </w:p>
    <w:p w14:paraId="37B7AC29" w14:textId="77777777" w:rsidR="00FD5EAB" w:rsidRPr="000855B2" w:rsidRDefault="00FD5EAB" w:rsidP="0083104A">
      <w:pPr>
        <w:pStyle w:val="BodyText"/>
      </w:pPr>
      <w:r w:rsidRPr="000855B2">
        <w:rPr>
          <w:b/>
        </w:rPr>
        <w:t>Ground truth verification</w:t>
      </w:r>
      <w:r w:rsidR="00B41D2F" w:rsidRPr="000855B2">
        <w:t xml:space="preserve">: This mainly refers to alternative scientific methods that can be used to physically verify the </w:t>
      </w:r>
      <w:r w:rsidR="006A0119" w:rsidRPr="000855B2">
        <w:t xml:space="preserve">model </w:t>
      </w:r>
      <w:r w:rsidR="00B41D2F" w:rsidRPr="000855B2">
        <w:t xml:space="preserve">calculations. These methods may be applied to verify either the complete inventory or the emission factors used to develop the inventory. For the verification of the emission factors, the following methods are most common: </w:t>
      </w:r>
    </w:p>
    <w:p w14:paraId="1C5477E4" w14:textId="77777777" w:rsidR="003E48C4" w:rsidRPr="000855B2" w:rsidRDefault="00B41D2F" w:rsidP="009D781A">
      <w:pPr>
        <w:pStyle w:val="BodyText"/>
        <w:numPr>
          <w:ilvl w:val="0"/>
          <w:numId w:val="13"/>
        </w:numPr>
      </w:pPr>
      <w:r w:rsidRPr="000855B2">
        <w:rPr>
          <w:i/>
        </w:rPr>
        <w:t>Remote sensing studies</w:t>
      </w:r>
      <w:r w:rsidR="001D2587" w:rsidRPr="000855B2">
        <w:t xml:space="preserve">: </w:t>
      </w:r>
      <w:r w:rsidRPr="000855B2">
        <w:t xml:space="preserve">In such studies, measurement devices are setup in specific areas (junctions, ramps to highways, …) and </w:t>
      </w:r>
      <w:r w:rsidR="006A0119" w:rsidRPr="000855B2">
        <w:t>determine</w:t>
      </w:r>
      <w:r w:rsidRPr="000855B2">
        <w:t xml:space="preserve"> </w:t>
      </w:r>
      <w:r w:rsidR="00B051B8" w:rsidRPr="000855B2">
        <w:t>pollutant</w:t>
      </w:r>
      <w:r w:rsidRPr="000855B2">
        <w:t xml:space="preserve"> concentrations directly in the </w:t>
      </w:r>
      <w:r w:rsidR="00EC7DD0" w:rsidRPr="000855B2">
        <w:t xml:space="preserve">exhaust </w:t>
      </w:r>
      <w:r w:rsidRPr="000855B2">
        <w:t>plume of the passing-by vehicles. Concentrations are converted to poll</w:t>
      </w:r>
      <w:r w:rsidR="003E48C4" w:rsidRPr="000855B2">
        <w:t xml:space="preserve">utant </w:t>
      </w:r>
      <w:r w:rsidR="00B051B8" w:rsidRPr="000855B2">
        <w:t xml:space="preserve">emission </w:t>
      </w:r>
      <w:r w:rsidR="003E48C4" w:rsidRPr="000855B2">
        <w:t xml:space="preserve">per unit of fuel consumed, using </w:t>
      </w:r>
      <w:r w:rsidR="003E48C4" w:rsidRPr="000855B2">
        <w:lastRenderedPageBreak/>
        <w:t>the CO</w:t>
      </w:r>
      <w:r w:rsidR="003E48C4" w:rsidRPr="000855B2">
        <w:rPr>
          <w:vertAlign w:val="subscript"/>
        </w:rPr>
        <w:t>2</w:t>
      </w:r>
      <w:r w:rsidR="003E48C4" w:rsidRPr="000855B2">
        <w:t xml:space="preserve"> concentration in the exhaust and the carbon balance between engine inlet and exhaust. This technique has the advantage of producing results referring to several vehicles (a day</w:t>
      </w:r>
      <w:r w:rsidR="006A0119" w:rsidRPr="000855B2">
        <w:t>-long</w:t>
      </w:r>
      <w:r w:rsidR="003E48C4" w:rsidRPr="000855B2">
        <w:t xml:space="preserve"> sampling </w:t>
      </w:r>
      <w:r w:rsidR="006A0119" w:rsidRPr="000855B2">
        <w:t xml:space="preserve">period </w:t>
      </w:r>
      <w:r w:rsidR="003E48C4" w:rsidRPr="000855B2">
        <w:t xml:space="preserve">may correspond to a few thousand of </w:t>
      </w:r>
      <w:r w:rsidR="00B051B8" w:rsidRPr="000855B2">
        <w:t xml:space="preserve">vehicle </w:t>
      </w:r>
      <w:r w:rsidR="003E48C4" w:rsidRPr="000855B2">
        <w:t xml:space="preserve">samples for dense traffic conditions), including a representative portion of high and ultra emitters. However, momentary </w:t>
      </w:r>
      <w:r w:rsidR="006A0119" w:rsidRPr="000855B2">
        <w:t>concentrations</w:t>
      </w:r>
      <w:r w:rsidR="00B051B8" w:rsidRPr="000855B2">
        <w:t xml:space="preserve"> of pollutants are only measured, which are specific to </w:t>
      </w:r>
      <w:r w:rsidR="003E48C4" w:rsidRPr="000855B2">
        <w:t xml:space="preserve">particular vehicle </w:t>
      </w:r>
      <w:r w:rsidR="00B051B8" w:rsidRPr="000855B2">
        <w:t>operation in</w:t>
      </w:r>
      <w:r w:rsidR="003E48C4" w:rsidRPr="000855B2">
        <w:t xml:space="preserve"> the sampling area. In addition, it is often cumbersome to know the emission control technology of passing-by vehicles and therefore to </w:t>
      </w:r>
      <w:r w:rsidR="00B051B8" w:rsidRPr="000855B2">
        <w:t xml:space="preserve">establish </w:t>
      </w:r>
      <w:r w:rsidR="00EC7DD0" w:rsidRPr="000855B2">
        <w:t xml:space="preserve">a link between </w:t>
      </w:r>
      <w:r w:rsidR="00B051B8" w:rsidRPr="000855B2">
        <w:t>emission levels and</w:t>
      </w:r>
      <w:r w:rsidR="003E48C4" w:rsidRPr="000855B2">
        <w:t xml:space="preserve"> emission control technologies</w:t>
      </w:r>
      <w:r w:rsidR="00EC7DD0" w:rsidRPr="000855B2">
        <w:t>.</w:t>
      </w:r>
    </w:p>
    <w:p w14:paraId="6F8814E1" w14:textId="77777777" w:rsidR="003E48C4" w:rsidRPr="000855B2" w:rsidRDefault="003E48C4" w:rsidP="009D781A">
      <w:pPr>
        <w:pStyle w:val="BodyText"/>
        <w:numPr>
          <w:ilvl w:val="0"/>
          <w:numId w:val="13"/>
        </w:numPr>
      </w:pPr>
      <w:r w:rsidRPr="000855B2">
        <w:rPr>
          <w:i/>
        </w:rPr>
        <w:t>Tunnel studies</w:t>
      </w:r>
      <w:r w:rsidRPr="000855B2">
        <w:t>: In these studies, road tunnels are used as laborat</w:t>
      </w:r>
      <w:r w:rsidR="00B051B8" w:rsidRPr="000855B2">
        <w:t xml:space="preserve">ories to study emissions of </w:t>
      </w:r>
      <w:r w:rsidRPr="000855B2">
        <w:t xml:space="preserve">vehicles </w:t>
      </w:r>
      <w:r w:rsidR="00B051B8" w:rsidRPr="000855B2">
        <w:t>in</w:t>
      </w:r>
      <w:r w:rsidRPr="000855B2">
        <w:t xml:space="preserve"> the tunnel. </w:t>
      </w:r>
      <w:r w:rsidR="00A67FD1" w:rsidRPr="000855B2">
        <w:t>The difference in pollutant concentration</w:t>
      </w:r>
      <w:r w:rsidRPr="000855B2">
        <w:t xml:space="preserve"> </w:t>
      </w:r>
      <w:r w:rsidR="00A67FD1" w:rsidRPr="000855B2">
        <w:t>between</w:t>
      </w:r>
      <w:r w:rsidRPr="000855B2">
        <w:t xml:space="preserve"> the inlet and the outlet of the tunnel </w:t>
      </w:r>
      <w:r w:rsidR="00A67FD1" w:rsidRPr="000855B2">
        <w:t xml:space="preserve">is measured and is converted to emission levels by combining with the </w:t>
      </w:r>
      <w:r w:rsidR="00733B29" w:rsidRPr="000855B2">
        <w:t xml:space="preserve">air </w:t>
      </w:r>
      <w:r w:rsidR="00A67FD1" w:rsidRPr="000855B2">
        <w:t>flowrate through the tunnel. This is associated to the flow of vehicles through the tunnel and emission factors are calculated. Tunnels offer a longer samp</w:t>
      </w:r>
      <w:r w:rsidR="00733B29" w:rsidRPr="000855B2">
        <w:t xml:space="preserve">ling period than remote sensing and provide average emission factors over this period. </w:t>
      </w:r>
      <w:r w:rsidR="00A67FD1" w:rsidRPr="000855B2">
        <w:t>However, speed in tunnels is usually constant, therefore emission factors may not be representative of actual vehicle operation. In addition, emissions are a mix from vehicles of different fuel and emission control technology</w:t>
      </w:r>
      <w:r w:rsidR="00EC7DD0" w:rsidRPr="000855B2">
        <w:t>,</w:t>
      </w:r>
      <w:r w:rsidR="00A67FD1" w:rsidRPr="000855B2">
        <w:t xml:space="preserve"> hence it is not straightforward</w:t>
      </w:r>
      <w:r w:rsidR="00EC7DD0" w:rsidRPr="000855B2">
        <w:t xml:space="preserve"> </w:t>
      </w:r>
      <w:r w:rsidR="00A67FD1" w:rsidRPr="000855B2">
        <w:t xml:space="preserve">to distinguish between </w:t>
      </w:r>
      <w:r w:rsidR="00733B29" w:rsidRPr="000855B2">
        <w:t>the different vehicle types</w:t>
      </w:r>
      <w:r w:rsidR="00A67FD1" w:rsidRPr="000855B2">
        <w:t>.</w:t>
      </w:r>
      <w:r w:rsidR="00733B29" w:rsidRPr="000855B2">
        <w:t xml:space="preserve"> Tunnel verification usually provides emission factors for specific vehicle categories (e.g. </w:t>
      </w:r>
      <w:r w:rsidR="005E4DC4">
        <w:t>petrol</w:t>
      </w:r>
      <w:r w:rsidR="00733B29" w:rsidRPr="000855B2">
        <w:t xml:space="preserve"> passenger cars) but not technologies (e.g. Euro 1, 2, …).</w:t>
      </w:r>
    </w:p>
    <w:p w14:paraId="5295FEA3" w14:textId="77777777" w:rsidR="00A67FD1" w:rsidRPr="000855B2" w:rsidRDefault="00A67FD1" w:rsidP="009D781A">
      <w:pPr>
        <w:pStyle w:val="BodyText"/>
        <w:numPr>
          <w:ilvl w:val="0"/>
          <w:numId w:val="13"/>
        </w:numPr>
      </w:pPr>
      <w:r w:rsidRPr="000855B2">
        <w:rPr>
          <w:i/>
        </w:rPr>
        <w:t>On-board and laboratory measurements</w:t>
      </w:r>
      <w:r w:rsidRPr="000855B2">
        <w:t xml:space="preserve">: These are </w:t>
      </w:r>
      <w:r w:rsidR="00EC7DD0" w:rsidRPr="000855B2">
        <w:t xml:space="preserve">the two </w:t>
      </w:r>
      <w:r w:rsidRPr="000855B2">
        <w:t xml:space="preserve">methods </w:t>
      </w:r>
      <w:r w:rsidR="00EC7DD0" w:rsidRPr="000855B2">
        <w:t xml:space="preserve">that </w:t>
      </w:r>
      <w:r w:rsidR="00E67446" w:rsidRPr="000855B2">
        <w:t xml:space="preserve">are </w:t>
      </w:r>
      <w:r w:rsidR="00EC7DD0" w:rsidRPr="000855B2">
        <w:t>primarily</w:t>
      </w:r>
      <w:r w:rsidR="00B051B8" w:rsidRPr="000855B2">
        <w:t xml:space="preserve"> used to develop, rather than verify, </w:t>
      </w:r>
      <w:r w:rsidRPr="000855B2">
        <w:t xml:space="preserve">emission factors. </w:t>
      </w:r>
      <w:r w:rsidR="00B051B8" w:rsidRPr="000855B2">
        <w:t xml:space="preserve">However, these can be also used for verification. </w:t>
      </w:r>
      <w:r w:rsidRPr="000855B2">
        <w:t>In a laboratory</w:t>
      </w:r>
      <w:r w:rsidR="00E67446" w:rsidRPr="000855B2">
        <w:t>,</w:t>
      </w:r>
      <w:r w:rsidRPr="000855B2">
        <w:t xml:space="preserve"> vehicles are driven over a predetermined driving pattern and emissions are measured with analyzers. This provides a </w:t>
      </w:r>
      <w:r w:rsidR="00E67446" w:rsidRPr="000855B2">
        <w:t xml:space="preserve">detailed measurement of emissions of a known vehicle over </w:t>
      </w:r>
      <w:r w:rsidR="00EC7DD0" w:rsidRPr="000855B2">
        <w:t>a specific driving cycle. This represents</w:t>
      </w:r>
      <w:r w:rsidR="00E67446" w:rsidRPr="000855B2">
        <w:t xml:space="preserve"> high quality data to develop emission factors</w:t>
      </w:r>
      <w:r w:rsidR="00EC7DD0" w:rsidRPr="000855B2">
        <w:t>, as all conditions are known</w:t>
      </w:r>
      <w:r w:rsidR="00E67446" w:rsidRPr="000855B2">
        <w:t>. On the other hand, these measurements are expensive and time consuming and a relatively small dataset becomes available in this way. With on-board measurements, vehicles are equipped with on-board instrumentation and are driven on a road network. This can provide a detailed picture of emissions under real-world vehicle operation. On the other hand, equipping a vehicle with all instrumentation and data-logging is technically demanding. Also, some measurement problems still exist for such systems. Ho</w:t>
      </w:r>
      <w:r w:rsidR="00220FFF" w:rsidRPr="000855B2">
        <w:t>wever, these two methods result</w:t>
      </w:r>
      <w:r w:rsidR="00E67446" w:rsidRPr="000855B2">
        <w:t xml:space="preserve"> to the most detailed recording of emissions for single vehicles</w:t>
      </w:r>
      <w:r w:rsidR="00CF1BD6" w:rsidRPr="000855B2">
        <w:t>.</w:t>
      </w:r>
      <w:r w:rsidR="00EC7DD0" w:rsidRPr="000855B2">
        <w:t xml:space="preserve"> Both</w:t>
      </w:r>
      <w:r w:rsidR="00E07F86" w:rsidRPr="000855B2">
        <w:t xml:space="preserve"> methods can be used to verify</w:t>
      </w:r>
      <w:r w:rsidR="00EC7DD0" w:rsidRPr="000855B2">
        <w:t xml:space="preserve"> emission factors. However, it should be noted that the emission factors used in this Guidebook correspond to the average emission value of </w:t>
      </w:r>
      <w:r w:rsidR="00220FFF" w:rsidRPr="000855B2">
        <w:t>a large number of cars. Single cars may significantly deviate from this average, even for the same technology level. It is recommended tha</w:t>
      </w:r>
      <w:r w:rsidR="00E07F86" w:rsidRPr="000855B2">
        <w:t>t emission factors are verified</w:t>
      </w:r>
      <w:r w:rsidR="00220FFF" w:rsidRPr="000855B2">
        <w:t xml:space="preserve"> using the average values of a sufficient vehicle sample (at least 4-5 cars).</w:t>
      </w:r>
    </w:p>
    <w:p w14:paraId="5F5699A4" w14:textId="77777777" w:rsidR="00CF1BD6" w:rsidRPr="000855B2" w:rsidRDefault="00CF1BD6" w:rsidP="0083104A">
      <w:pPr>
        <w:pStyle w:val="BodyText"/>
      </w:pPr>
      <w:r w:rsidRPr="000855B2">
        <w:t xml:space="preserve">Different methods can be used for the </w:t>
      </w:r>
      <w:r w:rsidR="00E07F86" w:rsidRPr="000855B2">
        <w:t>verification</w:t>
      </w:r>
      <w:r w:rsidRPr="000855B2">
        <w:t xml:space="preserve"> of complete inventories</w:t>
      </w:r>
      <w:r w:rsidR="00E07F86" w:rsidRPr="000855B2">
        <w:t>, i.e. verifying</w:t>
      </w:r>
      <w:r w:rsidRPr="000855B2">
        <w:t xml:space="preserve"> both the emission factors and the activity data. In general, the difficulty in verifying a complete inventory increases with </w:t>
      </w:r>
      <w:r w:rsidR="00733B29" w:rsidRPr="000855B2">
        <w:t xml:space="preserve">the area covered by the inventory. That is, </w:t>
      </w:r>
      <w:r w:rsidRPr="000855B2">
        <w:t>it is almost impossible to verify a complete national inventory by ground truth methods. However, the principles of different methods may be used at varying degree of success to attempt an independent verification. Methods that can be used for complete inventory verification include:</w:t>
      </w:r>
    </w:p>
    <w:p w14:paraId="18510E09" w14:textId="77777777" w:rsidR="003E48C4" w:rsidRPr="000855B2" w:rsidRDefault="003E48C4" w:rsidP="009D781A">
      <w:pPr>
        <w:pStyle w:val="BodyText"/>
        <w:numPr>
          <w:ilvl w:val="0"/>
          <w:numId w:val="13"/>
        </w:numPr>
      </w:pPr>
      <w:r w:rsidRPr="000855B2">
        <w:rPr>
          <w:i/>
        </w:rPr>
        <w:t>Inverse air quality modelling</w:t>
      </w:r>
      <w:r w:rsidRPr="000855B2">
        <w:t>: In these studies, ambient concentrations (mg/m</w:t>
      </w:r>
      <w:r w:rsidRPr="000855B2">
        <w:rPr>
          <w:vertAlign w:val="superscript"/>
        </w:rPr>
        <w:t>3</w:t>
      </w:r>
      <w:r w:rsidRPr="000855B2">
        <w:t xml:space="preserve">) </w:t>
      </w:r>
      <w:r w:rsidR="00CF1BD6" w:rsidRPr="000855B2">
        <w:t>are converted ba</w:t>
      </w:r>
      <w:r w:rsidRPr="000855B2">
        <w:t xml:space="preserve">ck to </w:t>
      </w:r>
      <w:r w:rsidR="00CF1BD6" w:rsidRPr="000855B2">
        <w:t xml:space="preserve">emissions by taking into account the meteorological conditions and the physical location of the measuring </w:t>
      </w:r>
      <w:r w:rsidR="0099563A" w:rsidRPr="000855B2">
        <w:t xml:space="preserve">station, </w:t>
      </w:r>
      <w:r w:rsidR="00CF1BD6" w:rsidRPr="000855B2">
        <w:t xml:space="preserve">the </w:t>
      </w:r>
      <w:r w:rsidR="0099563A" w:rsidRPr="000855B2">
        <w:t xml:space="preserve">emission source(s) and the level of activity. This method has the advantage </w:t>
      </w:r>
      <w:r w:rsidR="00733B29" w:rsidRPr="000855B2">
        <w:t>of being based on actual pollutant</w:t>
      </w:r>
      <w:r w:rsidR="0099563A" w:rsidRPr="000855B2">
        <w:t xml:space="preserve"> c</w:t>
      </w:r>
      <w:r w:rsidR="00E07F86" w:rsidRPr="000855B2">
        <w:t>oncentrations. Disadvantages include</w:t>
      </w:r>
      <w:r w:rsidR="0099563A" w:rsidRPr="000855B2">
        <w:t xml:space="preserve"> the mathematical complication of the problem and the </w:t>
      </w:r>
      <w:r w:rsidR="00E07F86" w:rsidRPr="000855B2">
        <w:t>uncertainty</w:t>
      </w:r>
      <w:r w:rsidR="0099563A" w:rsidRPr="000855B2">
        <w:t xml:space="preserve"> introduced by the contribution of emissions not taking place in the area being studied. For example, this method can be used to verify an emission</w:t>
      </w:r>
      <w:r w:rsidR="00BB43FA" w:rsidRPr="000855B2">
        <w:t>s</w:t>
      </w:r>
      <w:r w:rsidR="0099563A" w:rsidRPr="000855B2">
        <w:t xml:space="preserve"> inventory for a road network in a city, with </w:t>
      </w:r>
      <w:r w:rsidR="0099563A" w:rsidRPr="000855B2">
        <w:lastRenderedPageBreak/>
        <w:t xml:space="preserve">concentrations not only being affected by the particular roads but also by nearby domestic or industrial sources. </w:t>
      </w:r>
    </w:p>
    <w:p w14:paraId="7894207F" w14:textId="77777777" w:rsidR="0099563A" w:rsidRPr="000855B2" w:rsidRDefault="0099563A" w:rsidP="009D781A">
      <w:pPr>
        <w:pStyle w:val="BodyText"/>
        <w:numPr>
          <w:ilvl w:val="0"/>
          <w:numId w:val="13"/>
        </w:numPr>
      </w:pPr>
      <w:r w:rsidRPr="000855B2">
        <w:rPr>
          <w:i/>
        </w:rPr>
        <w:t>Mass-balance techniques</w:t>
      </w:r>
      <w:r w:rsidRPr="000855B2">
        <w:t xml:space="preserve">: In these studies emission fluxes (kg/h) are </w:t>
      </w:r>
      <w:r w:rsidR="00E07F86" w:rsidRPr="000855B2">
        <w:t>determined</w:t>
      </w:r>
      <w:r w:rsidRPr="000855B2">
        <w:t xml:space="preserve"> through measurement of ambient pollutant concentrations upwind and downwind of specific areas</w:t>
      </w:r>
      <w:r w:rsidR="00E07F86" w:rsidRPr="000855B2">
        <w:t>,</w:t>
      </w:r>
      <w:r w:rsidRPr="000855B2">
        <w:t xml:space="preserve"> where particular activity is taking place (i.e. upwind and downwind of a busy highway). These can be conducted at different heights and emissions over a differential volume can be calculated. The advantage of the technique is that emissions of other s</w:t>
      </w:r>
      <w:r w:rsidR="00BB43FA" w:rsidRPr="000855B2">
        <w:t xml:space="preserve">ources are, to a certain extent, </w:t>
      </w:r>
      <w:r w:rsidRPr="000855B2">
        <w:t xml:space="preserve">corrected </w:t>
      </w:r>
      <w:r w:rsidR="00BB43FA" w:rsidRPr="000855B2">
        <w:t xml:space="preserve">for </w:t>
      </w:r>
      <w:r w:rsidRPr="000855B2">
        <w:t>by taking into account the upwind concentrations. However, some uncertainty is introduced by the wind flow conditions which cannot be exactly determined through this differential volume section.</w:t>
      </w:r>
    </w:p>
    <w:p w14:paraId="65AF8EF0" w14:textId="77777777" w:rsidR="00E72FE1" w:rsidRPr="000855B2" w:rsidRDefault="00E07F86" w:rsidP="00E72FE1">
      <w:pPr>
        <w:pStyle w:val="BodyText"/>
      </w:pPr>
      <w:r w:rsidRPr="000855B2">
        <w:t xml:space="preserve">There is an extensive scientific literature which deals with the verification of the emission factors and the methodology proposed </w:t>
      </w:r>
      <w:r w:rsidR="00E72FE1" w:rsidRPr="000855B2">
        <w:t xml:space="preserve">in the Tier 3 method of </w:t>
      </w:r>
      <w:r w:rsidRPr="000855B2">
        <w:t>this Guidebook chapter. Examples of such verification studies include the study of Broderick and O'Donoghue (2007)</w:t>
      </w:r>
      <w:r w:rsidR="00CB5649" w:rsidRPr="000855B2">
        <w:t>, Librando et al. (2009), Johansson C et al. (2009)</w:t>
      </w:r>
      <w:r w:rsidR="00E72FE1" w:rsidRPr="000855B2">
        <w:t>, Beddows and Harr</w:t>
      </w:r>
      <w:r w:rsidR="008D1A83">
        <w:t>ison (2008) and several others.</w:t>
      </w:r>
    </w:p>
    <w:p w14:paraId="1B0B6F1F" w14:textId="77777777" w:rsidR="001D2587" w:rsidRPr="000855B2" w:rsidRDefault="00292C0E" w:rsidP="00F516D0">
      <w:pPr>
        <w:pStyle w:val="Heading2"/>
      </w:pPr>
      <w:bookmarkStart w:id="303" w:name="_Ref248144169"/>
      <w:bookmarkStart w:id="304" w:name="_Ref248825226"/>
      <w:bookmarkStart w:id="305" w:name="_Toc482003905"/>
      <w:bookmarkEnd w:id="300"/>
      <w:r w:rsidRPr="000855B2">
        <w:t>Bott</w:t>
      </w:r>
      <w:r w:rsidR="008B56A5" w:rsidRPr="000855B2">
        <w:t>om-up vs</w:t>
      </w:r>
      <w:r w:rsidRPr="000855B2">
        <w:t>.</w:t>
      </w:r>
      <w:r w:rsidR="008B56A5" w:rsidRPr="000855B2">
        <w:t xml:space="preserve"> top-down inventories</w:t>
      </w:r>
      <w:bookmarkEnd w:id="303"/>
      <w:bookmarkEnd w:id="304"/>
      <w:bookmarkEnd w:id="305"/>
    </w:p>
    <w:p w14:paraId="20B2BB40" w14:textId="77777777" w:rsidR="00402F90" w:rsidRPr="000855B2" w:rsidRDefault="00A95159" w:rsidP="000855B2">
      <w:pPr>
        <w:pStyle w:val="BodyText"/>
      </w:pPr>
      <w:r w:rsidRPr="000855B2">
        <w:t>Spatially and temporally disaggregated emission inventorie</w:t>
      </w:r>
      <w:r w:rsidR="00174564" w:rsidRPr="000855B2">
        <w:t>s are necessary for</w:t>
      </w:r>
      <w:r w:rsidRPr="000855B2">
        <w:t xml:space="preserve"> </w:t>
      </w:r>
      <w:r w:rsidR="00174564" w:rsidRPr="000855B2">
        <w:t>reliable and accurate air quality predictions</w:t>
      </w:r>
      <w:r w:rsidRPr="000855B2">
        <w:t xml:space="preserve">. </w:t>
      </w:r>
      <w:r w:rsidR="00DD4619" w:rsidRPr="000855B2">
        <w:t xml:space="preserve">For example, the ambient concentration of emissions in an urban hot-spot cannot be </w:t>
      </w:r>
      <w:r w:rsidR="00FC3BB4" w:rsidRPr="000855B2">
        <w:t>calculated using year-</w:t>
      </w:r>
      <w:r w:rsidR="00BB43FA" w:rsidRPr="000855B2">
        <w:t xml:space="preserve">long </w:t>
      </w:r>
      <w:r w:rsidR="00FC3BB4" w:rsidRPr="000855B2">
        <w:t>average data</w:t>
      </w:r>
      <w:r w:rsidR="003F2CC9" w:rsidRPr="000855B2">
        <w:t>,</w:t>
      </w:r>
      <w:r w:rsidR="00FC3BB4" w:rsidRPr="000855B2">
        <w:t xml:space="preserve"> </w:t>
      </w:r>
      <w:r w:rsidR="003F2CC9" w:rsidRPr="000855B2">
        <w:t>since</w:t>
      </w:r>
      <w:r w:rsidR="00FC3BB4" w:rsidRPr="000855B2">
        <w:t xml:space="preserve"> </w:t>
      </w:r>
      <w:r w:rsidR="00BB43FA" w:rsidRPr="000855B2">
        <w:t>concentrations depend</w:t>
      </w:r>
      <w:r w:rsidR="003F2CC9" w:rsidRPr="000855B2">
        <w:t xml:space="preserve"> both</w:t>
      </w:r>
      <w:r w:rsidR="00FC3BB4" w:rsidRPr="000855B2">
        <w:t xml:space="preserve"> to the profile of emission rate and the meteorological conditions (temperature wind</w:t>
      </w:r>
      <w:r w:rsidR="00D52A77" w:rsidRPr="000855B2">
        <w:t xml:space="preserve"> speed, direction)</w:t>
      </w:r>
      <w:r w:rsidR="003F2CC9" w:rsidRPr="000855B2">
        <w:t>.</w:t>
      </w:r>
      <w:r w:rsidR="00D52A77" w:rsidRPr="000855B2">
        <w:t xml:space="preserve"> </w:t>
      </w:r>
      <w:r w:rsidR="003F2CC9" w:rsidRPr="000855B2">
        <w:t>These follow</w:t>
      </w:r>
      <w:r w:rsidR="00D52A77" w:rsidRPr="000855B2">
        <w:t xml:space="preserve"> a</w:t>
      </w:r>
      <w:r w:rsidR="00FC3BB4" w:rsidRPr="000855B2">
        <w:t xml:space="preserve"> temporal profile. In addition, the concentration depends primarily on emissions produced in the nearby area and not </w:t>
      </w:r>
      <w:r w:rsidR="003F2CC9" w:rsidRPr="000855B2">
        <w:t xml:space="preserve">the nation-wide or the </w:t>
      </w:r>
      <w:r w:rsidR="00D52A77" w:rsidRPr="000855B2">
        <w:t>city</w:t>
      </w:r>
      <w:r w:rsidR="003F2CC9" w:rsidRPr="000855B2">
        <w:t>-wide</w:t>
      </w:r>
      <w:r w:rsidR="00D52A77" w:rsidRPr="000855B2">
        <w:t xml:space="preserve"> </w:t>
      </w:r>
      <w:r w:rsidR="00FC3BB4" w:rsidRPr="000855B2">
        <w:t xml:space="preserve">emissions. Traffic conditions may differ in </w:t>
      </w:r>
      <w:r w:rsidR="00DF6F8B" w:rsidRPr="000855B2">
        <w:t>various</w:t>
      </w:r>
      <w:r w:rsidR="00FC3BB4" w:rsidRPr="000855B2">
        <w:t xml:space="preserve"> parts of the city given the hour of the day, because they may serve different transportation needs. Therefore, t</w:t>
      </w:r>
      <w:r w:rsidR="00A041CE" w:rsidRPr="000855B2">
        <w:t xml:space="preserve">he </w:t>
      </w:r>
      <w:r w:rsidR="00174564" w:rsidRPr="000855B2">
        <w:t xml:space="preserve">spatial and </w:t>
      </w:r>
      <w:r w:rsidR="00A041CE" w:rsidRPr="000855B2">
        <w:t>temporal resolution of road transport emissions is particularly important in relation to air pollution assessment</w:t>
      </w:r>
      <w:r w:rsidR="00174564" w:rsidRPr="000855B2">
        <w:t>s</w:t>
      </w:r>
      <w:r w:rsidR="00A041CE" w:rsidRPr="000855B2">
        <w:t>.</w:t>
      </w:r>
      <w:r w:rsidR="00402F90" w:rsidRPr="000855B2">
        <w:t xml:space="preserve"> </w:t>
      </w:r>
      <w:r w:rsidR="00BB43FA" w:rsidRPr="000855B2">
        <w:t>This temporal profile may require a bottom-up rather than a top-down approach in order to address it.</w:t>
      </w:r>
    </w:p>
    <w:p w14:paraId="68DA8CA2" w14:textId="543E3159" w:rsidR="008D1A83" w:rsidRPr="000855B2" w:rsidRDefault="00402F90" w:rsidP="00B00883">
      <w:pPr>
        <w:pStyle w:val="BodyText"/>
      </w:pPr>
      <w:r w:rsidRPr="000855B2">
        <w:t xml:space="preserve">Moreover, bottom-up inventories are important when trying to allocate national emissions to individual territories in the country. This is done most of the time </w:t>
      </w:r>
      <w:r w:rsidR="00D52A77" w:rsidRPr="000855B2">
        <w:t>by using</w:t>
      </w:r>
      <w:r w:rsidRPr="000855B2">
        <w:t xml:space="preserve"> proxies of transport activity </w:t>
      </w:r>
      <w:r w:rsidR="00D52A77" w:rsidRPr="000855B2">
        <w:t>to allocate aggregated emissions, such as the citizens</w:t>
      </w:r>
      <w:r w:rsidR="003F2CC9" w:rsidRPr="000855B2">
        <w:t>’</w:t>
      </w:r>
      <w:r w:rsidR="00D52A77" w:rsidRPr="000855B2">
        <w:t xml:space="preserve"> population</w:t>
      </w:r>
      <w:r w:rsidR="003F2CC9" w:rsidRPr="000855B2">
        <w:t xml:space="preserve"> to</w:t>
      </w:r>
      <w:r w:rsidRPr="000855B2">
        <w:t xml:space="preserve"> different areas, the length of roads, etc. However, this approach may lead to higher or lower emissions for particular re</w:t>
      </w:r>
      <w:r w:rsidR="00D52A77" w:rsidRPr="000855B2">
        <w:t>gions as such proxies are not always representative of real traffic act</w:t>
      </w:r>
      <w:r w:rsidR="00220FFF" w:rsidRPr="000855B2">
        <w:t>ivity</w:t>
      </w:r>
      <w:r w:rsidR="00D52A77" w:rsidRPr="000855B2">
        <w:t xml:space="preserve">. For example, the permanent population in the industrial district of a city may be very limited but traffic may be very dense. Moreover, industrial areas are linked to the activity of heavy commercial vehicles which are not present in the more domestic parts of the city. Using the </w:t>
      </w:r>
      <w:r w:rsidR="00220FFF" w:rsidRPr="000855B2">
        <w:t xml:space="preserve">citizens’ </w:t>
      </w:r>
      <w:r w:rsidR="00D52A77" w:rsidRPr="000855B2">
        <w:t xml:space="preserve">population as a proxy to estimate road </w:t>
      </w:r>
      <w:r w:rsidR="00220FFF" w:rsidRPr="000855B2">
        <w:t>transport activity in the industrial area</w:t>
      </w:r>
      <w:r w:rsidR="00D52A77" w:rsidRPr="000855B2">
        <w:t xml:space="preserve"> would </w:t>
      </w:r>
      <w:r w:rsidR="00220FFF" w:rsidRPr="000855B2">
        <w:t xml:space="preserve">therefore </w:t>
      </w:r>
      <w:r w:rsidR="00D52A77" w:rsidRPr="000855B2">
        <w:t xml:space="preserve">significantly underestimate emissions. In such cases, bottom up inventories need to be built in the different territories and </w:t>
      </w:r>
      <w:r w:rsidR="00220FFF" w:rsidRPr="000855B2">
        <w:t xml:space="preserve">any </w:t>
      </w:r>
      <w:r w:rsidR="00D52A77" w:rsidRPr="000855B2">
        <w:t xml:space="preserve">aggregated results </w:t>
      </w:r>
      <w:r w:rsidR="00220FFF" w:rsidRPr="000855B2">
        <w:t xml:space="preserve">(top-down) </w:t>
      </w:r>
      <w:r w:rsidR="00D52A77" w:rsidRPr="000855B2">
        <w:t>should be allocated in proportion to the bottom-up inventory calculations.</w:t>
      </w:r>
      <w:r w:rsidR="00CD546F">
        <w:t xml:space="preserve"> </w:t>
      </w:r>
      <w:r w:rsidR="00FB454C">
        <w:fldChar w:fldCharType="begin"/>
      </w:r>
      <w:r w:rsidR="00FB454C">
        <w:instrText xml:space="preserve"> REF _Ref200329986 \h  \* MERGEFORMAT </w:instrText>
      </w:r>
      <w:r w:rsidR="00FB454C">
        <w:fldChar w:fldCharType="separate"/>
      </w:r>
      <w:r w:rsidR="0071604C" w:rsidRPr="008D1A83">
        <w:t>Figure </w:t>
      </w:r>
      <w:r w:rsidR="0071604C">
        <w:t>4</w:t>
      </w:r>
      <w:r w:rsidR="0071604C" w:rsidRPr="008D1A83">
        <w:noBreakHyphen/>
      </w:r>
      <w:r w:rsidR="0071604C">
        <w:t>1</w:t>
      </w:r>
      <w:r w:rsidR="00FB454C">
        <w:fldChar w:fldCharType="end"/>
      </w:r>
      <w:r w:rsidR="00051237" w:rsidRPr="000855B2">
        <w:rPr>
          <w:szCs w:val="21"/>
        </w:rPr>
        <w:t xml:space="preserve"> </w:t>
      </w:r>
      <w:r w:rsidR="00174564" w:rsidRPr="000855B2">
        <w:rPr>
          <w:szCs w:val="21"/>
        </w:rPr>
        <w:t>illustrates a methodological approach that can be followed in order to make maximum use of both approaches in the creation of an emission inventory. In principle, the top-down and bottom-up estimates of motor vehicle emissions are carried out independently. In each case the most reliable information (such as traffic counts, statistics of vehicle registrations and measured emission factors) form the basis of the calculation. Uncertain parameters are then assessed according to relevant knowledge and reasonable assumptions</w:t>
      </w:r>
      <w:r w:rsidR="00174564" w:rsidRPr="000855B2">
        <w:t xml:space="preserve">. After the independent estimates have been carried out, the estimated activity and emission data of the two approaches (in terms of calculated total annual vehicle kilometres, annual cold-start vehicle kilometres, and emission factors) are compared, and any discrepancies which are identified are resolved. This reconciliation procedure leads to a re-estimation of the most uncertain parameters of each approach. </w:t>
      </w:r>
      <w:r w:rsidR="00341F9A" w:rsidRPr="000855B2">
        <w:t>After t</w:t>
      </w:r>
      <w:r w:rsidR="00A95159" w:rsidRPr="000855B2">
        <w:t>he activity and emission data hav</w:t>
      </w:r>
      <w:r w:rsidR="00341F9A" w:rsidRPr="000855B2">
        <w:t>e</w:t>
      </w:r>
      <w:r w:rsidR="00A95159" w:rsidRPr="000855B2">
        <w:t xml:space="preserve"> been reconciled, the next step is to calculate total </w:t>
      </w:r>
      <w:r w:rsidR="00CD546F">
        <w:t>energy</w:t>
      </w:r>
      <w:r w:rsidR="00CD546F" w:rsidRPr="000855B2">
        <w:t xml:space="preserve"> </w:t>
      </w:r>
      <w:r w:rsidR="00A95159" w:rsidRPr="000855B2">
        <w:t>consumption and emissions with both approaches</w:t>
      </w:r>
      <w:r w:rsidR="00A041CE" w:rsidRPr="000855B2">
        <w:t>,</w:t>
      </w:r>
      <w:r w:rsidR="00A95159" w:rsidRPr="000855B2">
        <w:t xml:space="preserve"> and </w:t>
      </w:r>
      <w:r w:rsidR="00A041CE" w:rsidRPr="000855B2">
        <w:t>to compare the</w:t>
      </w:r>
      <w:r w:rsidR="00A95159" w:rsidRPr="000855B2">
        <w:t xml:space="preserve"> aggregate</w:t>
      </w:r>
      <w:r w:rsidR="00A041CE" w:rsidRPr="000855B2">
        <w:t>d</w:t>
      </w:r>
      <w:r w:rsidR="00A95159" w:rsidRPr="000855B2">
        <w:t xml:space="preserve"> </w:t>
      </w:r>
      <w:r w:rsidR="00A95159" w:rsidRPr="000855B2">
        <w:lastRenderedPageBreak/>
        <w:t xml:space="preserve">results. </w:t>
      </w:r>
      <w:r w:rsidR="00174564" w:rsidRPr="000855B2">
        <w:t xml:space="preserve">The calculated and statistical </w:t>
      </w:r>
      <w:r w:rsidR="00CD546F">
        <w:t>energy</w:t>
      </w:r>
      <w:r w:rsidR="00CD546F" w:rsidRPr="000855B2">
        <w:t xml:space="preserve"> </w:t>
      </w:r>
      <w:r w:rsidR="00174564" w:rsidRPr="000855B2">
        <w:t xml:space="preserve">consumption should not </w:t>
      </w:r>
      <w:r w:rsidR="00341F9A" w:rsidRPr="000855B2">
        <w:t xml:space="preserve">greatly </w:t>
      </w:r>
      <w:r w:rsidR="00174564" w:rsidRPr="000855B2">
        <w:t>vary</w:t>
      </w:r>
      <w:r w:rsidR="00341F9A" w:rsidRPr="000855B2">
        <w:t>, otherwise corrections may be necessary in one or both of the approaches</w:t>
      </w:r>
      <w:r w:rsidR="00174564" w:rsidRPr="000855B2">
        <w:t>.</w:t>
      </w:r>
    </w:p>
    <w:p w14:paraId="23521844" w14:textId="25372BEA" w:rsidR="00B642C6" w:rsidRPr="008D1A83" w:rsidRDefault="00B642C6" w:rsidP="008D1A83">
      <w:pPr>
        <w:pStyle w:val="Caption"/>
      </w:pPr>
      <w:bookmarkStart w:id="306" w:name="_Ref200329986"/>
      <w:bookmarkStart w:id="307" w:name="_Ref280950002"/>
      <w:r w:rsidRPr="008D1A83">
        <w:t>Figure </w:t>
      </w:r>
      <w:r w:rsidR="00E17971" w:rsidRPr="008D1A83">
        <w:fldChar w:fldCharType="begin"/>
      </w:r>
      <w:r w:rsidRPr="008D1A83">
        <w:instrText xml:space="preserve"> STYLEREF 1 \s </w:instrText>
      </w:r>
      <w:r w:rsidR="00E17971" w:rsidRPr="008D1A83">
        <w:fldChar w:fldCharType="separate"/>
      </w:r>
      <w:r w:rsidR="0071604C">
        <w:rPr>
          <w:noProof/>
        </w:rPr>
        <w:t>4</w:t>
      </w:r>
      <w:r w:rsidR="00E17971" w:rsidRPr="008D1A83">
        <w:fldChar w:fldCharType="end"/>
      </w:r>
      <w:r w:rsidRPr="008D1A83">
        <w:noBreakHyphen/>
      </w:r>
      <w:r w:rsidR="00E17971" w:rsidRPr="008D1A83">
        <w:fldChar w:fldCharType="begin"/>
      </w:r>
      <w:r w:rsidRPr="008D1A83">
        <w:instrText xml:space="preserve"> SEQ Figure \* ARABIC \s 1 </w:instrText>
      </w:r>
      <w:r w:rsidR="00E17971" w:rsidRPr="008D1A83">
        <w:fldChar w:fldCharType="separate"/>
      </w:r>
      <w:r w:rsidR="0071604C">
        <w:rPr>
          <w:noProof/>
        </w:rPr>
        <w:t>1</w:t>
      </w:r>
      <w:r w:rsidR="00E17971" w:rsidRPr="008D1A83">
        <w:fldChar w:fldCharType="end"/>
      </w:r>
      <w:bookmarkEnd w:id="306"/>
      <w:bookmarkEnd w:id="307"/>
      <w:r w:rsidRPr="008D1A83">
        <w:t>: Proposed reconciliation method in applying bottom-up and top-down approaches when building an urban emission inventory</w:t>
      </w:r>
    </w:p>
    <w:p w14:paraId="1F79B462" w14:textId="0D8470C6" w:rsidR="00A95159" w:rsidRPr="000855B2" w:rsidRDefault="00CD546F" w:rsidP="00097E43">
      <w:pPr>
        <w:rPr>
          <w:lang w:val="en-GB"/>
        </w:rPr>
      </w:pPr>
      <w:r>
        <w:rPr>
          <w:noProof/>
          <w:lang w:val="en-US" w:eastAsia="en-US"/>
        </w:rPr>
        <w:drawing>
          <wp:inline distT="0" distB="0" distL="0" distR="0" wp14:anchorId="2ABCB632" wp14:editId="24A66C6A">
            <wp:extent cx="5374005" cy="3928110"/>
            <wp:effectExtent l="19050" t="0" r="0" b="0"/>
            <wp:docPr id="8" name="Picture 7" descr="Chart for Top vs Bott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Top vs Bottom.bmp"/>
                    <pic:cNvPicPr/>
                  </pic:nvPicPr>
                  <pic:blipFill>
                    <a:blip r:embed="rId55" cstate="print"/>
                    <a:stretch>
                      <a:fillRect/>
                    </a:stretch>
                  </pic:blipFill>
                  <pic:spPr>
                    <a:xfrm>
                      <a:off x="0" y="0"/>
                      <a:ext cx="5374005" cy="3928110"/>
                    </a:xfrm>
                    <a:prstGeom prst="rect">
                      <a:avLst/>
                    </a:prstGeom>
                  </pic:spPr>
                </pic:pic>
              </a:graphicData>
            </a:graphic>
          </wp:inline>
        </w:drawing>
      </w:r>
    </w:p>
    <w:p w14:paraId="1B09D89D" w14:textId="0DBE00E9" w:rsidR="008E3753" w:rsidRPr="000855B2" w:rsidRDefault="008E3753" w:rsidP="0083104A">
      <w:pPr>
        <w:pStyle w:val="BodyText"/>
      </w:pPr>
      <w:r w:rsidRPr="000855B2">
        <w:t xml:space="preserve">The scheme shown in </w:t>
      </w:r>
      <w:r w:rsidR="00FB454C">
        <w:fldChar w:fldCharType="begin"/>
      </w:r>
      <w:r w:rsidR="00FB454C">
        <w:instrText xml:space="preserve"> REF _Ref280950002 \h  \* MERGEFORMAT </w:instrText>
      </w:r>
      <w:r w:rsidR="00FB454C">
        <w:fldChar w:fldCharType="separate"/>
      </w:r>
      <w:r w:rsidR="0071604C" w:rsidRPr="008D1A83">
        <w:t>Figure </w:t>
      </w:r>
      <w:r w:rsidR="0071604C">
        <w:t>4</w:t>
      </w:r>
      <w:r w:rsidR="0071604C" w:rsidRPr="008D1A83">
        <w:noBreakHyphen/>
      </w:r>
      <w:r w:rsidR="0071604C">
        <w:t>1</w:t>
      </w:r>
      <w:r w:rsidR="00FB454C">
        <w:fldChar w:fldCharType="end"/>
      </w:r>
      <w:r w:rsidRPr="000855B2">
        <w:t xml:space="preserve"> gives an overview of the required information for such an approach. Evidently, </w:t>
      </w:r>
      <w:r w:rsidR="00DF6F8B" w:rsidRPr="000855B2">
        <w:t>several</w:t>
      </w:r>
      <w:r w:rsidRPr="000855B2">
        <w:t xml:space="preserve"> of the required data are a</w:t>
      </w:r>
      <w:r w:rsidR="00DF6F8B" w:rsidRPr="000855B2">
        <w:t>vailable in most European countries</w:t>
      </w:r>
      <w:r w:rsidRPr="000855B2">
        <w:t>. An aspect that should not be overlooked, however, is the knowledge of the area and its traffic patterns, so that appropriate assumptions can be conducted. It is therefore necessary to create inventories with the close co-operation of local experts.</w:t>
      </w:r>
    </w:p>
    <w:p w14:paraId="63C7BDAC" w14:textId="05AD9D96" w:rsidR="003C14CA" w:rsidRPr="000855B2" w:rsidRDefault="003C14CA" w:rsidP="0083104A">
      <w:pPr>
        <w:pStyle w:val="BodyText"/>
      </w:pPr>
      <w:r w:rsidRPr="000855B2">
        <w:t>It should be evident that national emission inventories are difficult to compile in a bottom-up approach. The reason is that this would require an immense amount of data which can be hardly found and be reconciled for a complete country. It would also not offer a better calculation at this aggregated level. An exception to these are relatively small countries (e.g. Cyprus, Luxembourg) where the necessary data is easier to collect. However, if a country-wide road transport inventory should be developed with a bottom-up approach, then the following steps would have to be followed:</w:t>
      </w:r>
    </w:p>
    <w:p w14:paraId="00C469FF" w14:textId="77777777" w:rsidR="003C14CA" w:rsidRPr="000855B2" w:rsidRDefault="003C14CA" w:rsidP="009D781A">
      <w:pPr>
        <w:pStyle w:val="BodyText"/>
        <w:numPr>
          <w:ilvl w:val="0"/>
          <w:numId w:val="14"/>
        </w:numPr>
      </w:pPr>
      <w:r w:rsidRPr="000855B2">
        <w:t>First, urban inventories should be compiled for the major cities (e.g. cities &gt; 20000 inhabitants).</w:t>
      </w:r>
    </w:p>
    <w:p w14:paraId="0A230E71" w14:textId="77777777" w:rsidR="003C14CA" w:rsidRPr="000855B2" w:rsidRDefault="003C14CA" w:rsidP="009D781A">
      <w:pPr>
        <w:pStyle w:val="BodyText"/>
        <w:numPr>
          <w:ilvl w:val="0"/>
          <w:numId w:val="14"/>
        </w:numPr>
      </w:pPr>
      <w:r w:rsidRPr="000855B2">
        <w:t xml:space="preserve">Second, emission inventories for the highway network should be developed. Traffic in highways is monitored both with respect to average speed and traffic counts during the day. This is input that can be directly used to calculate emissions with a high temporal profile. </w:t>
      </w:r>
    </w:p>
    <w:p w14:paraId="7DEDBE5E" w14:textId="77777777" w:rsidR="003C14CA" w:rsidRPr="000855B2" w:rsidRDefault="003C14CA" w:rsidP="009D781A">
      <w:pPr>
        <w:pStyle w:val="BodyText"/>
        <w:numPr>
          <w:ilvl w:val="0"/>
          <w:numId w:val="14"/>
        </w:numPr>
      </w:pPr>
      <w:r w:rsidRPr="000855B2">
        <w:t xml:space="preserve">Emissions over rural areas are more difficult to assess. These would require origin-destination matrices for different rural areas (city-village, village-village, …) and an estimate of the rural vehicle </w:t>
      </w:r>
      <w:r w:rsidRPr="000855B2">
        <w:lastRenderedPageBreak/>
        <w:t>stock, which is not the same as the urban vehicle stock (</w:t>
      </w:r>
      <w:r w:rsidR="003F2CC9" w:rsidRPr="000855B2">
        <w:t xml:space="preserve">different proportion of </w:t>
      </w:r>
      <w:r w:rsidRPr="000855B2">
        <w:t>two wheelers</w:t>
      </w:r>
      <w:r w:rsidR="003F2CC9" w:rsidRPr="000855B2">
        <w:t xml:space="preserve"> and</w:t>
      </w:r>
      <w:r w:rsidRPr="000855B2">
        <w:t xml:space="preserve"> busses, </w:t>
      </w:r>
      <w:r w:rsidR="003F2CC9" w:rsidRPr="000855B2">
        <w:t xml:space="preserve">older </w:t>
      </w:r>
      <w:r w:rsidRPr="000855B2">
        <w:t>car technologies, etc.). An approach would be to determine length of roads according to service (e.g. major road connecting city with village, secondary paved road, secondary unpaved road, etc.) and estimate vehicle road per service class. This can be used to estimate total activity in the rural network.</w:t>
      </w:r>
      <w:r w:rsidR="003F2CC9" w:rsidRPr="000855B2">
        <w:t>.</w:t>
      </w:r>
    </w:p>
    <w:p w14:paraId="24AD2622" w14:textId="77777777" w:rsidR="00DC7392" w:rsidRPr="000855B2" w:rsidRDefault="00DC7392" w:rsidP="0083104A">
      <w:pPr>
        <w:pStyle w:val="BodyText"/>
      </w:pPr>
      <w:r w:rsidRPr="000855B2">
        <w:t xml:space="preserve">The amount of information given in this report (statistical data and calculated values) is suitable for the compilation of national emission inventories. The application of the methodology at higher spatial resolution can be undertaken only when more detailed data are available to the user. As a general guideline, it can be proposed that the smallest area of application should be the one for which it can be considered that the fuel sold </w:t>
      </w:r>
      <w:r w:rsidR="00CD546F">
        <w:t xml:space="preserve">and energy consumed </w:t>
      </w:r>
      <w:r w:rsidRPr="000855B2">
        <w:t>in the region (statistical consumption) equals the actual consumption of the vehicles operating in the region. Zachariadis and Samaras (1997) and Moussiopoulos et al</w:t>
      </w:r>
      <w:r w:rsidRPr="000855B2">
        <w:rPr>
          <w:i/>
        </w:rPr>
        <w:t>.</w:t>
      </w:r>
      <w:r w:rsidRPr="000855B2">
        <w:t xml:space="preserve"> (1996) have shown that the proposed methodology can be used with a sufficient degree of certainty at such high resolution (i.e</w:t>
      </w:r>
      <w:r w:rsidRPr="000855B2">
        <w:rPr>
          <w:i/>
        </w:rPr>
        <w:t>.</w:t>
      </w:r>
      <w:r w:rsidRPr="000855B2">
        <w:t xml:space="preserve"> for the compilation of urban emission inventories with a spatial resolution of 1×1 km</w:t>
      </w:r>
      <w:r w:rsidRPr="000855B2">
        <w:rPr>
          <w:vertAlign w:val="superscript"/>
        </w:rPr>
        <w:t xml:space="preserve">2 </w:t>
      </w:r>
      <w:r w:rsidRPr="000855B2">
        <w:t xml:space="preserve"> and a temporal resolution of 1 hour).</w:t>
      </w:r>
    </w:p>
    <w:p w14:paraId="219C9988" w14:textId="2E9A8FC9" w:rsidR="00097E43" w:rsidRPr="000855B2" w:rsidRDefault="00DC7392" w:rsidP="00ED27AC">
      <w:pPr>
        <w:pStyle w:val="BodyText"/>
      </w:pPr>
      <w:r w:rsidRPr="000855B2">
        <w:t xml:space="preserve">One specific point is that the </w:t>
      </w:r>
      <w:r w:rsidR="00174564" w:rsidRPr="000855B2">
        <w:t xml:space="preserve">methodology provided </w:t>
      </w:r>
      <w:r w:rsidRPr="000855B2">
        <w:t xml:space="preserve">as Tier 3 can </w:t>
      </w:r>
      <w:r w:rsidR="003F2CC9" w:rsidRPr="000855B2">
        <w:t xml:space="preserve">be used to </w:t>
      </w:r>
      <w:r w:rsidRPr="000855B2">
        <w:t xml:space="preserve">calculate </w:t>
      </w:r>
      <w:r w:rsidR="00174564" w:rsidRPr="000855B2">
        <w:t xml:space="preserve">cold-start emissions on a monthly basis (providing already a temporal resolution). However, special attention should be paid to the allocation of excess cold-start emissions </w:t>
      </w:r>
      <w:r w:rsidRPr="000855B2">
        <w:t>to</w:t>
      </w:r>
      <w:r w:rsidR="00174564" w:rsidRPr="000855B2">
        <w:t xml:space="preserve"> </w:t>
      </w:r>
      <w:r w:rsidR="003C14CA" w:rsidRPr="000855B2">
        <w:t>sub-national areas</w:t>
      </w:r>
      <w:r w:rsidR="00174564" w:rsidRPr="000855B2">
        <w:t xml:space="preserve">. </w:t>
      </w:r>
      <w:r w:rsidR="00DF6F8B" w:rsidRPr="000855B2">
        <w:t xml:space="preserve">In such a calculation, one should independently adjust the beta value </w:t>
      </w:r>
      <w:r w:rsidR="003C14CA" w:rsidRPr="000855B2">
        <w:t xml:space="preserve">(cold-start mileage) </w:t>
      </w:r>
      <w:r w:rsidR="00DF6F8B" w:rsidRPr="000855B2">
        <w:t xml:space="preserve">and not be based on the ltrip value discussed in section </w:t>
      </w:r>
      <w:r w:rsidR="00FB454C">
        <w:fldChar w:fldCharType="begin"/>
      </w:r>
      <w:r w:rsidR="00FB454C">
        <w:instrText xml:space="preserve"> REF _Ref248822485 \r \h  \* MERGEFORMAT </w:instrText>
      </w:r>
      <w:r w:rsidR="00FB454C">
        <w:fldChar w:fldCharType="separate"/>
      </w:r>
      <w:r w:rsidR="0071604C">
        <w:t>0</w:t>
      </w:r>
      <w:r w:rsidR="00FB454C">
        <w:fldChar w:fldCharType="end"/>
      </w:r>
      <w:r w:rsidR="00DF6F8B" w:rsidRPr="000855B2">
        <w:t>.B. This ltrip value and the beta equation</w:t>
      </w:r>
      <w:r w:rsidR="00877DA9" w:rsidRPr="000855B2">
        <w:t xml:space="preserve"> quoted in </w:t>
      </w:r>
      <w:r w:rsidR="00FB454C">
        <w:fldChar w:fldCharType="begin"/>
      </w:r>
      <w:r w:rsidR="00FB454C">
        <w:instrText xml:space="preserve"> REF _Ref248822603 \h  \* MERGEFORMAT </w:instrText>
      </w:r>
      <w:r w:rsidR="00FB454C">
        <w:fldChar w:fldCharType="separate"/>
      </w:r>
      <w:r w:rsidR="0071604C" w:rsidRPr="000855B2">
        <w:t>Table </w:t>
      </w:r>
      <w:r w:rsidR="0071604C">
        <w:t>3.38</w:t>
      </w:r>
      <w:r w:rsidR="00FB454C">
        <w:fldChar w:fldCharType="end"/>
      </w:r>
      <w:r w:rsidR="00877DA9" w:rsidRPr="000855B2">
        <w:t xml:space="preserve"> should only be used for national inventories because they are calibrated to l</w:t>
      </w:r>
      <w:r w:rsidR="00877DA9" w:rsidRPr="000855B2">
        <w:rPr>
          <w:vertAlign w:val="subscript"/>
        </w:rPr>
        <w:t>trip</w:t>
      </w:r>
      <w:r w:rsidR="00877DA9" w:rsidRPr="000855B2">
        <w:t xml:space="preserve"> distribution at a national and not a city level.</w:t>
      </w:r>
    </w:p>
    <w:p w14:paraId="0FBAAC35" w14:textId="77777777" w:rsidR="001D2587" w:rsidRPr="000855B2" w:rsidRDefault="001D2587" w:rsidP="00F516D0">
      <w:pPr>
        <w:pStyle w:val="Heading2"/>
      </w:pPr>
      <w:bookmarkStart w:id="308" w:name="_Toc200272620"/>
      <w:bookmarkStart w:id="309" w:name="_Toc482003906"/>
      <w:r w:rsidRPr="000855B2">
        <w:t>Uncertainty assessment</w:t>
      </w:r>
      <w:bookmarkEnd w:id="308"/>
      <w:bookmarkEnd w:id="309"/>
    </w:p>
    <w:p w14:paraId="076D30C5" w14:textId="77777777" w:rsidR="005C5C2F" w:rsidRPr="000855B2" w:rsidRDefault="00003CC9" w:rsidP="00AC1E78">
      <w:pPr>
        <w:pStyle w:val="Heading3"/>
      </w:pPr>
      <w:bookmarkStart w:id="310" w:name="_Ref248051826"/>
      <w:r w:rsidRPr="000855B2">
        <w:t>Uncertainty of</w:t>
      </w:r>
      <w:r w:rsidR="005C5C2F" w:rsidRPr="000855B2">
        <w:t xml:space="preserve"> </w:t>
      </w:r>
      <w:r w:rsidRPr="000855B2">
        <w:t>emission factors</w:t>
      </w:r>
      <w:bookmarkEnd w:id="310"/>
    </w:p>
    <w:p w14:paraId="02F49BEF" w14:textId="77777777" w:rsidR="001C2087" w:rsidRPr="000855B2" w:rsidRDefault="001C2087" w:rsidP="0083104A">
      <w:pPr>
        <w:pStyle w:val="BodyText"/>
      </w:pPr>
      <w:r w:rsidRPr="000855B2">
        <w:t>The Tier 1 and Tier 2 emission factors have been calculated from detailed emission factors and activity data using the Tier 3 method. The Tier 1 and Tier 2 emission factors will therefore have a higher level of uncertainty than those for Tier 3.</w:t>
      </w:r>
    </w:p>
    <w:p w14:paraId="7D0ED34C" w14:textId="77777777" w:rsidR="001C2087" w:rsidRPr="000855B2" w:rsidRDefault="001C2087" w:rsidP="0083104A">
      <w:pPr>
        <w:pStyle w:val="BodyText"/>
      </w:pPr>
      <w:r w:rsidRPr="000855B2">
        <w:t>The Tier 1 emission factors have been derived from the Tier 3 methodology using 1995 fleet data for the EU-15. The upper limits of the stated ranges in the emission factors correspond to a typical uncontrolled (pre-Euro) technology fleet, and the lower limit of the range corresponds to an average EU-15 fleet in 2005. The suitability of these emission factors for a particular country and year depends on the similarity between the national fleet and the assumptions used to derive the Tier 1 emission factors.</w:t>
      </w:r>
    </w:p>
    <w:p w14:paraId="3CCD02A6" w14:textId="77777777" w:rsidR="001C2087" w:rsidRPr="000855B2" w:rsidRDefault="001C2087" w:rsidP="0083104A">
      <w:pPr>
        <w:pStyle w:val="BodyText"/>
      </w:pPr>
      <w:r w:rsidRPr="000855B2">
        <w:t>The Tier 2 emission factors have been calculated based on average driving and temperature conditions for the EU-15 in 2005. These emission factors assume average urban, rural and highway driving mileage shares and speeds for the EU-15. Again, the suitability of these emission factors depends on the similarity between the national driving conditions and the average of EU-15.</w:t>
      </w:r>
    </w:p>
    <w:p w14:paraId="1FEB6469" w14:textId="77777777" w:rsidR="001C2087" w:rsidRPr="000855B2" w:rsidRDefault="001C2087" w:rsidP="0083104A">
      <w:pPr>
        <w:pStyle w:val="BodyText"/>
      </w:pPr>
      <w:r w:rsidRPr="000855B2">
        <w:t xml:space="preserve">The Tier 3 emission factors have been derived from experimental (measured) data collected in a range of scientific programmes. The emission factors for old-technology passenger cars and </w:t>
      </w:r>
      <w:r w:rsidR="00CF67A4" w:rsidRPr="000855B2">
        <w:t>light commercial</w:t>
      </w:r>
      <w:r w:rsidRPr="000855B2">
        <w:t xml:space="preserve"> vehicles were taken from earlier COPERT/CORINAIR activities (Eggleston et al., 1989), whilst the emissions from more recent vehicles are calculated on the basis of data from the Artemis project. (Boulter and Barlow, 2005; Boulter and McCrae, 2007). The emission factors for mopeds and motorcycles are derived from the a study on impact assessment of two-wheel emissions (Ntziachristos et al</w:t>
      </w:r>
      <w:r w:rsidRPr="000855B2">
        <w:rPr>
          <w:i/>
        </w:rPr>
        <w:t>.</w:t>
      </w:r>
      <w:r w:rsidRPr="000855B2">
        <w:t>, 2004). Also, the emission factors of Euro 4 diesel passenger cars originate from an ad-hoc analysis of the Artemis dataset, enriched with more measurements (Ntziachristos et al</w:t>
      </w:r>
      <w:r w:rsidRPr="000855B2">
        <w:rPr>
          <w:i/>
        </w:rPr>
        <w:t>.</w:t>
      </w:r>
      <w:r w:rsidRPr="000855B2">
        <w:t>, 2007).</w:t>
      </w:r>
    </w:p>
    <w:p w14:paraId="2477DC46" w14:textId="77777777" w:rsidR="001C2087" w:rsidRPr="000855B2" w:rsidRDefault="001C2087" w:rsidP="0083104A">
      <w:pPr>
        <w:pStyle w:val="BodyText"/>
      </w:pPr>
      <w:r w:rsidRPr="000855B2">
        <w:lastRenderedPageBreak/>
        <w:t>Emission factors proposed for the Tier 3 methodology are functions of the vehicle type (emission standard, fuel, capacity or weight) and travelling speed. These have been deduced on the basis of a large number of experimental data, i.e. individual vehicles which have been measured over different laboratories in Europe and their emission performance has been summarised in a database. Emission factors per speed class are average emission levels of the individual vehicles. As a result, the uncertainty of the emission factor depends on the variability of the individual vehicle measurements for the particular speed class. This uncertainty has been characterized in the report of Kouridis et al. (2009) for each type of vehicle, pollutant, and speed classes. The tables are not repeated in this report due to their size. In general, the variability of the emission factors depends on the pollutant, the vehicle type, and the speed class considered. The standard deviations range from a few percentage units of the mean value to more than two times the emission factor value for some speed classes with limited emission information.</w:t>
      </w:r>
    </w:p>
    <w:p w14:paraId="254A31E3" w14:textId="77777777" w:rsidR="001C2087" w:rsidRPr="000855B2" w:rsidRDefault="001C2087" w:rsidP="0083104A">
      <w:pPr>
        <w:pStyle w:val="BodyText"/>
      </w:pPr>
      <w:r w:rsidRPr="000855B2">
        <w:t xml:space="preserve">The distribution of individual values around the mean emission factor for a particular speed class is considered to follow a log-normal size distribution. This is because negative emission factor values are not possible and the log-normal distribution can only lead to positive values. Also, the lognormal distribution is highly skewed with a much higher probability allocated to values lower than the mean and a long tail that reaches high emission values. This very well represents the contribution of high and ultra emitters. </w:t>
      </w:r>
    </w:p>
    <w:p w14:paraId="2A689DBE" w14:textId="77777777" w:rsidR="001C2087" w:rsidRPr="000855B2" w:rsidRDefault="001C2087" w:rsidP="0083104A">
      <w:pPr>
        <w:pStyle w:val="BodyText"/>
      </w:pPr>
      <w:r w:rsidRPr="000855B2">
        <w:t>It follows that because of the large range of data utilised, and the processing involved, different limitations/restrictions are associated with the emission factors for different vehicle classes. However, a number of general rules should be followed when applying the methodology:</w:t>
      </w:r>
    </w:p>
    <w:p w14:paraId="0A78586B" w14:textId="77777777" w:rsidR="001C2087" w:rsidRPr="000855B2" w:rsidRDefault="001C2087" w:rsidP="009D781A">
      <w:pPr>
        <w:pStyle w:val="BodyText"/>
        <w:numPr>
          <w:ilvl w:val="0"/>
          <w:numId w:val="8"/>
        </w:numPr>
        <w:ind w:left="357" w:hanging="357"/>
      </w:pPr>
      <w:r w:rsidRPr="000855B2">
        <w:t xml:space="preserve">the emission factors should only applied within the speed ranges given in the respective Tables. These ranges have been defined according to the availability of the experimental data. Extrapolation of the proposed formulae to lower or higher speeds is therefore not advisable. </w:t>
      </w:r>
    </w:p>
    <w:p w14:paraId="45E4C4E8" w14:textId="77777777" w:rsidR="001C2087" w:rsidRPr="000855B2" w:rsidRDefault="001C2087" w:rsidP="009D781A">
      <w:pPr>
        <w:pStyle w:val="BodyText"/>
        <w:numPr>
          <w:ilvl w:val="0"/>
          <w:numId w:val="8"/>
        </w:numPr>
        <w:ind w:left="357" w:hanging="357"/>
      </w:pPr>
      <w:r w:rsidRPr="000855B2">
        <w:t>the proposed formulae should only be used with average travelling speed, and by no means can be they considered to be accurate when only ‘spot’ or constant speed values are available.</w:t>
      </w:r>
    </w:p>
    <w:p w14:paraId="7462CF6C" w14:textId="77777777" w:rsidR="001C2087" w:rsidRPr="000855B2" w:rsidRDefault="001C2087" w:rsidP="009D781A">
      <w:pPr>
        <w:pStyle w:val="BodyText"/>
        <w:numPr>
          <w:ilvl w:val="0"/>
          <w:numId w:val="8"/>
        </w:numPr>
        <w:ind w:left="357" w:hanging="357"/>
      </w:pPr>
      <w:r w:rsidRPr="000855B2">
        <w:t>the emission factors can be considered representative of emission performance with constant speed only at high velocities (&gt; 100 km/h) when, in general, speed fluctuation is relatively low.</w:t>
      </w:r>
    </w:p>
    <w:p w14:paraId="0DBC4598" w14:textId="77777777" w:rsidR="001C2087" w:rsidRPr="000855B2" w:rsidRDefault="001C2087" w:rsidP="0083104A">
      <w:pPr>
        <w:pStyle w:val="BodyText"/>
        <w:numPr>
          <w:ilvl w:val="0"/>
          <w:numId w:val="8"/>
        </w:numPr>
        <w:ind w:left="357" w:hanging="357"/>
      </w:pPr>
      <w:r w:rsidRPr="000855B2">
        <w:t>the emission factors should not be applied in situations where the driving pattern differs substantially from the ‘norm’ (e.g. in areas with traffic calming).</w:t>
      </w:r>
    </w:p>
    <w:p w14:paraId="0AC6864E" w14:textId="77777777" w:rsidR="001155C5" w:rsidRPr="000855B2" w:rsidRDefault="00726821" w:rsidP="00AC1E78">
      <w:pPr>
        <w:pStyle w:val="Heading3"/>
      </w:pPr>
      <w:r w:rsidRPr="000855B2">
        <w:t xml:space="preserve">Uncertainty of </w:t>
      </w:r>
      <w:r w:rsidR="00775526" w:rsidRPr="000855B2">
        <w:t xml:space="preserve">the </w:t>
      </w:r>
      <w:r w:rsidRPr="000855B2">
        <w:t>emission inventory</w:t>
      </w:r>
    </w:p>
    <w:p w14:paraId="7D1B06A5" w14:textId="77777777" w:rsidR="001C2087" w:rsidRPr="000855B2" w:rsidRDefault="001C2087" w:rsidP="0083104A">
      <w:pPr>
        <w:pStyle w:val="BodyText"/>
      </w:pPr>
      <w:r w:rsidRPr="000855B2">
        <w:t>In all cases of the application of the estimation methodologies, the results obtained are subject to uncertainties. Since the true emissions are unknown, it is impossible to calculate the accuracy of the estimates. However, one can obtain an estimate of their precision. This estimate also provides an impression of the accuracy, as long as the methodology used for estimating road traffic emissions represents a reliable image of reality. Errors when compiling an inventory may originate from two major sources:</w:t>
      </w:r>
    </w:p>
    <w:p w14:paraId="10DADD82" w14:textId="77777777" w:rsidR="001C2087" w:rsidRPr="000855B2" w:rsidRDefault="001C2087" w:rsidP="009D781A">
      <w:pPr>
        <w:pStyle w:val="BodyText"/>
        <w:numPr>
          <w:ilvl w:val="0"/>
          <w:numId w:val="15"/>
        </w:numPr>
      </w:pPr>
      <w:r w:rsidRPr="000855B2">
        <w:t>Systematic errors of the emission calculation methodology. These may include errors in the determination of the emission factors and other emission-related elements (e.g. cold start modelling, default values of metals, etc.)</w:t>
      </w:r>
    </w:p>
    <w:p w14:paraId="3770778E" w14:textId="77777777" w:rsidR="001C2087" w:rsidRPr="000855B2" w:rsidRDefault="001C2087" w:rsidP="009D781A">
      <w:pPr>
        <w:pStyle w:val="BodyText"/>
        <w:numPr>
          <w:ilvl w:val="0"/>
          <w:numId w:val="15"/>
        </w:numPr>
      </w:pPr>
      <w:r w:rsidRPr="000855B2">
        <w:t xml:space="preserve">Errors in the input data provided by the inventory compiler. These refer to the activity data (vehicle parc, annual mileage, etc), fuel properties, and environmental conditions. </w:t>
      </w:r>
    </w:p>
    <w:p w14:paraId="70A74652" w14:textId="39EF7D7D" w:rsidR="001C2087" w:rsidRPr="000855B2" w:rsidRDefault="001C2087" w:rsidP="0083104A">
      <w:pPr>
        <w:pStyle w:val="BodyText"/>
      </w:pPr>
      <w:r w:rsidRPr="000855B2">
        <w:t xml:space="preserve">The uncertainty of the emission factors has been discussed in section </w:t>
      </w:r>
      <w:r w:rsidR="00FB454C">
        <w:fldChar w:fldCharType="begin"/>
      </w:r>
      <w:r w:rsidR="00FB454C">
        <w:instrText xml:space="preserve"> REF _Ref248051826 \r \h  \* MERGEFORMAT </w:instrText>
      </w:r>
      <w:r w:rsidR="00FB454C">
        <w:fldChar w:fldCharType="separate"/>
      </w:r>
      <w:r w:rsidR="0071604C">
        <w:t>4.5.1</w:t>
      </w:r>
      <w:r w:rsidR="00FB454C">
        <w:fldChar w:fldCharType="end"/>
      </w:r>
      <w:r w:rsidRPr="000855B2">
        <w:t>. This has been mathematically determined based on the available experimental data. The most significant data input errors include:</w:t>
      </w:r>
    </w:p>
    <w:p w14:paraId="5C41996B" w14:textId="77777777" w:rsidR="001C2087" w:rsidRPr="000855B2" w:rsidRDefault="001C2087" w:rsidP="009D781A">
      <w:pPr>
        <w:pStyle w:val="ListBullet"/>
        <w:numPr>
          <w:ilvl w:val="0"/>
          <w:numId w:val="8"/>
        </w:numPr>
        <w:ind w:left="357" w:hanging="357"/>
      </w:pPr>
      <w:r w:rsidRPr="000855B2">
        <w:lastRenderedPageBreak/>
        <w:t>erroneous assumptions of vehicle usage. In many countries the actual vehicle usage is not known. In others, data from only a few statistical investigations are available. Most important are errors in total kilometres travelled, the decrease of mileage with age, and the average trip length.</w:t>
      </w:r>
    </w:p>
    <w:p w14:paraId="5BA791C9" w14:textId="77777777" w:rsidR="001C2087" w:rsidRPr="000855B2" w:rsidRDefault="001C2087" w:rsidP="009D781A">
      <w:pPr>
        <w:pStyle w:val="ListBullet"/>
        <w:numPr>
          <w:ilvl w:val="0"/>
          <w:numId w:val="8"/>
        </w:numPr>
        <w:ind w:left="357" w:hanging="357"/>
      </w:pPr>
      <w:r w:rsidRPr="000855B2">
        <w:t xml:space="preserve">erroneous estimates of the vehicle parc. The Tier 3 methodology proposes emission factors for 241 individual vehicle types. Detailed statistics for all the vehicle types are not available in all countries and sometimes they have to be estimated. For example, assessing the number of </w:t>
      </w:r>
      <w:r w:rsidR="005E4DC4">
        <w:t>petrol</w:t>
      </w:r>
      <w:r w:rsidRPr="000855B2">
        <w:t xml:space="preserve"> and diesel vehicles &gt; 2.5 t which belong to the category ‘</w:t>
      </w:r>
      <w:r w:rsidR="00CF67A4" w:rsidRPr="000855B2">
        <w:t>light commercial</w:t>
      </w:r>
      <w:r w:rsidRPr="000855B2">
        <w:t xml:space="preserve"> vehicles’ and those which belong to the category ‘heavy-duty vehicles’ involves much uncertainty, since the exact numbers are not available. The same may hold true for splitting a certain category into different age and technology groups, as the real numbers are again not always known.</w:t>
      </w:r>
    </w:p>
    <w:p w14:paraId="4690A5C9" w14:textId="1DA06A43" w:rsidR="001C2087" w:rsidRPr="000855B2" w:rsidRDefault="00FB454C" w:rsidP="00853B30">
      <w:r>
        <w:fldChar w:fldCharType="begin"/>
      </w:r>
      <w:r>
        <w:instrText xml:space="preserve"> REF _Ref140414969 \h  \* MERGEFORMAT </w:instrText>
      </w:r>
      <w:r>
        <w:fldChar w:fldCharType="separate"/>
      </w:r>
      <w:r w:rsidR="0071604C" w:rsidRPr="000855B2">
        <w:t>Table </w:t>
      </w:r>
      <w:r w:rsidR="0071604C">
        <w:t>4.1</w:t>
      </w:r>
      <w:r>
        <w:fldChar w:fldCharType="end"/>
      </w:r>
      <w:r w:rsidR="001C2087" w:rsidRPr="000855B2">
        <w:t xml:space="preserve"> provides qualitative indications of the ‘precision’ which can be allocated to the calculation of the different pollutants </w:t>
      </w:r>
    </w:p>
    <w:p w14:paraId="3634DAB9" w14:textId="4C7F278D" w:rsidR="001D2587" w:rsidRPr="000855B2" w:rsidRDefault="00095EA7" w:rsidP="008D1A83">
      <w:pPr>
        <w:pStyle w:val="Caption"/>
      </w:pPr>
      <w:bookmarkStart w:id="311" w:name="_Ref140414969"/>
      <w:bookmarkStart w:id="312" w:name="_Toc410491531"/>
      <w:bookmarkStart w:id="313" w:name="_Toc410491727"/>
      <w:r w:rsidRPr="000855B2">
        <w:t>Table </w:t>
      </w:r>
      <w:r w:rsidR="00FB454C">
        <w:fldChar w:fldCharType="begin"/>
      </w:r>
      <w:r w:rsidR="00FB454C">
        <w:instrText xml:space="preserve"> STYLEREF 1 \s </w:instrText>
      </w:r>
      <w:r w:rsidR="00FB454C">
        <w:fldChar w:fldCharType="separate"/>
      </w:r>
      <w:r w:rsidR="0071604C">
        <w:rPr>
          <w:noProof/>
        </w:rPr>
        <w:t>4</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w:t>
      </w:r>
      <w:r w:rsidR="00FB454C">
        <w:rPr>
          <w:noProof/>
        </w:rPr>
        <w:fldChar w:fldCharType="end"/>
      </w:r>
      <w:bookmarkEnd w:id="311"/>
      <w:r w:rsidR="001D2587" w:rsidRPr="000855B2">
        <w:t xml:space="preserve">: Precision </w:t>
      </w:r>
      <w:r w:rsidR="00B02018" w:rsidRPr="000855B2">
        <w:t>i</w:t>
      </w:r>
      <w:r w:rsidR="001D2587" w:rsidRPr="000855B2">
        <w:t xml:space="preserve">ndicators of the </w:t>
      </w:r>
      <w:r w:rsidR="00B02018" w:rsidRPr="000855B2">
        <w:t>e</w:t>
      </w:r>
      <w:r w:rsidR="001D2587" w:rsidRPr="000855B2">
        <w:t xml:space="preserve">mission </w:t>
      </w:r>
      <w:r w:rsidR="00B02018" w:rsidRPr="000855B2">
        <w:t>e</w:t>
      </w:r>
      <w:r w:rsidR="001D2587" w:rsidRPr="000855B2">
        <w:t xml:space="preserve">stimate for the </w:t>
      </w:r>
      <w:r w:rsidR="00B02018" w:rsidRPr="000855B2">
        <w:t>d</w:t>
      </w:r>
      <w:r w:rsidR="001D2587" w:rsidRPr="000855B2">
        <w:t xml:space="preserve">ifferent </w:t>
      </w:r>
      <w:r w:rsidR="00B02018" w:rsidRPr="000855B2">
        <w:t>v</w:t>
      </w:r>
      <w:r w:rsidR="001D2587" w:rsidRPr="000855B2">
        <w:t xml:space="preserve">ehicle </w:t>
      </w:r>
      <w:r w:rsidR="00B02018" w:rsidRPr="000855B2">
        <w:t>c</w:t>
      </w:r>
      <w:r w:rsidR="001D2587" w:rsidRPr="000855B2">
        <w:t xml:space="preserve">ategories and </w:t>
      </w:r>
      <w:r w:rsidR="00B02018" w:rsidRPr="000855B2">
        <w:t>p</w:t>
      </w:r>
      <w:r w:rsidR="001D2587" w:rsidRPr="000855B2">
        <w:t>ollutants</w:t>
      </w:r>
      <w:bookmarkEnd w:id="312"/>
      <w:bookmarkEnd w:id="313"/>
    </w:p>
    <w:tbl>
      <w:tblPr>
        <w:tblW w:w="6666" w:type="dxa"/>
        <w:tblLayout w:type="fixed"/>
        <w:tblCellMar>
          <w:left w:w="28" w:type="dxa"/>
          <w:right w:w="28" w:type="dxa"/>
        </w:tblCellMar>
        <w:tblLook w:val="0000" w:firstRow="0" w:lastRow="0" w:firstColumn="0" w:lastColumn="0" w:noHBand="0" w:noVBand="0"/>
      </w:tblPr>
      <w:tblGrid>
        <w:gridCol w:w="2413"/>
        <w:gridCol w:w="425"/>
        <w:gridCol w:w="426"/>
        <w:gridCol w:w="850"/>
        <w:gridCol w:w="425"/>
        <w:gridCol w:w="426"/>
        <w:gridCol w:w="567"/>
        <w:gridCol w:w="567"/>
        <w:gridCol w:w="567"/>
      </w:tblGrid>
      <w:tr w:rsidR="009703EA" w:rsidRPr="000855B2" w14:paraId="320663F0" w14:textId="77777777" w:rsidTr="00AF4A3C">
        <w:trPr>
          <w:cantSplit/>
        </w:trPr>
        <w:tc>
          <w:tcPr>
            <w:tcW w:w="2413" w:type="dxa"/>
            <w:tcBorders>
              <w:top w:val="double" w:sz="6" w:space="0" w:color="auto"/>
              <w:left w:val="double" w:sz="6" w:space="0" w:color="auto"/>
            </w:tcBorders>
            <w:vAlign w:val="center"/>
          </w:tcPr>
          <w:p w14:paraId="24B7C8B8" w14:textId="77777777" w:rsidR="009703EA" w:rsidRPr="008D1A83" w:rsidRDefault="009703EA"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Vehicle Category</w:t>
            </w:r>
          </w:p>
        </w:tc>
        <w:tc>
          <w:tcPr>
            <w:tcW w:w="4253" w:type="dxa"/>
            <w:gridSpan w:val="8"/>
            <w:tcBorders>
              <w:top w:val="double" w:sz="6" w:space="0" w:color="auto"/>
              <w:left w:val="single" w:sz="6" w:space="0" w:color="auto"/>
              <w:bottom w:val="single" w:sz="4" w:space="0" w:color="auto"/>
              <w:right w:val="double" w:sz="6" w:space="0" w:color="auto"/>
            </w:tcBorders>
            <w:vAlign w:val="center"/>
          </w:tcPr>
          <w:p w14:paraId="399C08B2" w14:textId="77777777" w:rsidR="009703EA" w:rsidRPr="008D1A83" w:rsidRDefault="009703EA"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Pollutant</w:t>
            </w:r>
          </w:p>
        </w:tc>
      </w:tr>
      <w:tr w:rsidR="004E798C" w:rsidRPr="000855B2" w14:paraId="387B21E2" w14:textId="77777777" w:rsidTr="008D2AFB">
        <w:trPr>
          <w:cantSplit/>
        </w:trPr>
        <w:tc>
          <w:tcPr>
            <w:tcW w:w="2413" w:type="dxa"/>
            <w:tcBorders>
              <w:left w:val="double" w:sz="6" w:space="0" w:color="auto"/>
              <w:bottom w:val="single" w:sz="12" w:space="0" w:color="auto"/>
            </w:tcBorders>
            <w:vAlign w:val="center"/>
          </w:tcPr>
          <w:p w14:paraId="3A34CEC5" w14:textId="77777777" w:rsidR="004E798C" w:rsidRPr="008D1A83" w:rsidRDefault="004E798C" w:rsidP="005C7955">
            <w:pPr>
              <w:pStyle w:val="Table"/>
              <w:spacing w:line="240" w:lineRule="atLeast"/>
              <w:jc w:val="center"/>
              <w:rPr>
                <w:rFonts w:ascii="Open Sans" w:hAnsi="Open Sans" w:cs="Open Sans"/>
                <w:b/>
                <w:sz w:val="16"/>
                <w:szCs w:val="16"/>
                <w:lang w:val="en-GB"/>
              </w:rPr>
            </w:pPr>
          </w:p>
        </w:tc>
        <w:tc>
          <w:tcPr>
            <w:tcW w:w="425" w:type="dxa"/>
            <w:tcBorders>
              <w:top w:val="single" w:sz="4" w:space="0" w:color="auto"/>
              <w:left w:val="single" w:sz="6" w:space="0" w:color="auto"/>
              <w:bottom w:val="single" w:sz="12" w:space="0" w:color="auto"/>
              <w:right w:val="single" w:sz="6" w:space="0" w:color="auto"/>
            </w:tcBorders>
            <w:vAlign w:val="center"/>
          </w:tcPr>
          <w:p w14:paraId="16ED3A94"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NO</w:t>
            </w:r>
            <w:r w:rsidRPr="008D1A83">
              <w:rPr>
                <w:rFonts w:ascii="Open Sans" w:hAnsi="Open Sans" w:cs="Open Sans"/>
                <w:b/>
                <w:sz w:val="16"/>
                <w:szCs w:val="16"/>
                <w:vertAlign w:val="subscript"/>
                <w:lang w:val="en-GB"/>
              </w:rPr>
              <w:t>x</w:t>
            </w:r>
          </w:p>
        </w:tc>
        <w:tc>
          <w:tcPr>
            <w:tcW w:w="426" w:type="dxa"/>
            <w:tcBorders>
              <w:top w:val="single" w:sz="4" w:space="0" w:color="auto"/>
              <w:left w:val="single" w:sz="6" w:space="0" w:color="auto"/>
              <w:bottom w:val="single" w:sz="12" w:space="0" w:color="auto"/>
              <w:right w:val="single" w:sz="6" w:space="0" w:color="auto"/>
            </w:tcBorders>
            <w:vAlign w:val="center"/>
          </w:tcPr>
          <w:p w14:paraId="25ECFF88"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CO</w:t>
            </w:r>
          </w:p>
        </w:tc>
        <w:tc>
          <w:tcPr>
            <w:tcW w:w="850" w:type="dxa"/>
            <w:tcBorders>
              <w:top w:val="single" w:sz="4" w:space="0" w:color="auto"/>
              <w:left w:val="single" w:sz="6" w:space="0" w:color="auto"/>
              <w:bottom w:val="single" w:sz="12" w:space="0" w:color="auto"/>
              <w:right w:val="single" w:sz="6" w:space="0" w:color="auto"/>
            </w:tcBorders>
            <w:vAlign w:val="center"/>
          </w:tcPr>
          <w:p w14:paraId="1013CDFD"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NMVOC</w:t>
            </w:r>
          </w:p>
        </w:tc>
        <w:tc>
          <w:tcPr>
            <w:tcW w:w="425" w:type="dxa"/>
            <w:tcBorders>
              <w:top w:val="single" w:sz="4" w:space="0" w:color="auto"/>
              <w:left w:val="single" w:sz="6" w:space="0" w:color="auto"/>
              <w:bottom w:val="single" w:sz="12" w:space="0" w:color="auto"/>
              <w:right w:val="single" w:sz="6" w:space="0" w:color="auto"/>
            </w:tcBorders>
            <w:vAlign w:val="center"/>
          </w:tcPr>
          <w:p w14:paraId="62D2249F"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CH</w:t>
            </w:r>
            <w:r w:rsidRPr="008D1A83">
              <w:rPr>
                <w:rFonts w:ascii="Open Sans" w:hAnsi="Open Sans" w:cs="Open Sans"/>
                <w:b/>
                <w:sz w:val="16"/>
                <w:szCs w:val="16"/>
                <w:vertAlign w:val="subscript"/>
                <w:lang w:val="en-GB"/>
              </w:rPr>
              <w:t>4</w:t>
            </w:r>
          </w:p>
        </w:tc>
        <w:tc>
          <w:tcPr>
            <w:tcW w:w="426" w:type="dxa"/>
            <w:tcBorders>
              <w:top w:val="single" w:sz="4" w:space="0" w:color="auto"/>
              <w:left w:val="single" w:sz="6" w:space="0" w:color="auto"/>
              <w:bottom w:val="single" w:sz="12" w:space="0" w:color="auto"/>
              <w:right w:val="single" w:sz="6" w:space="0" w:color="auto"/>
            </w:tcBorders>
            <w:vAlign w:val="center"/>
          </w:tcPr>
          <w:p w14:paraId="32D3CD11"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PM</w:t>
            </w:r>
          </w:p>
        </w:tc>
        <w:tc>
          <w:tcPr>
            <w:tcW w:w="567" w:type="dxa"/>
            <w:tcBorders>
              <w:top w:val="single" w:sz="4" w:space="0" w:color="auto"/>
              <w:left w:val="single" w:sz="6" w:space="0" w:color="auto"/>
              <w:bottom w:val="single" w:sz="12" w:space="0" w:color="auto"/>
              <w:right w:val="single" w:sz="6" w:space="0" w:color="auto"/>
            </w:tcBorders>
            <w:vAlign w:val="center"/>
          </w:tcPr>
          <w:p w14:paraId="026ECED6"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w:t>
            </w:r>
            <w:r w:rsidRPr="008D1A83">
              <w:rPr>
                <w:rFonts w:ascii="Open Sans" w:hAnsi="Open Sans" w:cs="Open Sans"/>
                <w:b/>
                <w:sz w:val="16"/>
                <w:szCs w:val="16"/>
                <w:vertAlign w:val="subscript"/>
                <w:lang w:val="en-GB"/>
              </w:rPr>
              <w:t>2</w:t>
            </w:r>
            <w:r w:rsidRPr="008D1A83">
              <w:rPr>
                <w:rFonts w:ascii="Open Sans" w:hAnsi="Open Sans" w:cs="Open Sans"/>
                <w:b/>
                <w:sz w:val="16"/>
                <w:szCs w:val="16"/>
                <w:lang w:val="en-GB"/>
              </w:rPr>
              <w:t>O</w:t>
            </w:r>
          </w:p>
        </w:tc>
        <w:tc>
          <w:tcPr>
            <w:tcW w:w="567" w:type="dxa"/>
            <w:tcBorders>
              <w:top w:val="single" w:sz="4" w:space="0" w:color="auto"/>
              <w:left w:val="single" w:sz="6" w:space="0" w:color="auto"/>
              <w:bottom w:val="single" w:sz="12" w:space="0" w:color="auto"/>
              <w:right w:val="single" w:sz="6" w:space="0" w:color="auto"/>
            </w:tcBorders>
            <w:vAlign w:val="center"/>
          </w:tcPr>
          <w:p w14:paraId="70018A0F"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NH</w:t>
            </w:r>
            <w:r w:rsidRPr="008D1A83">
              <w:rPr>
                <w:rFonts w:ascii="Open Sans" w:hAnsi="Open Sans" w:cs="Open Sans"/>
                <w:b/>
                <w:position w:val="-6"/>
                <w:sz w:val="16"/>
                <w:szCs w:val="16"/>
                <w:lang w:val="en-GB"/>
              </w:rPr>
              <w:t>3</w:t>
            </w:r>
          </w:p>
        </w:tc>
        <w:tc>
          <w:tcPr>
            <w:tcW w:w="567" w:type="dxa"/>
            <w:tcBorders>
              <w:top w:val="single" w:sz="4" w:space="0" w:color="auto"/>
              <w:left w:val="single" w:sz="6" w:space="0" w:color="auto"/>
              <w:bottom w:val="single" w:sz="12" w:space="0" w:color="auto"/>
              <w:right w:val="double" w:sz="6" w:space="0" w:color="auto"/>
            </w:tcBorders>
            <w:vAlign w:val="center"/>
          </w:tcPr>
          <w:p w14:paraId="061A42A3" w14:textId="77777777" w:rsidR="004E798C" w:rsidRPr="008D1A83" w:rsidRDefault="004E798C" w:rsidP="005C7955">
            <w:pPr>
              <w:pStyle w:val="Table"/>
              <w:spacing w:line="240" w:lineRule="atLeast"/>
              <w:jc w:val="center"/>
              <w:rPr>
                <w:rFonts w:ascii="Open Sans" w:hAnsi="Open Sans" w:cs="Open Sans"/>
                <w:b/>
                <w:sz w:val="16"/>
                <w:szCs w:val="16"/>
                <w:lang w:val="en-GB"/>
              </w:rPr>
            </w:pPr>
            <w:r w:rsidRPr="008D1A83">
              <w:rPr>
                <w:rFonts w:ascii="Open Sans" w:hAnsi="Open Sans" w:cs="Open Sans"/>
                <w:b/>
                <w:sz w:val="16"/>
                <w:szCs w:val="16"/>
                <w:lang w:val="en-GB"/>
              </w:rPr>
              <w:t>CO</w:t>
            </w:r>
            <w:r w:rsidRPr="008D1A83">
              <w:rPr>
                <w:rFonts w:ascii="Open Sans" w:hAnsi="Open Sans" w:cs="Open Sans"/>
                <w:b/>
                <w:sz w:val="16"/>
                <w:szCs w:val="16"/>
                <w:vertAlign w:val="subscript"/>
                <w:lang w:val="en-GB"/>
              </w:rPr>
              <w:t>2</w:t>
            </w:r>
          </w:p>
        </w:tc>
      </w:tr>
      <w:tr w:rsidR="004E798C" w:rsidRPr="000855B2" w14:paraId="74D0A105" w14:textId="77777777" w:rsidTr="008D2AFB">
        <w:trPr>
          <w:cantSplit/>
        </w:trPr>
        <w:tc>
          <w:tcPr>
            <w:tcW w:w="2413" w:type="dxa"/>
            <w:tcBorders>
              <w:top w:val="single" w:sz="12" w:space="0" w:color="auto"/>
              <w:left w:val="double" w:sz="6" w:space="0" w:color="auto"/>
            </w:tcBorders>
            <w:vAlign w:val="center"/>
          </w:tcPr>
          <w:p w14:paraId="66CFBD8E" w14:textId="77777777" w:rsidR="004E798C" w:rsidRPr="008D1A83" w:rsidRDefault="004E1503" w:rsidP="005C7955">
            <w:pPr>
              <w:pStyle w:val="Table"/>
              <w:spacing w:line="240" w:lineRule="atLeast"/>
              <w:rPr>
                <w:rFonts w:ascii="Open Sans" w:hAnsi="Open Sans" w:cs="Open Sans"/>
                <w:b/>
                <w:sz w:val="16"/>
                <w:szCs w:val="16"/>
                <w:lang w:val="en-GB"/>
              </w:rPr>
            </w:pPr>
            <w:r>
              <w:rPr>
                <w:rFonts w:ascii="Open Sans" w:hAnsi="Open Sans" w:cs="Open Sans"/>
                <w:b/>
                <w:sz w:val="16"/>
                <w:szCs w:val="16"/>
                <w:lang w:val="en-GB"/>
              </w:rPr>
              <w:t>Petrol</w:t>
            </w:r>
            <w:r w:rsidR="004E798C" w:rsidRPr="008D1A83">
              <w:rPr>
                <w:rFonts w:ascii="Open Sans" w:hAnsi="Open Sans" w:cs="Open Sans"/>
                <w:b/>
                <w:sz w:val="16"/>
                <w:szCs w:val="16"/>
                <w:lang w:val="en-GB"/>
              </w:rPr>
              <w:t xml:space="preserve"> passenger cars</w:t>
            </w:r>
          </w:p>
        </w:tc>
        <w:tc>
          <w:tcPr>
            <w:tcW w:w="425" w:type="dxa"/>
            <w:tcBorders>
              <w:top w:val="single" w:sz="12" w:space="0" w:color="auto"/>
              <w:left w:val="single" w:sz="6" w:space="0" w:color="auto"/>
              <w:right w:val="single" w:sz="6" w:space="0" w:color="auto"/>
            </w:tcBorders>
            <w:vAlign w:val="center"/>
          </w:tcPr>
          <w:p w14:paraId="4AA7E45A"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12" w:space="0" w:color="auto"/>
              <w:left w:val="single" w:sz="6" w:space="0" w:color="auto"/>
              <w:right w:val="single" w:sz="6" w:space="0" w:color="auto"/>
            </w:tcBorders>
            <w:vAlign w:val="center"/>
          </w:tcPr>
          <w:p w14:paraId="25F01C86"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12" w:space="0" w:color="auto"/>
              <w:left w:val="single" w:sz="6" w:space="0" w:color="auto"/>
              <w:right w:val="single" w:sz="6" w:space="0" w:color="auto"/>
            </w:tcBorders>
            <w:vAlign w:val="center"/>
          </w:tcPr>
          <w:p w14:paraId="078313A1"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12" w:space="0" w:color="auto"/>
              <w:left w:val="single" w:sz="6" w:space="0" w:color="auto"/>
              <w:right w:val="single" w:sz="6" w:space="0" w:color="auto"/>
            </w:tcBorders>
            <w:vAlign w:val="center"/>
          </w:tcPr>
          <w:p w14:paraId="4A94BDE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12" w:space="0" w:color="auto"/>
              <w:left w:val="single" w:sz="6" w:space="0" w:color="auto"/>
              <w:right w:val="single" w:sz="6" w:space="0" w:color="auto"/>
            </w:tcBorders>
            <w:vAlign w:val="center"/>
          </w:tcPr>
          <w:p w14:paraId="4745825C"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12" w:space="0" w:color="auto"/>
              <w:left w:val="single" w:sz="6" w:space="0" w:color="auto"/>
              <w:right w:val="single" w:sz="6" w:space="0" w:color="auto"/>
            </w:tcBorders>
            <w:vAlign w:val="center"/>
          </w:tcPr>
          <w:p w14:paraId="50A6D58B"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12" w:space="0" w:color="auto"/>
              <w:left w:val="single" w:sz="6" w:space="0" w:color="auto"/>
              <w:right w:val="single" w:sz="6" w:space="0" w:color="auto"/>
            </w:tcBorders>
            <w:vAlign w:val="center"/>
          </w:tcPr>
          <w:p w14:paraId="2B5B1255"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12" w:space="0" w:color="auto"/>
              <w:left w:val="single" w:sz="6" w:space="0" w:color="auto"/>
              <w:right w:val="double" w:sz="6" w:space="0" w:color="auto"/>
            </w:tcBorders>
            <w:vAlign w:val="center"/>
          </w:tcPr>
          <w:p w14:paraId="5FDB22BD"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60B978ED" w14:textId="77777777" w:rsidTr="00AF4A3C">
        <w:trPr>
          <w:cantSplit/>
        </w:trPr>
        <w:tc>
          <w:tcPr>
            <w:tcW w:w="2413" w:type="dxa"/>
            <w:tcBorders>
              <w:left w:val="double" w:sz="6" w:space="0" w:color="auto"/>
            </w:tcBorders>
            <w:vAlign w:val="center"/>
          </w:tcPr>
          <w:p w14:paraId="02BE4065" w14:textId="77777777" w:rsidR="004E798C" w:rsidRPr="008D1A83" w:rsidRDefault="009703EA"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Without catalyst</w:t>
            </w:r>
          </w:p>
        </w:tc>
        <w:tc>
          <w:tcPr>
            <w:tcW w:w="425" w:type="dxa"/>
            <w:tcBorders>
              <w:left w:val="single" w:sz="6" w:space="0" w:color="auto"/>
              <w:right w:val="single" w:sz="6" w:space="0" w:color="auto"/>
            </w:tcBorders>
            <w:vAlign w:val="center"/>
          </w:tcPr>
          <w:p w14:paraId="57B914A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725AC3E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1F1984D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310976A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531ADDD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48BE02E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single" w:sz="6" w:space="0" w:color="auto"/>
            </w:tcBorders>
            <w:vAlign w:val="center"/>
          </w:tcPr>
          <w:p w14:paraId="3C8365A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double" w:sz="6" w:space="0" w:color="auto"/>
            </w:tcBorders>
            <w:vAlign w:val="center"/>
          </w:tcPr>
          <w:p w14:paraId="17DEFDC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2F1FFB7D" w14:textId="77777777" w:rsidTr="00AF4A3C">
        <w:trPr>
          <w:cantSplit/>
        </w:trPr>
        <w:tc>
          <w:tcPr>
            <w:tcW w:w="2413" w:type="dxa"/>
            <w:tcBorders>
              <w:left w:val="double" w:sz="6" w:space="0" w:color="auto"/>
            </w:tcBorders>
            <w:vAlign w:val="center"/>
          </w:tcPr>
          <w:p w14:paraId="4661158E" w14:textId="77777777" w:rsidR="004E798C" w:rsidRPr="008D1A83" w:rsidRDefault="009703EA"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 catalyst</w:t>
            </w:r>
          </w:p>
        </w:tc>
        <w:tc>
          <w:tcPr>
            <w:tcW w:w="425" w:type="dxa"/>
            <w:tcBorders>
              <w:left w:val="single" w:sz="6" w:space="0" w:color="auto"/>
              <w:right w:val="single" w:sz="6" w:space="0" w:color="auto"/>
            </w:tcBorders>
            <w:vAlign w:val="center"/>
          </w:tcPr>
          <w:p w14:paraId="1584D34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23AA642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5AD1BED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3B93AD5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2B6E2EB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3D02CDD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2FA077A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double" w:sz="6" w:space="0" w:color="auto"/>
            </w:tcBorders>
            <w:vAlign w:val="center"/>
          </w:tcPr>
          <w:p w14:paraId="3A1ABF0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1535337B" w14:textId="77777777" w:rsidTr="00AF4A3C">
        <w:trPr>
          <w:cantSplit/>
        </w:trPr>
        <w:tc>
          <w:tcPr>
            <w:tcW w:w="2413" w:type="dxa"/>
            <w:tcBorders>
              <w:top w:val="single" w:sz="6" w:space="0" w:color="auto"/>
              <w:left w:val="double" w:sz="6" w:space="0" w:color="auto"/>
            </w:tcBorders>
            <w:vAlign w:val="center"/>
          </w:tcPr>
          <w:p w14:paraId="78FFB2DD"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Diesel passenger cars</w:t>
            </w:r>
          </w:p>
        </w:tc>
        <w:tc>
          <w:tcPr>
            <w:tcW w:w="425" w:type="dxa"/>
            <w:tcBorders>
              <w:top w:val="single" w:sz="6" w:space="0" w:color="auto"/>
              <w:left w:val="single" w:sz="6" w:space="0" w:color="auto"/>
              <w:right w:val="single" w:sz="6" w:space="0" w:color="auto"/>
            </w:tcBorders>
            <w:vAlign w:val="center"/>
          </w:tcPr>
          <w:p w14:paraId="047DBAEE"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6678ECA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481B218D"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53E2ED1F"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43AFA25E"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43F4BD66"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1F12D650"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30B46FE3"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0662A316" w14:textId="77777777" w:rsidTr="00AF4A3C">
        <w:trPr>
          <w:cantSplit/>
        </w:trPr>
        <w:tc>
          <w:tcPr>
            <w:tcW w:w="2413" w:type="dxa"/>
            <w:tcBorders>
              <w:left w:val="double" w:sz="6" w:space="0" w:color="auto"/>
            </w:tcBorders>
            <w:vAlign w:val="center"/>
          </w:tcPr>
          <w:p w14:paraId="3504AB42"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All technologies</w:t>
            </w:r>
          </w:p>
        </w:tc>
        <w:tc>
          <w:tcPr>
            <w:tcW w:w="425" w:type="dxa"/>
            <w:tcBorders>
              <w:left w:val="single" w:sz="6" w:space="0" w:color="auto"/>
              <w:right w:val="single" w:sz="6" w:space="0" w:color="auto"/>
            </w:tcBorders>
            <w:vAlign w:val="center"/>
          </w:tcPr>
          <w:p w14:paraId="0F2AD7F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79AB380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3890571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1469768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2CF3FD5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274AE19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7EBC9E9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251DE18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5194E296" w14:textId="77777777" w:rsidTr="00AF4A3C">
        <w:trPr>
          <w:cantSplit/>
        </w:trPr>
        <w:tc>
          <w:tcPr>
            <w:tcW w:w="2413" w:type="dxa"/>
            <w:tcBorders>
              <w:top w:val="single" w:sz="6" w:space="0" w:color="auto"/>
              <w:left w:val="double" w:sz="6" w:space="0" w:color="auto"/>
            </w:tcBorders>
            <w:vAlign w:val="center"/>
          </w:tcPr>
          <w:p w14:paraId="111733B3"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LPG passenger cars</w:t>
            </w:r>
          </w:p>
        </w:tc>
        <w:tc>
          <w:tcPr>
            <w:tcW w:w="425" w:type="dxa"/>
            <w:tcBorders>
              <w:top w:val="single" w:sz="6" w:space="0" w:color="auto"/>
              <w:left w:val="single" w:sz="6" w:space="0" w:color="auto"/>
              <w:right w:val="single" w:sz="6" w:space="0" w:color="auto"/>
            </w:tcBorders>
            <w:vAlign w:val="center"/>
          </w:tcPr>
          <w:p w14:paraId="4227100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top w:val="single" w:sz="6" w:space="0" w:color="auto"/>
              <w:left w:val="single" w:sz="6" w:space="0" w:color="auto"/>
              <w:right w:val="single" w:sz="6" w:space="0" w:color="auto"/>
            </w:tcBorders>
            <w:vAlign w:val="center"/>
          </w:tcPr>
          <w:p w14:paraId="6F9F9B2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top w:val="single" w:sz="6" w:space="0" w:color="auto"/>
              <w:left w:val="single" w:sz="6" w:space="0" w:color="auto"/>
              <w:right w:val="single" w:sz="6" w:space="0" w:color="auto"/>
            </w:tcBorders>
            <w:vAlign w:val="center"/>
          </w:tcPr>
          <w:p w14:paraId="590F747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top w:val="single" w:sz="6" w:space="0" w:color="auto"/>
              <w:left w:val="single" w:sz="6" w:space="0" w:color="auto"/>
              <w:right w:val="single" w:sz="6" w:space="0" w:color="auto"/>
            </w:tcBorders>
            <w:vAlign w:val="center"/>
          </w:tcPr>
          <w:p w14:paraId="40F2EE1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top w:val="single" w:sz="6" w:space="0" w:color="auto"/>
              <w:left w:val="single" w:sz="6" w:space="0" w:color="auto"/>
              <w:right w:val="single" w:sz="6" w:space="0" w:color="auto"/>
            </w:tcBorders>
            <w:vAlign w:val="center"/>
          </w:tcPr>
          <w:p w14:paraId="42A4B66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43F77E2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08AEFF4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double" w:sz="6" w:space="0" w:color="auto"/>
            </w:tcBorders>
            <w:vAlign w:val="center"/>
          </w:tcPr>
          <w:p w14:paraId="3C84E6B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311AB3" w:rsidRPr="000855B2" w14:paraId="2E9B22FE" w14:textId="77777777" w:rsidTr="00AF4A3C">
        <w:trPr>
          <w:cantSplit/>
        </w:trPr>
        <w:tc>
          <w:tcPr>
            <w:tcW w:w="2413" w:type="dxa"/>
            <w:tcBorders>
              <w:left w:val="double" w:sz="6" w:space="0" w:color="auto"/>
            </w:tcBorders>
            <w:vAlign w:val="center"/>
          </w:tcPr>
          <w:p w14:paraId="57C56CFB" w14:textId="77777777" w:rsidR="00311AB3" w:rsidRPr="008D1A83" w:rsidRDefault="00311AB3"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Without catalyst</w:t>
            </w:r>
          </w:p>
        </w:tc>
        <w:tc>
          <w:tcPr>
            <w:tcW w:w="425" w:type="dxa"/>
            <w:tcBorders>
              <w:left w:val="single" w:sz="6" w:space="0" w:color="auto"/>
              <w:right w:val="single" w:sz="6" w:space="0" w:color="auto"/>
            </w:tcBorders>
            <w:vAlign w:val="center"/>
          </w:tcPr>
          <w:p w14:paraId="4BF2C6E1"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3BC47C95"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7BEC279B"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2DB87074"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17BED175"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single" w:sz="6" w:space="0" w:color="auto"/>
            </w:tcBorders>
            <w:vAlign w:val="center"/>
          </w:tcPr>
          <w:p w14:paraId="0E763BA4"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single" w:sz="6" w:space="0" w:color="auto"/>
            </w:tcBorders>
            <w:vAlign w:val="center"/>
          </w:tcPr>
          <w:p w14:paraId="68DAB6A7"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double" w:sz="6" w:space="0" w:color="auto"/>
            </w:tcBorders>
            <w:vAlign w:val="center"/>
          </w:tcPr>
          <w:p w14:paraId="299E07BA"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311AB3" w:rsidRPr="000855B2" w14:paraId="3E24F42A" w14:textId="77777777" w:rsidTr="00AF4A3C">
        <w:trPr>
          <w:cantSplit/>
        </w:trPr>
        <w:tc>
          <w:tcPr>
            <w:tcW w:w="2413" w:type="dxa"/>
            <w:tcBorders>
              <w:left w:val="double" w:sz="6" w:space="0" w:color="auto"/>
            </w:tcBorders>
            <w:vAlign w:val="center"/>
          </w:tcPr>
          <w:p w14:paraId="109A3B80" w14:textId="77777777" w:rsidR="00311AB3" w:rsidRPr="008D1A83" w:rsidRDefault="00311AB3"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With catalyst</w:t>
            </w:r>
          </w:p>
        </w:tc>
        <w:tc>
          <w:tcPr>
            <w:tcW w:w="425" w:type="dxa"/>
            <w:tcBorders>
              <w:left w:val="single" w:sz="6" w:space="0" w:color="auto"/>
              <w:right w:val="single" w:sz="6" w:space="0" w:color="auto"/>
            </w:tcBorders>
            <w:vAlign w:val="center"/>
          </w:tcPr>
          <w:p w14:paraId="07E94D15"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right w:val="single" w:sz="6" w:space="0" w:color="auto"/>
            </w:tcBorders>
            <w:vAlign w:val="center"/>
          </w:tcPr>
          <w:p w14:paraId="1C3EDF38"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left w:val="single" w:sz="6" w:space="0" w:color="auto"/>
              <w:right w:val="single" w:sz="6" w:space="0" w:color="auto"/>
            </w:tcBorders>
            <w:vAlign w:val="center"/>
          </w:tcPr>
          <w:p w14:paraId="330630D9"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left w:val="single" w:sz="6" w:space="0" w:color="auto"/>
              <w:right w:val="single" w:sz="6" w:space="0" w:color="auto"/>
            </w:tcBorders>
            <w:vAlign w:val="center"/>
          </w:tcPr>
          <w:p w14:paraId="0F8CD5F1"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right w:val="single" w:sz="6" w:space="0" w:color="auto"/>
            </w:tcBorders>
            <w:vAlign w:val="center"/>
          </w:tcPr>
          <w:p w14:paraId="28F8419D"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single" w:sz="6" w:space="0" w:color="auto"/>
            </w:tcBorders>
            <w:vAlign w:val="center"/>
          </w:tcPr>
          <w:p w14:paraId="56F9ED50"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single" w:sz="6" w:space="0" w:color="auto"/>
            </w:tcBorders>
            <w:vAlign w:val="center"/>
          </w:tcPr>
          <w:p w14:paraId="4D1208A1"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right w:val="double" w:sz="6" w:space="0" w:color="auto"/>
            </w:tcBorders>
            <w:vAlign w:val="center"/>
          </w:tcPr>
          <w:p w14:paraId="47E1D7EA" w14:textId="77777777" w:rsidR="00311AB3" w:rsidRPr="008D1A83" w:rsidRDefault="00311AB3"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3B47E14C" w14:textId="77777777" w:rsidTr="00AF4A3C">
        <w:trPr>
          <w:cantSplit/>
        </w:trPr>
        <w:tc>
          <w:tcPr>
            <w:tcW w:w="2413" w:type="dxa"/>
            <w:tcBorders>
              <w:top w:val="single" w:sz="6" w:space="0" w:color="auto"/>
              <w:left w:val="double" w:sz="6" w:space="0" w:color="auto"/>
            </w:tcBorders>
            <w:vAlign w:val="center"/>
          </w:tcPr>
          <w:p w14:paraId="2AB7C607"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2-stroke passenger cars</w:t>
            </w:r>
          </w:p>
        </w:tc>
        <w:tc>
          <w:tcPr>
            <w:tcW w:w="425" w:type="dxa"/>
            <w:tcBorders>
              <w:top w:val="single" w:sz="6" w:space="0" w:color="auto"/>
              <w:left w:val="single" w:sz="6" w:space="0" w:color="auto"/>
              <w:right w:val="single" w:sz="6" w:space="0" w:color="auto"/>
            </w:tcBorders>
            <w:vAlign w:val="center"/>
          </w:tcPr>
          <w:p w14:paraId="6734BB0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top w:val="single" w:sz="6" w:space="0" w:color="auto"/>
              <w:left w:val="single" w:sz="6" w:space="0" w:color="auto"/>
              <w:right w:val="single" w:sz="6" w:space="0" w:color="auto"/>
            </w:tcBorders>
            <w:vAlign w:val="center"/>
          </w:tcPr>
          <w:p w14:paraId="6CF8F0F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top w:val="single" w:sz="6" w:space="0" w:color="auto"/>
              <w:left w:val="single" w:sz="6" w:space="0" w:color="auto"/>
              <w:right w:val="single" w:sz="6" w:space="0" w:color="auto"/>
            </w:tcBorders>
            <w:vAlign w:val="center"/>
          </w:tcPr>
          <w:p w14:paraId="2541D8C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top w:val="single" w:sz="6" w:space="0" w:color="auto"/>
              <w:left w:val="single" w:sz="6" w:space="0" w:color="auto"/>
              <w:right w:val="single" w:sz="6" w:space="0" w:color="auto"/>
            </w:tcBorders>
            <w:vAlign w:val="center"/>
          </w:tcPr>
          <w:p w14:paraId="6A260D0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top w:val="single" w:sz="6" w:space="0" w:color="auto"/>
              <w:left w:val="single" w:sz="6" w:space="0" w:color="auto"/>
              <w:right w:val="single" w:sz="6" w:space="0" w:color="auto"/>
            </w:tcBorders>
            <w:vAlign w:val="center"/>
          </w:tcPr>
          <w:p w14:paraId="50CFA5D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491A9F3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single" w:sz="6" w:space="0" w:color="auto"/>
            </w:tcBorders>
            <w:vAlign w:val="center"/>
          </w:tcPr>
          <w:p w14:paraId="1D5C01D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double" w:sz="6" w:space="0" w:color="auto"/>
            </w:tcBorders>
            <w:vAlign w:val="center"/>
          </w:tcPr>
          <w:p w14:paraId="6DBE5EC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6AF09AF5" w14:textId="77777777" w:rsidTr="00AF4A3C">
        <w:trPr>
          <w:cantSplit/>
        </w:trPr>
        <w:tc>
          <w:tcPr>
            <w:tcW w:w="2413" w:type="dxa"/>
            <w:tcBorders>
              <w:top w:val="single" w:sz="6" w:space="0" w:color="auto"/>
              <w:left w:val="double" w:sz="6" w:space="0" w:color="auto"/>
            </w:tcBorders>
            <w:vAlign w:val="center"/>
          </w:tcPr>
          <w:p w14:paraId="4F9B0024" w14:textId="77777777" w:rsidR="004E798C" w:rsidRPr="008D1A83" w:rsidRDefault="00CF67A4"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Light commercial</w:t>
            </w:r>
            <w:r w:rsidR="004E798C" w:rsidRPr="008D1A83">
              <w:rPr>
                <w:rFonts w:ascii="Open Sans" w:hAnsi="Open Sans" w:cs="Open Sans"/>
                <w:b/>
                <w:sz w:val="16"/>
                <w:szCs w:val="16"/>
                <w:lang w:val="en-GB"/>
              </w:rPr>
              <w:t xml:space="preserve"> vehicles</w:t>
            </w:r>
          </w:p>
        </w:tc>
        <w:tc>
          <w:tcPr>
            <w:tcW w:w="425" w:type="dxa"/>
            <w:tcBorders>
              <w:top w:val="single" w:sz="6" w:space="0" w:color="auto"/>
              <w:left w:val="single" w:sz="6" w:space="0" w:color="auto"/>
              <w:right w:val="single" w:sz="6" w:space="0" w:color="auto"/>
            </w:tcBorders>
            <w:vAlign w:val="center"/>
          </w:tcPr>
          <w:p w14:paraId="086155A0"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191E87DC"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434EC742"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403EFBA1"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4B48225C"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295AF937"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22178BFF"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7C628761"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28FDA5AB" w14:textId="77777777" w:rsidTr="00AF4A3C">
        <w:trPr>
          <w:cantSplit/>
        </w:trPr>
        <w:tc>
          <w:tcPr>
            <w:tcW w:w="2413" w:type="dxa"/>
            <w:tcBorders>
              <w:left w:val="double" w:sz="6" w:space="0" w:color="auto"/>
            </w:tcBorders>
            <w:vAlign w:val="center"/>
          </w:tcPr>
          <w:p w14:paraId="2B75999F" w14:textId="77777777" w:rsidR="004E798C" w:rsidRPr="008D1A83" w:rsidRDefault="004E1503" w:rsidP="005C7955">
            <w:pPr>
              <w:pStyle w:val="Table"/>
              <w:spacing w:line="240" w:lineRule="atLeast"/>
              <w:rPr>
                <w:rFonts w:ascii="Open Sans" w:hAnsi="Open Sans" w:cs="Open Sans"/>
                <w:sz w:val="16"/>
                <w:szCs w:val="16"/>
                <w:lang w:val="en-GB"/>
              </w:rPr>
            </w:pPr>
            <w:r>
              <w:rPr>
                <w:rFonts w:ascii="Open Sans" w:hAnsi="Open Sans" w:cs="Open Sans"/>
                <w:sz w:val="16"/>
                <w:szCs w:val="16"/>
                <w:lang w:val="en-GB"/>
              </w:rPr>
              <w:t>Petrol</w:t>
            </w:r>
          </w:p>
        </w:tc>
        <w:tc>
          <w:tcPr>
            <w:tcW w:w="425" w:type="dxa"/>
            <w:tcBorders>
              <w:left w:val="single" w:sz="6" w:space="0" w:color="auto"/>
              <w:right w:val="single" w:sz="6" w:space="0" w:color="auto"/>
            </w:tcBorders>
            <w:vAlign w:val="center"/>
          </w:tcPr>
          <w:p w14:paraId="599342E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017A5F1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4E9F315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4C35196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2C1D0D5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71968D6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37BBF32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406CCCE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504F6DA3" w14:textId="77777777" w:rsidTr="00AF4A3C">
        <w:trPr>
          <w:cantSplit/>
        </w:trPr>
        <w:tc>
          <w:tcPr>
            <w:tcW w:w="2413" w:type="dxa"/>
            <w:tcBorders>
              <w:left w:val="double" w:sz="6" w:space="0" w:color="auto"/>
            </w:tcBorders>
            <w:vAlign w:val="center"/>
          </w:tcPr>
          <w:p w14:paraId="25C94C3E"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Diesel</w:t>
            </w:r>
          </w:p>
        </w:tc>
        <w:tc>
          <w:tcPr>
            <w:tcW w:w="425" w:type="dxa"/>
            <w:tcBorders>
              <w:left w:val="single" w:sz="6" w:space="0" w:color="auto"/>
              <w:right w:val="single" w:sz="6" w:space="0" w:color="auto"/>
            </w:tcBorders>
            <w:vAlign w:val="center"/>
          </w:tcPr>
          <w:p w14:paraId="367EA61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33B58ED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57360F4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4FF4AE3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78CD7B1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7DF89AF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455CEB3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18B76FF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79613FB9" w14:textId="77777777" w:rsidTr="00AF4A3C">
        <w:trPr>
          <w:cantSplit/>
        </w:trPr>
        <w:tc>
          <w:tcPr>
            <w:tcW w:w="2413" w:type="dxa"/>
            <w:tcBorders>
              <w:top w:val="single" w:sz="6" w:space="0" w:color="auto"/>
              <w:left w:val="double" w:sz="6" w:space="0" w:color="auto"/>
              <w:bottom w:val="single" w:sz="6" w:space="0" w:color="auto"/>
            </w:tcBorders>
            <w:vAlign w:val="center"/>
          </w:tcPr>
          <w:p w14:paraId="122DD950"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Heavy-duty vehicles</w:t>
            </w:r>
          </w:p>
        </w:tc>
        <w:tc>
          <w:tcPr>
            <w:tcW w:w="425" w:type="dxa"/>
            <w:tcBorders>
              <w:top w:val="single" w:sz="6" w:space="0" w:color="auto"/>
              <w:left w:val="single" w:sz="6" w:space="0" w:color="auto"/>
              <w:bottom w:val="single" w:sz="6" w:space="0" w:color="auto"/>
              <w:right w:val="single" w:sz="6" w:space="0" w:color="auto"/>
            </w:tcBorders>
            <w:vAlign w:val="center"/>
          </w:tcPr>
          <w:p w14:paraId="03F69667"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25F493B5"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bottom w:val="single" w:sz="6" w:space="0" w:color="auto"/>
              <w:right w:val="single" w:sz="6" w:space="0" w:color="auto"/>
            </w:tcBorders>
            <w:vAlign w:val="center"/>
          </w:tcPr>
          <w:p w14:paraId="32D359A0"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bottom w:val="single" w:sz="6" w:space="0" w:color="auto"/>
              <w:right w:val="single" w:sz="6" w:space="0" w:color="auto"/>
            </w:tcBorders>
            <w:vAlign w:val="center"/>
          </w:tcPr>
          <w:p w14:paraId="712224EA"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45EF246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253BBB7"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6155157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bottom w:val="single" w:sz="6" w:space="0" w:color="auto"/>
              <w:right w:val="double" w:sz="6" w:space="0" w:color="auto"/>
            </w:tcBorders>
            <w:vAlign w:val="center"/>
          </w:tcPr>
          <w:p w14:paraId="1825B36E"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7C47D721" w14:textId="77777777" w:rsidTr="00AF4A3C">
        <w:trPr>
          <w:cantSplit/>
        </w:trPr>
        <w:tc>
          <w:tcPr>
            <w:tcW w:w="2413" w:type="dxa"/>
            <w:tcBorders>
              <w:top w:val="single" w:sz="6" w:space="0" w:color="auto"/>
              <w:left w:val="double" w:sz="6" w:space="0" w:color="auto"/>
            </w:tcBorders>
            <w:vAlign w:val="center"/>
          </w:tcPr>
          <w:p w14:paraId="22D6A853" w14:textId="77777777" w:rsidR="004E798C" w:rsidRPr="008D1A83" w:rsidRDefault="004E1503" w:rsidP="005C7955">
            <w:pPr>
              <w:pStyle w:val="Table"/>
              <w:spacing w:line="240" w:lineRule="atLeast"/>
              <w:rPr>
                <w:rFonts w:ascii="Open Sans" w:hAnsi="Open Sans" w:cs="Open Sans"/>
                <w:sz w:val="16"/>
                <w:szCs w:val="16"/>
                <w:lang w:val="en-GB"/>
              </w:rPr>
            </w:pPr>
            <w:r>
              <w:rPr>
                <w:rFonts w:ascii="Open Sans" w:hAnsi="Open Sans" w:cs="Open Sans"/>
                <w:sz w:val="16"/>
                <w:szCs w:val="16"/>
                <w:lang w:val="en-GB"/>
              </w:rPr>
              <w:t>Petrol</w:t>
            </w:r>
          </w:p>
        </w:tc>
        <w:tc>
          <w:tcPr>
            <w:tcW w:w="425" w:type="dxa"/>
            <w:tcBorders>
              <w:top w:val="single" w:sz="6" w:space="0" w:color="auto"/>
              <w:left w:val="single" w:sz="6" w:space="0" w:color="auto"/>
              <w:right w:val="single" w:sz="6" w:space="0" w:color="auto"/>
            </w:tcBorders>
            <w:vAlign w:val="center"/>
          </w:tcPr>
          <w:p w14:paraId="2004456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top w:val="single" w:sz="6" w:space="0" w:color="auto"/>
              <w:left w:val="single" w:sz="6" w:space="0" w:color="auto"/>
              <w:right w:val="single" w:sz="6" w:space="0" w:color="auto"/>
            </w:tcBorders>
            <w:vAlign w:val="center"/>
          </w:tcPr>
          <w:p w14:paraId="5EE764A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top w:val="single" w:sz="6" w:space="0" w:color="auto"/>
              <w:left w:val="single" w:sz="6" w:space="0" w:color="auto"/>
              <w:right w:val="single" w:sz="6" w:space="0" w:color="auto"/>
            </w:tcBorders>
            <w:vAlign w:val="center"/>
          </w:tcPr>
          <w:p w14:paraId="6E0DF5A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top w:val="single" w:sz="6" w:space="0" w:color="auto"/>
              <w:left w:val="single" w:sz="6" w:space="0" w:color="auto"/>
              <w:right w:val="single" w:sz="6" w:space="0" w:color="auto"/>
            </w:tcBorders>
            <w:vAlign w:val="center"/>
          </w:tcPr>
          <w:p w14:paraId="2896A38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top w:val="single" w:sz="6" w:space="0" w:color="auto"/>
              <w:left w:val="single" w:sz="6" w:space="0" w:color="auto"/>
              <w:right w:val="single" w:sz="6" w:space="0" w:color="auto"/>
            </w:tcBorders>
            <w:vAlign w:val="center"/>
          </w:tcPr>
          <w:p w14:paraId="360B1B1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top w:val="single" w:sz="6" w:space="0" w:color="auto"/>
              <w:left w:val="single" w:sz="6" w:space="0" w:color="auto"/>
              <w:right w:val="single" w:sz="6" w:space="0" w:color="auto"/>
            </w:tcBorders>
            <w:vAlign w:val="center"/>
          </w:tcPr>
          <w:p w14:paraId="631A7CD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single" w:sz="6" w:space="0" w:color="auto"/>
            </w:tcBorders>
            <w:vAlign w:val="center"/>
          </w:tcPr>
          <w:p w14:paraId="0A35501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top w:val="single" w:sz="6" w:space="0" w:color="auto"/>
              <w:left w:val="single" w:sz="6" w:space="0" w:color="auto"/>
              <w:right w:val="double" w:sz="6" w:space="0" w:color="auto"/>
            </w:tcBorders>
            <w:vAlign w:val="center"/>
          </w:tcPr>
          <w:p w14:paraId="3A4ECE2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r>
      <w:tr w:rsidR="004E798C" w:rsidRPr="000855B2" w14:paraId="704B3B86" w14:textId="77777777" w:rsidTr="00AF4A3C">
        <w:trPr>
          <w:cantSplit/>
        </w:trPr>
        <w:tc>
          <w:tcPr>
            <w:tcW w:w="2413" w:type="dxa"/>
            <w:tcBorders>
              <w:left w:val="double" w:sz="6" w:space="0" w:color="auto"/>
            </w:tcBorders>
            <w:vAlign w:val="center"/>
          </w:tcPr>
          <w:p w14:paraId="6B14FDD4"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Diesel</w:t>
            </w:r>
          </w:p>
        </w:tc>
        <w:tc>
          <w:tcPr>
            <w:tcW w:w="425" w:type="dxa"/>
            <w:tcBorders>
              <w:left w:val="single" w:sz="6" w:space="0" w:color="auto"/>
              <w:right w:val="single" w:sz="6" w:space="0" w:color="auto"/>
            </w:tcBorders>
            <w:vAlign w:val="center"/>
          </w:tcPr>
          <w:p w14:paraId="1F5A9D2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724B099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43BB3FA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01855E8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7487523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066A735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3CD7576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2C41B86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744CFBAE" w14:textId="77777777" w:rsidTr="00AF4A3C">
        <w:trPr>
          <w:cantSplit/>
        </w:trPr>
        <w:tc>
          <w:tcPr>
            <w:tcW w:w="2413" w:type="dxa"/>
            <w:tcBorders>
              <w:top w:val="single" w:sz="6" w:space="0" w:color="auto"/>
              <w:left w:val="double" w:sz="6" w:space="0" w:color="auto"/>
            </w:tcBorders>
            <w:vAlign w:val="center"/>
          </w:tcPr>
          <w:p w14:paraId="11377F2A"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Two-wheel vehicles</w:t>
            </w:r>
          </w:p>
        </w:tc>
        <w:tc>
          <w:tcPr>
            <w:tcW w:w="425" w:type="dxa"/>
            <w:tcBorders>
              <w:top w:val="single" w:sz="6" w:space="0" w:color="auto"/>
              <w:left w:val="single" w:sz="6" w:space="0" w:color="auto"/>
              <w:right w:val="single" w:sz="6" w:space="0" w:color="auto"/>
            </w:tcBorders>
            <w:vAlign w:val="center"/>
          </w:tcPr>
          <w:p w14:paraId="19162EEC"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0312E436"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06C9A23E"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0061E7F7"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470CA51E"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4B275BE6"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3FFD6C62"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7833BFAB"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166F8C66" w14:textId="77777777" w:rsidTr="00AF4A3C">
        <w:trPr>
          <w:cantSplit/>
        </w:trPr>
        <w:tc>
          <w:tcPr>
            <w:tcW w:w="2413" w:type="dxa"/>
            <w:tcBorders>
              <w:left w:val="double" w:sz="6" w:space="0" w:color="auto"/>
            </w:tcBorders>
            <w:vAlign w:val="center"/>
          </w:tcPr>
          <w:p w14:paraId="48602617"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&lt; 50 cm³</w:t>
            </w:r>
          </w:p>
        </w:tc>
        <w:tc>
          <w:tcPr>
            <w:tcW w:w="425" w:type="dxa"/>
            <w:tcBorders>
              <w:left w:val="single" w:sz="6" w:space="0" w:color="auto"/>
              <w:right w:val="single" w:sz="6" w:space="0" w:color="auto"/>
            </w:tcBorders>
            <w:vAlign w:val="center"/>
          </w:tcPr>
          <w:p w14:paraId="2BA21F2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0591794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38E754E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1DB17BF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3CED55D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78042D1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5343C15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695C568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513DCE43" w14:textId="77777777" w:rsidTr="00AF4A3C">
        <w:trPr>
          <w:cantSplit/>
        </w:trPr>
        <w:tc>
          <w:tcPr>
            <w:tcW w:w="2413" w:type="dxa"/>
            <w:tcBorders>
              <w:left w:val="double" w:sz="6" w:space="0" w:color="auto"/>
            </w:tcBorders>
            <w:vAlign w:val="center"/>
          </w:tcPr>
          <w:p w14:paraId="5069F05B"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&gt; 50 cm³ 2-stroke</w:t>
            </w:r>
          </w:p>
        </w:tc>
        <w:tc>
          <w:tcPr>
            <w:tcW w:w="425" w:type="dxa"/>
            <w:tcBorders>
              <w:left w:val="single" w:sz="6" w:space="0" w:color="auto"/>
              <w:right w:val="single" w:sz="6" w:space="0" w:color="auto"/>
            </w:tcBorders>
            <w:vAlign w:val="center"/>
          </w:tcPr>
          <w:p w14:paraId="0B36C1F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4EBB80E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0A4C56B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2DA8551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2DD4672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48865EA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single" w:sz="6" w:space="0" w:color="auto"/>
            </w:tcBorders>
            <w:vAlign w:val="center"/>
          </w:tcPr>
          <w:p w14:paraId="65E9B61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right w:val="double" w:sz="6" w:space="0" w:color="auto"/>
            </w:tcBorders>
            <w:vAlign w:val="center"/>
          </w:tcPr>
          <w:p w14:paraId="51FC25A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2662C28A" w14:textId="77777777" w:rsidTr="00AF4A3C">
        <w:trPr>
          <w:cantSplit/>
        </w:trPr>
        <w:tc>
          <w:tcPr>
            <w:tcW w:w="2413" w:type="dxa"/>
            <w:tcBorders>
              <w:left w:val="double" w:sz="6" w:space="0" w:color="auto"/>
              <w:bottom w:val="single" w:sz="6" w:space="0" w:color="auto"/>
            </w:tcBorders>
            <w:vAlign w:val="center"/>
          </w:tcPr>
          <w:p w14:paraId="4B1EC292"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&gt; 50 cm³ 4-stroke</w:t>
            </w:r>
          </w:p>
        </w:tc>
        <w:tc>
          <w:tcPr>
            <w:tcW w:w="425" w:type="dxa"/>
            <w:tcBorders>
              <w:left w:val="single" w:sz="6" w:space="0" w:color="auto"/>
              <w:bottom w:val="single" w:sz="6" w:space="0" w:color="auto"/>
              <w:right w:val="single" w:sz="6" w:space="0" w:color="auto"/>
            </w:tcBorders>
            <w:vAlign w:val="center"/>
          </w:tcPr>
          <w:p w14:paraId="761B39E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bottom w:val="single" w:sz="6" w:space="0" w:color="auto"/>
              <w:right w:val="single" w:sz="6" w:space="0" w:color="auto"/>
            </w:tcBorders>
            <w:vAlign w:val="center"/>
          </w:tcPr>
          <w:p w14:paraId="0D8904C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bottom w:val="single" w:sz="6" w:space="0" w:color="auto"/>
              <w:right w:val="single" w:sz="6" w:space="0" w:color="auto"/>
            </w:tcBorders>
            <w:vAlign w:val="center"/>
          </w:tcPr>
          <w:p w14:paraId="5C87E54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bottom w:val="single" w:sz="6" w:space="0" w:color="auto"/>
              <w:right w:val="single" w:sz="6" w:space="0" w:color="auto"/>
            </w:tcBorders>
            <w:vAlign w:val="center"/>
          </w:tcPr>
          <w:p w14:paraId="6473E97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bottom w:val="single" w:sz="6" w:space="0" w:color="auto"/>
              <w:right w:val="single" w:sz="6" w:space="0" w:color="auto"/>
            </w:tcBorders>
            <w:vAlign w:val="center"/>
          </w:tcPr>
          <w:p w14:paraId="4DCFC90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bottom w:val="single" w:sz="6" w:space="0" w:color="auto"/>
              <w:right w:val="single" w:sz="6" w:space="0" w:color="auto"/>
            </w:tcBorders>
            <w:vAlign w:val="center"/>
          </w:tcPr>
          <w:p w14:paraId="375EF83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bottom w:val="single" w:sz="6" w:space="0" w:color="auto"/>
              <w:right w:val="single" w:sz="6" w:space="0" w:color="auto"/>
            </w:tcBorders>
            <w:vAlign w:val="center"/>
          </w:tcPr>
          <w:p w14:paraId="516623E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567" w:type="dxa"/>
            <w:tcBorders>
              <w:left w:val="single" w:sz="6" w:space="0" w:color="auto"/>
              <w:bottom w:val="single" w:sz="6" w:space="0" w:color="auto"/>
              <w:right w:val="double" w:sz="6" w:space="0" w:color="auto"/>
            </w:tcBorders>
            <w:vAlign w:val="center"/>
          </w:tcPr>
          <w:p w14:paraId="567D779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72CBEF9E" w14:textId="77777777" w:rsidTr="00AF4A3C">
        <w:trPr>
          <w:cantSplit/>
        </w:trPr>
        <w:tc>
          <w:tcPr>
            <w:tcW w:w="2413" w:type="dxa"/>
            <w:tcBorders>
              <w:top w:val="single" w:sz="6" w:space="0" w:color="auto"/>
              <w:left w:val="double" w:sz="6" w:space="0" w:color="auto"/>
            </w:tcBorders>
            <w:vAlign w:val="center"/>
          </w:tcPr>
          <w:p w14:paraId="35CDEF51" w14:textId="77777777" w:rsidR="004E798C" w:rsidRPr="008D1A83" w:rsidRDefault="004E798C" w:rsidP="005C7955">
            <w:pPr>
              <w:pStyle w:val="Table"/>
              <w:spacing w:line="240" w:lineRule="atLeast"/>
              <w:rPr>
                <w:rFonts w:ascii="Open Sans" w:hAnsi="Open Sans" w:cs="Open Sans"/>
                <w:b/>
                <w:sz w:val="16"/>
                <w:szCs w:val="16"/>
                <w:lang w:val="en-GB"/>
              </w:rPr>
            </w:pPr>
            <w:r w:rsidRPr="008D1A83">
              <w:rPr>
                <w:rFonts w:ascii="Open Sans" w:hAnsi="Open Sans" w:cs="Open Sans"/>
                <w:b/>
                <w:sz w:val="16"/>
                <w:szCs w:val="16"/>
                <w:lang w:val="en-GB"/>
              </w:rPr>
              <w:t>Cold-start emissions</w:t>
            </w:r>
          </w:p>
        </w:tc>
        <w:tc>
          <w:tcPr>
            <w:tcW w:w="425" w:type="dxa"/>
            <w:tcBorders>
              <w:top w:val="single" w:sz="6" w:space="0" w:color="auto"/>
              <w:left w:val="single" w:sz="6" w:space="0" w:color="auto"/>
              <w:right w:val="single" w:sz="6" w:space="0" w:color="auto"/>
            </w:tcBorders>
            <w:vAlign w:val="center"/>
          </w:tcPr>
          <w:p w14:paraId="3862BF55"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3F52EF9A"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850" w:type="dxa"/>
            <w:tcBorders>
              <w:top w:val="single" w:sz="6" w:space="0" w:color="auto"/>
              <w:left w:val="single" w:sz="6" w:space="0" w:color="auto"/>
              <w:right w:val="single" w:sz="6" w:space="0" w:color="auto"/>
            </w:tcBorders>
            <w:vAlign w:val="center"/>
          </w:tcPr>
          <w:p w14:paraId="6BBECAF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5" w:type="dxa"/>
            <w:tcBorders>
              <w:top w:val="single" w:sz="6" w:space="0" w:color="auto"/>
              <w:left w:val="single" w:sz="6" w:space="0" w:color="auto"/>
              <w:right w:val="single" w:sz="6" w:space="0" w:color="auto"/>
            </w:tcBorders>
            <w:vAlign w:val="center"/>
          </w:tcPr>
          <w:p w14:paraId="117D9F1B"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426" w:type="dxa"/>
            <w:tcBorders>
              <w:top w:val="single" w:sz="6" w:space="0" w:color="auto"/>
              <w:left w:val="single" w:sz="6" w:space="0" w:color="auto"/>
              <w:right w:val="single" w:sz="6" w:space="0" w:color="auto"/>
            </w:tcBorders>
            <w:vAlign w:val="center"/>
          </w:tcPr>
          <w:p w14:paraId="1B4D90F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09BF62D9"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single" w:sz="6" w:space="0" w:color="auto"/>
            </w:tcBorders>
            <w:vAlign w:val="center"/>
          </w:tcPr>
          <w:p w14:paraId="0E3FCFC3" w14:textId="77777777" w:rsidR="004E798C" w:rsidRPr="008D1A83" w:rsidRDefault="004E798C" w:rsidP="005C7955">
            <w:pPr>
              <w:pStyle w:val="Table"/>
              <w:spacing w:line="240" w:lineRule="atLeast"/>
              <w:jc w:val="center"/>
              <w:rPr>
                <w:rFonts w:ascii="Open Sans" w:hAnsi="Open Sans" w:cs="Open Sans"/>
                <w:sz w:val="16"/>
                <w:szCs w:val="16"/>
                <w:lang w:val="en-GB"/>
              </w:rPr>
            </w:pPr>
          </w:p>
        </w:tc>
        <w:tc>
          <w:tcPr>
            <w:tcW w:w="567" w:type="dxa"/>
            <w:tcBorders>
              <w:top w:val="single" w:sz="6" w:space="0" w:color="auto"/>
              <w:left w:val="single" w:sz="6" w:space="0" w:color="auto"/>
              <w:right w:val="double" w:sz="6" w:space="0" w:color="auto"/>
            </w:tcBorders>
            <w:vAlign w:val="center"/>
          </w:tcPr>
          <w:p w14:paraId="411236C5" w14:textId="77777777" w:rsidR="004E798C" w:rsidRPr="008D1A83" w:rsidRDefault="004E798C" w:rsidP="005C7955">
            <w:pPr>
              <w:pStyle w:val="Table"/>
              <w:spacing w:line="240" w:lineRule="atLeast"/>
              <w:jc w:val="center"/>
              <w:rPr>
                <w:rFonts w:ascii="Open Sans" w:hAnsi="Open Sans" w:cs="Open Sans"/>
                <w:sz w:val="16"/>
                <w:szCs w:val="16"/>
                <w:lang w:val="en-GB"/>
              </w:rPr>
            </w:pPr>
          </w:p>
        </w:tc>
      </w:tr>
      <w:tr w:rsidR="004E798C" w:rsidRPr="000855B2" w14:paraId="6569C4F5" w14:textId="77777777" w:rsidTr="00AF4A3C">
        <w:trPr>
          <w:cantSplit/>
          <w:trHeight w:val="309"/>
        </w:trPr>
        <w:tc>
          <w:tcPr>
            <w:tcW w:w="2413" w:type="dxa"/>
            <w:tcBorders>
              <w:left w:val="double" w:sz="6" w:space="0" w:color="auto"/>
            </w:tcBorders>
            <w:vAlign w:val="center"/>
          </w:tcPr>
          <w:p w14:paraId="14B46841"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conventional</w:t>
            </w:r>
          </w:p>
        </w:tc>
        <w:tc>
          <w:tcPr>
            <w:tcW w:w="425" w:type="dxa"/>
            <w:tcBorders>
              <w:left w:val="single" w:sz="6" w:space="0" w:color="auto"/>
              <w:right w:val="single" w:sz="6" w:space="0" w:color="auto"/>
            </w:tcBorders>
            <w:vAlign w:val="center"/>
          </w:tcPr>
          <w:p w14:paraId="68102FC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5006891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25C5107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141677E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3D02D9B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31674AE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62B1385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43CB32D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37487958" w14:textId="77777777" w:rsidTr="00AF4A3C">
        <w:trPr>
          <w:cantSplit/>
        </w:trPr>
        <w:tc>
          <w:tcPr>
            <w:tcW w:w="2413" w:type="dxa"/>
            <w:tcBorders>
              <w:left w:val="double" w:sz="6" w:space="0" w:color="auto"/>
            </w:tcBorders>
            <w:vAlign w:val="center"/>
          </w:tcPr>
          <w:p w14:paraId="25B5D1F5"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Euro 1 and later</w:t>
            </w:r>
          </w:p>
        </w:tc>
        <w:tc>
          <w:tcPr>
            <w:tcW w:w="425" w:type="dxa"/>
            <w:tcBorders>
              <w:left w:val="single" w:sz="6" w:space="0" w:color="auto"/>
              <w:right w:val="single" w:sz="6" w:space="0" w:color="auto"/>
            </w:tcBorders>
            <w:vAlign w:val="center"/>
          </w:tcPr>
          <w:p w14:paraId="4B446D8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6" w:type="dxa"/>
            <w:tcBorders>
              <w:left w:val="single" w:sz="6" w:space="0" w:color="auto"/>
              <w:right w:val="single" w:sz="6" w:space="0" w:color="auto"/>
            </w:tcBorders>
            <w:vAlign w:val="center"/>
          </w:tcPr>
          <w:p w14:paraId="1B29F55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850" w:type="dxa"/>
            <w:tcBorders>
              <w:left w:val="single" w:sz="6" w:space="0" w:color="auto"/>
              <w:right w:val="single" w:sz="6" w:space="0" w:color="auto"/>
            </w:tcBorders>
            <w:vAlign w:val="center"/>
          </w:tcPr>
          <w:p w14:paraId="33B5A74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c>
          <w:tcPr>
            <w:tcW w:w="425" w:type="dxa"/>
            <w:tcBorders>
              <w:left w:val="single" w:sz="6" w:space="0" w:color="auto"/>
              <w:right w:val="single" w:sz="6" w:space="0" w:color="auto"/>
            </w:tcBorders>
            <w:vAlign w:val="center"/>
          </w:tcPr>
          <w:p w14:paraId="5AE0249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63E98D9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11EA1C5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5D4F30A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420AE6E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43838CD9" w14:textId="77777777" w:rsidTr="00AF4A3C">
        <w:trPr>
          <w:cantSplit/>
        </w:trPr>
        <w:tc>
          <w:tcPr>
            <w:tcW w:w="2413" w:type="dxa"/>
            <w:tcBorders>
              <w:left w:val="double" w:sz="6" w:space="0" w:color="auto"/>
            </w:tcBorders>
            <w:vAlign w:val="center"/>
          </w:tcPr>
          <w:p w14:paraId="7263E781"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diesel Conv.</w:t>
            </w:r>
          </w:p>
        </w:tc>
        <w:tc>
          <w:tcPr>
            <w:tcW w:w="425" w:type="dxa"/>
            <w:tcBorders>
              <w:left w:val="single" w:sz="6" w:space="0" w:color="auto"/>
              <w:right w:val="single" w:sz="6" w:space="0" w:color="auto"/>
            </w:tcBorders>
            <w:vAlign w:val="center"/>
          </w:tcPr>
          <w:p w14:paraId="7DB5251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295CCC7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850" w:type="dxa"/>
            <w:tcBorders>
              <w:left w:val="single" w:sz="6" w:space="0" w:color="auto"/>
              <w:right w:val="single" w:sz="6" w:space="0" w:color="auto"/>
            </w:tcBorders>
            <w:vAlign w:val="center"/>
          </w:tcPr>
          <w:p w14:paraId="681D5E8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5" w:type="dxa"/>
            <w:tcBorders>
              <w:left w:val="single" w:sz="6" w:space="0" w:color="auto"/>
              <w:right w:val="single" w:sz="6" w:space="0" w:color="auto"/>
            </w:tcBorders>
            <w:vAlign w:val="center"/>
          </w:tcPr>
          <w:p w14:paraId="49C044B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701850D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567" w:type="dxa"/>
            <w:tcBorders>
              <w:left w:val="single" w:sz="6" w:space="0" w:color="auto"/>
              <w:right w:val="single" w:sz="6" w:space="0" w:color="auto"/>
            </w:tcBorders>
            <w:vAlign w:val="center"/>
          </w:tcPr>
          <w:p w14:paraId="6FE1D1F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4541FC9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0F83849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258749AC" w14:textId="77777777" w:rsidTr="00AF4A3C">
        <w:trPr>
          <w:cantSplit/>
        </w:trPr>
        <w:tc>
          <w:tcPr>
            <w:tcW w:w="2413" w:type="dxa"/>
            <w:tcBorders>
              <w:left w:val="double" w:sz="6" w:space="0" w:color="auto"/>
            </w:tcBorders>
            <w:vAlign w:val="center"/>
          </w:tcPr>
          <w:p w14:paraId="28BF2671"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diesel Euro I</w:t>
            </w:r>
          </w:p>
        </w:tc>
        <w:tc>
          <w:tcPr>
            <w:tcW w:w="425" w:type="dxa"/>
            <w:tcBorders>
              <w:left w:val="single" w:sz="6" w:space="0" w:color="auto"/>
              <w:right w:val="single" w:sz="6" w:space="0" w:color="auto"/>
            </w:tcBorders>
            <w:vAlign w:val="center"/>
          </w:tcPr>
          <w:p w14:paraId="48328D1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565AEB7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850" w:type="dxa"/>
            <w:tcBorders>
              <w:left w:val="single" w:sz="6" w:space="0" w:color="auto"/>
              <w:right w:val="single" w:sz="6" w:space="0" w:color="auto"/>
            </w:tcBorders>
            <w:vAlign w:val="center"/>
          </w:tcPr>
          <w:p w14:paraId="79072A3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5" w:type="dxa"/>
            <w:tcBorders>
              <w:left w:val="single" w:sz="6" w:space="0" w:color="auto"/>
              <w:right w:val="single" w:sz="6" w:space="0" w:color="auto"/>
            </w:tcBorders>
            <w:vAlign w:val="center"/>
          </w:tcPr>
          <w:p w14:paraId="22EB437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426" w:type="dxa"/>
            <w:tcBorders>
              <w:left w:val="single" w:sz="6" w:space="0" w:color="auto"/>
              <w:right w:val="single" w:sz="6" w:space="0" w:color="auto"/>
            </w:tcBorders>
            <w:vAlign w:val="center"/>
          </w:tcPr>
          <w:p w14:paraId="36890593"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c>
          <w:tcPr>
            <w:tcW w:w="567" w:type="dxa"/>
            <w:tcBorders>
              <w:left w:val="single" w:sz="6" w:space="0" w:color="auto"/>
              <w:right w:val="single" w:sz="6" w:space="0" w:color="auto"/>
            </w:tcBorders>
            <w:vAlign w:val="center"/>
          </w:tcPr>
          <w:p w14:paraId="41A7B93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5A791A2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72EDBD6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A</w:t>
            </w:r>
          </w:p>
        </w:tc>
      </w:tr>
      <w:tr w:rsidR="004E798C" w:rsidRPr="000855B2" w14:paraId="2F94D5A0" w14:textId="77777777" w:rsidTr="00AF4A3C">
        <w:trPr>
          <w:cantSplit/>
        </w:trPr>
        <w:tc>
          <w:tcPr>
            <w:tcW w:w="2413" w:type="dxa"/>
            <w:tcBorders>
              <w:left w:val="double" w:sz="6" w:space="0" w:color="auto"/>
            </w:tcBorders>
            <w:vAlign w:val="center"/>
          </w:tcPr>
          <w:p w14:paraId="522202B5"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Pass. Cars LPG</w:t>
            </w:r>
          </w:p>
        </w:tc>
        <w:tc>
          <w:tcPr>
            <w:tcW w:w="425" w:type="dxa"/>
            <w:tcBorders>
              <w:left w:val="single" w:sz="6" w:space="0" w:color="auto"/>
              <w:right w:val="single" w:sz="6" w:space="0" w:color="auto"/>
            </w:tcBorders>
            <w:vAlign w:val="center"/>
          </w:tcPr>
          <w:p w14:paraId="7DCEAE92"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6" w:type="dxa"/>
            <w:tcBorders>
              <w:left w:val="single" w:sz="6" w:space="0" w:color="auto"/>
              <w:right w:val="single" w:sz="6" w:space="0" w:color="auto"/>
            </w:tcBorders>
            <w:vAlign w:val="center"/>
          </w:tcPr>
          <w:p w14:paraId="7D0C088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850" w:type="dxa"/>
            <w:tcBorders>
              <w:left w:val="single" w:sz="6" w:space="0" w:color="auto"/>
              <w:right w:val="single" w:sz="6" w:space="0" w:color="auto"/>
            </w:tcBorders>
            <w:vAlign w:val="center"/>
          </w:tcPr>
          <w:p w14:paraId="51B1109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C</w:t>
            </w:r>
          </w:p>
        </w:tc>
        <w:tc>
          <w:tcPr>
            <w:tcW w:w="425" w:type="dxa"/>
            <w:tcBorders>
              <w:left w:val="single" w:sz="6" w:space="0" w:color="auto"/>
              <w:right w:val="single" w:sz="6" w:space="0" w:color="auto"/>
            </w:tcBorders>
            <w:vAlign w:val="center"/>
          </w:tcPr>
          <w:p w14:paraId="10D75FEF"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318801D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49BB101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2864EF50"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433DA94D"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B</w:t>
            </w:r>
          </w:p>
        </w:tc>
      </w:tr>
      <w:tr w:rsidR="004E798C" w:rsidRPr="000855B2" w14:paraId="35267BE7" w14:textId="77777777" w:rsidTr="00AF4A3C">
        <w:trPr>
          <w:cantSplit/>
        </w:trPr>
        <w:tc>
          <w:tcPr>
            <w:tcW w:w="2413" w:type="dxa"/>
            <w:tcBorders>
              <w:left w:val="double" w:sz="6" w:space="0" w:color="auto"/>
            </w:tcBorders>
            <w:vAlign w:val="center"/>
          </w:tcPr>
          <w:p w14:paraId="7BD42F1E"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Gas. </w:t>
            </w:r>
            <w:r w:rsidR="00CF67A4"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425" w:type="dxa"/>
            <w:tcBorders>
              <w:left w:val="single" w:sz="6" w:space="0" w:color="auto"/>
              <w:right w:val="single" w:sz="6" w:space="0" w:color="auto"/>
            </w:tcBorders>
            <w:vAlign w:val="center"/>
          </w:tcPr>
          <w:p w14:paraId="1620837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right w:val="single" w:sz="6" w:space="0" w:color="auto"/>
            </w:tcBorders>
            <w:vAlign w:val="center"/>
          </w:tcPr>
          <w:p w14:paraId="78613A5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left w:val="single" w:sz="6" w:space="0" w:color="auto"/>
              <w:right w:val="single" w:sz="6" w:space="0" w:color="auto"/>
            </w:tcBorders>
            <w:vAlign w:val="center"/>
          </w:tcPr>
          <w:p w14:paraId="4507CC9C"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left w:val="single" w:sz="6" w:space="0" w:color="auto"/>
              <w:right w:val="single" w:sz="6" w:space="0" w:color="auto"/>
            </w:tcBorders>
            <w:vAlign w:val="center"/>
          </w:tcPr>
          <w:p w14:paraId="57414EB8"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right w:val="single" w:sz="6" w:space="0" w:color="auto"/>
            </w:tcBorders>
            <w:vAlign w:val="center"/>
          </w:tcPr>
          <w:p w14:paraId="7F75BEB5"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63222C1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single" w:sz="6" w:space="0" w:color="auto"/>
            </w:tcBorders>
            <w:vAlign w:val="center"/>
          </w:tcPr>
          <w:p w14:paraId="3102AF26"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right w:val="double" w:sz="6" w:space="0" w:color="auto"/>
            </w:tcBorders>
            <w:vAlign w:val="center"/>
          </w:tcPr>
          <w:p w14:paraId="4F06062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r>
      <w:tr w:rsidR="004E798C" w:rsidRPr="000855B2" w14:paraId="6B6E9173" w14:textId="77777777" w:rsidTr="00AF4A3C">
        <w:trPr>
          <w:cantSplit/>
        </w:trPr>
        <w:tc>
          <w:tcPr>
            <w:tcW w:w="2413" w:type="dxa"/>
            <w:tcBorders>
              <w:left w:val="double" w:sz="6" w:space="0" w:color="auto"/>
              <w:bottom w:val="double" w:sz="6" w:space="0" w:color="auto"/>
            </w:tcBorders>
            <w:vAlign w:val="center"/>
          </w:tcPr>
          <w:p w14:paraId="206C2B2E" w14:textId="77777777" w:rsidR="004E798C" w:rsidRPr="008D1A83" w:rsidRDefault="004E798C"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Diesel </w:t>
            </w:r>
            <w:r w:rsidR="00CF67A4"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w:t>
            </w:r>
            <w:r w:rsidR="00311AB3" w:rsidRPr="008D1A83">
              <w:rPr>
                <w:rFonts w:ascii="Open Sans" w:hAnsi="Open Sans" w:cs="Open Sans"/>
                <w:sz w:val="16"/>
                <w:szCs w:val="16"/>
                <w:lang w:val="en-GB"/>
              </w:rPr>
              <w:t>icles</w:t>
            </w:r>
          </w:p>
        </w:tc>
        <w:tc>
          <w:tcPr>
            <w:tcW w:w="425" w:type="dxa"/>
            <w:tcBorders>
              <w:left w:val="single" w:sz="6" w:space="0" w:color="auto"/>
              <w:bottom w:val="double" w:sz="6" w:space="0" w:color="auto"/>
              <w:right w:val="single" w:sz="6" w:space="0" w:color="auto"/>
            </w:tcBorders>
            <w:vAlign w:val="center"/>
          </w:tcPr>
          <w:p w14:paraId="70C14A84"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6" w:type="dxa"/>
            <w:tcBorders>
              <w:left w:val="single" w:sz="6" w:space="0" w:color="auto"/>
              <w:bottom w:val="double" w:sz="6" w:space="0" w:color="auto"/>
              <w:right w:val="single" w:sz="6" w:space="0" w:color="auto"/>
            </w:tcBorders>
            <w:vAlign w:val="center"/>
          </w:tcPr>
          <w:p w14:paraId="42549CB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850" w:type="dxa"/>
            <w:tcBorders>
              <w:left w:val="single" w:sz="6" w:space="0" w:color="auto"/>
              <w:bottom w:val="double" w:sz="6" w:space="0" w:color="auto"/>
              <w:right w:val="single" w:sz="6" w:space="0" w:color="auto"/>
            </w:tcBorders>
            <w:vAlign w:val="center"/>
          </w:tcPr>
          <w:p w14:paraId="430E095A"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425" w:type="dxa"/>
            <w:tcBorders>
              <w:left w:val="single" w:sz="6" w:space="0" w:color="auto"/>
              <w:bottom w:val="double" w:sz="6" w:space="0" w:color="auto"/>
              <w:right w:val="single" w:sz="6" w:space="0" w:color="auto"/>
            </w:tcBorders>
            <w:vAlign w:val="center"/>
          </w:tcPr>
          <w:p w14:paraId="0C89A3DB"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426" w:type="dxa"/>
            <w:tcBorders>
              <w:left w:val="single" w:sz="6" w:space="0" w:color="auto"/>
              <w:bottom w:val="double" w:sz="6" w:space="0" w:color="auto"/>
              <w:right w:val="single" w:sz="6" w:space="0" w:color="auto"/>
            </w:tcBorders>
            <w:vAlign w:val="center"/>
          </w:tcPr>
          <w:p w14:paraId="175FBA17"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c>
          <w:tcPr>
            <w:tcW w:w="567" w:type="dxa"/>
            <w:tcBorders>
              <w:left w:val="single" w:sz="6" w:space="0" w:color="auto"/>
              <w:bottom w:val="double" w:sz="6" w:space="0" w:color="auto"/>
              <w:right w:val="single" w:sz="6" w:space="0" w:color="auto"/>
            </w:tcBorders>
            <w:vAlign w:val="center"/>
          </w:tcPr>
          <w:p w14:paraId="4E72BA4E"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bottom w:val="double" w:sz="6" w:space="0" w:color="auto"/>
              <w:right w:val="single" w:sz="6" w:space="0" w:color="auto"/>
            </w:tcBorders>
            <w:vAlign w:val="center"/>
          </w:tcPr>
          <w:p w14:paraId="226213C9"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567" w:type="dxa"/>
            <w:tcBorders>
              <w:left w:val="single" w:sz="6" w:space="0" w:color="auto"/>
              <w:bottom w:val="double" w:sz="6" w:space="0" w:color="auto"/>
              <w:right w:val="double" w:sz="6" w:space="0" w:color="auto"/>
            </w:tcBorders>
            <w:vAlign w:val="center"/>
          </w:tcPr>
          <w:p w14:paraId="279DCA81" w14:textId="77777777" w:rsidR="004E798C" w:rsidRPr="008D1A83" w:rsidRDefault="004E798C"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D</w:t>
            </w:r>
          </w:p>
        </w:tc>
      </w:tr>
    </w:tbl>
    <w:p w14:paraId="0BCED9C6" w14:textId="77777777" w:rsidR="001C2087" w:rsidRPr="00B642C6" w:rsidRDefault="001C2087" w:rsidP="001C2087">
      <w:pPr>
        <w:rPr>
          <w:sz w:val="16"/>
          <w:lang w:val="en-GB"/>
        </w:rPr>
      </w:pPr>
      <w:r w:rsidRPr="00B642C6">
        <w:rPr>
          <w:sz w:val="16"/>
          <w:lang w:val="en-GB"/>
        </w:rPr>
        <w:t>Note:</w:t>
      </w:r>
    </w:p>
    <w:p w14:paraId="1985311C" w14:textId="77777777" w:rsidR="001C2087" w:rsidRPr="000855B2" w:rsidRDefault="001C2087" w:rsidP="001C2087">
      <w:pPr>
        <w:rPr>
          <w:sz w:val="20"/>
          <w:lang w:val="en-GB"/>
        </w:rPr>
      </w:pPr>
      <w:r w:rsidRPr="00B642C6">
        <w:rPr>
          <w:sz w:val="16"/>
          <w:lang w:val="en-GB"/>
        </w:rPr>
        <w:t>A: Statistically significant emission factors based on sufficiently large set of measured and evaluated data; B: Emission factors non statistically significant based on a small set of measured re-evaluated data; C: Emission factors estimated on the basis of available literature; D: Emission factors estimated applying similarity considerations and/or extrapolation.</w:t>
      </w:r>
    </w:p>
    <w:p w14:paraId="25B9D125" w14:textId="77777777" w:rsidR="001C2087" w:rsidRPr="000855B2" w:rsidRDefault="001C2087" w:rsidP="0083104A">
      <w:pPr>
        <w:pStyle w:val="BodyText"/>
      </w:pPr>
      <w:r w:rsidRPr="000855B2">
        <w:rPr>
          <w:szCs w:val="21"/>
        </w:rPr>
        <w:t xml:space="preserve">In order to assess the </w:t>
      </w:r>
      <w:r w:rsidRPr="000855B2">
        <w:t xml:space="preserve">uncertainty of a complete emission inventory, Kouridis et al. (2009) performed an uncertainty characterisation study of the Tier 3 emission methodology, using the COPERT 4 emission model </w:t>
      </w:r>
      <w:r w:rsidRPr="000855B2">
        <w:lastRenderedPageBreak/>
        <w:t>which encompasses this methodology. Global sensitivity and uncertainty analysis was performed by characterising the uncertainty of the emission factors and the input data and by performing Monte Carlo simulations. The report of Kouridis et al. (2009) presents in detail the steps followed in this process. It is not the intention to repeat here the methodology followed in that study. However, some key points and recommendations may prove useful in quantifying and, more significantly, reducing the uncertainty of road transport inventories.</w:t>
      </w:r>
    </w:p>
    <w:p w14:paraId="64994757" w14:textId="77777777" w:rsidR="004C3AAF" w:rsidRPr="000855B2" w:rsidRDefault="001C2087" w:rsidP="0083104A">
      <w:pPr>
        <w:pStyle w:val="BodyText"/>
      </w:pPr>
      <w:r w:rsidRPr="000855B2">
        <w:t>The study quantified the uncertainty of the 2005 road transport inventory in two countries. These two countries were selected as examples of a country in the southern Europe with good knowledge of the stock and activity data and one country in northern Europe with poor statistics on the stock description. The difference in the territories selected (north vs south) affects the environmental conditions considered in each case.</w:t>
      </w:r>
    </w:p>
    <w:p w14:paraId="6752B8B5" w14:textId="77777777" w:rsidR="001C2087" w:rsidRPr="000855B2" w:rsidRDefault="001C2087" w:rsidP="0083104A">
      <w:pPr>
        <w:pStyle w:val="BodyText"/>
      </w:pPr>
      <w:r w:rsidRPr="000855B2">
        <w:t xml:space="preserve">For the compilation of the uncertainty and sensitivity analysis, the uncertainty of the input data was assessed based on available information and justified assumptions in case of no data. The uncertainty in the effect of vehicle age on the annual mileage driven and was assessed by collecting information from different countries. The variability in other input data (fuel properties, temperatures, trip distance distributions, etc.) was quantified based on justified assumptions. In total, the variability of 51 individual variables and parameters was assessed. Some of these parameters were multi-dimensional. </w:t>
      </w:r>
    </w:p>
    <w:p w14:paraId="6B84EB5E" w14:textId="3C57DD7E" w:rsidR="001C2087" w:rsidRPr="000855B2" w:rsidRDefault="001C2087" w:rsidP="0083104A">
      <w:pPr>
        <w:pStyle w:val="BodyText"/>
      </w:pPr>
      <w:r w:rsidRPr="000855B2">
        <w:t xml:space="preserve">As a first step of the uncertainty characterisation methodology, a screening test was performed. This screened the significant variables and parameters and separated them from the non significant ones. ‘Significant’ in this case means that the expected variance of the particular variable affects the variance of the result by a significant amount. The significant variables in the case of the two countries are given in </w:t>
      </w:r>
      <w:r w:rsidR="00FB454C">
        <w:fldChar w:fldCharType="begin"/>
      </w:r>
      <w:r w:rsidR="00FB454C">
        <w:instrText xml:space="preserve"> REF _Ref248057368 \h  \* MERGEFORMAT </w:instrText>
      </w:r>
      <w:r w:rsidR="00FB454C">
        <w:fldChar w:fldCharType="separate"/>
      </w:r>
      <w:r w:rsidR="0071604C" w:rsidRPr="000855B2">
        <w:t xml:space="preserve">Table </w:t>
      </w:r>
      <w:r w:rsidR="0071604C">
        <w:rPr>
          <w:noProof/>
        </w:rPr>
        <w:t>4.2</w:t>
      </w:r>
      <w:r w:rsidR="00FB454C">
        <w:fldChar w:fldCharType="end"/>
      </w:r>
      <w:r w:rsidRPr="000855B2">
        <w:t>. It is evident from the table that there is a certain overlap of variables which are significant in both cases (hot emission factors, mean trip distance etc) but there are also other variables which are important only to each of the countries. For example, the country with good stock statistics has a very large number of two wheelers. As a result, even a small uncertainty in their mileage or total stock will significantly add to the uncertainty of the final result. This is not the case in the country with the weak stock statistics where two wheelers are relatively fewer. In contrast, this second country has only a rough knowledge of the allocation of vehicles to different technologies and this shows up as a significant variable.</w:t>
      </w:r>
    </w:p>
    <w:p w14:paraId="65465967" w14:textId="1C4BDA84" w:rsidR="001C2087" w:rsidRPr="000855B2" w:rsidRDefault="001C2087" w:rsidP="0083104A">
      <w:pPr>
        <w:pStyle w:val="BodyText"/>
      </w:pPr>
      <w:r w:rsidRPr="000855B2">
        <w:t>The 16 variables in the case of the country with good statistics can explain from 78% (CO</w:t>
      </w:r>
      <w:r w:rsidRPr="000855B2">
        <w:rPr>
          <w:vertAlign w:val="subscript"/>
        </w:rPr>
        <w:t>2</w:t>
      </w:r>
      <w:r w:rsidRPr="000855B2">
        <w:t>) to 91% (VOC) of the total uncertainty. This means that the remaining 35 variables can only explain ~10% of the remaining uncertainty of the result. In the country with poor statistics, the 17 variables can explain from 77% (CH</w:t>
      </w:r>
      <w:r w:rsidRPr="000855B2">
        <w:rPr>
          <w:vertAlign w:val="subscript"/>
        </w:rPr>
        <w:t>4</w:t>
      </w:r>
      <w:r w:rsidRPr="000855B2">
        <w:t>) to 96% (NO</w:t>
      </w:r>
      <w:r w:rsidRPr="000855B2">
        <w:rPr>
          <w:vertAlign w:val="subscript"/>
        </w:rPr>
        <w:t>x</w:t>
      </w:r>
      <w:r w:rsidRPr="000855B2">
        <w:t xml:space="preserve">) of the total uncertainty. This means that even by zeroing the uncertainty of the remaining 34 variables, the uncertainty in the case of that country would be reduced by less than 15% of its current value. Evidently, an effort should be made to reduce the uncertainty of the variables shown in </w:t>
      </w:r>
      <w:r w:rsidR="00FB454C">
        <w:fldChar w:fldCharType="begin"/>
      </w:r>
      <w:r w:rsidR="00FB454C">
        <w:instrText xml:space="preserve"> REF _Ref248057368 \h  \* MERGEFORMAT </w:instrText>
      </w:r>
      <w:r w:rsidR="00FB454C">
        <w:fldChar w:fldCharType="separate"/>
      </w:r>
      <w:r w:rsidR="0071604C" w:rsidRPr="000855B2">
        <w:t xml:space="preserve">Table </w:t>
      </w:r>
      <w:r w:rsidR="0071604C">
        <w:rPr>
          <w:noProof/>
        </w:rPr>
        <w:t>4.2</w:t>
      </w:r>
      <w:r w:rsidR="00FB454C">
        <w:fldChar w:fldCharType="end"/>
      </w:r>
      <w:r w:rsidRPr="000855B2">
        <w:t>. Reducing the uncertainty of other variables would have limited effect on the end result.</w:t>
      </w:r>
    </w:p>
    <w:p w14:paraId="56E09FC1" w14:textId="77777777" w:rsidR="001C2087" w:rsidRPr="000855B2" w:rsidRDefault="001C2087" w:rsidP="00DE272E">
      <w:pPr>
        <w:pStyle w:val="BodyText"/>
        <w:spacing w:after="0"/>
      </w:pPr>
      <w:r w:rsidRPr="000855B2">
        <w:t>Some examples can be given to identify differences between the two countries examined:</w:t>
      </w:r>
    </w:p>
    <w:p w14:paraId="025D9911" w14:textId="77777777" w:rsidR="001C2087" w:rsidRPr="000855B2" w:rsidRDefault="001C2087" w:rsidP="00DE272E">
      <w:pPr>
        <w:pStyle w:val="BodyText"/>
        <w:spacing w:before="0"/>
      </w:pPr>
      <w:r w:rsidRPr="000855B2">
        <w:t>In the country with good statistics, the uncertainty in NO</w:t>
      </w:r>
      <w:r w:rsidRPr="000855B2">
        <w:rPr>
          <w:vertAlign w:val="subscript"/>
        </w:rPr>
        <w:t>x</w:t>
      </w:r>
      <w:r w:rsidRPr="000855B2">
        <w:t xml:space="preserve"> emissions is dominated by the uncertainty in the emission factor, which explains 76% of the total model uncertainty. This means that even if that country had perfect input data of zero uncertainty, the NO</w:t>
      </w:r>
      <w:r w:rsidRPr="000855B2">
        <w:rPr>
          <w:vertAlign w:val="subscript"/>
        </w:rPr>
        <w:t>x</w:t>
      </w:r>
      <w:r w:rsidRPr="000855B2">
        <w:t xml:space="preserve"> calculation would not be more than 24% less uncertain that the current calculation. In this instance, the variable that individually explains most of the uncertainty of the inventory is the hot emission factor, followed by either the heavy duty vehicles mileage or the cold-start overemission. Other variables that are affected by the user (motorcycle and moped mileage, l</w:t>
      </w:r>
      <w:r w:rsidRPr="000855B2">
        <w:rPr>
          <w:vertAlign w:val="subscript"/>
        </w:rPr>
        <w:t>trip</w:t>
      </w:r>
      <w:r w:rsidRPr="000855B2">
        <w:t>, speeds, etc.) affect the total uncertainty by 10-25%. This means that this country is an example where the uncertainty in the calculation of total emissions depends mostly on the inherent uncertainty of the model (emission factors) rather than on the uncertainty of the data provided by the inventory compiler.</w:t>
      </w:r>
    </w:p>
    <w:p w14:paraId="5BC5CE82" w14:textId="3104C552" w:rsidR="00B431D0" w:rsidRPr="000855B2" w:rsidRDefault="00B431D0" w:rsidP="008D1A83">
      <w:pPr>
        <w:pStyle w:val="Caption"/>
      </w:pPr>
      <w:bookmarkStart w:id="314" w:name="_Ref248057368"/>
      <w:r w:rsidRPr="000855B2">
        <w:lastRenderedPageBreak/>
        <w:t xml:space="preserve">Table </w:t>
      </w:r>
      <w:r w:rsidR="00FB454C">
        <w:fldChar w:fldCharType="begin"/>
      </w:r>
      <w:r w:rsidR="00FB454C">
        <w:instrText xml:space="preserve"> STYLEREF 1 \s </w:instrText>
      </w:r>
      <w:r w:rsidR="00FB454C">
        <w:fldChar w:fldCharType="separate"/>
      </w:r>
      <w:r w:rsidR="0071604C">
        <w:rPr>
          <w:noProof/>
        </w:rPr>
        <w:t>4</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w:t>
      </w:r>
      <w:r w:rsidR="00FB454C">
        <w:rPr>
          <w:noProof/>
        </w:rPr>
        <w:fldChar w:fldCharType="end"/>
      </w:r>
      <w:bookmarkEnd w:id="314"/>
      <w:r w:rsidRPr="000855B2">
        <w:t xml:space="preserve">: Variables significant for the quantification of the total emission inventory uncertainty (not </w:t>
      </w:r>
      <w:r w:rsidR="00761845" w:rsidRPr="000855B2">
        <w:t>by</w:t>
      </w:r>
      <w:r w:rsidRPr="000855B2">
        <w:t xml:space="preserve"> order of significance)</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4219"/>
        <w:gridCol w:w="1850"/>
        <w:gridCol w:w="1693"/>
      </w:tblGrid>
      <w:tr w:rsidR="00B431D0" w:rsidRPr="000855B2" w14:paraId="54B21C36" w14:textId="77777777" w:rsidTr="008D2AFB">
        <w:tc>
          <w:tcPr>
            <w:tcW w:w="4219" w:type="dxa"/>
            <w:tcBorders>
              <w:bottom w:val="single" w:sz="12" w:space="0" w:color="auto"/>
            </w:tcBorders>
            <w:vAlign w:val="center"/>
          </w:tcPr>
          <w:p w14:paraId="4E9026F2" w14:textId="77777777" w:rsidR="00B431D0" w:rsidRPr="008D1A83" w:rsidRDefault="00B431D0"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Variable</w:t>
            </w:r>
          </w:p>
        </w:tc>
        <w:tc>
          <w:tcPr>
            <w:tcW w:w="1850" w:type="dxa"/>
            <w:tcBorders>
              <w:bottom w:val="single" w:sz="12" w:space="0" w:color="auto"/>
            </w:tcBorders>
            <w:vAlign w:val="center"/>
          </w:tcPr>
          <w:p w14:paraId="0B32FAF8" w14:textId="77777777" w:rsidR="00B431D0" w:rsidRPr="008D1A83" w:rsidRDefault="00B74C8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Significant for country with good stock statistics</w:t>
            </w:r>
          </w:p>
        </w:tc>
        <w:tc>
          <w:tcPr>
            <w:tcW w:w="1693" w:type="dxa"/>
            <w:tcBorders>
              <w:bottom w:val="single" w:sz="12" w:space="0" w:color="auto"/>
            </w:tcBorders>
            <w:vAlign w:val="center"/>
          </w:tcPr>
          <w:p w14:paraId="3DD2A288" w14:textId="77777777" w:rsidR="00B431D0" w:rsidRPr="008D1A83" w:rsidRDefault="00B74C8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Significant for country with weak stock statistics</w:t>
            </w:r>
          </w:p>
        </w:tc>
      </w:tr>
      <w:tr w:rsidR="00B431D0" w:rsidRPr="000855B2" w14:paraId="04123D87" w14:textId="77777777" w:rsidTr="008D2AFB">
        <w:tc>
          <w:tcPr>
            <w:tcW w:w="4219" w:type="dxa"/>
            <w:tcBorders>
              <w:top w:val="single" w:sz="12" w:space="0" w:color="auto"/>
            </w:tcBorders>
            <w:vAlign w:val="center"/>
          </w:tcPr>
          <w:p w14:paraId="4FF13788"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Hot emission factor</w:t>
            </w:r>
          </w:p>
        </w:tc>
        <w:tc>
          <w:tcPr>
            <w:tcW w:w="1850" w:type="dxa"/>
            <w:tcBorders>
              <w:top w:val="single" w:sz="12" w:space="0" w:color="auto"/>
            </w:tcBorders>
            <w:vAlign w:val="center"/>
          </w:tcPr>
          <w:p w14:paraId="73EC362B"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tcBorders>
              <w:top w:val="single" w:sz="12" w:space="0" w:color="auto"/>
            </w:tcBorders>
            <w:vAlign w:val="center"/>
          </w:tcPr>
          <w:p w14:paraId="47E700B0"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583E9B9C" w14:textId="77777777" w:rsidTr="00AF4A3C">
        <w:tc>
          <w:tcPr>
            <w:tcW w:w="4219" w:type="dxa"/>
            <w:vAlign w:val="center"/>
          </w:tcPr>
          <w:p w14:paraId="4ACF1280"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Cold overemission</w:t>
            </w:r>
          </w:p>
        </w:tc>
        <w:tc>
          <w:tcPr>
            <w:tcW w:w="1850" w:type="dxa"/>
            <w:vAlign w:val="center"/>
          </w:tcPr>
          <w:p w14:paraId="050583A8"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3F987EA0"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4F97C457" w14:textId="77777777" w:rsidTr="00AF4A3C">
        <w:tc>
          <w:tcPr>
            <w:tcW w:w="4219" w:type="dxa"/>
            <w:vAlign w:val="center"/>
          </w:tcPr>
          <w:p w14:paraId="74E4A78E"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Mean trip distance</w:t>
            </w:r>
          </w:p>
        </w:tc>
        <w:tc>
          <w:tcPr>
            <w:tcW w:w="1850" w:type="dxa"/>
            <w:vAlign w:val="center"/>
          </w:tcPr>
          <w:p w14:paraId="02FCE468"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3AD319F6"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0417317A" w14:textId="77777777" w:rsidTr="00AF4A3C">
        <w:tc>
          <w:tcPr>
            <w:tcW w:w="4219" w:type="dxa"/>
            <w:vAlign w:val="center"/>
          </w:tcPr>
          <w:p w14:paraId="0C542383"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Oxygen to carbon ratio in the fuel</w:t>
            </w:r>
          </w:p>
        </w:tc>
        <w:tc>
          <w:tcPr>
            <w:tcW w:w="1850" w:type="dxa"/>
            <w:vAlign w:val="center"/>
          </w:tcPr>
          <w:p w14:paraId="12E30D44"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2B80B7C8" w14:textId="77777777" w:rsidR="00B431D0" w:rsidRPr="008D1A83" w:rsidRDefault="00B431D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7FEE0886" w14:textId="77777777" w:rsidTr="00AF4A3C">
        <w:tc>
          <w:tcPr>
            <w:tcW w:w="4219" w:type="dxa"/>
            <w:vAlign w:val="center"/>
          </w:tcPr>
          <w:p w14:paraId="08D1C32E"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Population of passenger cars</w:t>
            </w:r>
          </w:p>
        </w:tc>
        <w:tc>
          <w:tcPr>
            <w:tcW w:w="1850" w:type="dxa"/>
            <w:vAlign w:val="center"/>
          </w:tcPr>
          <w:p w14:paraId="7239757A"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215CCB40"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A93A1B" w:rsidRPr="000855B2" w14:paraId="4E53736D" w14:textId="77777777" w:rsidTr="00AF4A3C">
        <w:tc>
          <w:tcPr>
            <w:tcW w:w="4219" w:type="dxa"/>
            <w:vAlign w:val="center"/>
          </w:tcPr>
          <w:p w14:paraId="69C9F84F"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Population of </w:t>
            </w:r>
            <w:r w:rsidR="00606052"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1850" w:type="dxa"/>
            <w:vAlign w:val="center"/>
          </w:tcPr>
          <w:p w14:paraId="0447E3D1"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4FB78BB"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12FBD5D1" w14:textId="77777777" w:rsidTr="00AF4A3C">
        <w:tc>
          <w:tcPr>
            <w:tcW w:w="4219" w:type="dxa"/>
            <w:vAlign w:val="center"/>
          </w:tcPr>
          <w:p w14:paraId="7280001A"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Population of heavy duty vehicles</w:t>
            </w:r>
          </w:p>
        </w:tc>
        <w:tc>
          <w:tcPr>
            <w:tcW w:w="1850" w:type="dxa"/>
            <w:vAlign w:val="center"/>
          </w:tcPr>
          <w:p w14:paraId="3390C7AD"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44916C8"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7EC85A94" w14:textId="77777777" w:rsidTr="00AF4A3C">
        <w:tc>
          <w:tcPr>
            <w:tcW w:w="4219" w:type="dxa"/>
            <w:vAlign w:val="center"/>
          </w:tcPr>
          <w:p w14:paraId="624680A0" w14:textId="77777777" w:rsidR="00B431D0" w:rsidRPr="008D1A83" w:rsidRDefault="00B431D0"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Population of mopeds</w:t>
            </w:r>
          </w:p>
        </w:tc>
        <w:tc>
          <w:tcPr>
            <w:tcW w:w="1850" w:type="dxa"/>
            <w:vAlign w:val="center"/>
          </w:tcPr>
          <w:p w14:paraId="45C161D3"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26D2C47B"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A93A1B" w:rsidRPr="000855B2" w14:paraId="638531D4" w14:textId="77777777" w:rsidTr="00AF4A3C">
        <w:tc>
          <w:tcPr>
            <w:tcW w:w="4219" w:type="dxa"/>
            <w:vAlign w:val="center"/>
          </w:tcPr>
          <w:p w14:paraId="6747CCEF"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passenger cars</w:t>
            </w:r>
          </w:p>
        </w:tc>
        <w:tc>
          <w:tcPr>
            <w:tcW w:w="1850" w:type="dxa"/>
            <w:vAlign w:val="center"/>
          </w:tcPr>
          <w:p w14:paraId="488DDFB0"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05CB4E3D"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367A4270" w14:textId="77777777" w:rsidTr="00AF4A3C">
        <w:tc>
          <w:tcPr>
            <w:tcW w:w="4219" w:type="dxa"/>
            <w:vAlign w:val="center"/>
          </w:tcPr>
          <w:p w14:paraId="07D590A6"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Annual mileage of </w:t>
            </w:r>
            <w:r w:rsidR="00606052"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1850" w:type="dxa"/>
            <w:vAlign w:val="center"/>
          </w:tcPr>
          <w:p w14:paraId="271AE2BC"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4D790323"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524B449D" w14:textId="77777777" w:rsidTr="00AF4A3C">
        <w:tc>
          <w:tcPr>
            <w:tcW w:w="4219" w:type="dxa"/>
            <w:vAlign w:val="center"/>
          </w:tcPr>
          <w:p w14:paraId="0B538BAC"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heavy duty vehicles</w:t>
            </w:r>
          </w:p>
        </w:tc>
        <w:tc>
          <w:tcPr>
            <w:tcW w:w="1850" w:type="dxa"/>
            <w:vAlign w:val="center"/>
          </w:tcPr>
          <w:p w14:paraId="1F21F5D1"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74E00C78"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021F01FD" w14:textId="77777777" w:rsidTr="00AF4A3C">
        <w:tc>
          <w:tcPr>
            <w:tcW w:w="4219" w:type="dxa"/>
            <w:vAlign w:val="center"/>
          </w:tcPr>
          <w:p w14:paraId="2C941FF7"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urban busses</w:t>
            </w:r>
          </w:p>
        </w:tc>
        <w:tc>
          <w:tcPr>
            <w:tcW w:w="1850" w:type="dxa"/>
            <w:vAlign w:val="center"/>
          </w:tcPr>
          <w:p w14:paraId="499B13E8"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5D578891"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6D0C5491" w14:textId="77777777" w:rsidTr="00AF4A3C">
        <w:tc>
          <w:tcPr>
            <w:tcW w:w="4219" w:type="dxa"/>
            <w:vAlign w:val="center"/>
          </w:tcPr>
          <w:p w14:paraId="7A9BFC2E"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mopeds/motorcycles</w:t>
            </w:r>
          </w:p>
        </w:tc>
        <w:tc>
          <w:tcPr>
            <w:tcW w:w="1850" w:type="dxa"/>
            <w:vAlign w:val="center"/>
          </w:tcPr>
          <w:p w14:paraId="4D267689"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79E400F"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2A4763E8" w14:textId="77777777" w:rsidTr="00AF4A3C">
        <w:tc>
          <w:tcPr>
            <w:tcW w:w="4219" w:type="dxa"/>
            <w:vAlign w:val="center"/>
          </w:tcPr>
          <w:p w14:paraId="0D1525B5"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Urban passenger car speed</w:t>
            </w:r>
          </w:p>
        </w:tc>
        <w:tc>
          <w:tcPr>
            <w:tcW w:w="1850" w:type="dxa"/>
            <w:vAlign w:val="center"/>
          </w:tcPr>
          <w:p w14:paraId="7F543AEF"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5D65ED24"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B431D0" w:rsidRPr="000855B2" w14:paraId="78593D97" w14:textId="77777777" w:rsidTr="00AF4A3C">
        <w:tc>
          <w:tcPr>
            <w:tcW w:w="4219" w:type="dxa"/>
            <w:vAlign w:val="center"/>
          </w:tcPr>
          <w:p w14:paraId="0FD08F5B"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Highway passenger car speed</w:t>
            </w:r>
          </w:p>
        </w:tc>
        <w:tc>
          <w:tcPr>
            <w:tcW w:w="1850" w:type="dxa"/>
            <w:vAlign w:val="center"/>
          </w:tcPr>
          <w:p w14:paraId="4F1841E4"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70A4ABA1" w14:textId="77777777" w:rsidR="00B431D0"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686CB0F6" w14:textId="77777777" w:rsidTr="00AF4A3C">
        <w:tc>
          <w:tcPr>
            <w:tcW w:w="4219" w:type="dxa"/>
            <w:vAlign w:val="center"/>
          </w:tcPr>
          <w:p w14:paraId="129CBEAC"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Rural passenger car speed</w:t>
            </w:r>
          </w:p>
        </w:tc>
        <w:tc>
          <w:tcPr>
            <w:tcW w:w="1850" w:type="dxa"/>
            <w:vAlign w:val="center"/>
          </w:tcPr>
          <w:p w14:paraId="224B86DB"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46814624" w14:textId="77777777" w:rsidR="00B431D0"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A93A1B" w:rsidRPr="000855B2" w14:paraId="1B6D75A2" w14:textId="77777777" w:rsidTr="00AF4A3C">
        <w:tc>
          <w:tcPr>
            <w:tcW w:w="4219" w:type="dxa"/>
            <w:vAlign w:val="center"/>
          </w:tcPr>
          <w:p w14:paraId="2CCDBE10"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Urban speed of </w:t>
            </w:r>
            <w:r w:rsidR="00606052" w:rsidRPr="008D1A83">
              <w:rPr>
                <w:rFonts w:ascii="Open Sans" w:hAnsi="Open Sans" w:cs="Open Sans"/>
                <w:sz w:val="16"/>
                <w:szCs w:val="16"/>
                <w:lang w:val="en-GB"/>
              </w:rPr>
              <w:t>light commercial</w:t>
            </w:r>
            <w:r w:rsidR="008A57BB" w:rsidRPr="008D1A83">
              <w:rPr>
                <w:rFonts w:ascii="Open Sans" w:hAnsi="Open Sans" w:cs="Open Sans"/>
                <w:sz w:val="16"/>
                <w:szCs w:val="16"/>
                <w:lang w:val="en-GB"/>
              </w:rPr>
              <w:t xml:space="preserve"> vehicles</w:t>
            </w:r>
          </w:p>
        </w:tc>
        <w:tc>
          <w:tcPr>
            <w:tcW w:w="1850" w:type="dxa"/>
            <w:vAlign w:val="center"/>
          </w:tcPr>
          <w:p w14:paraId="6C01267B" w14:textId="77777777" w:rsidR="00A93A1B" w:rsidRPr="008D1A83" w:rsidRDefault="00402F90"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032E1F25" w14:textId="77777777" w:rsidR="00A93A1B"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4E47F079" w14:textId="77777777" w:rsidTr="00AF4A3C">
        <w:tc>
          <w:tcPr>
            <w:tcW w:w="4219" w:type="dxa"/>
            <w:vAlign w:val="center"/>
          </w:tcPr>
          <w:p w14:paraId="51467B41"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Urban share of passenger cars</w:t>
            </w:r>
          </w:p>
        </w:tc>
        <w:tc>
          <w:tcPr>
            <w:tcW w:w="1850" w:type="dxa"/>
            <w:vAlign w:val="center"/>
          </w:tcPr>
          <w:p w14:paraId="17F34E53"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c>
          <w:tcPr>
            <w:tcW w:w="1693" w:type="dxa"/>
            <w:vAlign w:val="center"/>
          </w:tcPr>
          <w:p w14:paraId="6C10743B" w14:textId="77777777" w:rsidR="00B431D0" w:rsidRPr="008D1A83" w:rsidRDefault="008A57B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r>
      <w:tr w:rsidR="00B431D0" w:rsidRPr="000855B2" w14:paraId="38329A33" w14:textId="77777777" w:rsidTr="00AF4A3C">
        <w:tc>
          <w:tcPr>
            <w:tcW w:w="4219" w:type="dxa"/>
            <w:vAlign w:val="center"/>
          </w:tcPr>
          <w:p w14:paraId="38E1214F" w14:textId="77777777" w:rsidR="00B431D0"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Urban speed of </w:t>
            </w:r>
            <w:r w:rsidR="00606052" w:rsidRPr="008D1A83">
              <w:rPr>
                <w:rFonts w:ascii="Open Sans" w:hAnsi="Open Sans" w:cs="Open Sans"/>
                <w:sz w:val="16"/>
                <w:szCs w:val="16"/>
                <w:lang w:val="en-GB"/>
              </w:rPr>
              <w:t>light commercial</w:t>
            </w:r>
            <w:r w:rsidRPr="008D1A83">
              <w:rPr>
                <w:rFonts w:ascii="Open Sans" w:hAnsi="Open Sans" w:cs="Open Sans"/>
                <w:sz w:val="16"/>
                <w:szCs w:val="16"/>
                <w:lang w:val="en-GB"/>
              </w:rPr>
              <w:t xml:space="preserve"> vehicles</w:t>
            </w:r>
          </w:p>
        </w:tc>
        <w:tc>
          <w:tcPr>
            <w:tcW w:w="1850" w:type="dxa"/>
            <w:vAlign w:val="center"/>
          </w:tcPr>
          <w:p w14:paraId="2FC794E3"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16A7A35B" w14:textId="77777777" w:rsidR="00B431D0"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065A27E9" w14:textId="77777777" w:rsidTr="00AF4A3C">
        <w:tc>
          <w:tcPr>
            <w:tcW w:w="4219" w:type="dxa"/>
            <w:vAlign w:val="center"/>
          </w:tcPr>
          <w:p w14:paraId="08525C97"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Urban speed of busses</w:t>
            </w:r>
          </w:p>
        </w:tc>
        <w:tc>
          <w:tcPr>
            <w:tcW w:w="1850" w:type="dxa"/>
            <w:vAlign w:val="center"/>
          </w:tcPr>
          <w:p w14:paraId="5AB6B9F6"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2F08F98B"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4E36136B" w14:textId="77777777" w:rsidTr="00AF4A3C">
        <w:tc>
          <w:tcPr>
            <w:tcW w:w="4219" w:type="dxa"/>
            <w:vAlign w:val="center"/>
          </w:tcPr>
          <w:p w14:paraId="4BB9C406"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Annual mileage of vehicles at the year of their registration</w:t>
            </w:r>
          </w:p>
        </w:tc>
        <w:tc>
          <w:tcPr>
            <w:tcW w:w="1850" w:type="dxa"/>
            <w:vAlign w:val="center"/>
          </w:tcPr>
          <w:p w14:paraId="30A204BB"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529C38A6"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7B944F2D" w14:textId="77777777" w:rsidTr="00AF4A3C">
        <w:tc>
          <w:tcPr>
            <w:tcW w:w="4219" w:type="dxa"/>
            <w:vAlign w:val="center"/>
          </w:tcPr>
          <w:p w14:paraId="0B93C4EB"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 xml:space="preserve">The split between diesel and </w:t>
            </w:r>
            <w:r w:rsidR="005E4DC4">
              <w:rPr>
                <w:rFonts w:ascii="Open Sans" w:hAnsi="Open Sans" w:cs="Open Sans"/>
                <w:sz w:val="16"/>
                <w:szCs w:val="16"/>
                <w:lang w:val="en-GB"/>
              </w:rPr>
              <w:t>petrol</w:t>
            </w:r>
            <w:r w:rsidRPr="008D1A83">
              <w:rPr>
                <w:rFonts w:ascii="Open Sans" w:hAnsi="Open Sans" w:cs="Open Sans"/>
                <w:sz w:val="16"/>
                <w:szCs w:val="16"/>
                <w:lang w:val="en-GB"/>
              </w:rPr>
              <w:t xml:space="preserve"> cars</w:t>
            </w:r>
          </w:p>
        </w:tc>
        <w:tc>
          <w:tcPr>
            <w:tcW w:w="1850" w:type="dxa"/>
            <w:vAlign w:val="center"/>
          </w:tcPr>
          <w:p w14:paraId="3EF62511"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03F8D1C6"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13AA1227" w14:textId="77777777" w:rsidTr="00AF4A3C">
        <w:tc>
          <w:tcPr>
            <w:tcW w:w="4219" w:type="dxa"/>
            <w:vAlign w:val="center"/>
          </w:tcPr>
          <w:p w14:paraId="03AE5EAC"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The split of vehicles to capacity and weight classes</w:t>
            </w:r>
          </w:p>
        </w:tc>
        <w:tc>
          <w:tcPr>
            <w:tcW w:w="1850" w:type="dxa"/>
            <w:vAlign w:val="center"/>
          </w:tcPr>
          <w:p w14:paraId="5372A08F"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6F867100"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r w:rsidR="00A93A1B" w:rsidRPr="000855B2" w14:paraId="72BCD8B4" w14:textId="77777777" w:rsidTr="00AF4A3C">
        <w:tc>
          <w:tcPr>
            <w:tcW w:w="4219" w:type="dxa"/>
            <w:vAlign w:val="center"/>
          </w:tcPr>
          <w:p w14:paraId="7E870D19" w14:textId="77777777" w:rsidR="00A93A1B" w:rsidRPr="008D1A83" w:rsidRDefault="00A93A1B" w:rsidP="005C7955">
            <w:pPr>
              <w:pStyle w:val="Table"/>
              <w:spacing w:line="240" w:lineRule="atLeast"/>
              <w:rPr>
                <w:rFonts w:ascii="Open Sans" w:hAnsi="Open Sans" w:cs="Open Sans"/>
                <w:sz w:val="16"/>
                <w:szCs w:val="16"/>
                <w:lang w:val="en-GB"/>
              </w:rPr>
            </w:pPr>
            <w:r w:rsidRPr="008D1A83">
              <w:rPr>
                <w:rFonts w:ascii="Open Sans" w:hAnsi="Open Sans" w:cs="Open Sans"/>
                <w:sz w:val="16"/>
                <w:szCs w:val="16"/>
                <w:lang w:val="en-GB"/>
              </w:rPr>
              <w:t>The allocation of vehicles to different technology classes</w:t>
            </w:r>
          </w:p>
        </w:tc>
        <w:tc>
          <w:tcPr>
            <w:tcW w:w="1850" w:type="dxa"/>
            <w:vAlign w:val="center"/>
          </w:tcPr>
          <w:p w14:paraId="1E0E7B5C"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t>-</w:t>
            </w:r>
          </w:p>
        </w:tc>
        <w:tc>
          <w:tcPr>
            <w:tcW w:w="1693" w:type="dxa"/>
            <w:vAlign w:val="center"/>
          </w:tcPr>
          <w:p w14:paraId="2C9F34E4" w14:textId="77777777" w:rsidR="00A93A1B" w:rsidRPr="008D1A83" w:rsidRDefault="00A93A1B" w:rsidP="005C7955">
            <w:pPr>
              <w:pStyle w:val="Table"/>
              <w:spacing w:line="240" w:lineRule="atLeast"/>
              <w:jc w:val="center"/>
              <w:rPr>
                <w:rFonts w:ascii="Open Sans" w:hAnsi="Open Sans" w:cs="Open Sans"/>
                <w:sz w:val="16"/>
                <w:szCs w:val="16"/>
                <w:lang w:val="en-GB"/>
              </w:rPr>
            </w:pPr>
            <w:r w:rsidRPr="008D1A83">
              <w:rPr>
                <w:rFonts w:ascii="Open Sans" w:hAnsi="Open Sans" w:cs="Open Sans"/>
                <w:sz w:val="16"/>
                <w:szCs w:val="16"/>
                <w:lang w:val="en-GB"/>
              </w:rPr>
              <w:sym w:font="Wingdings" w:char="F0FE"/>
            </w:r>
          </w:p>
        </w:tc>
      </w:tr>
    </w:tbl>
    <w:p w14:paraId="51D27557" w14:textId="77777777" w:rsidR="001C2087" w:rsidRPr="000855B2" w:rsidRDefault="001C2087" w:rsidP="00DE272E">
      <w:pPr>
        <w:pStyle w:val="BodyText"/>
      </w:pPr>
      <w:r w:rsidRPr="000855B2">
        <w:t xml:space="preserve">In the case of the country with poor stock statistics, the situation is quite different. In this case, the uncertainty was estimated using all available information and building submodels to estimate the distribution of vehicles to classes and technologies. This is because the allocation of vehicles to different fuels and technology classes is hardly known in this case. The uncertainty of the emission factors still remains as one of the most important variables in estimating the total uncertainty. However, other variables, such as the initial vehicle mileage and the distribution of vehicles to different types are equally important. For example, the hot and cold-start emission factor uncertainty explains only ~30% of the total VOC and CO uncertainty. The remainder is determined by values introduced by the inventory compiler. This is also true to a lesser extent also for the other pollutants. As a result, the quality of the inventory can significantly improve by collecting more detailed input data and by reducing their uncertainty. </w:t>
      </w:r>
    </w:p>
    <w:p w14:paraId="11EC5F81" w14:textId="7D810E79" w:rsidR="001C2087" w:rsidRPr="000855B2" w:rsidRDefault="001C2087" w:rsidP="00DE272E">
      <w:pPr>
        <w:pStyle w:val="BodyText"/>
      </w:pPr>
      <w:r w:rsidRPr="000855B2">
        <w:t>The uncertainty analysis conduc</w:t>
      </w:r>
      <w:r w:rsidR="00F82B4C">
        <w:t>t</w:t>
      </w:r>
      <w:r w:rsidRPr="000855B2">
        <w:t xml:space="preserve">ed in the study of Kouridis et al. (2009) also made possible to quantify the total uncertainty of the calculation. </w:t>
      </w:r>
      <w:r w:rsidR="00FB454C">
        <w:fldChar w:fldCharType="begin"/>
      </w:r>
      <w:r w:rsidR="00FB454C">
        <w:instrText xml:space="preserve"> REF _Ref248059962 \h  \* MERGEFORMAT </w:instrText>
      </w:r>
      <w:r w:rsidR="00FB454C">
        <w:fldChar w:fldCharType="separate"/>
      </w:r>
      <w:r w:rsidR="0071604C" w:rsidRPr="000855B2">
        <w:t xml:space="preserve">Table </w:t>
      </w:r>
      <w:r w:rsidR="0071604C">
        <w:t>4.3</w:t>
      </w:r>
      <w:r w:rsidR="00FB454C">
        <w:fldChar w:fldCharType="end"/>
      </w:r>
      <w:r w:rsidRPr="000855B2">
        <w:t xml:space="preserve"> shows the coefficient of variation (standard deviation over mean) for the different pollutants, for the two countries. In the table, pollutant CO</w:t>
      </w:r>
      <w:r w:rsidRPr="000855B2">
        <w:rPr>
          <w:vertAlign w:val="subscript"/>
        </w:rPr>
        <w:t>2e</w:t>
      </w:r>
      <w:r w:rsidRPr="000855B2">
        <w:t xml:space="preserve"> represents the equivalent CO</w:t>
      </w:r>
      <w:r w:rsidRPr="000855B2">
        <w:rPr>
          <w:vertAlign w:val="subscript"/>
        </w:rPr>
        <w:t>2</w:t>
      </w:r>
      <w:r w:rsidRPr="000855B2">
        <w:t xml:space="preserve"> emission, when aggregating the greenhouse gases (CO</w:t>
      </w:r>
      <w:r w:rsidRPr="000855B2">
        <w:rPr>
          <w:vertAlign w:val="subscript"/>
        </w:rPr>
        <w:t>2</w:t>
      </w:r>
      <w:r w:rsidRPr="000855B2">
        <w:t>, CH</w:t>
      </w:r>
      <w:r w:rsidRPr="000855B2">
        <w:rPr>
          <w:vertAlign w:val="subscript"/>
        </w:rPr>
        <w:t>4</w:t>
      </w:r>
      <w:r w:rsidRPr="000855B2">
        <w:t>, and N</w:t>
      </w:r>
      <w:r w:rsidRPr="000855B2">
        <w:rPr>
          <w:vertAlign w:val="subscript"/>
        </w:rPr>
        <w:t>2</w:t>
      </w:r>
      <w:r w:rsidRPr="000855B2">
        <w:t xml:space="preserve">O) weighted by their corresponding 100-year GHG GWPs. Two different uncertainty ranges are given per country. The first (w/o </w:t>
      </w:r>
      <w:r w:rsidR="00F82B4C">
        <w:t>E</w:t>
      </w:r>
      <w:r w:rsidRPr="000855B2">
        <w:t xml:space="preserve">C), is the uncertainty calculated without trying to respect the statistical </w:t>
      </w:r>
      <w:r w:rsidR="00F82B4C">
        <w:t>energy</w:t>
      </w:r>
      <w:r w:rsidR="00F82B4C" w:rsidRPr="000855B2">
        <w:t xml:space="preserve"> </w:t>
      </w:r>
      <w:r w:rsidRPr="000855B2">
        <w:t xml:space="preserve">consumption. This means that the calculated </w:t>
      </w:r>
      <w:r w:rsidR="00F82B4C">
        <w:t>energy</w:t>
      </w:r>
      <w:r w:rsidRPr="000855B2">
        <w:t xml:space="preserve"> consumption can obtain any value, regardless of the statistical one. The second calculation (w. </w:t>
      </w:r>
      <w:r w:rsidR="00F82B4C">
        <w:t>E</w:t>
      </w:r>
      <w:r w:rsidRPr="000855B2">
        <w:t xml:space="preserve">C) filters the calculation to keep only these runs that provide </w:t>
      </w:r>
      <w:r w:rsidR="00F82B4C">
        <w:t>energy</w:t>
      </w:r>
      <w:r w:rsidR="00F82B4C" w:rsidRPr="000855B2">
        <w:t xml:space="preserve"> </w:t>
      </w:r>
      <w:r w:rsidRPr="000855B2">
        <w:t xml:space="preserve">consumption values which are within plus minus one standard deviation (7% for the country with good statistics, 11% for the </w:t>
      </w:r>
      <w:r w:rsidRPr="000855B2">
        <w:lastRenderedPageBreak/>
        <w:t xml:space="preserve">country of poor statistics) of the statistical </w:t>
      </w:r>
      <w:r w:rsidR="00F82B4C">
        <w:t>energy</w:t>
      </w:r>
      <w:r w:rsidR="00F82B4C" w:rsidRPr="000855B2">
        <w:t xml:space="preserve"> </w:t>
      </w:r>
      <w:r w:rsidRPr="000855B2">
        <w:t xml:space="preserve">consumption. This is considered a reasonable filtering, as an inventory calculation which would lead to a very high or very low </w:t>
      </w:r>
      <w:r w:rsidR="00F82B4C">
        <w:t>energy</w:t>
      </w:r>
      <w:r w:rsidR="00F82B4C" w:rsidRPr="000855B2">
        <w:t xml:space="preserve"> </w:t>
      </w:r>
      <w:r w:rsidRPr="000855B2">
        <w:t xml:space="preserve">consumption value would have been rejected as non valid. </w:t>
      </w:r>
    </w:p>
    <w:p w14:paraId="3418839F" w14:textId="1035024F" w:rsidR="0014254F" w:rsidRPr="000855B2" w:rsidRDefault="0014254F" w:rsidP="008D1A83">
      <w:pPr>
        <w:pStyle w:val="Caption"/>
        <w:rPr>
          <w:lang w:eastAsia="nl-NL"/>
        </w:rPr>
      </w:pPr>
      <w:bookmarkStart w:id="315" w:name="_Ref248059962"/>
      <w:r w:rsidRPr="000855B2">
        <w:t xml:space="preserve">Table </w:t>
      </w:r>
      <w:r w:rsidR="00FB454C">
        <w:fldChar w:fldCharType="begin"/>
      </w:r>
      <w:r w:rsidR="00FB454C">
        <w:instrText xml:space="preserve"> STYLEREF 1 \s </w:instrText>
      </w:r>
      <w:r w:rsidR="00FB454C">
        <w:fldChar w:fldCharType="separate"/>
      </w:r>
      <w:r w:rsidR="0071604C">
        <w:rPr>
          <w:noProof/>
        </w:rPr>
        <w:t>4</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w:t>
      </w:r>
      <w:r w:rsidR="00FB454C">
        <w:rPr>
          <w:noProof/>
        </w:rPr>
        <w:fldChar w:fldCharType="end"/>
      </w:r>
      <w:bookmarkEnd w:id="315"/>
      <w:r w:rsidRPr="000855B2">
        <w:t xml:space="preserve">: Summary of </w:t>
      </w:r>
      <w:r w:rsidR="00B74C8F" w:rsidRPr="000855B2">
        <w:t>coefficients of variation</w:t>
      </w:r>
      <w:r w:rsidRPr="000855B2">
        <w:t xml:space="preserve"> Two cases are shown, one w/o correction for </w:t>
      </w:r>
      <w:r w:rsidR="00F82B4C">
        <w:t>energy</w:t>
      </w:r>
      <w:r w:rsidR="00F82B4C" w:rsidRPr="000855B2">
        <w:t xml:space="preserve"> </w:t>
      </w:r>
      <w:r w:rsidRPr="000855B2">
        <w:t xml:space="preserve">consumption, and one with correction for </w:t>
      </w:r>
      <w:r w:rsidR="00F82B4C">
        <w:t>energy</w:t>
      </w:r>
      <w:r w:rsidRPr="000855B2">
        <w:t xml:space="preserve"> consumption</w:t>
      </w:r>
      <w:r w:rsidR="00B74C8F" w:rsidRPr="000855B2">
        <w:t>.</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20" w:firstRow="1" w:lastRow="0" w:firstColumn="0" w:lastColumn="0" w:noHBand="0" w:noVBand="0"/>
      </w:tblPr>
      <w:tblGrid>
        <w:gridCol w:w="1504"/>
        <w:gridCol w:w="567"/>
        <w:gridCol w:w="567"/>
        <w:gridCol w:w="567"/>
        <w:gridCol w:w="567"/>
        <w:gridCol w:w="567"/>
        <w:gridCol w:w="567"/>
        <w:gridCol w:w="567"/>
        <w:gridCol w:w="567"/>
        <w:gridCol w:w="567"/>
        <w:gridCol w:w="567"/>
        <w:gridCol w:w="567"/>
      </w:tblGrid>
      <w:tr w:rsidR="0014254F" w:rsidRPr="000855B2" w14:paraId="5D1E9487" w14:textId="77777777" w:rsidTr="008D2AFB">
        <w:trPr>
          <w:cantSplit/>
          <w:trHeight w:hRule="exact" w:val="397"/>
        </w:trPr>
        <w:tc>
          <w:tcPr>
            <w:tcW w:w="1504" w:type="dxa"/>
            <w:tcBorders>
              <w:bottom w:val="single" w:sz="12" w:space="0" w:color="auto"/>
            </w:tcBorders>
            <w:shd w:val="clear" w:color="auto" w:fill="auto"/>
            <w:tcMar>
              <w:left w:w="28" w:type="dxa"/>
              <w:right w:w="28" w:type="dxa"/>
            </w:tcMar>
            <w:vAlign w:val="center"/>
          </w:tcPr>
          <w:p w14:paraId="2B7E4799"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Case</w:t>
            </w:r>
          </w:p>
        </w:tc>
        <w:tc>
          <w:tcPr>
            <w:tcW w:w="567" w:type="dxa"/>
            <w:tcBorders>
              <w:bottom w:val="single" w:sz="12" w:space="0" w:color="auto"/>
            </w:tcBorders>
            <w:shd w:val="clear" w:color="auto" w:fill="auto"/>
            <w:tcMar>
              <w:left w:w="28" w:type="dxa"/>
              <w:right w:w="28" w:type="dxa"/>
            </w:tcMar>
            <w:vAlign w:val="center"/>
          </w:tcPr>
          <w:p w14:paraId="268D9472"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CO</w:t>
            </w:r>
          </w:p>
        </w:tc>
        <w:tc>
          <w:tcPr>
            <w:tcW w:w="567" w:type="dxa"/>
            <w:tcBorders>
              <w:bottom w:val="single" w:sz="12" w:space="0" w:color="auto"/>
            </w:tcBorders>
            <w:shd w:val="clear" w:color="auto" w:fill="auto"/>
            <w:tcMar>
              <w:left w:w="28" w:type="dxa"/>
              <w:right w:w="28" w:type="dxa"/>
            </w:tcMar>
            <w:vAlign w:val="center"/>
          </w:tcPr>
          <w:p w14:paraId="2084A76B"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VOC</w:t>
            </w:r>
          </w:p>
        </w:tc>
        <w:tc>
          <w:tcPr>
            <w:tcW w:w="567" w:type="dxa"/>
            <w:tcBorders>
              <w:bottom w:val="single" w:sz="12" w:space="0" w:color="auto"/>
            </w:tcBorders>
            <w:shd w:val="clear" w:color="auto" w:fill="auto"/>
            <w:tcMar>
              <w:left w:w="28" w:type="dxa"/>
              <w:right w:w="28" w:type="dxa"/>
            </w:tcMar>
            <w:vAlign w:val="center"/>
          </w:tcPr>
          <w:p w14:paraId="1C176AB9"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CH</w:t>
            </w:r>
            <w:r w:rsidRPr="008D1A83">
              <w:rPr>
                <w:rFonts w:ascii="Open Sans" w:hAnsi="Open Sans" w:cs="Open Sans"/>
                <w:b/>
                <w:bCs/>
                <w:sz w:val="16"/>
                <w:szCs w:val="16"/>
                <w:vertAlign w:val="subscript"/>
                <w:lang w:val="en-GB"/>
              </w:rPr>
              <w:t>4</w:t>
            </w:r>
          </w:p>
        </w:tc>
        <w:tc>
          <w:tcPr>
            <w:tcW w:w="567" w:type="dxa"/>
            <w:tcBorders>
              <w:bottom w:val="single" w:sz="12" w:space="0" w:color="auto"/>
            </w:tcBorders>
            <w:shd w:val="clear" w:color="auto" w:fill="auto"/>
            <w:tcMar>
              <w:left w:w="28" w:type="dxa"/>
              <w:right w:w="28" w:type="dxa"/>
            </w:tcMar>
            <w:vAlign w:val="center"/>
          </w:tcPr>
          <w:p w14:paraId="4965ED2F"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NO</w:t>
            </w:r>
            <w:r w:rsidRPr="008D1A83">
              <w:rPr>
                <w:rFonts w:ascii="Open Sans" w:hAnsi="Open Sans" w:cs="Open Sans"/>
                <w:b/>
                <w:bCs/>
                <w:sz w:val="16"/>
                <w:szCs w:val="16"/>
                <w:vertAlign w:val="subscript"/>
                <w:lang w:val="en-GB"/>
              </w:rPr>
              <w:t>x</w:t>
            </w:r>
          </w:p>
        </w:tc>
        <w:tc>
          <w:tcPr>
            <w:tcW w:w="567" w:type="dxa"/>
            <w:tcBorders>
              <w:bottom w:val="single" w:sz="12" w:space="0" w:color="auto"/>
            </w:tcBorders>
            <w:shd w:val="clear" w:color="auto" w:fill="auto"/>
            <w:tcMar>
              <w:left w:w="28" w:type="dxa"/>
              <w:right w:w="28" w:type="dxa"/>
            </w:tcMar>
            <w:vAlign w:val="center"/>
          </w:tcPr>
          <w:p w14:paraId="664903D5"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N</w:t>
            </w:r>
            <w:r w:rsidRPr="008D1A83">
              <w:rPr>
                <w:rFonts w:ascii="Open Sans" w:hAnsi="Open Sans" w:cs="Open Sans"/>
                <w:b/>
                <w:bCs/>
                <w:sz w:val="16"/>
                <w:szCs w:val="16"/>
                <w:vertAlign w:val="subscript"/>
                <w:lang w:val="en-GB"/>
              </w:rPr>
              <w:t>2</w:t>
            </w:r>
            <w:r w:rsidRPr="008D1A83">
              <w:rPr>
                <w:rFonts w:ascii="Open Sans" w:hAnsi="Open Sans" w:cs="Open Sans"/>
                <w:b/>
                <w:bCs/>
                <w:sz w:val="16"/>
                <w:szCs w:val="16"/>
                <w:lang w:val="en-GB"/>
              </w:rPr>
              <w:t>O</w:t>
            </w:r>
          </w:p>
        </w:tc>
        <w:tc>
          <w:tcPr>
            <w:tcW w:w="567" w:type="dxa"/>
            <w:tcBorders>
              <w:bottom w:val="single" w:sz="12" w:space="0" w:color="auto"/>
            </w:tcBorders>
            <w:shd w:val="clear" w:color="auto" w:fill="auto"/>
            <w:tcMar>
              <w:left w:w="28" w:type="dxa"/>
              <w:right w:w="28" w:type="dxa"/>
            </w:tcMar>
            <w:vAlign w:val="center"/>
          </w:tcPr>
          <w:p w14:paraId="1A24E177"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PM</w:t>
            </w:r>
            <w:r w:rsidRPr="008D1A83">
              <w:rPr>
                <w:rFonts w:ascii="Open Sans" w:hAnsi="Open Sans" w:cs="Open Sans"/>
                <w:b/>
                <w:bCs/>
                <w:sz w:val="16"/>
                <w:szCs w:val="16"/>
                <w:vertAlign w:val="subscript"/>
                <w:lang w:val="en-GB"/>
              </w:rPr>
              <w:t>2.5</w:t>
            </w:r>
          </w:p>
        </w:tc>
        <w:tc>
          <w:tcPr>
            <w:tcW w:w="567" w:type="dxa"/>
            <w:tcBorders>
              <w:bottom w:val="single" w:sz="12" w:space="0" w:color="auto"/>
            </w:tcBorders>
            <w:shd w:val="clear" w:color="auto" w:fill="auto"/>
            <w:tcMar>
              <w:left w:w="28" w:type="dxa"/>
              <w:right w:w="28" w:type="dxa"/>
            </w:tcMar>
            <w:vAlign w:val="center"/>
          </w:tcPr>
          <w:p w14:paraId="13EA58F7"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PM</w:t>
            </w:r>
            <w:r w:rsidRPr="008D1A83">
              <w:rPr>
                <w:rFonts w:ascii="Open Sans" w:hAnsi="Open Sans" w:cs="Open Sans"/>
                <w:b/>
                <w:bCs/>
                <w:sz w:val="16"/>
                <w:szCs w:val="16"/>
                <w:vertAlign w:val="subscript"/>
                <w:lang w:val="en-GB"/>
              </w:rPr>
              <w:t>10</w:t>
            </w:r>
          </w:p>
        </w:tc>
        <w:tc>
          <w:tcPr>
            <w:tcW w:w="567" w:type="dxa"/>
            <w:tcBorders>
              <w:bottom w:val="single" w:sz="12" w:space="0" w:color="auto"/>
            </w:tcBorders>
            <w:shd w:val="clear" w:color="auto" w:fill="auto"/>
            <w:tcMar>
              <w:left w:w="28" w:type="dxa"/>
              <w:right w:w="28" w:type="dxa"/>
            </w:tcMar>
            <w:vAlign w:val="center"/>
          </w:tcPr>
          <w:p w14:paraId="2063C131"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PM</w:t>
            </w:r>
            <w:r w:rsidRPr="008D1A83">
              <w:rPr>
                <w:rFonts w:ascii="Open Sans" w:hAnsi="Open Sans" w:cs="Open Sans"/>
                <w:b/>
                <w:bCs/>
                <w:sz w:val="16"/>
                <w:szCs w:val="16"/>
                <w:vertAlign w:val="subscript"/>
                <w:lang w:val="en-GB"/>
              </w:rPr>
              <w:t>exh</w:t>
            </w:r>
          </w:p>
        </w:tc>
        <w:tc>
          <w:tcPr>
            <w:tcW w:w="567" w:type="dxa"/>
            <w:tcBorders>
              <w:bottom w:val="single" w:sz="12" w:space="0" w:color="auto"/>
            </w:tcBorders>
            <w:shd w:val="clear" w:color="auto" w:fill="auto"/>
            <w:tcMar>
              <w:left w:w="28" w:type="dxa"/>
              <w:right w:w="28" w:type="dxa"/>
            </w:tcMar>
            <w:vAlign w:val="center"/>
          </w:tcPr>
          <w:p w14:paraId="2DF736E4"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FC</w:t>
            </w:r>
          </w:p>
        </w:tc>
        <w:tc>
          <w:tcPr>
            <w:tcW w:w="567" w:type="dxa"/>
            <w:tcBorders>
              <w:bottom w:val="single" w:sz="12" w:space="0" w:color="auto"/>
            </w:tcBorders>
            <w:shd w:val="clear" w:color="auto" w:fill="auto"/>
            <w:tcMar>
              <w:left w:w="28" w:type="dxa"/>
              <w:right w:w="28" w:type="dxa"/>
            </w:tcMar>
            <w:vAlign w:val="center"/>
          </w:tcPr>
          <w:p w14:paraId="00018440"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CO</w:t>
            </w:r>
            <w:r w:rsidRPr="008D1A83">
              <w:rPr>
                <w:rFonts w:ascii="Open Sans" w:hAnsi="Open Sans" w:cs="Open Sans"/>
                <w:b/>
                <w:bCs/>
                <w:sz w:val="16"/>
                <w:szCs w:val="16"/>
                <w:vertAlign w:val="subscript"/>
                <w:lang w:val="en-GB"/>
              </w:rPr>
              <w:t>2</w:t>
            </w:r>
          </w:p>
        </w:tc>
        <w:tc>
          <w:tcPr>
            <w:tcW w:w="567" w:type="dxa"/>
            <w:tcBorders>
              <w:bottom w:val="single" w:sz="12" w:space="0" w:color="auto"/>
            </w:tcBorders>
            <w:shd w:val="clear" w:color="auto" w:fill="auto"/>
            <w:tcMar>
              <w:left w:w="28" w:type="dxa"/>
              <w:right w:w="28" w:type="dxa"/>
            </w:tcMar>
            <w:vAlign w:val="center"/>
          </w:tcPr>
          <w:p w14:paraId="553B404C" w14:textId="77777777" w:rsidR="0014254F" w:rsidRPr="008D1A83" w:rsidRDefault="0014254F" w:rsidP="005C7955">
            <w:pPr>
              <w:pStyle w:val="Table"/>
              <w:spacing w:line="240" w:lineRule="atLeast"/>
              <w:jc w:val="center"/>
              <w:rPr>
                <w:rFonts w:ascii="Open Sans" w:hAnsi="Open Sans" w:cs="Open Sans"/>
                <w:b/>
                <w:bCs/>
                <w:sz w:val="16"/>
                <w:szCs w:val="16"/>
                <w:lang w:val="en-GB"/>
              </w:rPr>
            </w:pPr>
            <w:r w:rsidRPr="008D1A83">
              <w:rPr>
                <w:rFonts w:ascii="Open Sans" w:hAnsi="Open Sans" w:cs="Open Sans"/>
                <w:b/>
                <w:bCs/>
                <w:sz w:val="16"/>
                <w:szCs w:val="16"/>
                <w:lang w:val="en-GB"/>
              </w:rPr>
              <w:t>CO</w:t>
            </w:r>
            <w:r w:rsidRPr="008D1A83">
              <w:rPr>
                <w:rFonts w:ascii="Open Sans" w:hAnsi="Open Sans" w:cs="Open Sans"/>
                <w:b/>
                <w:bCs/>
                <w:sz w:val="16"/>
                <w:szCs w:val="16"/>
                <w:vertAlign w:val="subscript"/>
                <w:lang w:val="en-GB"/>
              </w:rPr>
              <w:t>2e</w:t>
            </w:r>
          </w:p>
        </w:tc>
      </w:tr>
      <w:tr w:rsidR="0014254F" w:rsidRPr="000855B2" w14:paraId="544970A8" w14:textId="77777777" w:rsidTr="008D2AFB">
        <w:trPr>
          <w:cantSplit/>
          <w:trHeight w:hRule="exact" w:val="567"/>
        </w:trPr>
        <w:tc>
          <w:tcPr>
            <w:tcW w:w="1504" w:type="dxa"/>
            <w:tcBorders>
              <w:top w:val="single" w:sz="12" w:space="0" w:color="auto"/>
            </w:tcBorders>
            <w:shd w:val="clear" w:color="auto" w:fill="auto"/>
            <w:tcMar>
              <w:left w:w="28" w:type="dxa"/>
              <w:right w:w="28" w:type="dxa"/>
            </w:tcMar>
            <w:vAlign w:val="center"/>
          </w:tcPr>
          <w:p w14:paraId="7934DC7A" w14:textId="47406C91"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Good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w/o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tcBorders>
              <w:top w:val="single" w:sz="12" w:space="0" w:color="auto"/>
            </w:tcBorders>
            <w:shd w:val="clear" w:color="auto" w:fill="auto"/>
            <w:tcMar>
              <w:left w:w="28" w:type="dxa"/>
              <w:right w:w="28" w:type="dxa"/>
            </w:tcMar>
            <w:vAlign w:val="center"/>
          </w:tcPr>
          <w:p w14:paraId="7BFB2190"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30</w:t>
            </w:r>
          </w:p>
        </w:tc>
        <w:tc>
          <w:tcPr>
            <w:tcW w:w="567" w:type="dxa"/>
            <w:tcBorders>
              <w:top w:val="single" w:sz="12" w:space="0" w:color="auto"/>
            </w:tcBorders>
            <w:shd w:val="clear" w:color="auto" w:fill="auto"/>
            <w:tcMar>
              <w:left w:w="28" w:type="dxa"/>
              <w:right w:w="28" w:type="dxa"/>
            </w:tcMar>
            <w:vAlign w:val="center"/>
          </w:tcPr>
          <w:p w14:paraId="6C438B38"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18</w:t>
            </w:r>
          </w:p>
        </w:tc>
        <w:tc>
          <w:tcPr>
            <w:tcW w:w="567" w:type="dxa"/>
            <w:tcBorders>
              <w:top w:val="single" w:sz="12" w:space="0" w:color="auto"/>
            </w:tcBorders>
            <w:shd w:val="clear" w:color="auto" w:fill="auto"/>
            <w:tcMar>
              <w:left w:w="28" w:type="dxa"/>
              <w:right w:w="28" w:type="dxa"/>
            </w:tcMar>
            <w:vAlign w:val="center"/>
          </w:tcPr>
          <w:p w14:paraId="7640D18F"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44</w:t>
            </w:r>
          </w:p>
        </w:tc>
        <w:tc>
          <w:tcPr>
            <w:tcW w:w="567" w:type="dxa"/>
            <w:tcBorders>
              <w:top w:val="single" w:sz="12" w:space="0" w:color="auto"/>
            </w:tcBorders>
            <w:shd w:val="clear" w:color="auto" w:fill="auto"/>
            <w:tcMar>
              <w:left w:w="28" w:type="dxa"/>
              <w:right w:w="28" w:type="dxa"/>
            </w:tcMar>
            <w:vAlign w:val="center"/>
          </w:tcPr>
          <w:p w14:paraId="2FB462A5"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15</w:t>
            </w:r>
          </w:p>
        </w:tc>
        <w:tc>
          <w:tcPr>
            <w:tcW w:w="567" w:type="dxa"/>
            <w:tcBorders>
              <w:top w:val="single" w:sz="12" w:space="0" w:color="auto"/>
            </w:tcBorders>
            <w:shd w:val="clear" w:color="auto" w:fill="auto"/>
            <w:tcMar>
              <w:left w:w="28" w:type="dxa"/>
              <w:right w:w="28" w:type="dxa"/>
            </w:tcMar>
            <w:vAlign w:val="center"/>
          </w:tcPr>
          <w:p w14:paraId="36392BFC"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33</w:t>
            </w:r>
          </w:p>
        </w:tc>
        <w:tc>
          <w:tcPr>
            <w:tcW w:w="567" w:type="dxa"/>
            <w:tcBorders>
              <w:top w:val="single" w:sz="12" w:space="0" w:color="auto"/>
            </w:tcBorders>
            <w:shd w:val="clear" w:color="auto" w:fill="auto"/>
            <w:tcMar>
              <w:left w:w="28" w:type="dxa"/>
              <w:right w:w="28" w:type="dxa"/>
            </w:tcMar>
            <w:vAlign w:val="center"/>
          </w:tcPr>
          <w:p w14:paraId="4A59266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13</w:t>
            </w:r>
          </w:p>
        </w:tc>
        <w:tc>
          <w:tcPr>
            <w:tcW w:w="567" w:type="dxa"/>
            <w:tcBorders>
              <w:top w:val="single" w:sz="12" w:space="0" w:color="auto"/>
            </w:tcBorders>
            <w:shd w:val="clear" w:color="auto" w:fill="auto"/>
            <w:tcMar>
              <w:left w:w="28" w:type="dxa"/>
              <w:right w:w="28" w:type="dxa"/>
            </w:tcMar>
            <w:vAlign w:val="center"/>
          </w:tcPr>
          <w:p w14:paraId="59243987"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13</w:t>
            </w:r>
          </w:p>
        </w:tc>
        <w:tc>
          <w:tcPr>
            <w:tcW w:w="567" w:type="dxa"/>
            <w:tcBorders>
              <w:top w:val="single" w:sz="12" w:space="0" w:color="auto"/>
            </w:tcBorders>
            <w:shd w:val="clear" w:color="auto" w:fill="auto"/>
            <w:tcMar>
              <w:left w:w="28" w:type="dxa"/>
              <w:right w:w="28" w:type="dxa"/>
            </w:tcMar>
            <w:vAlign w:val="center"/>
          </w:tcPr>
          <w:p w14:paraId="5DBFDBA3"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14</w:t>
            </w:r>
          </w:p>
        </w:tc>
        <w:tc>
          <w:tcPr>
            <w:tcW w:w="567" w:type="dxa"/>
            <w:tcBorders>
              <w:top w:val="single" w:sz="12" w:space="0" w:color="auto"/>
            </w:tcBorders>
            <w:shd w:val="clear" w:color="auto" w:fill="auto"/>
            <w:tcMar>
              <w:left w:w="28" w:type="dxa"/>
              <w:right w:w="28" w:type="dxa"/>
            </w:tcMar>
            <w:vAlign w:val="center"/>
          </w:tcPr>
          <w:p w14:paraId="2459F620"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7</w:t>
            </w:r>
          </w:p>
        </w:tc>
        <w:tc>
          <w:tcPr>
            <w:tcW w:w="567" w:type="dxa"/>
            <w:tcBorders>
              <w:top w:val="single" w:sz="12" w:space="0" w:color="auto"/>
            </w:tcBorders>
            <w:shd w:val="clear" w:color="auto" w:fill="auto"/>
            <w:tcMar>
              <w:left w:w="28" w:type="dxa"/>
              <w:right w:w="28" w:type="dxa"/>
            </w:tcMar>
            <w:vAlign w:val="center"/>
          </w:tcPr>
          <w:p w14:paraId="2A43F168"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7</w:t>
            </w:r>
          </w:p>
        </w:tc>
        <w:tc>
          <w:tcPr>
            <w:tcW w:w="567" w:type="dxa"/>
            <w:tcBorders>
              <w:top w:val="single" w:sz="12" w:space="0" w:color="auto"/>
            </w:tcBorders>
            <w:shd w:val="clear" w:color="auto" w:fill="auto"/>
            <w:tcMar>
              <w:left w:w="28" w:type="dxa"/>
              <w:right w:w="28" w:type="dxa"/>
            </w:tcMar>
            <w:vAlign w:val="center"/>
          </w:tcPr>
          <w:p w14:paraId="0B90FD13"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7</w:t>
            </w:r>
          </w:p>
        </w:tc>
      </w:tr>
      <w:tr w:rsidR="0014254F" w:rsidRPr="000855B2" w14:paraId="65D0B8E6" w14:textId="77777777" w:rsidTr="00AF4A3C">
        <w:trPr>
          <w:cantSplit/>
          <w:trHeight w:hRule="exact" w:val="567"/>
        </w:trPr>
        <w:tc>
          <w:tcPr>
            <w:tcW w:w="1504" w:type="dxa"/>
            <w:shd w:val="clear" w:color="auto" w:fill="auto"/>
            <w:tcMar>
              <w:left w:w="28" w:type="dxa"/>
              <w:right w:w="28" w:type="dxa"/>
            </w:tcMar>
            <w:vAlign w:val="center"/>
          </w:tcPr>
          <w:p w14:paraId="2073C40F" w14:textId="0D91C415"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Good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shd w:val="clear" w:color="auto" w:fill="auto"/>
            <w:tcMar>
              <w:left w:w="28" w:type="dxa"/>
              <w:right w:w="28" w:type="dxa"/>
            </w:tcMar>
            <w:vAlign w:val="center"/>
          </w:tcPr>
          <w:p w14:paraId="143543ED"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19</w:t>
            </w:r>
          </w:p>
        </w:tc>
        <w:tc>
          <w:tcPr>
            <w:tcW w:w="567" w:type="dxa"/>
            <w:shd w:val="clear" w:color="auto" w:fill="auto"/>
            <w:tcMar>
              <w:left w:w="28" w:type="dxa"/>
              <w:right w:w="28" w:type="dxa"/>
            </w:tcMar>
            <w:vAlign w:val="center"/>
          </w:tcPr>
          <w:p w14:paraId="5A7B91B8"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c>
          <w:tcPr>
            <w:tcW w:w="567" w:type="dxa"/>
            <w:shd w:val="clear" w:color="auto" w:fill="auto"/>
            <w:tcMar>
              <w:left w:w="28" w:type="dxa"/>
              <w:right w:w="28" w:type="dxa"/>
            </w:tcMar>
            <w:vAlign w:val="center"/>
          </w:tcPr>
          <w:p w14:paraId="519229A4"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34</w:t>
            </w:r>
          </w:p>
        </w:tc>
        <w:tc>
          <w:tcPr>
            <w:tcW w:w="567" w:type="dxa"/>
            <w:shd w:val="clear" w:color="auto" w:fill="auto"/>
            <w:tcMar>
              <w:left w:w="28" w:type="dxa"/>
              <w:right w:w="28" w:type="dxa"/>
            </w:tcMar>
            <w:vAlign w:val="center"/>
          </w:tcPr>
          <w:p w14:paraId="6F5464B2"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10</w:t>
            </w:r>
          </w:p>
        </w:tc>
        <w:tc>
          <w:tcPr>
            <w:tcW w:w="567" w:type="dxa"/>
            <w:shd w:val="clear" w:color="auto" w:fill="auto"/>
            <w:tcMar>
              <w:left w:w="28" w:type="dxa"/>
              <w:right w:w="28" w:type="dxa"/>
            </w:tcMar>
            <w:vAlign w:val="center"/>
          </w:tcPr>
          <w:p w14:paraId="13A804F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26</w:t>
            </w:r>
          </w:p>
        </w:tc>
        <w:tc>
          <w:tcPr>
            <w:tcW w:w="567" w:type="dxa"/>
            <w:shd w:val="clear" w:color="auto" w:fill="auto"/>
            <w:tcMar>
              <w:left w:w="28" w:type="dxa"/>
              <w:right w:w="28" w:type="dxa"/>
            </w:tcMar>
            <w:vAlign w:val="center"/>
          </w:tcPr>
          <w:p w14:paraId="2FD42F5C"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9</w:t>
            </w:r>
          </w:p>
        </w:tc>
        <w:tc>
          <w:tcPr>
            <w:tcW w:w="567" w:type="dxa"/>
            <w:shd w:val="clear" w:color="auto" w:fill="auto"/>
            <w:tcMar>
              <w:left w:w="28" w:type="dxa"/>
              <w:right w:w="28" w:type="dxa"/>
            </w:tcMar>
            <w:vAlign w:val="center"/>
          </w:tcPr>
          <w:p w14:paraId="7A29A0E7"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c>
          <w:tcPr>
            <w:tcW w:w="567" w:type="dxa"/>
            <w:shd w:val="clear" w:color="auto" w:fill="auto"/>
            <w:tcMar>
              <w:left w:w="28" w:type="dxa"/>
              <w:right w:w="28" w:type="dxa"/>
            </w:tcMar>
            <w:vAlign w:val="center"/>
          </w:tcPr>
          <w:p w14:paraId="2A0EBEDF"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9</w:t>
            </w:r>
          </w:p>
        </w:tc>
        <w:tc>
          <w:tcPr>
            <w:tcW w:w="567" w:type="dxa"/>
            <w:shd w:val="clear" w:color="auto" w:fill="auto"/>
            <w:tcMar>
              <w:left w:w="28" w:type="dxa"/>
              <w:right w:w="28" w:type="dxa"/>
            </w:tcMar>
            <w:vAlign w:val="center"/>
          </w:tcPr>
          <w:p w14:paraId="12BD3BB8"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3</w:t>
            </w:r>
          </w:p>
        </w:tc>
        <w:tc>
          <w:tcPr>
            <w:tcW w:w="567" w:type="dxa"/>
            <w:shd w:val="clear" w:color="auto" w:fill="auto"/>
            <w:tcMar>
              <w:left w:w="28" w:type="dxa"/>
              <w:right w:w="28" w:type="dxa"/>
            </w:tcMar>
            <w:vAlign w:val="center"/>
          </w:tcPr>
          <w:p w14:paraId="00A8B8FF"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4</w:t>
            </w:r>
          </w:p>
        </w:tc>
        <w:tc>
          <w:tcPr>
            <w:tcW w:w="567" w:type="dxa"/>
            <w:shd w:val="clear" w:color="auto" w:fill="auto"/>
            <w:tcMar>
              <w:left w:w="28" w:type="dxa"/>
              <w:right w:w="28" w:type="dxa"/>
            </w:tcMar>
            <w:vAlign w:val="center"/>
          </w:tcPr>
          <w:p w14:paraId="63CDB61F"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4</w:t>
            </w:r>
          </w:p>
        </w:tc>
      </w:tr>
      <w:tr w:rsidR="0014254F" w:rsidRPr="000855B2" w14:paraId="60F60558" w14:textId="77777777" w:rsidTr="00AF4A3C">
        <w:trPr>
          <w:cantSplit/>
          <w:trHeight w:hRule="exact" w:val="567"/>
        </w:trPr>
        <w:tc>
          <w:tcPr>
            <w:tcW w:w="1504" w:type="dxa"/>
            <w:shd w:val="clear" w:color="auto" w:fill="auto"/>
            <w:tcMar>
              <w:left w:w="28" w:type="dxa"/>
              <w:right w:w="28" w:type="dxa"/>
            </w:tcMar>
            <w:vAlign w:val="center"/>
          </w:tcPr>
          <w:p w14:paraId="13523B9B" w14:textId="2C1BFF18"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Poor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w/o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shd w:val="clear" w:color="auto" w:fill="auto"/>
            <w:tcMar>
              <w:left w:w="28" w:type="dxa"/>
              <w:right w:w="28" w:type="dxa"/>
            </w:tcMar>
            <w:vAlign w:val="center"/>
          </w:tcPr>
          <w:p w14:paraId="54C559F0"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20</w:t>
            </w:r>
          </w:p>
        </w:tc>
        <w:tc>
          <w:tcPr>
            <w:tcW w:w="567" w:type="dxa"/>
            <w:shd w:val="clear" w:color="auto" w:fill="auto"/>
            <w:tcMar>
              <w:left w:w="28" w:type="dxa"/>
              <w:right w:w="28" w:type="dxa"/>
            </w:tcMar>
            <w:vAlign w:val="center"/>
          </w:tcPr>
          <w:p w14:paraId="3218219B"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18</w:t>
            </w:r>
          </w:p>
        </w:tc>
        <w:tc>
          <w:tcPr>
            <w:tcW w:w="567" w:type="dxa"/>
            <w:shd w:val="clear" w:color="auto" w:fill="auto"/>
            <w:tcMar>
              <w:left w:w="28" w:type="dxa"/>
              <w:right w:w="28" w:type="dxa"/>
            </w:tcMar>
            <w:vAlign w:val="center"/>
          </w:tcPr>
          <w:p w14:paraId="62CE13D8"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57</w:t>
            </w:r>
          </w:p>
        </w:tc>
        <w:tc>
          <w:tcPr>
            <w:tcW w:w="567" w:type="dxa"/>
            <w:shd w:val="clear" w:color="auto" w:fill="auto"/>
            <w:tcMar>
              <w:left w:w="28" w:type="dxa"/>
              <w:right w:w="28" w:type="dxa"/>
            </w:tcMar>
            <w:vAlign w:val="center"/>
          </w:tcPr>
          <w:p w14:paraId="16DC2BD3"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17</w:t>
            </w:r>
          </w:p>
        </w:tc>
        <w:tc>
          <w:tcPr>
            <w:tcW w:w="567" w:type="dxa"/>
            <w:shd w:val="clear" w:color="auto" w:fill="auto"/>
            <w:tcMar>
              <w:left w:w="28" w:type="dxa"/>
              <w:right w:w="28" w:type="dxa"/>
            </w:tcMar>
            <w:vAlign w:val="center"/>
          </w:tcPr>
          <w:p w14:paraId="1789F5C7"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28</w:t>
            </w:r>
          </w:p>
        </w:tc>
        <w:tc>
          <w:tcPr>
            <w:tcW w:w="567" w:type="dxa"/>
            <w:shd w:val="clear" w:color="auto" w:fill="auto"/>
            <w:tcMar>
              <w:left w:w="28" w:type="dxa"/>
              <w:right w:w="28" w:type="dxa"/>
            </w:tcMar>
            <w:vAlign w:val="center"/>
          </w:tcPr>
          <w:p w14:paraId="22A688A5"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18</w:t>
            </w:r>
          </w:p>
        </w:tc>
        <w:tc>
          <w:tcPr>
            <w:tcW w:w="567" w:type="dxa"/>
            <w:shd w:val="clear" w:color="auto" w:fill="auto"/>
            <w:tcMar>
              <w:left w:w="28" w:type="dxa"/>
              <w:right w:w="28" w:type="dxa"/>
            </w:tcMar>
            <w:vAlign w:val="center"/>
          </w:tcPr>
          <w:p w14:paraId="69D4E201"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17</w:t>
            </w:r>
          </w:p>
        </w:tc>
        <w:tc>
          <w:tcPr>
            <w:tcW w:w="567" w:type="dxa"/>
            <w:shd w:val="clear" w:color="auto" w:fill="auto"/>
            <w:tcMar>
              <w:left w:w="28" w:type="dxa"/>
              <w:right w:w="28" w:type="dxa"/>
            </w:tcMar>
            <w:vAlign w:val="center"/>
          </w:tcPr>
          <w:p w14:paraId="26EF25D1"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19</w:t>
            </w:r>
          </w:p>
        </w:tc>
        <w:tc>
          <w:tcPr>
            <w:tcW w:w="567" w:type="dxa"/>
            <w:shd w:val="clear" w:color="auto" w:fill="auto"/>
            <w:tcMar>
              <w:left w:w="28" w:type="dxa"/>
              <w:right w:w="28" w:type="dxa"/>
            </w:tcMar>
            <w:vAlign w:val="center"/>
          </w:tcPr>
          <w:p w14:paraId="3F8A9A84"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11</w:t>
            </w:r>
          </w:p>
        </w:tc>
        <w:tc>
          <w:tcPr>
            <w:tcW w:w="567" w:type="dxa"/>
            <w:shd w:val="clear" w:color="auto" w:fill="auto"/>
            <w:tcMar>
              <w:left w:w="28" w:type="dxa"/>
              <w:right w:w="28" w:type="dxa"/>
            </w:tcMar>
            <w:vAlign w:val="center"/>
          </w:tcPr>
          <w:p w14:paraId="4356A0C1"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11</w:t>
            </w:r>
          </w:p>
        </w:tc>
        <w:tc>
          <w:tcPr>
            <w:tcW w:w="567" w:type="dxa"/>
            <w:shd w:val="clear" w:color="auto" w:fill="auto"/>
            <w:tcMar>
              <w:left w:w="28" w:type="dxa"/>
              <w:right w:w="28" w:type="dxa"/>
            </w:tcMar>
            <w:vAlign w:val="center"/>
          </w:tcPr>
          <w:p w14:paraId="6D61EE0B"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r>
      <w:tr w:rsidR="0014254F" w:rsidRPr="000855B2" w14:paraId="3108FAC0" w14:textId="77777777" w:rsidTr="00AF4A3C">
        <w:trPr>
          <w:cantSplit/>
          <w:trHeight w:hRule="exact" w:val="567"/>
        </w:trPr>
        <w:tc>
          <w:tcPr>
            <w:tcW w:w="1504" w:type="dxa"/>
            <w:shd w:val="clear" w:color="auto" w:fill="auto"/>
            <w:tcMar>
              <w:left w:w="28" w:type="dxa"/>
              <w:right w:w="28" w:type="dxa"/>
            </w:tcMar>
            <w:vAlign w:val="center"/>
          </w:tcPr>
          <w:p w14:paraId="5937E9CB" w14:textId="49160EAA" w:rsidR="0014254F" w:rsidRPr="008D1A83" w:rsidRDefault="00B74C8F" w:rsidP="005C7955">
            <w:pPr>
              <w:pStyle w:val="Table"/>
              <w:spacing w:line="240" w:lineRule="atLeast"/>
              <w:rPr>
                <w:rFonts w:ascii="Open Sans" w:hAnsi="Open Sans" w:cs="Open Sans"/>
                <w:bCs/>
                <w:sz w:val="16"/>
                <w:szCs w:val="16"/>
                <w:lang w:val="en-GB"/>
              </w:rPr>
            </w:pPr>
            <w:r w:rsidRPr="008D1A83">
              <w:rPr>
                <w:rFonts w:ascii="Open Sans" w:hAnsi="Open Sans" w:cs="Open Sans"/>
                <w:bCs/>
                <w:sz w:val="16"/>
                <w:szCs w:val="16"/>
                <w:lang w:val="en-GB"/>
              </w:rPr>
              <w:t>Poor statistics</w:t>
            </w:r>
            <w:r w:rsidRPr="008D1A83">
              <w:rPr>
                <w:rFonts w:ascii="Open Sans" w:hAnsi="Open Sans" w:cs="Open Sans"/>
                <w:bCs/>
                <w:sz w:val="16"/>
                <w:szCs w:val="16"/>
                <w:lang w:val="en-GB"/>
              </w:rPr>
              <w:br/>
            </w:r>
            <w:r w:rsidR="0014254F" w:rsidRPr="008D1A83">
              <w:rPr>
                <w:rFonts w:ascii="Open Sans" w:hAnsi="Open Sans" w:cs="Open Sans"/>
                <w:bCs/>
                <w:sz w:val="16"/>
                <w:szCs w:val="16"/>
                <w:lang w:val="en-GB"/>
              </w:rPr>
              <w:t xml:space="preserve">w. </w:t>
            </w:r>
            <w:r w:rsidR="00F82B4C">
              <w:rPr>
                <w:rFonts w:ascii="Open Sans" w:hAnsi="Open Sans" w:cs="Open Sans"/>
                <w:bCs/>
                <w:sz w:val="16"/>
                <w:szCs w:val="16"/>
                <w:lang w:val="en-GB"/>
              </w:rPr>
              <w:t>E</w:t>
            </w:r>
            <w:r w:rsidR="0014254F" w:rsidRPr="008D1A83">
              <w:rPr>
                <w:rFonts w:ascii="Open Sans" w:hAnsi="Open Sans" w:cs="Open Sans"/>
                <w:bCs/>
                <w:sz w:val="16"/>
                <w:szCs w:val="16"/>
                <w:lang w:val="en-GB"/>
              </w:rPr>
              <w:t>C</w:t>
            </w:r>
          </w:p>
        </w:tc>
        <w:tc>
          <w:tcPr>
            <w:tcW w:w="567" w:type="dxa"/>
            <w:shd w:val="clear" w:color="auto" w:fill="auto"/>
            <w:tcMar>
              <w:left w:w="28" w:type="dxa"/>
              <w:right w:w="28" w:type="dxa"/>
            </w:tcMar>
            <w:vAlign w:val="center"/>
          </w:tcPr>
          <w:p w14:paraId="5110EF01"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17</w:t>
            </w:r>
          </w:p>
        </w:tc>
        <w:tc>
          <w:tcPr>
            <w:tcW w:w="567" w:type="dxa"/>
            <w:shd w:val="clear" w:color="auto" w:fill="auto"/>
            <w:tcMar>
              <w:left w:w="28" w:type="dxa"/>
              <w:right w:w="28" w:type="dxa"/>
            </w:tcMar>
            <w:vAlign w:val="center"/>
          </w:tcPr>
          <w:p w14:paraId="11ADE689"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15</w:t>
            </w:r>
          </w:p>
        </w:tc>
        <w:tc>
          <w:tcPr>
            <w:tcW w:w="567" w:type="dxa"/>
            <w:shd w:val="clear" w:color="auto" w:fill="auto"/>
            <w:tcMar>
              <w:left w:w="28" w:type="dxa"/>
              <w:right w:w="28" w:type="dxa"/>
            </w:tcMar>
            <w:vAlign w:val="center"/>
          </w:tcPr>
          <w:p w14:paraId="5771E232"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54</w:t>
            </w:r>
          </w:p>
        </w:tc>
        <w:tc>
          <w:tcPr>
            <w:tcW w:w="567" w:type="dxa"/>
            <w:shd w:val="clear" w:color="auto" w:fill="auto"/>
            <w:tcMar>
              <w:left w:w="28" w:type="dxa"/>
              <w:right w:w="28" w:type="dxa"/>
            </w:tcMar>
            <w:vAlign w:val="center"/>
          </w:tcPr>
          <w:p w14:paraId="46FF7C7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c>
          <w:tcPr>
            <w:tcW w:w="567" w:type="dxa"/>
            <w:shd w:val="clear" w:color="auto" w:fill="auto"/>
            <w:tcMar>
              <w:left w:w="28" w:type="dxa"/>
              <w:right w:w="28" w:type="dxa"/>
            </w:tcMar>
            <w:vAlign w:val="center"/>
          </w:tcPr>
          <w:p w14:paraId="5257CFEE"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24</w:t>
            </w:r>
          </w:p>
        </w:tc>
        <w:tc>
          <w:tcPr>
            <w:tcW w:w="567" w:type="dxa"/>
            <w:shd w:val="clear" w:color="auto" w:fill="auto"/>
            <w:tcMar>
              <w:left w:w="28" w:type="dxa"/>
              <w:right w:w="28" w:type="dxa"/>
            </w:tcMar>
            <w:vAlign w:val="center"/>
          </w:tcPr>
          <w:p w14:paraId="0DD0B55B"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13</w:t>
            </w:r>
          </w:p>
        </w:tc>
        <w:tc>
          <w:tcPr>
            <w:tcW w:w="567" w:type="dxa"/>
            <w:shd w:val="clear" w:color="auto" w:fill="auto"/>
            <w:tcMar>
              <w:left w:w="28" w:type="dxa"/>
              <w:right w:w="28" w:type="dxa"/>
            </w:tcMar>
            <w:vAlign w:val="center"/>
          </w:tcPr>
          <w:p w14:paraId="1ACA1A02"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12</w:t>
            </w:r>
          </w:p>
        </w:tc>
        <w:tc>
          <w:tcPr>
            <w:tcW w:w="567" w:type="dxa"/>
            <w:shd w:val="clear" w:color="auto" w:fill="auto"/>
            <w:tcMar>
              <w:left w:w="28" w:type="dxa"/>
              <w:right w:w="28" w:type="dxa"/>
            </w:tcMar>
            <w:vAlign w:val="center"/>
          </w:tcPr>
          <w:p w14:paraId="5654902C"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14</w:t>
            </w:r>
          </w:p>
        </w:tc>
        <w:tc>
          <w:tcPr>
            <w:tcW w:w="567" w:type="dxa"/>
            <w:shd w:val="clear" w:color="auto" w:fill="auto"/>
            <w:tcMar>
              <w:left w:w="28" w:type="dxa"/>
              <w:right w:w="28" w:type="dxa"/>
            </w:tcMar>
            <w:vAlign w:val="center"/>
          </w:tcPr>
          <w:p w14:paraId="052BD2D6"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c>
          <w:tcPr>
            <w:tcW w:w="567" w:type="dxa"/>
            <w:shd w:val="clear" w:color="auto" w:fill="auto"/>
            <w:tcMar>
              <w:left w:w="28" w:type="dxa"/>
              <w:right w:w="28" w:type="dxa"/>
            </w:tcMar>
            <w:vAlign w:val="center"/>
          </w:tcPr>
          <w:p w14:paraId="7D440FF7"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c>
          <w:tcPr>
            <w:tcW w:w="567" w:type="dxa"/>
            <w:shd w:val="clear" w:color="auto" w:fill="auto"/>
            <w:tcMar>
              <w:left w:w="28" w:type="dxa"/>
              <w:right w:w="28" w:type="dxa"/>
            </w:tcMar>
            <w:vAlign w:val="center"/>
          </w:tcPr>
          <w:p w14:paraId="372567B9" w14:textId="77777777" w:rsidR="0014254F" w:rsidRPr="008D1A83" w:rsidRDefault="0014254F" w:rsidP="005C7955">
            <w:pPr>
              <w:pStyle w:val="Table"/>
              <w:spacing w:line="240" w:lineRule="atLeast"/>
              <w:jc w:val="center"/>
              <w:rPr>
                <w:rFonts w:ascii="Open Sans" w:hAnsi="Open Sans" w:cs="Open Sans"/>
                <w:bCs/>
                <w:sz w:val="16"/>
                <w:szCs w:val="16"/>
                <w:lang w:val="en-GB"/>
              </w:rPr>
            </w:pPr>
            <w:r w:rsidRPr="008D1A83">
              <w:rPr>
                <w:rFonts w:ascii="Open Sans" w:hAnsi="Open Sans" w:cs="Open Sans"/>
                <w:bCs/>
                <w:sz w:val="16"/>
                <w:szCs w:val="16"/>
                <w:lang w:val="en-GB"/>
              </w:rPr>
              <w:t>8</w:t>
            </w:r>
          </w:p>
        </w:tc>
      </w:tr>
    </w:tbl>
    <w:p w14:paraId="408869B9" w14:textId="77777777" w:rsidR="00B74C8F" w:rsidRPr="000855B2" w:rsidRDefault="00B74C8F" w:rsidP="00ED27AC">
      <w:pPr>
        <w:pStyle w:val="BodyText"/>
      </w:pPr>
    </w:p>
    <w:p w14:paraId="4C4CAD1B" w14:textId="101945C4" w:rsidR="007C7166" w:rsidRPr="000855B2" w:rsidRDefault="007C7166" w:rsidP="00DE272E">
      <w:pPr>
        <w:pStyle w:val="BodyText"/>
      </w:pPr>
      <w:r w:rsidRPr="000855B2">
        <w:t xml:space="preserve">The following remarks can be made by comparing the values in </w:t>
      </w:r>
      <w:r w:rsidR="00FB454C">
        <w:fldChar w:fldCharType="begin"/>
      </w:r>
      <w:r w:rsidR="00FB454C">
        <w:instrText xml:space="preserve"> REF _Ref248059962 \h  \* MERGEFORMAT </w:instrText>
      </w:r>
      <w:r w:rsidR="00FB454C">
        <w:fldChar w:fldCharType="separate"/>
      </w:r>
      <w:r w:rsidR="0071604C" w:rsidRPr="000855B2">
        <w:t xml:space="preserve">Table </w:t>
      </w:r>
      <w:r w:rsidR="0071604C">
        <w:rPr>
          <w:noProof/>
        </w:rPr>
        <w:t>4.3</w:t>
      </w:r>
      <w:r w:rsidR="00FB454C">
        <w:fldChar w:fldCharType="end"/>
      </w:r>
      <w:r w:rsidRPr="000855B2">
        <w:t>:</w:t>
      </w:r>
    </w:p>
    <w:p w14:paraId="3499C8EA" w14:textId="77777777" w:rsidR="001C2087" w:rsidRPr="000855B2" w:rsidRDefault="001C2087" w:rsidP="009D781A">
      <w:pPr>
        <w:numPr>
          <w:ilvl w:val="1"/>
          <w:numId w:val="16"/>
        </w:numPr>
        <w:spacing w:before="120" w:after="120"/>
        <w:rPr>
          <w:lang w:val="en-GB"/>
        </w:rPr>
      </w:pPr>
      <w:r w:rsidRPr="000855B2">
        <w:rPr>
          <w:lang w:val="en-GB"/>
        </w:rPr>
        <w:t>the most uncertain emissions calculations are for CH</w:t>
      </w:r>
      <w:r w:rsidRPr="000855B2">
        <w:rPr>
          <w:vertAlign w:val="subscript"/>
          <w:lang w:val="en-GB"/>
        </w:rPr>
        <w:t>4</w:t>
      </w:r>
      <w:r w:rsidRPr="000855B2">
        <w:rPr>
          <w:lang w:val="en-GB"/>
        </w:rPr>
        <w:t xml:space="preserve"> and N</w:t>
      </w:r>
      <w:r w:rsidRPr="000855B2">
        <w:rPr>
          <w:vertAlign w:val="subscript"/>
          <w:lang w:val="en-GB"/>
        </w:rPr>
        <w:t>2</w:t>
      </w:r>
      <w:r w:rsidRPr="000855B2">
        <w:rPr>
          <w:lang w:val="en-GB"/>
        </w:rPr>
        <w:t>O followed by CO. For CH</w:t>
      </w:r>
      <w:r w:rsidRPr="000855B2">
        <w:rPr>
          <w:vertAlign w:val="subscript"/>
          <w:lang w:val="en-GB"/>
        </w:rPr>
        <w:t>4</w:t>
      </w:r>
      <w:r w:rsidRPr="000855B2">
        <w:rPr>
          <w:lang w:val="en-GB"/>
        </w:rPr>
        <w:t xml:space="preserve"> and N</w:t>
      </w:r>
      <w:r w:rsidRPr="000855B2">
        <w:rPr>
          <w:vertAlign w:val="subscript"/>
          <w:lang w:val="en-GB"/>
        </w:rPr>
        <w:t>2</w:t>
      </w:r>
      <w:r w:rsidRPr="000855B2">
        <w:rPr>
          <w:lang w:val="en-GB"/>
        </w:rPr>
        <w:t>O it is either the hot or the cold emission factor variance which explains most of the uncertainty. However, in all cases, the initial mileage value considered for each technology class is a significant user-defined parameter, that explains much of the variance. Definition of mileage functions of age is therefore significant to reduce the uncertainty in the calculation of those pollutants.</w:t>
      </w:r>
    </w:p>
    <w:p w14:paraId="0ABD8643" w14:textId="77777777" w:rsidR="001C2087" w:rsidRPr="000855B2" w:rsidRDefault="001C2087" w:rsidP="009D781A">
      <w:pPr>
        <w:numPr>
          <w:ilvl w:val="1"/>
          <w:numId w:val="16"/>
        </w:numPr>
        <w:spacing w:before="120" w:after="120"/>
        <w:rPr>
          <w:lang w:val="en-GB"/>
        </w:rPr>
      </w:pPr>
      <w:r w:rsidRPr="000855B2">
        <w:rPr>
          <w:lang w:val="en-GB"/>
        </w:rPr>
        <w:t>CO</w:t>
      </w:r>
      <w:r w:rsidRPr="000855B2">
        <w:rPr>
          <w:vertAlign w:val="subscript"/>
          <w:lang w:val="en-GB"/>
        </w:rPr>
        <w:t>2</w:t>
      </w:r>
      <w:r w:rsidRPr="000855B2">
        <w:rPr>
          <w:lang w:val="en-GB"/>
        </w:rPr>
        <w:t xml:space="preserve"> is calculated with the least uncertainty, as it directly depends on fuel consumption. It is followed by NO</w:t>
      </w:r>
      <w:r w:rsidRPr="000855B2">
        <w:rPr>
          <w:vertAlign w:val="subscript"/>
          <w:lang w:val="en-GB"/>
        </w:rPr>
        <w:t>x</w:t>
      </w:r>
      <w:r w:rsidRPr="000855B2">
        <w:rPr>
          <w:lang w:val="en-GB"/>
        </w:rPr>
        <w:t xml:space="preserve"> and PM</w:t>
      </w:r>
      <w:r w:rsidRPr="000855B2">
        <w:rPr>
          <w:vertAlign w:val="subscript"/>
          <w:lang w:val="en-GB"/>
        </w:rPr>
        <w:t>2.5</w:t>
      </w:r>
      <w:r w:rsidRPr="000855B2">
        <w:rPr>
          <w:lang w:val="en-GB"/>
        </w:rPr>
        <w:t xml:space="preserve"> which are calculated with a coefficient of variance of less than 15%. The reason is that these pollutants are dominated by diesel vehicles, with emission factors which are less variable than </w:t>
      </w:r>
      <w:r w:rsidR="005E4DC4">
        <w:rPr>
          <w:lang w:val="en-GB"/>
        </w:rPr>
        <w:t>petrol</w:t>
      </w:r>
      <w:r w:rsidRPr="000855B2">
        <w:rPr>
          <w:lang w:val="en-GB"/>
        </w:rPr>
        <w:t xml:space="preserve"> ones.</w:t>
      </w:r>
    </w:p>
    <w:p w14:paraId="23D4763C" w14:textId="47253159" w:rsidR="001C2087" w:rsidRPr="000855B2" w:rsidRDefault="001C2087" w:rsidP="009D781A">
      <w:pPr>
        <w:numPr>
          <w:ilvl w:val="1"/>
          <w:numId w:val="16"/>
        </w:numPr>
        <w:spacing w:before="120" w:after="120"/>
        <w:rPr>
          <w:lang w:val="en-GB"/>
        </w:rPr>
      </w:pPr>
      <w:r w:rsidRPr="000855B2">
        <w:rPr>
          <w:lang w:val="en-GB"/>
        </w:rPr>
        <w:t xml:space="preserve">the correction for </w:t>
      </w:r>
      <w:r w:rsidR="00F82B4C">
        <w:rPr>
          <w:lang w:val="en-GB"/>
        </w:rPr>
        <w:t>energy</w:t>
      </w:r>
      <w:r w:rsidR="00F82B4C" w:rsidRPr="000855B2">
        <w:rPr>
          <w:lang w:val="en-GB"/>
        </w:rPr>
        <w:t xml:space="preserve"> </w:t>
      </w:r>
      <w:r w:rsidRPr="000855B2">
        <w:rPr>
          <w:lang w:val="en-GB"/>
        </w:rPr>
        <w:t xml:space="preserve">consumption within plus/minus one standard deviation of the official value is very critical as it significantly reduces the uncertainty of the calculation in all pollutants. Therefore, good knowledge of the statistical </w:t>
      </w:r>
      <w:r w:rsidR="00F82B4C">
        <w:rPr>
          <w:lang w:val="en-GB"/>
        </w:rPr>
        <w:t>energy</w:t>
      </w:r>
      <w:r w:rsidR="00F82B4C" w:rsidRPr="000855B2">
        <w:rPr>
          <w:lang w:val="en-GB"/>
        </w:rPr>
        <w:t xml:space="preserve"> </w:t>
      </w:r>
      <w:r w:rsidRPr="000855B2">
        <w:rPr>
          <w:lang w:val="en-GB"/>
        </w:rPr>
        <w:t xml:space="preserve">consumption (per fuel type) and comparison with the calculated </w:t>
      </w:r>
      <w:r w:rsidR="00F82B4C">
        <w:rPr>
          <w:lang w:val="en-GB"/>
        </w:rPr>
        <w:t>energy</w:t>
      </w:r>
      <w:r w:rsidR="00F82B4C" w:rsidRPr="000855B2">
        <w:rPr>
          <w:lang w:val="en-GB"/>
        </w:rPr>
        <w:t xml:space="preserve"> </w:t>
      </w:r>
      <w:r w:rsidRPr="000855B2">
        <w:rPr>
          <w:lang w:val="en-GB"/>
        </w:rPr>
        <w:t xml:space="preserve">consumption is necessary to improve the quality of the inventories. Particular attention should be given when dealing with the black market of fuel and road transport fuel used for other uses (e.g. off-road applications). </w:t>
      </w:r>
    </w:p>
    <w:p w14:paraId="28C890A0" w14:textId="77777777" w:rsidR="001C2087" w:rsidRPr="000855B2" w:rsidRDefault="001C2087" w:rsidP="009D781A">
      <w:pPr>
        <w:numPr>
          <w:ilvl w:val="1"/>
          <w:numId w:val="16"/>
        </w:numPr>
        <w:spacing w:before="120" w:after="120"/>
        <w:rPr>
          <w:lang w:val="en-GB"/>
        </w:rPr>
      </w:pPr>
      <w:r w:rsidRPr="000855B2">
        <w:rPr>
          <w:lang w:val="en-GB"/>
        </w:rPr>
        <w:t>the relative level of variance in the country with poor stock statistics appears lower than the country with good stock statistics in some pollutants (CO, N</w:t>
      </w:r>
      <w:r w:rsidRPr="000855B2">
        <w:rPr>
          <w:vertAlign w:val="subscript"/>
          <w:lang w:val="en-GB"/>
        </w:rPr>
        <w:t>2</w:t>
      </w:r>
      <w:r w:rsidRPr="000855B2">
        <w:rPr>
          <w:lang w:val="en-GB"/>
        </w:rPr>
        <w:t xml:space="preserve">O), despite the allocation to vehicle technologies in the former being not well known. This is for three reasons, (a) the stock in the country with poor statistics is older and the variance of the emission factors of older technologies was smaller than new technologies, (b) the colder conditions in the former country make the cold-start of older technologies to be dominant, (c) partially this is an artefact of the method as the variance of some emission factors of old technologies was not possible to quantify. As a result, the uncertainty of the old fleet calculation may have been artificially reduced. </w:t>
      </w:r>
    </w:p>
    <w:p w14:paraId="3160FFC6" w14:textId="77777777" w:rsidR="001D2587" w:rsidRPr="000855B2" w:rsidRDefault="001C2087" w:rsidP="009D781A">
      <w:pPr>
        <w:numPr>
          <w:ilvl w:val="1"/>
          <w:numId w:val="16"/>
        </w:numPr>
        <w:spacing w:before="120" w:after="120"/>
        <w:rPr>
          <w:lang w:val="en-GB"/>
        </w:rPr>
      </w:pPr>
      <w:r w:rsidRPr="000855B2">
        <w:rPr>
          <w:lang w:val="en-GB"/>
        </w:rPr>
        <w:lastRenderedPageBreak/>
        <w:t>despite the relatively larger uncertainty in CH</w:t>
      </w:r>
      <w:r w:rsidRPr="000855B2">
        <w:rPr>
          <w:vertAlign w:val="subscript"/>
          <w:lang w:val="en-GB"/>
        </w:rPr>
        <w:t>4</w:t>
      </w:r>
      <w:r w:rsidRPr="000855B2">
        <w:rPr>
          <w:lang w:val="en-GB"/>
        </w:rPr>
        <w:t xml:space="preserve"> and N</w:t>
      </w:r>
      <w:r w:rsidRPr="000855B2">
        <w:rPr>
          <w:vertAlign w:val="subscript"/>
          <w:lang w:val="en-GB"/>
        </w:rPr>
        <w:t>2</w:t>
      </w:r>
      <w:r w:rsidRPr="000855B2">
        <w:rPr>
          <w:lang w:val="en-GB"/>
        </w:rPr>
        <w:t>O emissions, the uncertainty in total greenhouse gas emissions (CO</w:t>
      </w:r>
      <w:r w:rsidRPr="000855B2">
        <w:rPr>
          <w:vertAlign w:val="subscript"/>
          <w:lang w:val="en-GB"/>
        </w:rPr>
        <w:t>2e</w:t>
      </w:r>
      <w:r w:rsidRPr="000855B2">
        <w:rPr>
          <w:lang w:val="en-GB"/>
        </w:rPr>
        <w:t>) is dominated by CO</w:t>
      </w:r>
      <w:r w:rsidRPr="000855B2">
        <w:rPr>
          <w:vertAlign w:val="subscript"/>
          <w:lang w:val="en-GB"/>
        </w:rPr>
        <w:t>2</w:t>
      </w:r>
      <w:r w:rsidRPr="000855B2">
        <w:rPr>
          <w:lang w:val="en-GB"/>
        </w:rPr>
        <w:t xml:space="preserve"> emissions in both countries. Therefore, improving the emission factors of N</w:t>
      </w:r>
      <w:r w:rsidRPr="000855B2">
        <w:rPr>
          <w:vertAlign w:val="subscript"/>
          <w:lang w:val="en-GB"/>
        </w:rPr>
        <w:t>2</w:t>
      </w:r>
      <w:r w:rsidRPr="000855B2">
        <w:rPr>
          <w:lang w:val="en-GB"/>
        </w:rPr>
        <w:t>O and CH</w:t>
      </w:r>
      <w:r w:rsidRPr="000855B2">
        <w:rPr>
          <w:vertAlign w:val="subscript"/>
          <w:lang w:val="en-GB"/>
        </w:rPr>
        <w:t>4</w:t>
      </w:r>
      <w:r w:rsidRPr="000855B2">
        <w:rPr>
          <w:lang w:val="en-GB"/>
        </w:rPr>
        <w:t xml:space="preserve"> would not offer a substantially improved calculation of total GHG emissions. This may change in the future as CO</w:t>
      </w:r>
      <w:r w:rsidRPr="000855B2">
        <w:rPr>
          <w:vertAlign w:val="subscript"/>
          <w:lang w:val="en-GB"/>
        </w:rPr>
        <w:t>2</w:t>
      </w:r>
      <w:r w:rsidRPr="000855B2">
        <w:rPr>
          <w:lang w:val="en-GB"/>
        </w:rPr>
        <w:t xml:space="preserve"> emissions from road transportation decrease. </w:t>
      </w:r>
    </w:p>
    <w:p w14:paraId="71412ADD" w14:textId="77777777" w:rsidR="001D2587" w:rsidRPr="000855B2" w:rsidRDefault="001D2587" w:rsidP="00F516D0">
      <w:pPr>
        <w:pStyle w:val="Heading2"/>
      </w:pPr>
      <w:bookmarkStart w:id="316" w:name="_Toc164843783"/>
      <w:bookmarkStart w:id="317" w:name="_Ref197498186"/>
      <w:bookmarkStart w:id="318" w:name="_Toc200272621"/>
      <w:bookmarkStart w:id="319" w:name="_Ref248061278"/>
      <w:bookmarkStart w:id="320" w:name="_Toc482003907"/>
      <w:r w:rsidRPr="000855B2">
        <w:t>Gridding</w:t>
      </w:r>
      <w:bookmarkEnd w:id="316"/>
      <w:bookmarkEnd w:id="317"/>
      <w:bookmarkEnd w:id="318"/>
      <w:bookmarkEnd w:id="319"/>
      <w:bookmarkEnd w:id="320"/>
    </w:p>
    <w:p w14:paraId="6C165B9D" w14:textId="7E56C237" w:rsidR="001C2087" w:rsidRPr="000855B2" w:rsidRDefault="001C2087" w:rsidP="00DE272E">
      <w:pPr>
        <w:rPr>
          <w:lang w:val="en-GB"/>
        </w:rPr>
      </w:pPr>
      <w:r w:rsidRPr="000855B2">
        <w:rPr>
          <w:lang w:val="en-GB"/>
        </w:rPr>
        <w:t xml:space="preserve">Gridding of national road transport inventories is required when trying to assess local air quality or to have a better allocation of national emissions to particular areas. The gridding of road transport emissions data basically means to allocate national emissions to sub-national level. In other words, starting from an aggregated inventory, move in a top-down fashion to allocate emissions at a higher spatial level. The discussion and guidance provided in streamlining top-down and bottom-up approaches in section </w:t>
      </w:r>
      <w:r w:rsidR="00FB454C">
        <w:fldChar w:fldCharType="begin"/>
      </w:r>
      <w:r w:rsidR="00FB454C">
        <w:instrText xml:space="preserve"> REF _Ref248825226 \r \h  \* MERGEFORMAT </w:instrText>
      </w:r>
      <w:r w:rsidR="00FB454C">
        <w:fldChar w:fldCharType="separate"/>
      </w:r>
      <w:r w:rsidR="0071604C" w:rsidRPr="0071604C">
        <w:rPr>
          <w:lang w:val="en-GB"/>
        </w:rPr>
        <w:t>4.4</w:t>
      </w:r>
      <w:r w:rsidR="00FB454C">
        <w:fldChar w:fldCharType="end"/>
      </w:r>
      <w:r w:rsidRPr="000855B2">
        <w:rPr>
          <w:lang w:val="en-GB"/>
        </w:rPr>
        <w:t xml:space="preserve"> is useful in such a process. Some additional points that need to be clarified in such a procedure are:</w:t>
      </w:r>
    </w:p>
    <w:p w14:paraId="30C595A4" w14:textId="77777777" w:rsidR="001C2087" w:rsidRPr="000855B2" w:rsidRDefault="001C2087" w:rsidP="009D781A">
      <w:pPr>
        <w:pStyle w:val="BodyText"/>
        <w:numPr>
          <w:ilvl w:val="0"/>
          <w:numId w:val="8"/>
        </w:numPr>
        <w:ind w:left="357" w:hanging="357"/>
      </w:pPr>
      <w:r w:rsidRPr="000855B2">
        <w:t>urban emissions should be allocated to urban areas only, e.g</w:t>
      </w:r>
      <w:r w:rsidRPr="000855B2">
        <w:rPr>
          <w:i/>
        </w:rPr>
        <w:t>.</w:t>
      </w:r>
      <w:r w:rsidRPr="000855B2">
        <w:t xml:space="preserve"> by geographically localising all cities with more than 20 000 inhabitants, and allocating the emissions via the population living in each of the cities. A list of these cities, including their geographical co-ordinates, can be provided by Eurostat.</w:t>
      </w:r>
    </w:p>
    <w:p w14:paraId="270A74F2" w14:textId="77777777" w:rsidR="001C2087" w:rsidRPr="000855B2" w:rsidRDefault="001C2087" w:rsidP="009D781A">
      <w:pPr>
        <w:pStyle w:val="BodyText"/>
        <w:numPr>
          <w:ilvl w:val="0"/>
          <w:numId w:val="8"/>
        </w:numPr>
        <w:ind w:left="357" w:hanging="357"/>
      </w:pPr>
      <w:r w:rsidRPr="000855B2">
        <w:t>rural emissions should be spread all over the country, but only outside urban areas, e.g. by taking the non-urban population density of a country.</w:t>
      </w:r>
    </w:p>
    <w:p w14:paraId="57351C83" w14:textId="77777777" w:rsidR="001C2087" w:rsidRPr="000855B2" w:rsidRDefault="001C2087" w:rsidP="009D781A">
      <w:pPr>
        <w:pStyle w:val="BodyText"/>
        <w:numPr>
          <w:ilvl w:val="0"/>
          <w:numId w:val="8"/>
        </w:numPr>
        <w:ind w:left="357" w:hanging="357"/>
      </w:pPr>
      <w:r w:rsidRPr="000855B2">
        <w:t>highway emissions should be allocated to highways only, in other words all roads on which vehicles are driven in accordance with the ‘highway’ driving pattern, not necessarily what is termed ‘autobahnen’ in Germany, ‘autoroutes’ in France, ‘autostrade’ in Italy, and so on. As a simple distribution key, the length of such roads in the territorial unit can be taken.</w:t>
      </w:r>
    </w:p>
    <w:p w14:paraId="2B93BB10" w14:textId="77777777" w:rsidR="001C2087" w:rsidRPr="000855B2" w:rsidRDefault="001C2087" w:rsidP="00DE272E">
      <w:pPr>
        <w:pStyle w:val="BodyText"/>
      </w:pPr>
      <w:r w:rsidRPr="000855B2">
        <w:t>Some of the statistical data needed for carrying out the allocation of emissions can be found in Eurostat publications, but in general the national statistics are more detailed.</w:t>
      </w:r>
    </w:p>
    <w:p w14:paraId="5D7C16BF" w14:textId="77777777" w:rsidR="001D2587" w:rsidRPr="000855B2" w:rsidRDefault="001D2587" w:rsidP="00F516D0">
      <w:pPr>
        <w:pStyle w:val="Heading2"/>
      </w:pPr>
      <w:bookmarkStart w:id="321" w:name="_Toc200272622"/>
      <w:bookmarkStart w:id="322" w:name="_Toc482003908"/>
      <w:r w:rsidRPr="000855B2">
        <w:t>Weakest aspects/priority area for improvement in current methodology</w:t>
      </w:r>
      <w:bookmarkEnd w:id="321"/>
      <w:bookmarkEnd w:id="322"/>
    </w:p>
    <w:p w14:paraId="7C819797" w14:textId="77777777" w:rsidR="001C2087" w:rsidRPr="000855B2" w:rsidRDefault="001C2087" w:rsidP="00DE272E">
      <w:pPr>
        <w:pStyle w:val="BodyText"/>
      </w:pPr>
      <w:r w:rsidRPr="000855B2">
        <w:t>The improvement of the emission factors for road transport is an ongoing task. The most important issues that need to be improved are considered to be:</w:t>
      </w:r>
    </w:p>
    <w:p w14:paraId="12A185E0" w14:textId="77777777"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cold-start modelling, in particular for new vehicle technologies;</w:t>
      </w:r>
    </w:p>
    <w:p w14:paraId="5999AC54" w14:textId="77777777"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 xml:space="preserve">improving emission factors for </w:t>
      </w:r>
      <w:r w:rsidR="00CF67A4" w:rsidRPr="00B642C6">
        <w:rPr>
          <w:sz w:val="18"/>
          <w:szCs w:val="18"/>
        </w:rPr>
        <w:t>light commercial</w:t>
      </w:r>
      <w:r w:rsidRPr="00B642C6">
        <w:rPr>
          <w:sz w:val="18"/>
          <w:szCs w:val="18"/>
        </w:rPr>
        <w:t xml:space="preserve"> vehicles and LPG passenger cars;</w:t>
      </w:r>
    </w:p>
    <w:p w14:paraId="7774F711" w14:textId="696705E2"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 xml:space="preserve">better assessment of </w:t>
      </w:r>
      <w:r w:rsidR="00F82B4C">
        <w:rPr>
          <w:sz w:val="18"/>
          <w:szCs w:val="18"/>
        </w:rPr>
        <w:t>energy</w:t>
      </w:r>
      <w:r w:rsidR="00F82B4C" w:rsidRPr="00B642C6">
        <w:rPr>
          <w:sz w:val="18"/>
          <w:szCs w:val="18"/>
        </w:rPr>
        <w:t xml:space="preserve"> </w:t>
      </w:r>
      <w:r w:rsidRPr="00B642C6">
        <w:rPr>
          <w:sz w:val="18"/>
          <w:szCs w:val="18"/>
        </w:rPr>
        <w:t>consumption from new vehicle concepts, to better describe CO</w:t>
      </w:r>
      <w:r w:rsidRPr="00B642C6">
        <w:rPr>
          <w:sz w:val="18"/>
          <w:szCs w:val="18"/>
          <w:vertAlign w:val="subscript"/>
        </w:rPr>
        <w:t>2</w:t>
      </w:r>
      <w:r w:rsidRPr="00B642C6">
        <w:rPr>
          <w:sz w:val="18"/>
          <w:szCs w:val="18"/>
        </w:rPr>
        <w:t xml:space="preserve"> emissions;</w:t>
      </w:r>
    </w:p>
    <w:p w14:paraId="5D373E3C" w14:textId="77777777" w:rsidR="001C2087" w:rsidRPr="00B642C6" w:rsidRDefault="001C2087" w:rsidP="009D781A">
      <w:pPr>
        <w:pStyle w:val="NormalIndent"/>
        <w:numPr>
          <w:ilvl w:val="0"/>
          <w:numId w:val="9"/>
        </w:numPr>
        <w:tabs>
          <w:tab w:val="clear" w:pos="1080"/>
        </w:tabs>
        <w:spacing w:before="60" w:after="80" w:line="280" w:lineRule="atLeast"/>
        <w:ind w:left="360" w:hanging="360"/>
        <w:rPr>
          <w:sz w:val="18"/>
          <w:szCs w:val="18"/>
        </w:rPr>
      </w:pPr>
      <w:r w:rsidRPr="00B642C6">
        <w:rPr>
          <w:sz w:val="18"/>
          <w:szCs w:val="18"/>
        </w:rPr>
        <w:t>introduction of alternative fuel and vehicle concepts into the methodology, such as different types of hybrids</w:t>
      </w:r>
      <w:r w:rsidR="00565280" w:rsidRPr="00B642C6">
        <w:rPr>
          <w:sz w:val="18"/>
          <w:szCs w:val="18"/>
        </w:rPr>
        <w:t>;</w:t>
      </w:r>
    </w:p>
    <w:p w14:paraId="2B5B75C4" w14:textId="77777777" w:rsidR="00D93CDA" w:rsidRPr="00B642C6" w:rsidRDefault="00B642C6" w:rsidP="009D781A">
      <w:pPr>
        <w:pStyle w:val="NormalIndent"/>
        <w:numPr>
          <w:ilvl w:val="0"/>
          <w:numId w:val="9"/>
        </w:numPr>
        <w:tabs>
          <w:tab w:val="clear" w:pos="1080"/>
        </w:tabs>
        <w:spacing w:before="60" w:after="80" w:line="280" w:lineRule="atLeast"/>
        <w:ind w:left="360" w:hanging="360"/>
        <w:rPr>
          <w:sz w:val="18"/>
          <w:szCs w:val="18"/>
        </w:rPr>
      </w:pPr>
      <w:r>
        <w:rPr>
          <w:sz w:val="18"/>
          <w:szCs w:val="18"/>
        </w:rPr>
        <w:t>s</w:t>
      </w:r>
      <w:r w:rsidR="00D93CDA" w:rsidRPr="00B642C6">
        <w:rPr>
          <w:sz w:val="18"/>
          <w:szCs w:val="18"/>
        </w:rPr>
        <w:t>peciation of NMVOC</w:t>
      </w:r>
      <w:r w:rsidR="00565280" w:rsidRPr="00B642C6">
        <w:rPr>
          <w:sz w:val="18"/>
          <w:szCs w:val="18"/>
        </w:rPr>
        <w:t>.</w:t>
      </w:r>
    </w:p>
    <w:p w14:paraId="6EC19E3E" w14:textId="5AD43710" w:rsidR="001C2087" w:rsidRPr="000855B2" w:rsidRDefault="001C2087" w:rsidP="00DE272E">
      <w:pPr>
        <w:pStyle w:val="BodyText"/>
      </w:pPr>
      <w:r w:rsidRPr="00B642C6">
        <w:rPr>
          <w:szCs w:val="18"/>
        </w:rPr>
        <w:t>Furthermore, it should be mentioned that the estimation of emissions from road traffic might be</w:t>
      </w:r>
      <w:r w:rsidRPr="00B642C6">
        <w:rPr>
          <w:sz w:val="14"/>
        </w:rPr>
        <w:t xml:space="preserve"> </w:t>
      </w:r>
      <w:r w:rsidRPr="000855B2">
        <w:t>considered a task which requires more frequent reviewing and updating than in the case of other inventory source categories. This is due to the relatively large and rapid changes in this sector over short time periods — the turnover of fleets is rather short, legislation changes quickly, the number of vehicles increases steadily, and so on. These changes not only require the continuation of the work on emission factors and activity data, but also the continual adaptation of the methodology.</w:t>
      </w:r>
    </w:p>
    <w:p w14:paraId="14E099A7" w14:textId="77777777" w:rsidR="0037200D" w:rsidRPr="000855B2" w:rsidRDefault="0037200D" w:rsidP="00ED27AC">
      <w:pPr>
        <w:pStyle w:val="BodyText"/>
      </w:pPr>
    </w:p>
    <w:p w14:paraId="07734927" w14:textId="77777777" w:rsidR="001D2587" w:rsidRPr="000855B2" w:rsidRDefault="001D2587" w:rsidP="00EA3292">
      <w:pPr>
        <w:pStyle w:val="Heading1"/>
      </w:pPr>
      <w:bookmarkStart w:id="323" w:name="_Toc200272623"/>
      <w:bookmarkStart w:id="324" w:name="_Toc482003909"/>
      <w:r w:rsidRPr="000855B2">
        <w:lastRenderedPageBreak/>
        <w:t>Glossary</w:t>
      </w:r>
      <w:bookmarkEnd w:id="323"/>
      <w:bookmarkEnd w:id="324"/>
    </w:p>
    <w:p w14:paraId="6CCA1A75" w14:textId="77777777" w:rsidR="001D2587" w:rsidRPr="000855B2" w:rsidRDefault="001D2587" w:rsidP="00F516D0">
      <w:pPr>
        <w:pStyle w:val="Heading2"/>
      </w:pPr>
      <w:bookmarkStart w:id="325" w:name="_Toc200272624"/>
      <w:bookmarkStart w:id="326" w:name="_Toc482003910"/>
      <w:r w:rsidRPr="000855B2">
        <w:t>List of abbreviations</w:t>
      </w:r>
      <w:bookmarkEnd w:id="325"/>
      <w:bookmarkEnd w:id="326"/>
    </w:p>
    <w:tbl>
      <w:tblPr>
        <w:tblW w:w="8860" w:type="dxa"/>
        <w:tblCellMar>
          <w:left w:w="0" w:type="dxa"/>
          <w:right w:w="0" w:type="dxa"/>
        </w:tblCellMar>
        <w:tblLook w:val="0000" w:firstRow="0" w:lastRow="0" w:firstColumn="0" w:lastColumn="0" w:noHBand="0" w:noVBand="0"/>
      </w:tblPr>
      <w:tblGrid>
        <w:gridCol w:w="1500"/>
        <w:gridCol w:w="7360"/>
      </w:tblGrid>
      <w:tr w:rsidR="001D2587" w:rsidRPr="000855B2" w14:paraId="772F6141" w14:textId="77777777">
        <w:trPr>
          <w:trHeight w:val="300"/>
        </w:trPr>
        <w:tc>
          <w:tcPr>
            <w:tcW w:w="1500" w:type="dxa"/>
            <w:tcBorders>
              <w:top w:val="nil"/>
              <w:left w:val="nil"/>
              <w:bottom w:val="nil"/>
              <w:right w:val="nil"/>
            </w:tcBorders>
            <w:tcMar>
              <w:top w:w="13" w:type="dxa"/>
              <w:left w:w="13" w:type="dxa"/>
              <w:bottom w:w="0" w:type="dxa"/>
              <w:right w:w="13" w:type="dxa"/>
            </w:tcMar>
          </w:tcPr>
          <w:p w14:paraId="2065EAAC" w14:textId="77777777" w:rsidR="001D2587" w:rsidRPr="000855B2" w:rsidRDefault="00CC5B0C" w:rsidP="00F078C9">
            <w:pPr>
              <w:rPr>
                <w:szCs w:val="22"/>
                <w:lang w:val="en-GB"/>
              </w:rPr>
            </w:pPr>
            <w:r w:rsidRPr="000855B2">
              <w:rPr>
                <w:szCs w:val="22"/>
                <w:lang w:val="en-GB"/>
              </w:rPr>
              <w:t>Artemis</w:t>
            </w:r>
          </w:p>
        </w:tc>
        <w:tc>
          <w:tcPr>
            <w:tcW w:w="7360" w:type="dxa"/>
            <w:tcBorders>
              <w:top w:val="nil"/>
              <w:left w:val="nil"/>
              <w:bottom w:val="nil"/>
              <w:right w:val="nil"/>
            </w:tcBorders>
            <w:noWrap/>
            <w:tcMar>
              <w:top w:w="13" w:type="dxa"/>
              <w:left w:w="13" w:type="dxa"/>
              <w:bottom w:w="0" w:type="dxa"/>
              <w:right w:w="13" w:type="dxa"/>
            </w:tcMar>
            <w:vAlign w:val="bottom"/>
          </w:tcPr>
          <w:p w14:paraId="00E89F2E" w14:textId="77777777" w:rsidR="001D2587" w:rsidRPr="000855B2" w:rsidRDefault="001D2587" w:rsidP="00F078C9">
            <w:pPr>
              <w:rPr>
                <w:szCs w:val="22"/>
                <w:lang w:val="en-GB"/>
              </w:rPr>
            </w:pPr>
            <w:r w:rsidRPr="000855B2">
              <w:rPr>
                <w:szCs w:val="22"/>
                <w:lang w:val="en-GB"/>
              </w:rPr>
              <w:t>Assessment and Reliability of Transport Emission Models and Inventory Systems</w:t>
            </w:r>
          </w:p>
        </w:tc>
      </w:tr>
      <w:tr w:rsidR="001930B0" w:rsidRPr="000855B2" w14:paraId="1ECA6FFE" w14:textId="77777777">
        <w:trPr>
          <w:trHeight w:val="300"/>
        </w:trPr>
        <w:tc>
          <w:tcPr>
            <w:tcW w:w="1500" w:type="dxa"/>
            <w:tcBorders>
              <w:top w:val="nil"/>
              <w:left w:val="nil"/>
              <w:bottom w:val="nil"/>
              <w:right w:val="nil"/>
            </w:tcBorders>
            <w:tcMar>
              <w:top w:w="13" w:type="dxa"/>
              <w:left w:w="13" w:type="dxa"/>
              <w:bottom w:w="0" w:type="dxa"/>
              <w:right w:w="13" w:type="dxa"/>
            </w:tcMar>
          </w:tcPr>
          <w:p w14:paraId="6FB2E7A2" w14:textId="77777777" w:rsidR="001930B0" w:rsidRPr="000855B2" w:rsidRDefault="001930B0" w:rsidP="00F078C9">
            <w:pPr>
              <w:rPr>
                <w:szCs w:val="22"/>
                <w:lang w:val="en-GB"/>
              </w:rPr>
            </w:pPr>
            <w:r w:rsidRPr="000855B2">
              <w:rPr>
                <w:szCs w:val="22"/>
                <w:lang w:val="en-GB"/>
              </w:rPr>
              <w:t>BC</w:t>
            </w:r>
          </w:p>
        </w:tc>
        <w:tc>
          <w:tcPr>
            <w:tcW w:w="7360" w:type="dxa"/>
            <w:tcBorders>
              <w:top w:val="nil"/>
              <w:left w:val="nil"/>
              <w:bottom w:val="nil"/>
              <w:right w:val="nil"/>
            </w:tcBorders>
            <w:noWrap/>
            <w:tcMar>
              <w:top w:w="13" w:type="dxa"/>
              <w:left w:w="13" w:type="dxa"/>
              <w:bottom w:w="0" w:type="dxa"/>
              <w:right w:w="13" w:type="dxa"/>
            </w:tcMar>
            <w:vAlign w:val="bottom"/>
          </w:tcPr>
          <w:p w14:paraId="3D6D2252" w14:textId="77777777" w:rsidR="001930B0" w:rsidRPr="000855B2" w:rsidRDefault="001930B0" w:rsidP="00F078C9">
            <w:pPr>
              <w:rPr>
                <w:szCs w:val="22"/>
                <w:lang w:val="en-GB"/>
              </w:rPr>
            </w:pPr>
            <w:r w:rsidRPr="000855B2">
              <w:rPr>
                <w:szCs w:val="22"/>
                <w:lang w:val="en-GB"/>
              </w:rPr>
              <w:t>Western Balkan countries: AL, BA, HR, MK, M</w:t>
            </w:r>
            <w:r w:rsidR="00DC7818" w:rsidRPr="000855B2">
              <w:rPr>
                <w:szCs w:val="22"/>
                <w:lang w:val="en-GB"/>
              </w:rPr>
              <w:t>E</w:t>
            </w:r>
            <w:r w:rsidRPr="000855B2">
              <w:rPr>
                <w:szCs w:val="22"/>
                <w:lang w:val="en-GB"/>
              </w:rPr>
              <w:t>, R</w:t>
            </w:r>
            <w:r w:rsidR="00DC7818" w:rsidRPr="000855B2">
              <w:rPr>
                <w:szCs w:val="22"/>
                <w:lang w:val="en-GB"/>
              </w:rPr>
              <w:t>S</w:t>
            </w:r>
          </w:p>
        </w:tc>
      </w:tr>
      <w:tr w:rsidR="006C3A2A" w:rsidRPr="000855B2" w14:paraId="61B972D7" w14:textId="77777777">
        <w:trPr>
          <w:trHeight w:val="300"/>
        </w:trPr>
        <w:tc>
          <w:tcPr>
            <w:tcW w:w="1500" w:type="dxa"/>
            <w:tcBorders>
              <w:top w:val="nil"/>
              <w:left w:val="nil"/>
              <w:bottom w:val="nil"/>
              <w:right w:val="nil"/>
            </w:tcBorders>
            <w:tcMar>
              <w:top w:w="13" w:type="dxa"/>
              <w:left w:w="13" w:type="dxa"/>
              <w:bottom w:w="0" w:type="dxa"/>
              <w:right w:w="13" w:type="dxa"/>
            </w:tcMar>
          </w:tcPr>
          <w:p w14:paraId="573732B2" w14:textId="77777777" w:rsidR="006C3A2A" w:rsidRPr="000855B2" w:rsidRDefault="006C3A2A" w:rsidP="00F078C9">
            <w:pPr>
              <w:rPr>
                <w:szCs w:val="22"/>
                <w:lang w:val="en-GB"/>
              </w:rPr>
            </w:pPr>
            <w:r w:rsidRPr="000855B2">
              <w:rPr>
                <w:szCs w:val="22"/>
                <w:lang w:val="en-GB"/>
              </w:rPr>
              <w:t>CAI</w:t>
            </w:r>
          </w:p>
        </w:tc>
        <w:tc>
          <w:tcPr>
            <w:tcW w:w="7360" w:type="dxa"/>
            <w:tcBorders>
              <w:top w:val="nil"/>
              <w:left w:val="nil"/>
              <w:bottom w:val="nil"/>
              <w:right w:val="nil"/>
            </w:tcBorders>
            <w:noWrap/>
            <w:tcMar>
              <w:top w:w="13" w:type="dxa"/>
              <w:left w:w="13" w:type="dxa"/>
              <w:bottom w:w="0" w:type="dxa"/>
              <w:right w:w="13" w:type="dxa"/>
            </w:tcMar>
            <w:vAlign w:val="bottom"/>
          </w:tcPr>
          <w:p w14:paraId="7BA0C52E" w14:textId="77777777" w:rsidR="006C3A2A" w:rsidRPr="000855B2" w:rsidRDefault="006C3A2A" w:rsidP="00F078C9">
            <w:pPr>
              <w:rPr>
                <w:szCs w:val="22"/>
                <w:lang w:val="en-GB"/>
              </w:rPr>
            </w:pPr>
            <w:r w:rsidRPr="000855B2">
              <w:rPr>
                <w:szCs w:val="22"/>
                <w:lang w:val="en-GB"/>
              </w:rPr>
              <w:t>Controlled auto-ignition</w:t>
            </w:r>
          </w:p>
        </w:tc>
      </w:tr>
      <w:tr w:rsidR="001D2587" w:rsidRPr="000855B2" w14:paraId="201D54A4" w14:textId="77777777">
        <w:trPr>
          <w:trHeight w:val="300"/>
        </w:trPr>
        <w:tc>
          <w:tcPr>
            <w:tcW w:w="1500" w:type="dxa"/>
            <w:tcBorders>
              <w:top w:val="nil"/>
              <w:left w:val="nil"/>
              <w:bottom w:val="nil"/>
              <w:right w:val="nil"/>
            </w:tcBorders>
            <w:tcMar>
              <w:top w:w="13" w:type="dxa"/>
              <w:left w:w="13" w:type="dxa"/>
              <w:bottom w:w="0" w:type="dxa"/>
              <w:right w:w="13" w:type="dxa"/>
            </w:tcMar>
          </w:tcPr>
          <w:p w14:paraId="22778922" w14:textId="77777777" w:rsidR="001D2587" w:rsidRPr="000855B2" w:rsidRDefault="001D2587" w:rsidP="00F078C9">
            <w:pPr>
              <w:rPr>
                <w:szCs w:val="22"/>
                <w:lang w:val="en-GB"/>
              </w:rPr>
            </w:pPr>
            <w:r w:rsidRPr="000855B2">
              <w:rPr>
                <w:szCs w:val="22"/>
                <w:lang w:val="en-GB"/>
              </w:rPr>
              <w:t>CC</w:t>
            </w:r>
            <w:r w:rsidR="00204785" w:rsidRPr="000855B2">
              <w:rPr>
                <w:szCs w:val="22"/>
                <w:lang w:val="en-GB"/>
              </w:rPr>
              <w:t xml:space="preserve"> (cc)</w:t>
            </w:r>
          </w:p>
        </w:tc>
        <w:tc>
          <w:tcPr>
            <w:tcW w:w="0" w:type="auto"/>
            <w:tcBorders>
              <w:top w:val="nil"/>
              <w:left w:val="nil"/>
              <w:bottom w:val="nil"/>
              <w:right w:val="nil"/>
            </w:tcBorders>
            <w:noWrap/>
            <w:tcMar>
              <w:top w:w="13" w:type="dxa"/>
              <w:left w:w="13" w:type="dxa"/>
              <w:bottom w:w="0" w:type="dxa"/>
              <w:right w:w="13" w:type="dxa"/>
            </w:tcMar>
          </w:tcPr>
          <w:p w14:paraId="5ED4ADD3" w14:textId="77777777" w:rsidR="001D2587" w:rsidRPr="000855B2" w:rsidRDefault="001D2587" w:rsidP="00F078C9">
            <w:pPr>
              <w:rPr>
                <w:szCs w:val="22"/>
                <w:lang w:val="en-GB"/>
              </w:rPr>
            </w:pPr>
            <w:r w:rsidRPr="000855B2">
              <w:rPr>
                <w:szCs w:val="22"/>
                <w:lang w:val="en-GB"/>
              </w:rPr>
              <w:t xml:space="preserve">Cylinder </w:t>
            </w:r>
            <w:r w:rsidR="006F1553" w:rsidRPr="000855B2">
              <w:rPr>
                <w:szCs w:val="22"/>
                <w:lang w:val="en-GB"/>
              </w:rPr>
              <w:t>c</w:t>
            </w:r>
            <w:r w:rsidRPr="000855B2">
              <w:rPr>
                <w:szCs w:val="22"/>
                <w:lang w:val="en-GB"/>
              </w:rPr>
              <w:t xml:space="preserve">apacity of the </w:t>
            </w:r>
            <w:r w:rsidR="006F1553" w:rsidRPr="000855B2">
              <w:rPr>
                <w:szCs w:val="22"/>
                <w:lang w:val="en-GB"/>
              </w:rPr>
              <w:t>e</w:t>
            </w:r>
            <w:r w:rsidRPr="000855B2">
              <w:rPr>
                <w:szCs w:val="22"/>
                <w:lang w:val="en-GB"/>
              </w:rPr>
              <w:t>ngine</w:t>
            </w:r>
          </w:p>
        </w:tc>
      </w:tr>
      <w:tr w:rsidR="001D2587" w:rsidRPr="000855B2" w14:paraId="7BC96B93" w14:textId="77777777">
        <w:trPr>
          <w:trHeight w:val="330"/>
        </w:trPr>
        <w:tc>
          <w:tcPr>
            <w:tcW w:w="1500" w:type="dxa"/>
            <w:tcBorders>
              <w:top w:val="nil"/>
              <w:left w:val="nil"/>
              <w:bottom w:val="nil"/>
              <w:right w:val="nil"/>
            </w:tcBorders>
            <w:tcMar>
              <w:top w:w="0" w:type="dxa"/>
              <w:left w:w="13" w:type="dxa"/>
              <w:bottom w:w="0" w:type="dxa"/>
              <w:right w:w="13" w:type="dxa"/>
            </w:tcMar>
          </w:tcPr>
          <w:p w14:paraId="2044DB04" w14:textId="77777777" w:rsidR="001D2587" w:rsidRPr="000855B2" w:rsidRDefault="001D2587" w:rsidP="00F078C9">
            <w:pPr>
              <w:rPr>
                <w:szCs w:val="22"/>
                <w:lang w:val="en-GB"/>
              </w:rPr>
            </w:pPr>
            <w:r w:rsidRPr="000855B2">
              <w:rPr>
                <w:szCs w:val="22"/>
                <w:lang w:val="en-GB"/>
              </w:rPr>
              <w:t>CH</w:t>
            </w:r>
            <w:r w:rsidRPr="000855B2">
              <w:rPr>
                <w:szCs w:val="22"/>
                <w:vertAlign w:val="subscript"/>
                <w:lang w:val="en-GB"/>
              </w:rPr>
              <w:t>4</w:t>
            </w:r>
          </w:p>
        </w:tc>
        <w:tc>
          <w:tcPr>
            <w:tcW w:w="7360" w:type="dxa"/>
            <w:tcBorders>
              <w:top w:val="nil"/>
              <w:left w:val="nil"/>
              <w:bottom w:val="nil"/>
              <w:right w:val="nil"/>
            </w:tcBorders>
            <w:tcMar>
              <w:top w:w="0" w:type="dxa"/>
              <w:left w:w="13" w:type="dxa"/>
              <w:bottom w:w="0" w:type="dxa"/>
              <w:right w:w="13" w:type="dxa"/>
            </w:tcMar>
          </w:tcPr>
          <w:p w14:paraId="0C92EE37" w14:textId="77777777" w:rsidR="001D2587" w:rsidRPr="000855B2" w:rsidRDefault="001D2587" w:rsidP="00F078C9">
            <w:pPr>
              <w:rPr>
                <w:szCs w:val="22"/>
                <w:lang w:val="en-GB"/>
              </w:rPr>
            </w:pPr>
            <w:r w:rsidRPr="000855B2">
              <w:rPr>
                <w:szCs w:val="22"/>
                <w:lang w:val="en-GB"/>
              </w:rPr>
              <w:t>Methane</w:t>
            </w:r>
          </w:p>
        </w:tc>
      </w:tr>
      <w:tr w:rsidR="001D2587" w:rsidRPr="000855B2" w14:paraId="10C6C3FC" w14:textId="77777777">
        <w:trPr>
          <w:trHeight w:val="300"/>
        </w:trPr>
        <w:tc>
          <w:tcPr>
            <w:tcW w:w="1500" w:type="dxa"/>
            <w:tcBorders>
              <w:top w:val="nil"/>
              <w:left w:val="nil"/>
              <w:bottom w:val="nil"/>
              <w:right w:val="nil"/>
            </w:tcBorders>
            <w:tcMar>
              <w:top w:w="13" w:type="dxa"/>
              <w:left w:w="13" w:type="dxa"/>
              <w:bottom w:w="0" w:type="dxa"/>
              <w:right w:w="13" w:type="dxa"/>
            </w:tcMar>
          </w:tcPr>
          <w:p w14:paraId="7930DE0F" w14:textId="77777777" w:rsidR="001D2587" w:rsidRPr="000855B2" w:rsidRDefault="001D2587" w:rsidP="00F078C9">
            <w:pPr>
              <w:rPr>
                <w:szCs w:val="22"/>
                <w:lang w:val="en-GB"/>
              </w:rPr>
            </w:pPr>
            <w:r w:rsidRPr="000855B2">
              <w:rPr>
                <w:szCs w:val="22"/>
                <w:lang w:val="en-GB"/>
              </w:rPr>
              <w:t>CNG</w:t>
            </w:r>
          </w:p>
        </w:tc>
        <w:tc>
          <w:tcPr>
            <w:tcW w:w="7360" w:type="dxa"/>
            <w:tcBorders>
              <w:top w:val="nil"/>
              <w:left w:val="nil"/>
              <w:bottom w:val="nil"/>
              <w:right w:val="nil"/>
            </w:tcBorders>
            <w:tcMar>
              <w:top w:w="13" w:type="dxa"/>
              <w:left w:w="13" w:type="dxa"/>
              <w:bottom w:w="0" w:type="dxa"/>
              <w:right w:w="13" w:type="dxa"/>
            </w:tcMar>
          </w:tcPr>
          <w:p w14:paraId="62C3E8CC" w14:textId="77777777" w:rsidR="001D2587" w:rsidRPr="000855B2" w:rsidRDefault="001D2587" w:rsidP="00F078C9">
            <w:pPr>
              <w:rPr>
                <w:szCs w:val="22"/>
                <w:lang w:val="en-GB"/>
              </w:rPr>
            </w:pPr>
            <w:r w:rsidRPr="000855B2">
              <w:rPr>
                <w:szCs w:val="22"/>
                <w:lang w:val="en-GB"/>
              </w:rPr>
              <w:t xml:space="preserve">Compressed </w:t>
            </w:r>
            <w:r w:rsidR="0037200D" w:rsidRPr="000855B2">
              <w:rPr>
                <w:szCs w:val="22"/>
                <w:lang w:val="en-GB"/>
              </w:rPr>
              <w:t>n</w:t>
            </w:r>
            <w:r w:rsidRPr="000855B2">
              <w:rPr>
                <w:szCs w:val="22"/>
                <w:lang w:val="en-GB"/>
              </w:rPr>
              <w:t xml:space="preserve">atural </w:t>
            </w:r>
            <w:r w:rsidR="0037200D" w:rsidRPr="000855B2">
              <w:rPr>
                <w:szCs w:val="22"/>
                <w:lang w:val="en-GB"/>
              </w:rPr>
              <w:t>g</w:t>
            </w:r>
            <w:r w:rsidRPr="000855B2">
              <w:rPr>
                <w:szCs w:val="22"/>
                <w:lang w:val="en-GB"/>
              </w:rPr>
              <w:t>as</w:t>
            </w:r>
          </w:p>
        </w:tc>
      </w:tr>
      <w:tr w:rsidR="001D2587" w:rsidRPr="000855B2" w14:paraId="5DB8A2BD" w14:textId="77777777">
        <w:trPr>
          <w:trHeight w:val="300"/>
        </w:trPr>
        <w:tc>
          <w:tcPr>
            <w:tcW w:w="1500" w:type="dxa"/>
            <w:tcBorders>
              <w:top w:val="nil"/>
              <w:left w:val="nil"/>
              <w:bottom w:val="nil"/>
              <w:right w:val="nil"/>
            </w:tcBorders>
            <w:tcMar>
              <w:top w:w="0" w:type="dxa"/>
              <w:left w:w="13" w:type="dxa"/>
              <w:bottom w:w="0" w:type="dxa"/>
              <w:right w:w="13" w:type="dxa"/>
            </w:tcMar>
          </w:tcPr>
          <w:p w14:paraId="34596746" w14:textId="77777777" w:rsidR="001D2587" w:rsidRPr="000855B2" w:rsidRDefault="001D2587" w:rsidP="00F078C9">
            <w:pPr>
              <w:rPr>
                <w:szCs w:val="22"/>
                <w:lang w:val="en-GB"/>
              </w:rPr>
            </w:pPr>
            <w:r w:rsidRPr="000855B2">
              <w:rPr>
                <w:szCs w:val="22"/>
                <w:lang w:val="en-GB"/>
              </w:rPr>
              <w:t>CO</w:t>
            </w:r>
          </w:p>
        </w:tc>
        <w:tc>
          <w:tcPr>
            <w:tcW w:w="7360" w:type="dxa"/>
            <w:tcBorders>
              <w:top w:val="nil"/>
              <w:left w:val="nil"/>
              <w:bottom w:val="nil"/>
              <w:right w:val="nil"/>
            </w:tcBorders>
            <w:tcMar>
              <w:top w:w="0" w:type="dxa"/>
              <w:left w:w="13" w:type="dxa"/>
              <w:bottom w:w="0" w:type="dxa"/>
              <w:right w:w="13" w:type="dxa"/>
            </w:tcMar>
          </w:tcPr>
          <w:p w14:paraId="64DBC244" w14:textId="77777777" w:rsidR="001D2587" w:rsidRPr="000855B2" w:rsidRDefault="001D2587" w:rsidP="00F078C9">
            <w:pPr>
              <w:rPr>
                <w:szCs w:val="22"/>
                <w:lang w:val="en-GB"/>
              </w:rPr>
            </w:pPr>
            <w:r w:rsidRPr="000855B2">
              <w:rPr>
                <w:szCs w:val="22"/>
                <w:lang w:val="en-GB"/>
              </w:rPr>
              <w:t xml:space="preserve">Carbon </w:t>
            </w:r>
            <w:r w:rsidR="006F1553" w:rsidRPr="000855B2">
              <w:rPr>
                <w:szCs w:val="22"/>
                <w:lang w:val="en-GB"/>
              </w:rPr>
              <w:t>m</w:t>
            </w:r>
            <w:r w:rsidRPr="000855B2">
              <w:rPr>
                <w:szCs w:val="22"/>
                <w:lang w:val="en-GB"/>
              </w:rPr>
              <w:t>onoxide</w:t>
            </w:r>
          </w:p>
        </w:tc>
      </w:tr>
      <w:tr w:rsidR="001D2587" w:rsidRPr="000855B2" w14:paraId="4607AC08" w14:textId="77777777">
        <w:trPr>
          <w:trHeight w:val="330"/>
        </w:trPr>
        <w:tc>
          <w:tcPr>
            <w:tcW w:w="1500" w:type="dxa"/>
            <w:tcBorders>
              <w:top w:val="nil"/>
              <w:left w:val="nil"/>
              <w:bottom w:val="nil"/>
              <w:right w:val="nil"/>
            </w:tcBorders>
            <w:tcMar>
              <w:top w:w="0" w:type="dxa"/>
              <w:left w:w="13" w:type="dxa"/>
              <w:bottom w:w="0" w:type="dxa"/>
              <w:right w:w="13" w:type="dxa"/>
            </w:tcMar>
          </w:tcPr>
          <w:p w14:paraId="0F48060E" w14:textId="77777777" w:rsidR="001D2587" w:rsidRPr="000855B2" w:rsidRDefault="001D2587" w:rsidP="00F078C9">
            <w:pPr>
              <w:rPr>
                <w:szCs w:val="22"/>
                <w:lang w:val="en-GB"/>
              </w:rPr>
            </w:pPr>
            <w:r w:rsidRPr="000855B2">
              <w:rPr>
                <w:szCs w:val="22"/>
                <w:lang w:val="en-GB"/>
              </w:rPr>
              <w:t>CO</w:t>
            </w:r>
            <w:r w:rsidRPr="000855B2">
              <w:rPr>
                <w:szCs w:val="22"/>
                <w:vertAlign w:val="subscript"/>
                <w:lang w:val="en-GB"/>
              </w:rPr>
              <w:t>2</w:t>
            </w:r>
          </w:p>
        </w:tc>
        <w:tc>
          <w:tcPr>
            <w:tcW w:w="7360" w:type="dxa"/>
            <w:tcBorders>
              <w:top w:val="nil"/>
              <w:left w:val="nil"/>
              <w:bottom w:val="nil"/>
              <w:right w:val="nil"/>
            </w:tcBorders>
            <w:tcMar>
              <w:top w:w="0" w:type="dxa"/>
              <w:left w:w="13" w:type="dxa"/>
              <w:bottom w:w="0" w:type="dxa"/>
              <w:right w:w="13" w:type="dxa"/>
            </w:tcMar>
          </w:tcPr>
          <w:p w14:paraId="591CEEF2" w14:textId="77777777" w:rsidR="001D2587" w:rsidRPr="000855B2" w:rsidRDefault="001D2587" w:rsidP="00F078C9">
            <w:pPr>
              <w:rPr>
                <w:szCs w:val="22"/>
                <w:lang w:val="en-GB"/>
              </w:rPr>
            </w:pPr>
            <w:r w:rsidRPr="000855B2">
              <w:rPr>
                <w:szCs w:val="22"/>
                <w:lang w:val="en-GB"/>
              </w:rPr>
              <w:t xml:space="preserve">Carbon </w:t>
            </w:r>
            <w:r w:rsidR="006F1553" w:rsidRPr="000855B2">
              <w:rPr>
                <w:szCs w:val="22"/>
                <w:lang w:val="en-GB"/>
              </w:rPr>
              <w:t>d</w:t>
            </w:r>
            <w:r w:rsidRPr="000855B2">
              <w:rPr>
                <w:szCs w:val="22"/>
                <w:lang w:val="en-GB"/>
              </w:rPr>
              <w:t>ioxide</w:t>
            </w:r>
          </w:p>
        </w:tc>
      </w:tr>
      <w:tr w:rsidR="001D2587" w:rsidRPr="000855B2" w14:paraId="206A6811" w14:textId="77777777">
        <w:trPr>
          <w:trHeight w:val="300"/>
        </w:trPr>
        <w:tc>
          <w:tcPr>
            <w:tcW w:w="1500" w:type="dxa"/>
            <w:tcBorders>
              <w:top w:val="nil"/>
              <w:left w:val="nil"/>
              <w:bottom w:val="nil"/>
              <w:right w:val="nil"/>
            </w:tcBorders>
            <w:tcMar>
              <w:top w:w="13" w:type="dxa"/>
              <w:left w:w="13" w:type="dxa"/>
              <w:bottom w:w="0" w:type="dxa"/>
              <w:right w:w="13" w:type="dxa"/>
            </w:tcMar>
          </w:tcPr>
          <w:p w14:paraId="2F5F7AE3" w14:textId="77777777" w:rsidR="001D2587" w:rsidRPr="000855B2" w:rsidRDefault="00461783" w:rsidP="00F078C9">
            <w:pPr>
              <w:rPr>
                <w:szCs w:val="22"/>
                <w:lang w:val="en-GB"/>
              </w:rPr>
            </w:pPr>
            <w:r>
              <w:rPr>
                <w:szCs w:val="22"/>
                <w:lang w:val="en-GB"/>
              </w:rPr>
              <w:t>COPERT</w:t>
            </w:r>
          </w:p>
        </w:tc>
        <w:tc>
          <w:tcPr>
            <w:tcW w:w="7360" w:type="dxa"/>
            <w:tcBorders>
              <w:top w:val="nil"/>
              <w:left w:val="nil"/>
              <w:bottom w:val="nil"/>
              <w:right w:val="nil"/>
            </w:tcBorders>
            <w:tcMar>
              <w:top w:w="13" w:type="dxa"/>
              <w:left w:w="13" w:type="dxa"/>
              <w:bottom w:w="0" w:type="dxa"/>
              <w:right w:w="13" w:type="dxa"/>
            </w:tcMar>
          </w:tcPr>
          <w:p w14:paraId="7CFA10FB" w14:textId="77777777" w:rsidR="001D2587" w:rsidRPr="000855B2" w:rsidRDefault="00292C0E" w:rsidP="00F078C9">
            <w:pPr>
              <w:rPr>
                <w:szCs w:val="22"/>
                <w:lang w:val="en-GB"/>
              </w:rPr>
            </w:pPr>
            <w:r w:rsidRPr="000855B2">
              <w:rPr>
                <w:szCs w:val="22"/>
                <w:lang w:val="en-GB"/>
              </w:rPr>
              <w:t>Computer p</w:t>
            </w:r>
            <w:r w:rsidR="001D2587" w:rsidRPr="000855B2">
              <w:rPr>
                <w:szCs w:val="22"/>
                <w:lang w:val="en-GB"/>
              </w:rPr>
              <w:t>rogra</w:t>
            </w:r>
            <w:r w:rsidRPr="000855B2">
              <w:rPr>
                <w:szCs w:val="22"/>
                <w:lang w:val="en-GB"/>
              </w:rPr>
              <w:t>mme to calculate emissions from road t</w:t>
            </w:r>
            <w:r w:rsidR="001D2587" w:rsidRPr="000855B2">
              <w:rPr>
                <w:szCs w:val="22"/>
                <w:lang w:val="en-GB"/>
              </w:rPr>
              <w:t>ransport</w:t>
            </w:r>
          </w:p>
        </w:tc>
      </w:tr>
      <w:tr w:rsidR="001D2587" w:rsidRPr="000855B2" w14:paraId="00257824" w14:textId="77777777">
        <w:trPr>
          <w:trHeight w:val="300"/>
        </w:trPr>
        <w:tc>
          <w:tcPr>
            <w:tcW w:w="1500" w:type="dxa"/>
            <w:tcBorders>
              <w:top w:val="nil"/>
              <w:left w:val="nil"/>
              <w:bottom w:val="nil"/>
              <w:right w:val="nil"/>
            </w:tcBorders>
            <w:tcMar>
              <w:top w:w="13" w:type="dxa"/>
              <w:left w:w="13" w:type="dxa"/>
              <w:bottom w:w="0" w:type="dxa"/>
              <w:right w:w="13" w:type="dxa"/>
            </w:tcMar>
          </w:tcPr>
          <w:p w14:paraId="2D2729D2" w14:textId="77777777" w:rsidR="001D2587" w:rsidRPr="000855B2" w:rsidRDefault="001D2587" w:rsidP="00F078C9">
            <w:pPr>
              <w:rPr>
                <w:szCs w:val="22"/>
                <w:lang w:val="en-GB"/>
              </w:rPr>
            </w:pPr>
            <w:r w:rsidRPr="000855B2">
              <w:rPr>
                <w:szCs w:val="22"/>
                <w:lang w:val="en-GB"/>
              </w:rPr>
              <w:t>CRDPF</w:t>
            </w:r>
          </w:p>
        </w:tc>
        <w:tc>
          <w:tcPr>
            <w:tcW w:w="7360" w:type="dxa"/>
            <w:tcBorders>
              <w:top w:val="nil"/>
              <w:left w:val="nil"/>
              <w:bottom w:val="nil"/>
              <w:right w:val="nil"/>
            </w:tcBorders>
            <w:tcMar>
              <w:top w:w="13" w:type="dxa"/>
              <w:left w:w="13" w:type="dxa"/>
              <w:bottom w:w="0" w:type="dxa"/>
              <w:right w:w="13" w:type="dxa"/>
            </w:tcMar>
          </w:tcPr>
          <w:p w14:paraId="527C285E" w14:textId="77777777" w:rsidR="001D2587" w:rsidRPr="000855B2" w:rsidRDefault="001D2587" w:rsidP="00F078C9">
            <w:pPr>
              <w:rPr>
                <w:szCs w:val="22"/>
                <w:lang w:val="en-GB"/>
              </w:rPr>
            </w:pPr>
            <w:r w:rsidRPr="000855B2">
              <w:rPr>
                <w:szCs w:val="22"/>
                <w:lang w:val="en-GB"/>
              </w:rPr>
              <w:t xml:space="preserve">Continuously </w:t>
            </w:r>
            <w:r w:rsidR="0037200D" w:rsidRPr="000855B2">
              <w:rPr>
                <w:szCs w:val="22"/>
                <w:lang w:val="en-GB"/>
              </w:rPr>
              <w:t>r</w:t>
            </w:r>
            <w:r w:rsidRPr="000855B2">
              <w:rPr>
                <w:szCs w:val="22"/>
                <w:lang w:val="en-GB"/>
              </w:rPr>
              <w:t xml:space="preserve">egenerating </w:t>
            </w:r>
            <w:r w:rsidR="0037200D" w:rsidRPr="000855B2">
              <w:rPr>
                <w:szCs w:val="22"/>
                <w:lang w:val="en-GB"/>
              </w:rPr>
              <w:t>diesel p</w:t>
            </w:r>
            <w:r w:rsidRPr="000855B2">
              <w:rPr>
                <w:szCs w:val="22"/>
                <w:lang w:val="en-GB"/>
              </w:rPr>
              <w:t xml:space="preserve">article </w:t>
            </w:r>
            <w:r w:rsidR="0037200D" w:rsidRPr="000855B2">
              <w:rPr>
                <w:szCs w:val="22"/>
                <w:lang w:val="en-GB"/>
              </w:rPr>
              <w:t>f</w:t>
            </w:r>
            <w:r w:rsidRPr="000855B2">
              <w:rPr>
                <w:szCs w:val="22"/>
                <w:lang w:val="en-GB"/>
              </w:rPr>
              <w:t>ilter</w:t>
            </w:r>
          </w:p>
        </w:tc>
      </w:tr>
      <w:tr w:rsidR="001D2587" w:rsidRPr="000855B2" w14:paraId="64C5EA55" w14:textId="77777777">
        <w:trPr>
          <w:trHeight w:val="300"/>
        </w:trPr>
        <w:tc>
          <w:tcPr>
            <w:tcW w:w="1500" w:type="dxa"/>
            <w:tcBorders>
              <w:top w:val="nil"/>
              <w:left w:val="nil"/>
              <w:bottom w:val="nil"/>
              <w:right w:val="nil"/>
            </w:tcBorders>
            <w:tcMar>
              <w:top w:w="13" w:type="dxa"/>
              <w:left w:w="13" w:type="dxa"/>
              <w:bottom w:w="0" w:type="dxa"/>
              <w:right w:w="13" w:type="dxa"/>
            </w:tcMar>
          </w:tcPr>
          <w:p w14:paraId="387EB653" w14:textId="77777777" w:rsidR="001D2587" w:rsidRPr="000855B2" w:rsidRDefault="001D2587" w:rsidP="00F078C9">
            <w:pPr>
              <w:pStyle w:val="InsideAddress"/>
              <w:jc w:val="left"/>
              <w:rPr>
                <w:szCs w:val="22"/>
                <w:lang w:eastAsia="nl-NL"/>
              </w:rPr>
            </w:pPr>
            <w:smartTag w:uri="urn:schemas-microsoft-com:office:smarttags" w:element="stockticker">
              <w:r w:rsidRPr="000855B2">
                <w:rPr>
                  <w:szCs w:val="22"/>
                  <w:lang w:eastAsia="nl-NL"/>
                </w:rPr>
                <w:t>CVS</w:t>
              </w:r>
            </w:smartTag>
          </w:p>
        </w:tc>
        <w:tc>
          <w:tcPr>
            <w:tcW w:w="0" w:type="auto"/>
            <w:tcBorders>
              <w:top w:val="nil"/>
              <w:left w:val="nil"/>
              <w:bottom w:val="nil"/>
              <w:right w:val="nil"/>
            </w:tcBorders>
            <w:noWrap/>
            <w:tcMar>
              <w:top w:w="13" w:type="dxa"/>
              <w:left w:w="13" w:type="dxa"/>
              <w:bottom w:w="0" w:type="dxa"/>
              <w:right w:w="13" w:type="dxa"/>
            </w:tcMar>
            <w:vAlign w:val="bottom"/>
          </w:tcPr>
          <w:p w14:paraId="70255F4C" w14:textId="77777777" w:rsidR="001D2587" w:rsidRPr="000855B2" w:rsidRDefault="001D2587" w:rsidP="00F078C9">
            <w:pPr>
              <w:rPr>
                <w:szCs w:val="22"/>
                <w:lang w:val="en-GB"/>
              </w:rPr>
            </w:pPr>
            <w:r w:rsidRPr="000855B2">
              <w:rPr>
                <w:szCs w:val="22"/>
                <w:lang w:val="en-GB"/>
              </w:rPr>
              <w:t>Constant volume sampler</w:t>
            </w:r>
          </w:p>
        </w:tc>
      </w:tr>
      <w:tr w:rsidR="001D2587" w:rsidRPr="000855B2" w14:paraId="5F5CCAF9" w14:textId="77777777">
        <w:trPr>
          <w:trHeight w:val="300"/>
        </w:trPr>
        <w:tc>
          <w:tcPr>
            <w:tcW w:w="1500" w:type="dxa"/>
            <w:tcBorders>
              <w:top w:val="nil"/>
              <w:left w:val="nil"/>
              <w:bottom w:val="nil"/>
              <w:right w:val="nil"/>
            </w:tcBorders>
            <w:tcMar>
              <w:top w:w="13" w:type="dxa"/>
              <w:left w:w="13" w:type="dxa"/>
              <w:bottom w:w="0" w:type="dxa"/>
              <w:right w:w="13" w:type="dxa"/>
            </w:tcMar>
          </w:tcPr>
          <w:p w14:paraId="17BBA54F" w14:textId="77777777" w:rsidR="001D2587" w:rsidRPr="000855B2" w:rsidRDefault="001D2587" w:rsidP="00F078C9">
            <w:pPr>
              <w:rPr>
                <w:szCs w:val="22"/>
                <w:lang w:val="en-GB"/>
              </w:rPr>
            </w:pPr>
            <w:r w:rsidRPr="000855B2">
              <w:rPr>
                <w:szCs w:val="22"/>
                <w:lang w:val="en-GB"/>
              </w:rPr>
              <w:t>DI</w:t>
            </w:r>
          </w:p>
        </w:tc>
        <w:tc>
          <w:tcPr>
            <w:tcW w:w="0" w:type="auto"/>
            <w:tcBorders>
              <w:top w:val="nil"/>
              <w:left w:val="nil"/>
              <w:bottom w:val="nil"/>
              <w:right w:val="nil"/>
            </w:tcBorders>
            <w:noWrap/>
            <w:tcMar>
              <w:top w:w="13" w:type="dxa"/>
              <w:left w:w="13" w:type="dxa"/>
              <w:bottom w:w="0" w:type="dxa"/>
              <w:right w:w="13" w:type="dxa"/>
            </w:tcMar>
            <w:vAlign w:val="bottom"/>
          </w:tcPr>
          <w:p w14:paraId="14C186CB" w14:textId="77777777" w:rsidR="001D2587" w:rsidRPr="000855B2" w:rsidRDefault="001D2587" w:rsidP="00F078C9">
            <w:pPr>
              <w:rPr>
                <w:szCs w:val="22"/>
                <w:lang w:val="en-GB"/>
              </w:rPr>
            </w:pPr>
            <w:r w:rsidRPr="000855B2">
              <w:rPr>
                <w:szCs w:val="22"/>
                <w:lang w:val="en-GB"/>
              </w:rPr>
              <w:t>Direct injection</w:t>
            </w:r>
          </w:p>
        </w:tc>
      </w:tr>
      <w:tr w:rsidR="001D2587" w:rsidRPr="000855B2" w14:paraId="46BDF795" w14:textId="77777777">
        <w:trPr>
          <w:trHeight w:val="300"/>
        </w:trPr>
        <w:tc>
          <w:tcPr>
            <w:tcW w:w="1500" w:type="dxa"/>
            <w:tcBorders>
              <w:top w:val="nil"/>
              <w:left w:val="nil"/>
              <w:bottom w:val="nil"/>
              <w:right w:val="nil"/>
            </w:tcBorders>
            <w:tcMar>
              <w:top w:w="13" w:type="dxa"/>
              <w:left w:w="13" w:type="dxa"/>
              <w:bottom w:w="0" w:type="dxa"/>
              <w:right w:w="13" w:type="dxa"/>
            </w:tcMar>
          </w:tcPr>
          <w:p w14:paraId="05E39943" w14:textId="77777777" w:rsidR="001D2587" w:rsidRPr="000855B2" w:rsidRDefault="001D2587" w:rsidP="00F078C9">
            <w:pPr>
              <w:rPr>
                <w:szCs w:val="22"/>
                <w:lang w:val="en-GB"/>
              </w:rPr>
            </w:pPr>
            <w:r w:rsidRPr="000855B2">
              <w:rPr>
                <w:szCs w:val="22"/>
                <w:lang w:val="en-GB"/>
              </w:rPr>
              <w:t>DPF</w:t>
            </w:r>
          </w:p>
          <w:p w14:paraId="077B5AE9" w14:textId="77777777" w:rsidR="004E5F04" w:rsidRPr="000855B2" w:rsidRDefault="004E5F04" w:rsidP="00F078C9">
            <w:pPr>
              <w:rPr>
                <w:szCs w:val="22"/>
                <w:lang w:val="en-GB"/>
              </w:rPr>
            </w:pPr>
            <w:r w:rsidRPr="000855B2">
              <w:rPr>
                <w:szCs w:val="22"/>
                <w:lang w:val="en-GB"/>
              </w:rPr>
              <w:t>E85</w:t>
            </w:r>
          </w:p>
        </w:tc>
        <w:tc>
          <w:tcPr>
            <w:tcW w:w="7360" w:type="dxa"/>
            <w:tcBorders>
              <w:top w:val="nil"/>
              <w:left w:val="nil"/>
              <w:bottom w:val="nil"/>
              <w:right w:val="nil"/>
            </w:tcBorders>
            <w:tcMar>
              <w:top w:w="13" w:type="dxa"/>
              <w:left w:w="13" w:type="dxa"/>
              <w:bottom w:w="0" w:type="dxa"/>
              <w:right w:w="13" w:type="dxa"/>
            </w:tcMar>
          </w:tcPr>
          <w:p w14:paraId="225B5FA2" w14:textId="77777777" w:rsidR="001D2587" w:rsidRPr="000855B2" w:rsidRDefault="001D2587" w:rsidP="00F078C9">
            <w:pPr>
              <w:rPr>
                <w:szCs w:val="22"/>
                <w:lang w:val="en-GB"/>
              </w:rPr>
            </w:pPr>
            <w:r w:rsidRPr="000855B2">
              <w:rPr>
                <w:szCs w:val="22"/>
                <w:lang w:val="en-GB"/>
              </w:rPr>
              <w:t xml:space="preserve">Diesel </w:t>
            </w:r>
            <w:r w:rsidR="0037200D" w:rsidRPr="000855B2">
              <w:rPr>
                <w:szCs w:val="22"/>
                <w:lang w:val="en-GB"/>
              </w:rPr>
              <w:t>p</w:t>
            </w:r>
            <w:r w:rsidRPr="000855B2">
              <w:rPr>
                <w:szCs w:val="22"/>
                <w:lang w:val="en-GB"/>
              </w:rPr>
              <w:t xml:space="preserve">articulate </w:t>
            </w:r>
            <w:r w:rsidR="0037200D" w:rsidRPr="000855B2">
              <w:rPr>
                <w:szCs w:val="22"/>
                <w:lang w:val="en-GB"/>
              </w:rPr>
              <w:t>f</w:t>
            </w:r>
            <w:r w:rsidRPr="000855B2">
              <w:rPr>
                <w:szCs w:val="22"/>
                <w:lang w:val="en-GB"/>
              </w:rPr>
              <w:t>ilter</w:t>
            </w:r>
          </w:p>
          <w:p w14:paraId="26708C2A" w14:textId="77777777" w:rsidR="004E5F04" w:rsidRPr="000855B2" w:rsidRDefault="004E5F04" w:rsidP="004E5F04">
            <w:pPr>
              <w:rPr>
                <w:szCs w:val="22"/>
                <w:lang w:val="en-GB"/>
              </w:rPr>
            </w:pPr>
            <w:r w:rsidRPr="000855B2">
              <w:rPr>
                <w:szCs w:val="22"/>
                <w:lang w:val="en-GB"/>
              </w:rPr>
              <w:t xml:space="preserve">An ethanol fuel blend of up to 85% denatured ethanol fuel and </w:t>
            </w:r>
            <w:r w:rsidR="005E4DC4">
              <w:rPr>
                <w:szCs w:val="22"/>
                <w:lang w:val="en-GB"/>
              </w:rPr>
              <w:t>petrol</w:t>
            </w:r>
            <w:r w:rsidRPr="000855B2">
              <w:rPr>
                <w:szCs w:val="22"/>
                <w:lang w:val="en-GB"/>
              </w:rPr>
              <w:t xml:space="preserve"> by volume</w:t>
            </w:r>
          </w:p>
        </w:tc>
      </w:tr>
      <w:tr w:rsidR="001D2587" w:rsidRPr="000855B2" w14:paraId="197DFF57" w14:textId="77777777">
        <w:trPr>
          <w:trHeight w:val="300"/>
        </w:trPr>
        <w:tc>
          <w:tcPr>
            <w:tcW w:w="1500" w:type="dxa"/>
            <w:tcBorders>
              <w:top w:val="nil"/>
              <w:left w:val="nil"/>
              <w:bottom w:val="nil"/>
              <w:right w:val="nil"/>
            </w:tcBorders>
            <w:tcMar>
              <w:top w:w="0" w:type="dxa"/>
              <w:left w:w="13" w:type="dxa"/>
              <w:bottom w:w="0" w:type="dxa"/>
              <w:right w:w="13" w:type="dxa"/>
            </w:tcMar>
          </w:tcPr>
          <w:p w14:paraId="00CFDE2F" w14:textId="77777777" w:rsidR="001D2587" w:rsidRPr="000855B2" w:rsidRDefault="001D2587" w:rsidP="00F078C9">
            <w:pPr>
              <w:rPr>
                <w:szCs w:val="22"/>
                <w:lang w:val="en-GB"/>
              </w:rPr>
            </w:pPr>
            <w:r w:rsidRPr="000855B2">
              <w:rPr>
                <w:szCs w:val="22"/>
                <w:lang w:val="en-GB"/>
              </w:rPr>
              <w:t>EC</w:t>
            </w:r>
          </w:p>
        </w:tc>
        <w:tc>
          <w:tcPr>
            <w:tcW w:w="7360" w:type="dxa"/>
            <w:tcBorders>
              <w:top w:val="nil"/>
              <w:left w:val="nil"/>
              <w:bottom w:val="nil"/>
              <w:right w:val="nil"/>
            </w:tcBorders>
            <w:tcMar>
              <w:top w:w="0" w:type="dxa"/>
              <w:left w:w="13" w:type="dxa"/>
              <w:bottom w:w="0" w:type="dxa"/>
              <w:right w:w="13" w:type="dxa"/>
            </w:tcMar>
          </w:tcPr>
          <w:p w14:paraId="418B5664" w14:textId="77777777" w:rsidR="001D2587" w:rsidRPr="000855B2" w:rsidRDefault="001D2587" w:rsidP="00F078C9">
            <w:pPr>
              <w:rPr>
                <w:szCs w:val="22"/>
                <w:lang w:val="en-GB"/>
              </w:rPr>
            </w:pPr>
            <w:r w:rsidRPr="000855B2">
              <w:rPr>
                <w:szCs w:val="22"/>
                <w:lang w:val="en-GB"/>
              </w:rPr>
              <w:t xml:space="preserve">Elemental </w:t>
            </w:r>
            <w:r w:rsidR="006F1553" w:rsidRPr="000855B2">
              <w:rPr>
                <w:szCs w:val="22"/>
                <w:lang w:val="en-GB"/>
              </w:rPr>
              <w:t>c</w:t>
            </w:r>
            <w:r w:rsidRPr="000855B2">
              <w:rPr>
                <w:szCs w:val="22"/>
                <w:lang w:val="en-GB"/>
              </w:rPr>
              <w:t>arbon</w:t>
            </w:r>
          </w:p>
        </w:tc>
      </w:tr>
      <w:tr w:rsidR="00136D49" w:rsidRPr="000855B2" w14:paraId="4C0C6958" w14:textId="77777777">
        <w:trPr>
          <w:trHeight w:val="300"/>
        </w:trPr>
        <w:tc>
          <w:tcPr>
            <w:tcW w:w="1500" w:type="dxa"/>
            <w:tcBorders>
              <w:top w:val="nil"/>
              <w:left w:val="nil"/>
              <w:bottom w:val="nil"/>
              <w:right w:val="nil"/>
            </w:tcBorders>
            <w:tcMar>
              <w:top w:w="0" w:type="dxa"/>
              <w:left w:w="13" w:type="dxa"/>
              <w:bottom w:w="0" w:type="dxa"/>
              <w:right w:w="13" w:type="dxa"/>
            </w:tcMar>
          </w:tcPr>
          <w:p w14:paraId="11B976B6" w14:textId="77777777" w:rsidR="00136D49" w:rsidRPr="000855B2" w:rsidRDefault="00136D49" w:rsidP="00F078C9">
            <w:pPr>
              <w:rPr>
                <w:szCs w:val="22"/>
                <w:lang w:val="en-GB"/>
              </w:rPr>
            </w:pPr>
            <w:r w:rsidRPr="000855B2">
              <w:rPr>
                <w:szCs w:val="22"/>
                <w:lang w:val="en-GB"/>
              </w:rPr>
              <w:t>EEA</w:t>
            </w:r>
            <w:r w:rsidR="00027C01" w:rsidRPr="000855B2">
              <w:rPr>
                <w:szCs w:val="22"/>
                <w:lang w:val="en-GB"/>
              </w:rPr>
              <w:t>-</w:t>
            </w:r>
            <w:r w:rsidRPr="000855B2">
              <w:rPr>
                <w:szCs w:val="22"/>
                <w:lang w:val="en-GB"/>
              </w:rPr>
              <w:t>32</w:t>
            </w:r>
          </w:p>
        </w:tc>
        <w:tc>
          <w:tcPr>
            <w:tcW w:w="7360" w:type="dxa"/>
            <w:tcBorders>
              <w:top w:val="nil"/>
              <w:left w:val="nil"/>
              <w:bottom w:val="nil"/>
              <w:right w:val="nil"/>
            </w:tcBorders>
            <w:tcMar>
              <w:top w:w="0" w:type="dxa"/>
              <w:left w:w="13" w:type="dxa"/>
              <w:bottom w:w="0" w:type="dxa"/>
              <w:right w:w="13" w:type="dxa"/>
            </w:tcMar>
          </w:tcPr>
          <w:p w14:paraId="130BF03F" w14:textId="77777777" w:rsidR="00136D49" w:rsidRPr="000855B2" w:rsidRDefault="00136D49" w:rsidP="00F078C9">
            <w:pPr>
              <w:rPr>
                <w:szCs w:val="22"/>
                <w:lang w:val="en-GB"/>
              </w:rPr>
            </w:pPr>
            <w:r w:rsidRPr="000855B2">
              <w:rPr>
                <w:szCs w:val="22"/>
                <w:lang w:val="en-GB"/>
              </w:rPr>
              <w:t>Member countries of the European Environment Agency (EU+EFTA4+TR)</w:t>
            </w:r>
          </w:p>
        </w:tc>
      </w:tr>
      <w:tr w:rsidR="00C31ED5" w:rsidRPr="000855B2" w14:paraId="74724230" w14:textId="77777777">
        <w:trPr>
          <w:trHeight w:val="300"/>
        </w:trPr>
        <w:tc>
          <w:tcPr>
            <w:tcW w:w="1500" w:type="dxa"/>
            <w:tcBorders>
              <w:top w:val="nil"/>
              <w:left w:val="nil"/>
              <w:bottom w:val="nil"/>
              <w:right w:val="nil"/>
            </w:tcBorders>
            <w:tcMar>
              <w:top w:w="0" w:type="dxa"/>
              <w:left w:w="13" w:type="dxa"/>
              <w:bottom w:w="0" w:type="dxa"/>
              <w:right w:w="13" w:type="dxa"/>
            </w:tcMar>
          </w:tcPr>
          <w:p w14:paraId="13322140" w14:textId="77777777" w:rsidR="00C31ED5" w:rsidRPr="000855B2" w:rsidRDefault="00C31ED5" w:rsidP="00F078C9">
            <w:pPr>
              <w:rPr>
                <w:szCs w:val="22"/>
                <w:lang w:val="en-GB"/>
              </w:rPr>
            </w:pPr>
            <w:r w:rsidRPr="000855B2">
              <w:rPr>
                <w:szCs w:val="22"/>
                <w:lang w:val="en-GB"/>
              </w:rPr>
              <w:t>EFTA</w:t>
            </w:r>
            <w:r w:rsidR="00027C01" w:rsidRPr="000855B2">
              <w:rPr>
                <w:szCs w:val="22"/>
                <w:lang w:val="en-GB"/>
              </w:rPr>
              <w:t>-</w:t>
            </w:r>
            <w:r w:rsidRPr="000855B2">
              <w:rPr>
                <w:szCs w:val="22"/>
                <w:lang w:val="en-GB"/>
              </w:rPr>
              <w:t>4</w:t>
            </w:r>
          </w:p>
        </w:tc>
        <w:tc>
          <w:tcPr>
            <w:tcW w:w="7360" w:type="dxa"/>
            <w:tcBorders>
              <w:top w:val="nil"/>
              <w:left w:val="nil"/>
              <w:bottom w:val="nil"/>
              <w:right w:val="nil"/>
            </w:tcBorders>
            <w:tcMar>
              <w:top w:w="0" w:type="dxa"/>
              <w:left w:w="13" w:type="dxa"/>
              <w:bottom w:w="0" w:type="dxa"/>
              <w:right w:w="13" w:type="dxa"/>
            </w:tcMar>
          </w:tcPr>
          <w:p w14:paraId="05324448" w14:textId="77777777" w:rsidR="00C31ED5" w:rsidRPr="000855B2" w:rsidRDefault="00C31ED5" w:rsidP="00F078C9">
            <w:pPr>
              <w:rPr>
                <w:szCs w:val="22"/>
                <w:lang w:val="en-GB"/>
              </w:rPr>
            </w:pPr>
            <w:r w:rsidRPr="000855B2">
              <w:rPr>
                <w:szCs w:val="22"/>
                <w:lang w:val="en-GB"/>
              </w:rPr>
              <w:t>European Free Trade Association Countries (CH, IS, LI, NO)</w:t>
            </w:r>
          </w:p>
        </w:tc>
      </w:tr>
      <w:tr w:rsidR="001D2587" w:rsidRPr="000855B2" w14:paraId="2C98E073" w14:textId="77777777">
        <w:trPr>
          <w:trHeight w:val="300"/>
        </w:trPr>
        <w:tc>
          <w:tcPr>
            <w:tcW w:w="1500" w:type="dxa"/>
            <w:tcBorders>
              <w:top w:val="nil"/>
              <w:left w:val="nil"/>
              <w:bottom w:val="nil"/>
              <w:right w:val="nil"/>
            </w:tcBorders>
            <w:tcMar>
              <w:top w:w="13" w:type="dxa"/>
              <w:left w:w="13" w:type="dxa"/>
              <w:bottom w:w="0" w:type="dxa"/>
              <w:right w:w="13" w:type="dxa"/>
            </w:tcMar>
          </w:tcPr>
          <w:p w14:paraId="5E6228F1" w14:textId="77777777" w:rsidR="001D2587" w:rsidRPr="000855B2" w:rsidRDefault="001D2587" w:rsidP="00F078C9">
            <w:pPr>
              <w:rPr>
                <w:szCs w:val="22"/>
                <w:lang w:val="en-GB"/>
              </w:rPr>
            </w:pPr>
            <w:r w:rsidRPr="000855B2">
              <w:rPr>
                <w:szCs w:val="22"/>
                <w:lang w:val="en-GB"/>
              </w:rPr>
              <w:t>ETBE</w:t>
            </w:r>
          </w:p>
        </w:tc>
        <w:tc>
          <w:tcPr>
            <w:tcW w:w="7360" w:type="dxa"/>
            <w:tcBorders>
              <w:top w:val="nil"/>
              <w:left w:val="nil"/>
              <w:bottom w:val="nil"/>
              <w:right w:val="nil"/>
            </w:tcBorders>
            <w:tcMar>
              <w:top w:w="13" w:type="dxa"/>
              <w:left w:w="13" w:type="dxa"/>
              <w:bottom w:w="0" w:type="dxa"/>
              <w:right w:w="13" w:type="dxa"/>
            </w:tcMar>
            <w:vAlign w:val="bottom"/>
          </w:tcPr>
          <w:p w14:paraId="76C988FA" w14:textId="77777777" w:rsidR="001D2587" w:rsidRPr="000855B2" w:rsidRDefault="001D2587" w:rsidP="00F078C9">
            <w:pPr>
              <w:rPr>
                <w:color w:val="000000"/>
                <w:szCs w:val="22"/>
                <w:lang w:val="en-GB"/>
              </w:rPr>
            </w:pPr>
            <w:r w:rsidRPr="000855B2">
              <w:rPr>
                <w:color w:val="000000"/>
                <w:szCs w:val="22"/>
                <w:lang w:val="en-GB"/>
              </w:rPr>
              <w:t>Ethyl tert-butyl ether</w:t>
            </w:r>
          </w:p>
        </w:tc>
      </w:tr>
      <w:tr w:rsidR="001D2587" w:rsidRPr="000855B2" w14:paraId="588F0E80" w14:textId="77777777">
        <w:trPr>
          <w:trHeight w:val="300"/>
        </w:trPr>
        <w:tc>
          <w:tcPr>
            <w:tcW w:w="1500" w:type="dxa"/>
            <w:tcBorders>
              <w:top w:val="nil"/>
              <w:left w:val="nil"/>
              <w:bottom w:val="nil"/>
              <w:right w:val="nil"/>
            </w:tcBorders>
            <w:tcMar>
              <w:top w:w="0" w:type="dxa"/>
              <w:left w:w="13" w:type="dxa"/>
              <w:bottom w:w="0" w:type="dxa"/>
              <w:right w:w="13" w:type="dxa"/>
            </w:tcMar>
          </w:tcPr>
          <w:p w14:paraId="7FE7588A" w14:textId="77777777" w:rsidR="001D2587" w:rsidRPr="000855B2" w:rsidRDefault="001D2587" w:rsidP="00F078C9">
            <w:pPr>
              <w:rPr>
                <w:szCs w:val="22"/>
                <w:lang w:val="en-GB"/>
              </w:rPr>
            </w:pPr>
            <w:r w:rsidRPr="000855B2">
              <w:rPr>
                <w:szCs w:val="22"/>
                <w:lang w:val="en-GB"/>
              </w:rPr>
              <w:t>FC</w:t>
            </w:r>
          </w:p>
        </w:tc>
        <w:tc>
          <w:tcPr>
            <w:tcW w:w="7360" w:type="dxa"/>
            <w:tcBorders>
              <w:top w:val="nil"/>
              <w:left w:val="nil"/>
              <w:bottom w:val="nil"/>
              <w:right w:val="nil"/>
            </w:tcBorders>
            <w:tcMar>
              <w:top w:w="0" w:type="dxa"/>
              <w:left w:w="13" w:type="dxa"/>
              <w:bottom w:w="0" w:type="dxa"/>
              <w:right w:w="13" w:type="dxa"/>
            </w:tcMar>
          </w:tcPr>
          <w:p w14:paraId="693CB23F" w14:textId="77777777" w:rsidR="001A3E82" w:rsidRPr="000855B2" w:rsidRDefault="001D2587" w:rsidP="00F078C9">
            <w:pPr>
              <w:rPr>
                <w:szCs w:val="22"/>
                <w:lang w:val="en-GB"/>
              </w:rPr>
            </w:pPr>
            <w:r w:rsidRPr="000855B2">
              <w:rPr>
                <w:szCs w:val="22"/>
                <w:lang w:val="en-GB"/>
              </w:rPr>
              <w:t xml:space="preserve">Fuel </w:t>
            </w:r>
            <w:r w:rsidR="006F1553" w:rsidRPr="000855B2">
              <w:rPr>
                <w:szCs w:val="22"/>
                <w:lang w:val="en-GB"/>
              </w:rPr>
              <w:t>c</w:t>
            </w:r>
            <w:r w:rsidRPr="000855B2">
              <w:rPr>
                <w:szCs w:val="22"/>
                <w:lang w:val="en-GB"/>
              </w:rPr>
              <w:t>onsumption</w:t>
            </w:r>
          </w:p>
        </w:tc>
      </w:tr>
      <w:tr w:rsidR="001A3E82" w:rsidRPr="000855B2" w14:paraId="1C0318FD" w14:textId="77777777">
        <w:trPr>
          <w:trHeight w:val="300"/>
        </w:trPr>
        <w:tc>
          <w:tcPr>
            <w:tcW w:w="1500" w:type="dxa"/>
            <w:tcBorders>
              <w:top w:val="nil"/>
              <w:left w:val="nil"/>
              <w:bottom w:val="nil"/>
              <w:right w:val="nil"/>
            </w:tcBorders>
            <w:tcMar>
              <w:top w:w="0" w:type="dxa"/>
              <w:left w:w="13" w:type="dxa"/>
              <w:bottom w:w="0" w:type="dxa"/>
              <w:right w:w="13" w:type="dxa"/>
            </w:tcMar>
          </w:tcPr>
          <w:p w14:paraId="032C28C2" w14:textId="77777777" w:rsidR="001A3E82" w:rsidRPr="000855B2" w:rsidRDefault="001A3E82" w:rsidP="00F078C9">
            <w:pPr>
              <w:rPr>
                <w:szCs w:val="22"/>
                <w:lang w:val="en-GB"/>
              </w:rPr>
            </w:pPr>
            <w:r>
              <w:rPr>
                <w:szCs w:val="22"/>
                <w:lang w:val="en-GB"/>
              </w:rPr>
              <w:t>EC</w:t>
            </w:r>
          </w:p>
        </w:tc>
        <w:tc>
          <w:tcPr>
            <w:tcW w:w="7360" w:type="dxa"/>
            <w:tcBorders>
              <w:top w:val="nil"/>
              <w:left w:val="nil"/>
              <w:bottom w:val="nil"/>
              <w:right w:val="nil"/>
            </w:tcBorders>
            <w:tcMar>
              <w:top w:w="0" w:type="dxa"/>
              <w:left w:w="13" w:type="dxa"/>
              <w:bottom w:w="0" w:type="dxa"/>
              <w:right w:w="13" w:type="dxa"/>
            </w:tcMar>
          </w:tcPr>
          <w:p w14:paraId="50244F4D" w14:textId="77777777" w:rsidR="001A3E82" w:rsidRPr="000855B2" w:rsidRDefault="001A3E82" w:rsidP="00F078C9">
            <w:pPr>
              <w:rPr>
                <w:szCs w:val="22"/>
                <w:lang w:val="en-GB"/>
              </w:rPr>
            </w:pPr>
            <w:r>
              <w:rPr>
                <w:szCs w:val="22"/>
                <w:lang w:val="en-GB"/>
              </w:rPr>
              <w:t>Energy consumption</w:t>
            </w:r>
          </w:p>
        </w:tc>
      </w:tr>
      <w:tr w:rsidR="001D2587" w:rsidRPr="000855B2" w14:paraId="77953FF9" w14:textId="77777777">
        <w:trPr>
          <w:trHeight w:val="300"/>
        </w:trPr>
        <w:tc>
          <w:tcPr>
            <w:tcW w:w="1500" w:type="dxa"/>
            <w:tcBorders>
              <w:top w:val="nil"/>
              <w:left w:val="nil"/>
              <w:bottom w:val="nil"/>
              <w:right w:val="nil"/>
            </w:tcBorders>
            <w:tcMar>
              <w:top w:w="13" w:type="dxa"/>
              <w:left w:w="13" w:type="dxa"/>
              <w:bottom w:w="0" w:type="dxa"/>
              <w:right w:w="13" w:type="dxa"/>
            </w:tcMar>
          </w:tcPr>
          <w:p w14:paraId="3DE26E7D" w14:textId="77777777" w:rsidR="001D2587" w:rsidRPr="000855B2" w:rsidRDefault="001D2587" w:rsidP="00F078C9">
            <w:pPr>
              <w:rPr>
                <w:szCs w:val="22"/>
                <w:lang w:val="en-GB"/>
              </w:rPr>
            </w:pPr>
            <w:smartTag w:uri="urn:schemas-microsoft-com:office:smarttags" w:element="stockticker">
              <w:r w:rsidRPr="000855B2">
                <w:rPr>
                  <w:szCs w:val="22"/>
                  <w:lang w:val="en-GB"/>
                </w:rPr>
                <w:t>GDI</w:t>
              </w:r>
            </w:smartTag>
          </w:p>
        </w:tc>
        <w:tc>
          <w:tcPr>
            <w:tcW w:w="0" w:type="auto"/>
            <w:tcBorders>
              <w:top w:val="nil"/>
              <w:left w:val="nil"/>
              <w:bottom w:val="nil"/>
              <w:right w:val="nil"/>
            </w:tcBorders>
            <w:noWrap/>
            <w:tcMar>
              <w:top w:w="13" w:type="dxa"/>
              <w:left w:w="13" w:type="dxa"/>
              <w:bottom w:w="0" w:type="dxa"/>
              <w:right w:w="13" w:type="dxa"/>
            </w:tcMar>
            <w:vAlign w:val="bottom"/>
          </w:tcPr>
          <w:p w14:paraId="32B57D50" w14:textId="77777777" w:rsidR="001D2587" w:rsidRPr="000855B2" w:rsidRDefault="001D2587" w:rsidP="00F078C9">
            <w:pPr>
              <w:rPr>
                <w:szCs w:val="22"/>
                <w:lang w:val="en-GB"/>
              </w:rPr>
            </w:pPr>
            <w:r w:rsidRPr="000855B2">
              <w:rPr>
                <w:szCs w:val="22"/>
                <w:lang w:val="en-GB"/>
              </w:rPr>
              <w:t xml:space="preserve">Gasoline </w:t>
            </w:r>
            <w:r w:rsidR="005F0CAB" w:rsidRPr="000855B2">
              <w:rPr>
                <w:szCs w:val="22"/>
                <w:lang w:val="en-GB"/>
              </w:rPr>
              <w:t>d</w:t>
            </w:r>
            <w:r w:rsidRPr="000855B2">
              <w:rPr>
                <w:szCs w:val="22"/>
                <w:lang w:val="en-GB"/>
              </w:rPr>
              <w:t xml:space="preserve">irect </w:t>
            </w:r>
            <w:r w:rsidR="005F0CAB" w:rsidRPr="000855B2">
              <w:rPr>
                <w:szCs w:val="22"/>
                <w:lang w:val="en-GB"/>
              </w:rPr>
              <w:t>i</w:t>
            </w:r>
            <w:r w:rsidRPr="000855B2">
              <w:rPr>
                <w:szCs w:val="22"/>
                <w:lang w:val="en-GB"/>
              </w:rPr>
              <w:t xml:space="preserve">njection </w:t>
            </w:r>
          </w:p>
        </w:tc>
      </w:tr>
      <w:tr w:rsidR="001D2587" w:rsidRPr="000855B2" w14:paraId="48B8232F" w14:textId="77777777">
        <w:trPr>
          <w:trHeight w:val="300"/>
        </w:trPr>
        <w:tc>
          <w:tcPr>
            <w:tcW w:w="1500" w:type="dxa"/>
            <w:tcBorders>
              <w:top w:val="nil"/>
              <w:left w:val="nil"/>
              <w:bottom w:val="nil"/>
              <w:right w:val="nil"/>
            </w:tcBorders>
            <w:tcMar>
              <w:top w:w="0" w:type="dxa"/>
              <w:left w:w="13" w:type="dxa"/>
              <w:bottom w:w="0" w:type="dxa"/>
              <w:right w:w="13" w:type="dxa"/>
            </w:tcMar>
          </w:tcPr>
          <w:p w14:paraId="33C43276" w14:textId="77777777" w:rsidR="001D2587" w:rsidRPr="000855B2" w:rsidRDefault="001D2587" w:rsidP="00F078C9">
            <w:pPr>
              <w:rPr>
                <w:szCs w:val="22"/>
                <w:lang w:val="en-GB"/>
              </w:rPr>
            </w:pPr>
            <w:r w:rsidRPr="000855B2">
              <w:rPr>
                <w:szCs w:val="22"/>
                <w:lang w:val="en-GB"/>
              </w:rPr>
              <w:t>GVW</w:t>
            </w:r>
          </w:p>
        </w:tc>
        <w:tc>
          <w:tcPr>
            <w:tcW w:w="7360" w:type="dxa"/>
            <w:tcBorders>
              <w:top w:val="nil"/>
              <w:left w:val="nil"/>
              <w:bottom w:val="nil"/>
              <w:right w:val="nil"/>
            </w:tcBorders>
            <w:tcMar>
              <w:top w:w="0" w:type="dxa"/>
              <w:left w:w="13" w:type="dxa"/>
              <w:bottom w:w="0" w:type="dxa"/>
              <w:right w:w="13" w:type="dxa"/>
            </w:tcMar>
          </w:tcPr>
          <w:p w14:paraId="08D0AE37" w14:textId="77777777" w:rsidR="001D2587" w:rsidRPr="000855B2" w:rsidRDefault="001D2587" w:rsidP="00F078C9">
            <w:pPr>
              <w:rPr>
                <w:szCs w:val="22"/>
                <w:lang w:val="en-GB"/>
              </w:rPr>
            </w:pPr>
            <w:r w:rsidRPr="000855B2">
              <w:rPr>
                <w:szCs w:val="22"/>
                <w:lang w:val="en-GB"/>
              </w:rPr>
              <w:t xml:space="preserve">Gross </w:t>
            </w:r>
            <w:r w:rsidR="005F0CAB" w:rsidRPr="000855B2">
              <w:rPr>
                <w:szCs w:val="22"/>
                <w:lang w:val="en-GB"/>
              </w:rPr>
              <w:t>v</w:t>
            </w:r>
            <w:r w:rsidRPr="000855B2">
              <w:rPr>
                <w:szCs w:val="22"/>
                <w:lang w:val="en-GB"/>
              </w:rPr>
              <w:t xml:space="preserve">ehicle </w:t>
            </w:r>
            <w:r w:rsidR="005F0CAB" w:rsidRPr="000855B2">
              <w:rPr>
                <w:szCs w:val="22"/>
                <w:lang w:val="en-GB"/>
              </w:rPr>
              <w:t>w</w:t>
            </w:r>
            <w:r w:rsidRPr="000855B2">
              <w:rPr>
                <w:szCs w:val="22"/>
                <w:lang w:val="en-GB"/>
              </w:rPr>
              <w:t>eight</w:t>
            </w:r>
          </w:p>
        </w:tc>
      </w:tr>
      <w:tr w:rsidR="006C3A2A" w:rsidRPr="000855B2" w14:paraId="660A8D53" w14:textId="77777777">
        <w:trPr>
          <w:trHeight w:val="300"/>
        </w:trPr>
        <w:tc>
          <w:tcPr>
            <w:tcW w:w="1500" w:type="dxa"/>
            <w:tcBorders>
              <w:top w:val="nil"/>
              <w:left w:val="nil"/>
              <w:bottom w:val="nil"/>
              <w:right w:val="nil"/>
            </w:tcBorders>
            <w:tcMar>
              <w:top w:w="0" w:type="dxa"/>
              <w:left w:w="13" w:type="dxa"/>
              <w:bottom w:w="0" w:type="dxa"/>
              <w:right w:w="13" w:type="dxa"/>
            </w:tcMar>
          </w:tcPr>
          <w:p w14:paraId="5B2AAC8C" w14:textId="77777777" w:rsidR="006C3A2A" w:rsidRPr="000855B2" w:rsidRDefault="006C3A2A" w:rsidP="00F078C9">
            <w:pPr>
              <w:rPr>
                <w:szCs w:val="22"/>
                <w:lang w:val="en-GB"/>
              </w:rPr>
            </w:pPr>
            <w:r w:rsidRPr="000855B2">
              <w:rPr>
                <w:szCs w:val="22"/>
                <w:lang w:val="en-GB"/>
              </w:rPr>
              <w:t>HCCI</w:t>
            </w:r>
          </w:p>
        </w:tc>
        <w:tc>
          <w:tcPr>
            <w:tcW w:w="7360" w:type="dxa"/>
            <w:tcBorders>
              <w:top w:val="nil"/>
              <w:left w:val="nil"/>
              <w:bottom w:val="nil"/>
              <w:right w:val="nil"/>
            </w:tcBorders>
            <w:tcMar>
              <w:top w:w="0" w:type="dxa"/>
              <w:left w:w="13" w:type="dxa"/>
              <w:bottom w:w="0" w:type="dxa"/>
              <w:right w:w="13" w:type="dxa"/>
            </w:tcMar>
          </w:tcPr>
          <w:p w14:paraId="0F2A54F9" w14:textId="77777777" w:rsidR="006C3A2A" w:rsidRPr="000855B2" w:rsidRDefault="006C3A2A" w:rsidP="00F078C9">
            <w:pPr>
              <w:rPr>
                <w:szCs w:val="22"/>
                <w:lang w:val="en-GB"/>
              </w:rPr>
            </w:pPr>
            <w:r w:rsidRPr="000855B2">
              <w:rPr>
                <w:szCs w:val="22"/>
                <w:lang w:val="en-GB"/>
              </w:rPr>
              <w:t>Homogeneous charge compression ignition</w:t>
            </w:r>
          </w:p>
        </w:tc>
      </w:tr>
      <w:tr w:rsidR="001D2587" w:rsidRPr="000855B2" w14:paraId="3A0829DE" w14:textId="77777777">
        <w:trPr>
          <w:trHeight w:val="300"/>
        </w:trPr>
        <w:tc>
          <w:tcPr>
            <w:tcW w:w="1500" w:type="dxa"/>
            <w:tcBorders>
              <w:top w:val="nil"/>
              <w:left w:val="nil"/>
              <w:bottom w:val="nil"/>
              <w:right w:val="nil"/>
            </w:tcBorders>
            <w:tcMar>
              <w:top w:w="0" w:type="dxa"/>
              <w:left w:w="13" w:type="dxa"/>
              <w:bottom w:w="0" w:type="dxa"/>
              <w:right w:w="13" w:type="dxa"/>
            </w:tcMar>
          </w:tcPr>
          <w:p w14:paraId="3DDCA42F" w14:textId="77777777" w:rsidR="001D2587" w:rsidRPr="000855B2" w:rsidRDefault="001D2587" w:rsidP="00F078C9">
            <w:pPr>
              <w:rPr>
                <w:szCs w:val="22"/>
                <w:lang w:val="en-GB"/>
              </w:rPr>
            </w:pPr>
            <w:r w:rsidRPr="000855B2">
              <w:rPr>
                <w:szCs w:val="22"/>
                <w:lang w:val="en-GB"/>
              </w:rPr>
              <w:t>HDV</w:t>
            </w:r>
          </w:p>
        </w:tc>
        <w:tc>
          <w:tcPr>
            <w:tcW w:w="7360" w:type="dxa"/>
            <w:tcBorders>
              <w:top w:val="nil"/>
              <w:left w:val="nil"/>
              <w:bottom w:val="nil"/>
              <w:right w:val="nil"/>
            </w:tcBorders>
            <w:tcMar>
              <w:top w:w="0" w:type="dxa"/>
              <w:left w:w="13" w:type="dxa"/>
              <w:bottom w:w="0" w:type="dxa"/>
              <w:right w:w="13" w:type="dxa"/>
            </w:tcMar>
          </w:tcPr>
          <w:p w14:paraId="549382A7" w14:textId="77777777" w:rsidR="001D2587" w:rsidRPr="000855B2" w:rsidRDefault="001D2587" w:rsidP="00F078C9">
            <w:pPr>
              <w:rPr>
                <w:szCs w:val="22"/>
                <w:lang w:val="en-GB"/>
              </w:rPr>
            </w:pPr>
            <w:r w:rsidRPr="000855B2">
              <w:rPr>
                <w:szCs w:val="22"/>
                <w:lang w:val="en-GB"/>
              </w:rPr>
              <w:t>Heavy</w:t>
            </w:r>
            <w:r w:rsidR="006F1553" w:rsidRPr="000855B2">
              <w:rPr>
                <w:szCs w:val="22"/>
                <w:lang w:val="en-GB"/>
              </w:rPr>
              <w:t>-d</w:t>
            </w:r>
            <w:r w:rsidRPr="000855B2">
              <w:rPr>
                <w:szCs w:val="22"/>
                <w:lang w:val="en-GB"/>
              </w:rPr>
              <w:t xml:space="preserve">uty </w:t>
            </w:r>
            <w:r w:rsidR="006F1553" w:rsidRPr="000855B2">
              <w:rPr>
                <w:szCs w:val="22"/>
                <w:lang w:val="en-GB"/>
              </w:rPr>
              <w:t>v</w:t>
            </w:r>
            <w:r w:rsidRPr="000855B2">
              <w:rPr>
                <w:szCs w:val="22"/>
                <w:lang w:val="en-GB"/>
              </w:rPr>
              <w:t>ehicle</w:t>
            </w:r>
          </w:p>
        </w:tc>
      </w:tr>
      <w:tr w:rsidR="001D2587" w:rsidRPr="000855B2" w14:paraId="624D89B4" w14:textId="77777777">
        <w:trPr>
          <w:trHeight w:val="300"/>
        </w:trPr>
        <w:tc>
          <w:tcPr>
            <w:tcW w:w="1500" w:type="dxa"/>
            <w:tcBorders>
              <w:top w:val="nil"/>
              <w:left w:val="nil"/>
              <w:bottom w:val="nil"/>
              <w:right w:val="nil"/>
            </w:tcBorders>
            <w:tcMar>
              <w:top w:w="0" w:type="dxa"/>
              <w:left w:w="13" w:type="dxa"/>
              <w:bottom w:w="0" w:type="dxa"/>
              <w:right w:w="13" w:type="dxa"/>
            </w:tcMar>
          </w:tcPr>
          <w:p w14:paraId="663B0462" w14:textId="77777777" w:rsidR="001D2587" w:rsidRPr="000855B2" w:rsidRDefault="001D2587" w:rsidP="00F078C9">
            <w:pPr>
              <w:rPr>
                <w:szCs w:val="22"/>
                <w:lang w:val="en-GB"/>
              </w:rPr>
            </w:pPr>
            <w:r w:rsidRPr="000855B2">
              <w:rPr>
                <w:szCs w:val="22"/>
                <w:lang w:val="en-GB"/>
              </w:rPr>
              <w:t>I&amp;M</w:t>
            </w:r>
          </w:p>
        </w:tc>
        <w:tc>
          <w:tcPr>
            <w:tcW w:w="7360" w:type="dxa"/>
            <w:tcBorders>
              <w:top w:val="nil"/>
              <w:left w:val="nil"/>
              <w:bottom w:val="nil"/>
              <w:right w:val="nil"/>
            </w:tcBorders>
            <w:tcMar>
              <w:top w:w="0" w:type="dxa"/>
              <w:left w:w="13" w:type="dxa"/>
              <w:bottom w:w="0" w:type="dxa"/>
              <w:right w:w="13" w:type="dxa"/>
            </w:tcMar>
          </w:tcPr>
          <w:p w14:paraId="01242289" w14:textId="77777777" w:rsidR="001D2587" w:rsidRPr="000855B2" w:rsidRDefault="001D2587" w:rsidP="00F078C9">
            <w:pPr>
              <w:rPr>
                <w:szCs w:val="22"/>
                <w:lang w:val="en-GB"/>
              </w:rPr>
            </w:pPr>
            <w:r w:rsidRPr="000855B2">
              <w:rPr>
                <w:szCs w:val="22"/>
                <w:lang w:val="en-GB"/>
              </w:rPr>
              <w:t xml:space="preserve">Inspection and </w:t>
            </w:r>
            <w:r w:rsidR="006F1553" w:rsidRPr="000855B2">
              <w:rPr>
                <w:szCs w:val="22"/>
                <w:lang w:val="en-GB"/>
              </w:rPr>
              <w:t>m</w:t>
            </w:r>
            <w:r w:rsidRPr="000855B2">
              <w:rPr>
                <w:szCs w:val="22"/>
                <w:lang w:val="en-GB"/>
              </w:rPr>
              <w:t>aintenance</w:t>
            </w:r>
          </w:p>
        </w:tc>
      </w:tr>
      <w:tr w:rsidR="001D2587" w:rsidRPr="000855B2" w14:paraId="5B06EAD1" w14:textId="77777777">
        <w:trPr>
          <w:trHeight w:val="300"/>
        </w:trPr>
        <w:tc>
          <w:tcPr>
            <w:tcW w:w="1500" w:type="dxa"/>
            <w:tcBorders>
              <w:top w:val="nil"/>
              <w:left w:val="nil"/>
              <w:bottom w:val="nil"/>
              <w:right w:val="nil"/>
            </w:tcBorders>
            <w:tcMar>
              <w:top w:w="13" w:type="dxa"/>
              <w:left w:w="13" w:type="dxa"/>
              <w:bottom w:w="0" w:type="dxa"/>
              <w:right w:w="13" w:type="dxa"/>
            </w:tcMar>
          </w:tcPr>
          <w:p w14:paraId="53A8B77A" w14:textId="77777777" w:rsidR="001D2587" w:rsidRPr="000855B2" w:rsidRDefault="001D2587" w:rsidP="00F078C9">
            <w:pPr>
              <w:rPr>
                <w:szCs w:val="22"/>
                <w:lang w:val="en-GB"/>
              </w:rPr>
            </w:pPr>
            <w:r w:rsidRPr="000855B2">
              <w:rPr>
                <w:szCs w:val="22"/>
                <w:lang w:val="en-GB"/>
              </w:rPr>
              <w:t>IDI</w:t>
            </w:r>
          </w:p>
        </w:tc>
        <w:tc>
          <w:tcPr>
            <w:tcW w:w="0" w:type="auto"/>
            <w:tcBorders>
              <w:top w:val="nil"/>
              <w:left w:val="nil"/>
              <w:bottom w:val="nil"/>
              <w:right w:val="nil"/>
            </w:tcBorders>
            <w:noWrap/>
            <w:tcMar>
              <w:top w:w="13" w:type="dxa"/>
              <w:left w:w="13" w:type="dxa"/>
              <w:bottom w:w="0" w:type="dxa"/>
              <w:right w:w="13" w:type="dxa"/>
            </w:tcMar>
            <w:vAlign w:val="bottom"/>
          </w:tcPr>
          <w:p w14:paraId="0A9396A5" w14:textId="77777777" w:rsidR="001D2587" w:rsidRPr="000855B2" w:rsidRDefault="001D2587" w:rsidP="00F078C9">
            <w:pPr>
              <w:rPr>
                <w:szCs w:val="22"/>
                <w:lang w:val="en-GB"/>
              </w:rPr>
            </w:pPr>
            <w:r w:rsidRPr="000855B2">
              <w:rPr>
                <w:szCs w:val="22"/>
                <w:lang w:val="en-GB"/>
              </w:rPr>
              <w:t>Indirect injection</w:t>
            </w:r>
          </w:p>
        </w:tc>
      </w:tr>
      <w:tr w:rsidR="001D2587" w:rsidRPr="000855B2" w14:paraId="7809EB11" w14:textId="77777777">
        <w:trPr>
          <w:trHeight w:val="300"/>
        </w:trPr>
        <w:tc>
          <w:tcPr>
            <w:tcW w:w="1500" w:type="dxa"/>
            <w:tcBorders>
              <w:top w:val="nil"/>
              <w:left w:val="nil"/>
              <w:bottom w:val="nil"/>
              <w:right w:val="nil"/>
            </w:tcBorders>
            <w:tcMar>
              <w:top w:w="13" w:type="dxa"/>
              <w:left w:w="13" w:type="dxa"/>
              <w:bottom w:w="0" w:type="dxa"/>
              <w:right w:w="13" w:type="dxa"/>
            </w:tcMar>
          </w:tcPr>
          <w:p w14:paraId="336B3A94" w14:textId="77777777" w:rsidR="001D2587" w:rsidRPr="000855B2" w:rsidRDefault="001D2587" w:rsidP="00F078C9">
            <w:pPr>
              <w:rPr>
                <w:szCs w:val="22"/>
                <w:lang w:val="en-GB"/>
              </w:rPr>
            </w:pPr>
            <w:smartTag w:uri="urn:schemas-microsoft-com:office:smarttags" w:element="stockticker">
              <w:r w:rsidRPr="000855B2">
                <w:rPr>
                  <w:szCs w:val="22"/>
                  <w:lang w:val="en-GB"/>
                </w:rPr>
                <w:t>IRF</w:t>
              </w:r>
            </w:smartTag>
          </w:p>
        </w:tc>
        <w:tc>
          <w:tcPr>
            <w:tcW w:w="7360" w:type="dxa"/>
            <w:tcBorders>
              <w:top w:val="nil"/>
              <w:left w:val="nil"/>
              <w:bottom w:val="nil"/>
              <w:right w:val="nil"/>
            </w:tcBorders>
            <w:tcMar>
              <w:top w:w="13" w:type="dxa"/>
              <w:left w:w="13" w:type="dxa"/>
              <w:bottom w:w="0" w:type="dxa"/>
              <w:right w:w="13" w:type="dxa"/>
            </w:tcMar>
          </w:tcPr>
          <w:p w14:paraId="33B313C3" w14:textId="77777777" w:rsidR="001D2587" w:rsidRPr="000855B2" w:rsidRDefault="001D2587" w:rsidP="00F078C9">
            <w:pPr>
              <w:rPr>
                <w:szCs w:val="22"/>
                <w:lang w:val="en-GB"/>
              </w:rPr>
            </w:pPr>
            <w:r w:rsidRPr="000855B2">
              <w:rPr>
                <w:szCs w:val="22"/>
                <w:lang w:val="en-GB"/>
              </w:rPr>
              <w:t>International Road Federation</w:t>
            </w:r>
          </w:p>
        </w:tc>
      </w:tr>
      <w:tr w:rsidR="001D2587" w:rsidRPr="000855B2" w14:paraId="68BAD454" w14:textId="77777777">
        <w:trPr>
          <w:trHeight w:val="300"/>
        </w:trPr>
        <w:tc>
          <w:tcPr>
            <w:tcW w:w="1500" w:type="dxa"/>
            <w:tcBorders>
              <w:top w:val="nil"/>
              <w:left w:val="nil"/>
              <w:bottom w:val="nil"/>
              <w:right w:val="nil"/>
            </w:tcBorders>
            <w:tcMar>
              <w:top w:w="13" w:type="dxa"/>
              <w:left w:w="13" w:type="dxa"/>
              <w:bottom w:w="0" w:type="dxa"/>
              <w:right w:w="13" w:type="dxa"/>
            </w:tcMar>
          </w:tcPr>
          <w:p w14:paraId="2F8BD31A" w14:textId="77777777" w:rsidR="001D2587" w:rsidRPr="000855B2" w:rsidRDefault="001D2587" w:rsidP="00F078C9">
            <w:pPr>
              <w:rPr>
                <w:szCs w:val="22"/>
                <w:lang w:val="en-GB"/>
              </w:rPr>
            </w:pPr>
            <w:smartTag w:uri="urn:schemas-microsoft-com:office:smarttags" w:element="stockticker">
              <w:r w:rsidRPr="000855B2">
                <w:rPr>
                  <w:szCs w:val="22"/>
                  <w:lang w:val="en-GB"/>
                </w:rPr>
                <w:t>JRC</w:t>
              </w:r>
            </w:smartTag>
          </w:p>
        </w:tc>
        <w:tc>
          <w:tcPr>
            <w:tcW w:w="7360" w:type="dxa"/>
            <w:tcBorders>
              <w:top w:val="nil"/>
              <w:left w:val="nil"/>
              <w:bottom w:val="nil"/>
              <w:right w:val="nil"/>
            </w:tcBorders>
            <w:tcMar>
              <w:top w:w="13" w:type="dxa"/>
              <w:left w:w="13" w:type="dxa"/>
              <w:bottom w:w="0" w:type="dxa"/>
              <w:right w:w="13" w:type="dxa"/>
            </w:tcMar>
          </w:tcPr>
          <w:p w14:paraId="222E63E4" w14:textId="77777777" w:rsidR="001D2587" w:rsidRPr="000855B2" w:rsidRDefault="00027C01" w:rsidP="00F078C9">
            <w:pPr>
              <w:rPr>
                <w:szCs w:val="22"/>
                <w:lang w:val="en-GB"/>
              </w:rPr>
            </w:pPr>
            <w:r w:rsidRPr="000855B2">
              <w:rPr>
                <w:szCs w:val="22"/>
                <w:lang w:val="en-GB"/>
              </w:rPr>
              <w:t xml:space="preserve">DG </w:t>
            </w:r>
            <w:r w:rsidR="001D2587" w:rsidRPr="000855B2">
              <w:rPr>
                <w:szCs w:val="22"/>
                <w:lang w:val="en-GB"/>
              </w:rPr>
              <w:t>Joint Research Centre</w:t>
            </w:r>
            <w:r w:rsidRPr="000855B2">
              <w:rPr>
                <w:szCs w:val="22"/>
                <w:lang w:val="en-GB"/>
              </w:rPr>
              <w:t xml:space="preserve"> of the European Commission</w:t>
            </w:r>
          </w:p>
        </w:tc>
      </w:tr>
      <w:tr w:rsidR="001D2587" w:rsidRPr="000855B2" w14:paraId="24E2437D" w14:textId="77777777">
        <w:trPr>
          <w:trHeight w:val="300"/>
        </w:trPr>
        <w:tc>
          <w:tcPr>
            <w:tcW w:w="1500" w:type="dxa"/>
            <w:tcBorders>
              <w:top w:val="nil"/>
              <w:left w:val="nil"/>
              <w:bottom w:val="nil"/>
              <w:right w:val="nil"/>
            </w:tcBorders>
            <w:tcMar>
              <w:top w:w="0" w:type="dxa"/>
              <w:left w:w="13" w:type="dxa"/>
              <w:bottom w:w="0" w:type="dxa"/>
              <w:right w:w="13" w:type="dxa"/>
            </w:tcMar>
          </w:tcPr>
          <w:p w14:paraId="627084B0" w14:textId="77777777" w:rsidR="001D2587" w:rsidRPr="000855B2" w:rsidRDefault="00757EE1" w:rsidP="00F078C9">
            <w:pPr>
              <w:rPr>
                <w:szCs w:val="22"/>
                <w:lang w:val="en-GB"/>
              </w:rPr>
            </w:pPr>
            <w:r w:rsidRPr="000855B2">
              <w:rPr>
                <w:szCs w:val="22"/>
                <w:lang w:val="en-GB"/>
              </w:rPr>
              <w:t>LCV</w:t>
            </w:r>
          </w:p>
        </w:tc>
        <w:tc>
          <w:tcPr>
            <w:tcW w:w="7360" w:type="dxa"/>
            <w:tcBorders>
              <w:top w:val="nil"/>
              <w:left w:val="nil"/>
              <w:bottom w:val="nil"/>
              <w:right w:val="nil"/>
            </w:tcBorders>
            <w:tcMar>
              <w:top w:w="0" w:type="dxa"/>
              <w:left w:w="13" w:type="dxa"/>
              <w:bottom w:w="0" w:type="dxa"/>
              <w:right w:w="13" w:type="dxa"/>
            </w:tcMar>
          </w:tcPr>
          <w:p w14:paraId="119F3C8A" w14:textId="77777777" w:rsidR="001D2587" w:rsidRPr="000855B2" w:rsidRDefault="00CF67A4" w:rsidP="00F078C9">
            <w:pPr>
              <w:rPr>
                <w:szCs w:val="22"/>
                <w:lang w:val="en-GB"/>
              </w:rPr>
            </w:pPr>
            <w:r w:rsidRPr="000855B2">
              <w:rPr>
                <w:szCs w:val="22"/>
                <w:lang w:val="en-GB"/>
              </w:rPr>
              <w:t>Light commercial</w:t>
            </w:r>
            <w:r w:rsidR="001D2587" w:rsidRPr="000855B2">
              <w:rPr>
                <w:szCs w:val="22"/>
                <w:lang w:val="en-GB"/>
              </w:rPr>
              <w:t xml:space="preserve"> </w:t>
            </w:r>
            <w:r w:rsidR="00CA4F04" w:rsidRPr="000855B2">
              <w:rPr>
                <w:szCs w:val="22"/>
                <w:lang w:val="en-GB"/>
              </w:rPr>
              <w:t>v</w:t>
            </w:r>
            <w:r w:rsidR="001D2587" w:rsidRPr="000855B2">
              <w:rPr>
                <w:szCs w:val="22"/>
                <w:lang w:val="en-GB"/>
              </w:rPr>
              <w:t>ehicle</w:t>
            </w:r>
          </w:p>
        </w:tc>
      </w:tr>
      <w:tr w:rsidR="001D2587" w:rsidRPr="000855B2" w14:paraId="6CD97ADA" w14:textId="77777777">
        <w:trPr>
          <w:trHeight w:val="300"/>
        </w:trPr>
        <w:tc>
          <w:tcPr>
            <w:tcW w:w="1500" w:type="dxa"/>
            <w:tcBorders>
              <w:top w:val="nil"/>
              <w:left w:val="nil"/>
              <w:bottom w:val="nil"/>
              <w:right w:val="nil"/>
            </w:tcBorders>
            <w:tcMar>
              <w:top w:w="13" w:type="dxa"/>
              <w:left w:w="13" w:type="dxa"/>
              <w:bottom w:w="0" w:type="dxa"/>
              <w:right w:w="13" w:type="dxa"/>
            </w:tcMar>
          </w:tcPr>
          <w:p w14:paraId="1743E595" w14:textId="77777777" w:rsidR="001D2587" w:rsidRPr="000855B2" w:rsidRDefault="001D2587" w:rsidP="00F078C9">
            <w:pPr>
              <w:rPr>
                <w:szCs w:val="22"/>
                <w:lang w:val="en-GB"/>
              </w:rPr>
            </w:pPr>
            <w:r w:rsidRPr="000855B2">
              <w:rPr>
                <w:szCs w:val="22"/>
                <w:lang w:val="en-GB"/>
              </w:rPr>
              <w:t>LNG</w:t>
            </w:r>
          </w:p>
        </w:tc>
        <w:tc>
          <w:tcPr>
            <w:tcW w:w="7360" w:type="dxa"/>
            <w:tcBorders>
              <w:top w:val="nil"/>
              <w:left w:val="nil"/>
              <w:bottom w:val="nil"/>
              <w:right w:val="nil"/>
            </w:tcBorders>
            <w:tcMar>
              <w:top w:w="13" w:type="dxa"/>
              <w:left w:w="13" w:type="dxa"/>
              <w:bottom w:w="0" w:type="dxa"/>
              <w:right w:w="13" w:type="dxa"/>
            </w:tcMar>
          </w:tcPr>
          <w:p w14:paraId="22CB506F" w14:textId="77777777" w:rsidR="001D2587" w:rsidRPr="000855B2" w:rsidRDefault="001D2587" w:rsidP="00F078C9">
            <w:pPr>
              <w:rPr>
                <w:szCs w:val="22"/>
                <w:lang w:val="en-GB"/>
              </w:rPr>
            </w:pPr>
            <w:r w:rsidRPr="000855B2">
              <w:rPr>
                <w:szCs w:val="22"/>
                <w:lang w:val="en-GB"/>
              </w:rPr>
              <w:t>Liqu</w:t>
            </w:r>
            <w:r w:rsidR="006F1553" w:rsidRPr="000855B2">
              <w:rPr>
                <w:szCs w:val="22"/>
                <w:lang w:val="en-GB"/>
              </w:rPr>
              <w:t>efied</w:t>
            </w:r>
            <w:r w:rsidRPr="000855B2">
              <w:rPr>
                <w:szCs w:val="22"/>
                <w:lang w:val="en-GB"/>
              </w:rPr>
              <w:t xml:space="preserve"> </w:t>
            </w:r>
            <w:r w:rsidR="005F0CAB" w:rsidRPr="000855B2">
              <w:rPr>
                <w:szCs w:val="22"/>
                <w:lang w:val="en-GB"/>
              </w:rPr>
              <w:t>n</w:t>
            </w:r>
            <w:r w:rsidRPr="000855B2">
              <w:rPr>
                <w:szCs w:val="22"/>
                <w:lang w:val="en-GB"/>
              </w:rPr>
              <w:t xml:space="preserve">atural </w:t>
            </w:r>
            <w:r w:rsidR="005F0CAB" w:rsidRPr="000855B2">
              <w:rPr>
                <w:szCs w:val="22"/>
                <w:lang w:val="en-GB"/>
              </w:rPr>
              <w:t>g</w:t>
            </w:r>
            <w:r w:rsidRPr="000855B2">
              <w:rPr>
                <w:szCs w:val="22"/>
                <w:lang w:val="en-GB"/>
              </w:rPr>
              <w:t>as</w:t>
            </w:r>
          </w:p>
        </w:tc>
      </w:tr>
      <w:tr w:rsidR="001D2587" w:rsidRPr="000855B2" w14:paraId="70B24986" w14:textId="77777777">
        <w:trPr>
          <w:trHeight w:val="300"/>
        </w:trPr>
        <w:tc>
          <w:tcPr>
            <w:tcW w:w="1500" w:type="dxa"/>
            <w:tcBorders>
              <w:top w:val="nil"/>
              <w:left w:val="nil"/>
              <w:bottom w:val="nil"/>
              <w:right w:val="nil"/>
            </w:tcBorders>
            <w:tcMar>
              <w:top w:w="0" w:type="dxa"/>
              <w:left w:w="13" w:type="dxa"/>
              <w:bottom w:w="0" w:type="dxa"/>
              <w:right w:w="13" w:type="dxa"/>
            </w:tcMar>
          </w:tcPr>
          <w:p w14:paraId="6E4AF6CD" w14:textId="77777777" w:rsidR="001D2587" w:rsidRPr="000855B2" w:rsidRDefault="001D2587" w:rsidP="00F078C9">
            <w:pPr>
              <w:rPr>
                <w:szCs w:val="22"/>
                <w:lang w:val="en-GB"/>
              </w:rPr>
            </w:pPr>
            <w:r w:rsidRPr="000855B2">
              <w:rPr>
                <w:szCs w:val="22"/>
                <w:lang w:val="en-GB"/>
              </w:rPr>
              <w:t>LPG</w:t>
            </w:r>
          </w:p>
        </w:tc>
        <w:tc>
          <w:tcPr>
            <w:tcW w:w="7360" w:type="dxa"/>
            <w:tcBorders>
              <w:top w:val="nil"/>
              <w:left w:val="nil"/>
              <w:bottom w:val="nil"/>
              <w:right w:val="nil"/>
            </w:tcBorders>
            <w:tcMar>
              <w:top w:w="0" w:type="dxa"/>
              <w:left w:w="13" w:type="dxa"/>
              <w:bottom w:w="0" w:type="dxa"/>
              <w:right w:w="13" w:type="dxa"/>
            </w:tcMar>
          </w:tcPr>
          <w:p w14:paraId="4CEB0F2F" w14:textId="77777777" w:rsidR="001D2587" w:rsidRPr="000855B2" w:rsidRDefault="001D2587" w:rsidP="00F078C9">
            <w:pPr>
              <w:rPr>
                <w:szCs w:val="22"/>
                <w:lang w:val="en-GB"/>
              </w:rPr>
            </w:pPr>
            <w:r w:rsidRPr="000855B2">
              <w:rPr>
                <w:szCs w:val="22"/>
                <w:lang w:val="en-GB"/>
              </w:rPr>
              <w:t>Liqu</w:t>
            </w:r>
            <w:r w:rsidR="006F1553" w:rsidRPr="000855B2">
              <w:rPr>
                <w:szCs w:val="22"/>
                <w:lang w:val="en-GB"/>
              </w:rPr>
              <w:t>efied</w:t>
            </w:r>
            <w:r w:rsidRPr="000855B2">
              <w:rPr>
                <w:szCs w:val="22"/>
                <w:lang w:val="en-GB"/>
              </w:rPr>
              <w:t xml:space="preserve"> </w:t>
            </w:r>
            <w:r w:rsidR="005F0CAB" w:rsidRPr="000855B2">
              <w:rPr>
                <w:szCs w:val="22"/>
                <w:lang w:val="en-GB"/>
              </w:rPr>
              <w:t>p</w:t>
            </w:r>
            <w:r w:rsidRPr="000855B2">
              <w:rPr>
                <w:szCs w:val="22"/>
                <w:lang w:val="en-GB"/>
              </w:rPr>
              <w:t xml:space="preserve">etroleum </w:t>
            </w:r>
            <w:r w:rsidR="005F0CAB" w:rsidRPr="000855B2">
              <w:rPr>
                <w:szCs w:val="22"/>
                <w:lang w:val="en-GB"/>
              </w:rPr>
              <w:t>g</w:t>
            </w:r>
            <w:r w:rsidRPr="000855B2">
              <w:rPr>
                <w:szCs w:val="22"/>
                <w:lang w:val="en-GB"/>
              </w:rPr>
              <w:t>as</w:t>
            </w:r>
          </w:p>
        </w:tc>
      </w:tr>
      <w:tr w:rsidR="001D2587" w:rsidRPr="000855B2" w14:paraId="52FF5BFB" w14:textId="77777777">
        <w:trPr>
          <w:trHeight w:val="300"/>
        </w:trPr>
        <w:tc>
          <w:tcPr>
            <w:tcW w:w="1500" w:type="dxa"/>
            <w:tcBorders>
              <w:top w:val="nil"/>
              <w:left w:val="nil"/>
              <w:bottom w:val="nil"/>
              <w:right w:val="nil"/>
            </w:tcBorders>
            <w:tcMar>
              <w:top w:w="13" w:type="dxa"/>
              <w:left w:w="13" w:type="dxa"/>
              <w:bottom w:w="0" w:type="dxa"/>
              <w:right w:w="13" w:type="dxa"/>
            </w:tcMar>
          </w:tcPr>
          <w:p w14:paraId="02BB9684" w14:textId="77777777" w:rsidR="001D2587" w:rsidRPr="000855B2" w:rsidRDefault="001D2587" w:rsidP="00F078C9">
            <w:pPr>
              <w:rPr>
                <w:szCs w:val="22"/>
                <w:lang w:val="en-GB"/>
              </w:rPr>
            </w:pPr>
            <w:r w:rsidRPr="000855B2">
              <w:rPr>
                <w:szCs w:val="22"/>
                <w:lang w:val="en-GB"/>
              </w:rPr>
              <w:t>MEET</w:t>
            </w:r>
          </w:p>
        </w:tc>
        <w:tc>
          <w:tcPr>
            <w:tcW w:w="0" w:type="auto"/>
            <w:tcBorders>
              <w:top w:val="nil"/>
              <w:left w:val="nil"/>
              <w:bottom w:val="nil"/>
              <w:right w:val="nil"/>
            </w:tcBorders>
            <w:noWrap/>
            <w:tcMar>
              <w:top w:w="13" w:type="dxa"/>
              <w:left w:w="13" w:type="dxa"/>
              <w:bottom w:w="0" w:type="dxa"/>
              <w:right w:w="13" w:type="dxa"/>
            </w:tcMar>
            <w:vAlign w:val="bottom"/>
          </w:tcPr>
          <w:p w14:paraId="7189EABD" w14:textId="77777777" w:rsidR="001D2587" w:rsidRPr="000855B2" w:rsidRDefault="001D2587" w:rsidP="00F078C9">
            <w:pPr>
              <w:rPr>
                <w:szCs w:val="22"/>
                <w:lang w:val="en-GB"/>
              </w:rPr>
            </w:pPr>
            <w:r w:rsidRPr="000855B2">
              <w:rPr>
                <w:szCs w:val="22"/>
                <w:lang w:val="en-GB"/>
              </w:rPr>
              <w:t>Methodologies to Estimate Emissions from Transport</w:t>
            </w:r>
          </w:p>
        </w:tc>
      </w:tr>
      <w:tr w:rsidR="001D2587" w:rsidRPr="000855B2" w14:paraId="23A6B581" w14:textId="77777777">
        <w:trPr>
          <w:trHeight w:val="300"/>
        </w:trPr>
        <w:tc>
          <w:tcPr>
            <w:tcW w:w="1500" w:type="dxa"/>
            <w:tcBorders>
              <w:top w:val="nil"/>
              <w:left w:val="nil"/>
              <w:bottom w:val="nil"/>
              <w:right w:val="nil"/>
            </w:tcBorders>
            <w:tcMar>
              <w:top w:w="13" w:type="dxa"/>
              <w:left w:w="13" w:type="dxa"/>
              <w:bottom w:w="0" w:type="dxa"/>
              <w:right w:w="13" w:type="dxa"/>
            </w:tcMar>
          </w:tcPr>
          <w:p w14:paraId="29789EC0" w14:textId="77777777" w:rsidR="001D2587" w:rsidRPr="000855B2" w:rsidRDefault="001D2587" w:rsidP="00F078C9">
            <w:pPr>
              <w:rPr>
                <w:szCs w:val="22"/>
                <w:lang w:val="en-GB"/>
              </w:rPr>
            </w:pPr>
            <w:r w:rsidRPr="000855B2">
              <w:rPr>
                <w:szCs w:val="22"/>
                <w:lang w:val="en-GB"/>
              </w:rPr>
              <w:t>MTBE</w:t>
            </w:r>
          </w:p>
        </w:tc>
        <w:tc>
          <w:tcPr>
            <w:tcW w:w="7360" w:type="dxa"/>
            <w:tcBorders>
              <w:top w:val="nil"/>
              <w:left w:val="nil"/>
              <w:bottom w:val="nil"/>
              <w:right w:val="nil"/>
            </w:tcBorders>
            <w:tcMar>
              <w:top w:w="13" w:type="dxa"/>
              <w:left w:w="13" w:type="dxa"/>
              <w:bottom w:w="0" w:type="dxa"/>
              <w:right w:w="13" w:type="dxa"/>
            </w:tcMar>
            <w:vAlign w:val="bottom"/>
          </w:tcPr>
          <w:p w14:paraId="136EFB2D" w14:textId="77777777" w:rsidR="001D2587" w:rsidRPr="000855B2" w:rsidRDefault="001D2587" w:rsidP="00F078C9">
            <w:pPr>
              <w:rPr>
                <w:color w:val="000000"/>
                <w:szCs w:val="22"/>
                <w:lang w:val="en-GB"/>
              </w:rPr>
            </w:pPr>
            <w:r w:rsidRPr="000855B2">
              <w:rPr>
                <w:color w:val="000000"/>
                <w:szCs w:val="22"/>
                <w:lang w:val="en-GB"/>
              </w:rPr>
              <w:t>Methyl tert-butyl ether</w:t>
            </w:r>
          </w:p>
        </w:tc>
      </w:tr>
      <w:tr w:rsidR="001D2587" w:rsidRPr="000855B2" w14:paraId="3642AFB0" w14:textId="77777777">
        <w:trPr>
          <w:trHeight w:val="330"/>
        </w:trPr>
        <w:tc>
          <w:tcPr>
            <w:tcW w:w="1500" w:type="dxa"/>
            <w:tcBorders>
              <w:top w:val="nil"/>
              <w:left w:val="nil"/>
              <w:bottom w:val="nil"/>
              <w:right w:val="nil"/>
            </w:tcBorders>
            <w:tcMar>
              <w:top w:w="0" w:type="dxa"/>
              <w:left w:w="13" w:type="dxa"/>
              <w:bottom w:w="0" w:type="dxa"/>
              <w:right w:w="13" w:type="dxa"/>
            </w:tcMar>
          </w:tcPr>
          <w:p w14:paraId="4D8DECA1" w14:textId="77777777" w:rsidR="001D2587" w:rsidRPr="000855B2" w:rsidRDefault="001D2587" w:rsidP="00F078C9">
            <w:pPr>
              <w:rPr>
                <w:szCs w:val="22"/>
                <w:lang w:val="en-GB"/>
              </w:rPr>
            </w:pPr>
            <w:r w:rsidRPr="000855B2">
              <w:rPr>
                <w:szCs w:val="22"/>
                <w:lang w:val="en-GB"/>
              </w:rPr>
              <w:t>N</w:t>
            </w:r>
            <w:r w:rsidRPr="000855B2">
              <w:rPr>
                <w:szCs w:val="22"/>
                <w:vertAlign w:val="subscript"/>
                <w:lang w:val="en-GB"/>
              </w:rPr>
              <w:t>2</w:t>
            </w:r>
            <w:r w:rsidRPr="000855B2">
              <w:rPr>
                <w:szCs w:val="22"/>
                <w:lang w:val="en-GB"/>
              </w:rPr>
              <w:t>O</w:t>
            </w:r>
          </w:p>
        </w:tc>
        <w:tc>
          <w:tcPr>
            <w:tcW w:w="7360" w:type="dxa"/>
            <w:tcBorders>
              <w:top w:val="nil"/>
              <w:left w:val="nil"/>
              <w:bottom w:val="nil"/>
              <w:right w:val="nil"/>
            </w:tcBorders>
            <w:tcMar>
              <w:top w:w="0" w:type="dxa"/>
              <w:left w:w="13" w:type="dxa"/>
              <w:bottom w:w="0" w:type="dxa"/>
              <w:right w:w="13" w:type="dxa"/>
            </w:tcMar>
          </w:tcPr>
          <w:p w14:paraId="58BBC35D" w14:textId="77777777" w:rsidR="001D2587" w:rsidRPr="000855B2" w:rsidRDefault="001D2587" w:rsidP="00F078C9">
            <w:pPr>
              <w:rPr>
                <w:szCs w:val="22"/>
                <w:lang w:val="en-GB"/>
              </w:rPr>
            </w:pPr>
            <w:r w:rsidRPr="000855B2">
              <w:rPr>
                <w:szCs w:val="22"/>
                <w:lang w:val="en-GB"/>
              </w:rPr>
              <w:t xml:space="preserve">Nitrous </w:t>
            </w:r>
            <w:r w:rsidR="006F1553" w:rsidRPr="000855B2">
              <w:rPr>
                <w:szCs w:val="22"/>
                <w:lang w:val="en-GB"/>
              </w:rPr>
              <w:t>o</w:t>
            </w:r>
            <w:r w:rsidRPr="000855B2">
              <w:rPr>
                <w:szCs w:val="22"/>
                <w:lang w:val="en-GB"/>
              </w:rPr>
              <w:t>xide</w:t>
            </w:r>
          </w:p>
        </w:tc>
      </w:tr>
      <w:tr w:rsidR="001D2587" w:rsidRPr="000855B2" w14:paraId="6DC2577B" w14:textId="77777777">
        <w:trPr>
          <w:trHeight w:val="300"/>
        </w:trPr>
        <w:tc>
          <w:tcPr>
            <w:tcW w:w="1500" w:type="dxa"/>
            <w:tcBorders>
              <w:top w:val="nil"/>
              <w:left w:val="nil"/>
              <w:bottom w:val="nil"/>
              <w:right w:val="nil"/>
            </w:tcBorders>
            <w:tcMar>
              <w:top w:w="13" w:type="dxa"/>
              <w:left w:w="13" w:type="dxa"/>
              <w:bottom w:w="0" w:type="dxa"/>
              <w:right w:w="13" w:type="dxa"/>
            </w:tcMar>
          </w:tcPr>
          <w:p w14:paraId="375AB1CE" w14:textId="77777777" w:rsidR="001D2587" w:rsidRPr="000855B2" w:rsidRDefault="001D2587" w:rsidP="00F078C9">
            <w:pPr>
              <w:rPr>
                <w:szCs w:val="22"/>
                <w:lang w:val="en-GB"/>
              </w:rPr>
            </w:pPr>
            <w:r w:rsidRPr="000855B2">
              <w:rPr>
                <w:szCs w:val="22"/>
                <w:lang w:val="en-GB"/>
              </w:rPr>
              <w:t>NATO-CCMS</w:t>
            </w:r>
          </w:p>
        </w:tc>
        <w:tc>
          <w:tcPr>
            <w:tcW w:w="7360" w:type="dxa"/>
            <w:tcBorders>
              <w:top w:val="nil"/>
              <w:left w:val="nil"/>
              <w:bottom w:val="nil"/>
              <w:right w:val="nil"/>
            </w:tcBorders>
            <w:tcMar>
              <w:top w:w="13" w:type="dxa"/>
              <w:left w:w="13" w:type="dxa"/>
              <w:bottom w:w="0" w:type="dxa"/>
              <w:right w:w="13" w:type="dxa"/>
            </w:tcMar>
          </w:tcPr>
          <w:p w14:paraId="2D63EE86" w14:textId="77777777" w:rsidR="001D2587" w:rsidRPr="000855B2" w:rsidRDefault="001D2587" w:rsidP="00F078C9">
            <w:pPr>
              <w:rPr>
                <w:szCs w:val="22"/>
                <w:lang w:val="en-GB"/>
              </w:rPr>
            </w:pPr>
            <w:r w:rsidRPr="000855B2">
              <w:rPr>
                <w:szCs w:val="22"/>
                <w:lang w:val="en-GB"/>
              </w:rPr>
              <w:t>NATO Committee on the Challenges to Modern Society</w:t>
            </w:r>
          </w:p>
        </w:tc>
      </w:tr>
      <w:tr w:rsidR="001D2587" w:rsidRPr="000855B2" w14:paraId="314196EB" w14:textId="77777777">
        <w:trPr>
          <w:trHeight w:val="300"/>
        </w:trPr>
        <w:tc>
          <w:tcPr>
            <w:tcW w:w="1500" w:type="dxa"/>
            <w:tcBorders>
              <w:top w:val="nil"/>
              <w:left w:val="nil"/>
              <w:bottom w:val="nil"/>
              <w:right w:val="nil"/>
            </w:tcBorders>
            <w:tcMar>
              <w:top w:w="13" w:type="dxa"/>
              <w:left w:w="13" w:type="dxa"/>
              <w:bottom w:w="0" w:type="dxa"/>
              <w:right w:w="13" w:type="dxa"/>
            </w:tcMar>
          </w:tcPr>
          <w:p w14:paraId="53A2EA7D" w14:textId="77777777" w:rsidR="001D2587" w:rsidRPr="000855B2" w:rsidRDefault="001D2587" w:rsidP="00F078C9">
            <w:pPr>
              <w:rPr>
                <w:szCs w:val="22"/>
                <w:lang w:val="en-GB"/>
              </w:rPr>
            </w:pPr>
            <w:r w:rsidRPr="000855B2">
              <w:rPr>
                <w:szCs w:val="22"/>
                <w:lang w:val="en-GB"/>
              </w:rPr>
              <w:t>NGV</w:t>
            </w:r>
          </w:p>
        </w:tc>
        <w:tc>
          <w:tcPr>
            <w:tcW w:w="0" w:type="auto"/>
            <w:tcBorders>
              <w:top w:val="nil"/>
              <w:left w:val="nil"/>
              <w:bottom w:val="nil"/>
              <w:right w:val="nil"/>
            </w:tcBorders>
            <w:noWrap/>
            <w:tcMar>
              <w:top w:w="13" w:type="dxa"/>
              <w:left w:w="13" w:type="dxa"/>
              <w:bottom w:w="0" w:type="dxa"/>
              <w:right w:w="13" w:type="dxa"/>
            </w:tcMar>
            <w:vAlign w:val="bottom"/>
          </w:tcPr>
          <w:p w14:paraId="2C0AB153" w14:textId="77777777" w:rsidR="001D2587" w:rsidRPr="000855B2" w:rsidRDefault="001D2587" w:rsidP="00F078C9">
            <w:pPr>
              <w:rPr>
                <w:szCs w:val="22"/>
                <w:lang w:val="en-GB"/>
              </w:rPr>
            </w:pPr>
            <w:r w:rsidRPr="000855B2">
              <w:rPr>
                <w:szCs w:val="22"/>
                <w:lang w:val="en-GB"/>
              </w:rPr>
              <w:t xml:space="preserve">Natural </w:t>
            </w:r>
            <w:r w:rsidR="006F1553" w:rsidRPr="000855B2">
              <w:rPr>
                <w:szCs w:val="22"/>
                <w:lang w:val="en-GB"/>
              </w:rPr>
              <w:t>g</w:t>
            </w:r>
            <w:r w:rsidRPr="000855B2">
              <w:rPr>
                <w:szCs w:val="22"/>
                <w:lang w:val="en-GB"/>
              </w:rPr>
              <w:t xml:space="preserve">as </w:t>
            </w:r>
            <w:r w:rsidR="006F1553" w:rsidRPr="000855B2">
              <w:rPr>
                <w:szCs w:val="22"/>
                <w:lang w:val="en-GB"/>
              </w:rPr>
              <w:t>v</w:t>
            </w:r>
            <w:r w:rsidRPr="000855B2">
              <w:rPr>
                <w:szCs w:val="22"/>
                <w:lang w:val="en-GB"/>
              </w:rPr>
              <w:t>ehicle</w:t>
            </w:r>
          </w:p>
        </w:tc>
      </w:tr>
      <w:tr w:rsidR="001D2587" w:rsidRPr="000855B2" w14:paraId="62794E5B" w14:textId="77777777">
        <w:trPr>
          <w:trHeight w:val="330"/>
        </w:trPr>
        <w:tc>
          <w:tcPr>
            <w:tcW w:w="1500" w:type="dxa"/>
            <w:tcBorders>
              <w:top w:val="nil"/>
              <w:left w:val="nil"/>
              <w:bottom w:val="nil"/>
              <w:right w:val="nil"/>
            </w:tcBorders>
            <w:tcMar>
              <w:top w:w="0" w:type="dxa"/>
              <w:left w:w="13" w:type="dxa"/>
              <w:bottom w:w="0" w:type="dxa"/>
              <w:right w:w="13" w:type="dxa"/>
            </w:tcMar>
          </w:tcPr>
          <w:p w14:paraId="3C478013" w14:textId="77777777" w:rsidR="001D2587" w:rsidRPr="000855B2" w:rsidRDefault="001D2587" w:rsidP="00F078C9">
            <w:pPr>
              <w:rPr>
                <w:szCs w:val="22"/>
                <w:lang w:val="en-GB"/>
              </w:rPr>
            </w:pPr>
            <w:r w:rsidRPr="000855B2">
              <w:rPr>
                <w:szCs w:val="22"/>
                <w:lang w:val="en-GB"/>
              </w:rPr>
              <w:t>NH</w:t>
            </w:r>
            <w:r w:rsidRPr="000855B2">
              <w:rPr>
                <w:szCs w:val="22"/>
                <w:vertAlign w:val="subscript"/>
                <w:lang w:val="en-GB"/>
              </w:rPr>
              <w:t>3</w:t>
            </w:r>
          </w:p>
        </w:tc>
        <w:tc>
          <w:tcPr>
            <w:tcW w:w="7360" w:type="dxa"/>
            <w:tcBorders>
              <w:top w:val="nil"/>
              <w:left w:val="nil"/>
              <w:bottom w:val="nil"/>
              <w:right w:val="nil"/>
            </w:tcBorders>
            <w:tcMar>
              <w:top w:w="0" w:type="dxa"/>
              <w:left w:w="13" w:type="dxa"/>
              <w:bottom w:w="0" w:type="dxa"/>
              <w:right w:w="13" w:type="dxa"/>
            </w:tcMar>
          </w:tcPr>
          <w:p w14:paraId="1E09366A" w14:textId="77777777" w:rsidR="001D2587" w:rsidRPr="000855B2" w:rsidRDefault="001D2587" w:rsidP="00F078C9">
            <w:pPr>
              <w:rPr>
                <w:szCs w:val="22"/>
                <w:lang w:val="en-GB"/>
              </w:rPr>
            </w:pPr>
            <w:r w:rsidRPr="000855B2">
              <w:rPr>
                <w:szCs w:val="22"/>
                <w:lang w:val="en-GB"/>
              </w:rPr>
              <w:t>Ammonia</w:t>
            </w:r>
          </w:p>
        </w:tc>
      </w:tr>
      <w:tr w:rsidR="00136D49" w:rsidRPr="000855B2" w14:paraId="24CA66E6" w14:textId="77777777">
        <w:trPr>
          <w:trHeight w:val="330"/>
        </w:trPr>
        <w:tc>
          <w:tcPr>
            <w:tcW w:w="1500" w:type="dxa"/>
            <w:tcBorders>
              <w:top w:val="nil"/>
              <w:left w:val="nil"/>
              <w:bottom w:val="nil"/>
              <w:right w:val="nil"/>
            </w:tcBorders>
            <w:tcMar>
              <w:top w:w="0" w:type="dxa"/>
              <w:left w:w="13" w:type="dxa"/>
              <w:bottom w:w="0" w:type="dxa"/>
              <w:right w:w="13" w:type="dxa"/>
            </w:tcMar>
          </w:tcPr>
          <w:p w14:paraId="62BFEEB2" w14:textId="77777777" w:rsidR="00136D49" w:rsidRPr="000855B2" w:rsidRDefault="00136D49" w:rsidP="00F078C9">
            <w:pPr>
              <w:rPr>
                <w:szCs w:val="22"/>
                <w:lang w:val="en-GB"/>
              </w:rPr>
            </w:pPr>
            <w:smartTag w:uri="urn:schemas-microsoft-com:office:smarttags" w:element="stockticker">
              <w:r w:rsidRPr="000855B2">
                <w:rPr>
                  <w:szCs w:val="22"/>
                  <w:lang w:val="en-GB"/>
                </w:rPr>
                <w:t>NIS</w:t>
              </w:r>
            </w:smartTag>
          </w:p>
        </w:tc>
        <w:tc>
          <w:tcPr>
            <w:tcW w:w="7360" w:type="dxa"/>
            <w:tcBorders>
              <w:top w:val="nil"/>
              <w:left w:val="nil"/>
              <w:bottom w:val="nil"/>
              <w:right w:val="nil"/>
            </w:tcBorders>
            <w:tcMar>
              <w:top w:w="0" w:type="dxa"/>
              <w:left w:w="13" w:type="dxa"/>
              <w:bottom w:w="0" w:type="dxa"/>
              <w:right w:w="13" w:type="dxa"/>
            </w:tcMar>
          </w:tcPr>
          <w:p w14:paraId="7835033E" w14:textId="77777777" w:rsidR="00136D49" w:rsidRPr="000855B2" w:rsidRDefault="00136D49" w:rsidP="00010CA5">
            <w:pPr>
              <w:jc w:val="left"/>
              <w:rPr>
                <w:szCs w:val="22"/>
                <w:lang w:val="en-GB"/>
              </w:rPr>
            </w:pPr>
            <w:r w:rsidRPr="000855B2">
              <w:rPr>
                <w:szCs w:val="22"/>
                <w:lang w:val="en-GB"/>
              </w:rPr>
              <w:t>Newly Independent States</w:t>
            </w:r>
            <w:r w:rsidRPr="000855B2">
              <w:rPr>
                <w:szCs w:val="22"/>
                <w:lang w:val="en-GB"/>
              </w:rPr>
              <w:br/>
              <w:t>(AM, AZ, BY, EE, GE, KZ, KG, LV, LT, MD, RU, TJ, TM, UA, UZ)</w:t>
            </w:r>
          </w:p>
        </w:tc>
      </w:tr>
      <w:tr w:rsidR="001D2587" w:rsidRPr="000855B2" w14:paraId="525A1239" w14:textId="77777777">
        <w:trPr>
          <w:trHeight w:val="300"/>
        </w:trPr>
        <w:tc>
          <w:tcPr>
            <w:tcW w:w="1500" w:type="dxa"/>
            <w:tcBorders>
              <w:top w:val="nil"/>
              <w:left w:val="nil"/>
              <w:bottom w:val="nil"/>
              <w:right w:val="nil"/>
            </w:tcBorders>
            <w:tcMar>
              <w:top w:w="0" w:type="dxa"/>
              <w:left w:w="13" w:type="dxa"/>
              <w:bottom w:w="0" w:type="dxa"/>
              <w:right w:w="13" w:type="dxa"/>
            </w:tcMar>
          </w:tcPr>
          <w:p w14:paraId="03DA4553" w14:textId="77777777" w:rsidR="001D2587" w:rsidRPr="000855B2" w:rsidRDefault="001D2587" w:rsidP="00F078C9">
            <w:pPr>
              <w:rPr>
                <w:szCs w:val="22"/>
                <w:lang w:val="en-GB"/>
              </w:rPr>
            </w:pPr>
            <w:r w:rsidRPr="000855B2">
              <w:rPr>
                <w:szCs w:val="22"/>
                <w:lang w:val="en-GB"/>
              </w:rPr>
              <w:t>NMVOC</w:t>
            </w:r>
            <w:r w:rsidR="006F1553" w:rsidRPr="000855B2">
              <w:rPr>
                <w:szCs w:val="22"/>
                <w:lang w:val="en-GB"/>
              </w:rPr>
              <w:t>s</w:t>
            </w:r>
          </w:p>
        </w:tc>
        <w:tc>
          <w:tcPr>
            <w:tcW w:w="7360" w:type="dxa"/>
            <w:tcBorders>
              <w:top w:val="nil"/>
              <w:left w:val="nil"/>
              <w:bottom w:val="nil"/>
              <w:right w:val="nil"/>
            </w:tcBorders>
            <w:tcMar>
              <w:top w:w="0" w:type="dxa"/>
              <w:left w:w="13" w:type="dxa"/>
              <w:bottom w:w="0" w:type="dxa"/>
              <w:right w:w="13" w:type="dxa"/>
            </w:tcMar>
          </w:tcPr>
          <w:p w14:paraId="67A2245E" w14:textId="77777777" w:rsidR="001D2587" w:rsidRPr="000855B2" w:rsidRDefault="001D2587" w:rsidP="00F078C9">
            <w:pPr>
              <w:rPr>
                <w:szCs w:val="22"/>
                <w:lang w:val="en-GB"/>
              </w:rPr>
            </w:pPr>
            <w:r w:rsidRPr="000855B2">
              <w:rPr>
                <w:szCs w:val="22"/>
                <w:lang w:val="en-GB"/>
              </w:rPr>
              <w:t>Non-</w:t>
            </w:r>
            <w:r w:rsidR="006F1553" w:rsidRPr="000855B2">
              <w:rPr>
                <w:szCs w:val="22"/>
                <w:lang w:val="en-GB"/>
              </w:rPr>
              <w:t>m</w:t>
            </w:r>
            <w:r w:rsidRPr="000855B2">
              <w:rPr>
                <w:szCs w:val="22"/>
                <w:lang w:val="en-GB"/>
              </w:rPr>
              <w:t xml:space="preserve">ethane </w:t>
            </w:r>
            <w:r w:rsidR="006F1553" w:rsidRPr="000855B2">
              <w:rPr>
                <w:szCs w:val="22"/>
                <w:lang w:val="en-GB"/>
              </w:rPr>
              <w:t>v</w:t>
            </w:r>
            <w:r w:rsidRPr="000855B2">
              <w:rPr>
                <w:szCs w:val="22"/>
                <w:lang w:val="en-GB"/>
              </w:rPr>
              <w:t xml:space="preserve">olatile </w:t>
            </w:r>
            <w:r w:rsidR="006F1553" w:rsidRPr="000855B2">
              <w:rPr>
                <w:szCs w:val="22"/>
                <w:lang w:val="en-GB"/>
              </w:rPr>
              <w:t>o</w:t>
            </w:r>
            <w:r w:rsidRPr="000855B2">
              <w:rPr>
                <w:szCs w:val="22"/>
                <w:lang w:val="en-GB"/>
              </w:rPr>
              <w:t xml:space="preserve">rganic </w:t>
            </w:r>
            <w:r w:rsidR="006F1553" w:rsidRPr="000855B2">
              <w:rPr>
                <w:szCs w:val="22"/>
                <w:lang w:val="en-GB"/>
              </w:rPr>
              <w:t>c</w:t>
            </w:r>
            <w:r w:rsidRPr="000855B2">
              <w:rPr>
                <w:szCs w:val="22"/>
                <w:lang w:val="en-GB"/>
              </w:rPr>
              <w:t>ompounds</w:t>
            </w:r>
          </w:p>
        </w:tc>
      </w:tr>
      <w:tr w:rsidR="001D2587" w:rsidRPr="000855B2" w14:paraId="5D377E11" w14:textId="77777777">
        <w:trPr>
          <w:trHeight w:val="330"/>
        </w:trPr>
        <w:tc>
          <w:tcPr>
            <w:tcW w:w="1500" w:type="dxa"/>
            <w:tcBorders>
              <w:top w:val="nil"/>
              <w:left w:val="nil"/>
              <w:bottom w:val="nil"/>
              <w:right w:val="nil"/>
            </w:tcBorders>
            <w:tcMar>
              <w:top w:w="0" w:type="dxa"/>
              <w:left w:w="13" w:type="dxa"/>
              <w:bottom w:w="0" w:type="dxa"/>
              <w:right w:w="13" w:type="dxa"/>
            </w:tcMar>
          </w:tcPr>
          <w:p w14:paraId="6479FA02" w14:textId="77777777" w:rsidR="001D2587" w:rsidRPr="000855B2" w:rsidRDefault="001D2587" w:rsidP="00F078C9">
            <w:pPr>
              <w:rPr>
                <w:szCs w:val="22"/>
                <w:lang w:val="en-GB"/>
              </w:rPr>
            </w:pPr>
            <w:r w:rsidRPr="000855B2">
              <w:rPr>
                <w:szCs w:val="22"/>
                <w:lang w:val="en-GB"/>
              </w:rPr>
              <w:lastRenderedPageBreak/>
              <w:t>NO</w:t>
            </w:r>
            <w:r w:rsidRPr="000855B2">
              <w:rPr>
                <w:szCs w:val="22"/>
                <w:vertAlign w:val="subscript"/>
                <w:lang w:val="en-GB"/>
              </w:rPr>
              <w:t>x</w:t>
            </w:r>
          </w:p>
        </w:tc>
        <w:tc>
          <w:tcPr>
            <w:tcW w:w="7360" w:type="dxa"/>
            <w:tcBorders>
              <w:top w:val="nil"/>
              <w:left w:val="nil"/>
              <w:bottom w:val="nil"/>
              <w:right w:val="nil"/>
            </w:tcBorders>
            <w:tcMar>
              <w:top w:w="0" w:type="dxa"/>
              <w:left w:w="13" w:type="dxa"/>
              <w:bottom w:w="0" w:type="dxa"/>
              <w:right w:w="13" w:type="dxa"/>
            </w:tcMar>
          </w:tcPr>
          <w:p w14:paraId="36790EBF" w14:textId="77777777" w:rsidR="001D2587" w:rsidRPr="000855B2" w:rsidRDefault="001D2587" w:rsidP="00F078C9">
            <w:pPr>
              <w:rPr>
                <w:szCs w:val="22"/>
                <w:lang w:val="en-GB"/>
              </w:rPr>
            </w:pPr>
            <w:r w:rsidRPr="000855B2">
              <w:rPr>
                <w:szCs w:val="22"/>
                <w:lang w:val="en-GB"/>
              </w:rPr>
              <w:t xml:space="preserve">Nitrogen </w:t>
            </w:r>
            <w:r w:rsidR="006F1553" w:rsidRPr="000855B2">
              <w:rPr>
                <w:szCs w:val="22"/>
                <w:lang w:val="en-GB"/>
              </w:rPr>
              <w:t>o</w:t>
            </w:r>
            <w:r w:rsidRPr="000855B2">
              <w:rPr>
                <w:szCs w:val="22"/>
                <w:lang w:val="en-GB"/>
              </w:rPr>
              <w:t>xides (sum of NO and NO</w:t>
            </w:r>
            <w:r w:rsidRPr="000855B2">
              <w:rPr>
                <w:szCs w:val="22"/>
                <w:vertAlign w:val="subscript"/>
                <w:lang w:val="en-GB"/>
              </w:rPr>
              <w:t>2</w:t>
            </w:r>
            <w:r w:rsidRPr="000855B2">
              <w:rPr>
                <w:szCs w:val="22"/>
                <w:lang w:val="en-GB"/>
              </w:rPr>
              <w:t>)</w:t>
            </w:r>
          </w:p>
        </w:tc>
      </w:tr>
      <w:tr w:rsidR="001D2587" w:rsidRPr="000855B2" w14:paraId="61B2994C" w14:textId="77777777">
        <w:trPr>
          <w:trHeight w:val="600"/>
        </w:trPr>
        <w:tc>
          <w:tcPr>
            <w:tcW w:w="1500" w:type="dxa"/>
            <w:tcBorders>
              <w:top w:val="nil"/>
              <w:left w:val="nil"/>
              <w:bottom w:val="nil"/>
              <w:right w:val="nil"/>
            </w:tcBorders>
            <w:tcMar>
              <w:top w:w="0" w:type="dxa"/>
              <w:left w:w="13" w:type="dxa"/>
              <w:bottom w:w="0" w:type="dxa"/>
              <w:right w:w="13" w:type="dxa"/>
            </w:tcMar>
          </w:tcPr>
          <w:p w14:paraId="34EC335C" w14:textId="77777777" w:rsidR="001D2587" w:rsidRPr="000855B2" w:rsidRDefault="001D2587" w:rsidP="00F078C9">
            <w:pPr>
              <w:rPr>
                <w:szCs w:val="22"/>
                <w:lang w:val="en-GB"/>
              </w:rPr>
            </w:pPr>
            <w:r w:rsidRPr="000855B2">
              <w:rPr>
                <w:szCs w:val="22"/>
                <w:lang w:val="en-GB"/>
              </w:rPr>
              <w:t>NUTS</w:t>
            </w:r>
          </w:p>
        </w:tc>
        <w:tc>
          <w:tcPr>
            <w:tcW w:w="7360" w:type="dxa"/>
            <w:tcBorders>
              <w:top w:val="nil"/>
              <w:left w:val="nil"/>
              <w:bottom w:val="nil"/>
              <w:right w:val="nil"/>
            </w:tcBorders>
            <w:tcMar>
              <w:top w:w="0" w:type="dxa"/>
              <w:left w:w="13" w:type="dxa"/>
              <w:bottom w:w="0" w:type="dxa"/>
              <w:right w:w="13" w:type="dxa"/>
            </w:tcMar>
          </w:tcPr>
          <w:p w14:paraId="647B1A73" w14:textId="77777777" w:rsidR="001D2587" w:rsidRPr="000855B2" w:rsidRDefault="001D2587" w:rsidP="00F078C9">
            <w:pPr>
              <w:rPr>
                <w:szCs w:val="22"/>
                <w:lang w:val="en-GB"/>
              </w:rPr>
            </w:pPr>
            <w:r w:rsidRPr="000855B2">
              <w:rPr>
                <w:szCs w:val="22"/>
                <w:lang w:val="en-GB"/>
              </w:rPr>
              <w:t xml:space="preserve">Nomenclature of Territorial Units for Statistics (0 to </w:t>
            </w:r>
            <w:smartTag w:uri="urn:schemas-microsoft-com:office:smarttags" w:element="stockticker">
              <w:r w:rsidRPr="000855B2">
                <w:rPr>
                  <w:szCs w:val="22"/>
                  <w:lang w:val="en-GB"/>
                </w:rPr>
                <w:t>III</w:t>
              </w:r>
            </w:smartTag>
            <w:r w:rsidRPr="000855B2">
              <w:rPr>
                <w:szCs w:val="22"/>
                <w:lang w:val="en-GB"/>
              </w:rPr>
              <w:t>). According to the EU definition, NUTS 0 is the territory of individual Member States</w:t>
            </w:r>
          </w:p>
        </w:tc>
      </w:tr>
      <w:tr w:rsidR="001D2587" w:rsidRPr="000855B2" w14:paraId="72314189" w14:textId="77777777">
        <w:trPr>
          <w:trHeight w:val="300"/>
        </w:trPr>
        <w:tc>
          <w:tcPr>
            <w:tcW w:w="1500" w:type="dxa"/>
            <w:tcBorders>
              <w:top w:val="nil"/>
              <w:left w:val="nil"/>
              <w:bottom w:val="nil"/>
              <w:right w:val="nil"/>
            </w:tcBorders>
            <w:tcMar>
              <w:top w:w="13" w:type="dxa"/>
              <w:left w:w="13" w:type="dxa"/>
              <w:bottom w:w="0" w:type="dxa"/>
              <w:right w:w="13" w:type="dxa"/>
            </w:tcMar>
          </w:tcPr>
          <w:p w14:paraId="1BAFEB8D" w14:textId="77777777" w:rsidR="001D2587" w:rsidRPr="000855B2" w:rsidRDefault="001D2587" w:rsidP="00F078C9">
            <w:pPr>
              <w:rPr>
                <w:szCs w:val="22"/>
                <w:lang w:val="en-GB"/>
              </w:rPr>
            </w:pPr>
            <w:r w:rsidRPr="000855B2">
              <w:rPr>
                <w:szCs w:val="22"/>
                <w:lang w:val="en-GB"/>
              </w:rPr>
              <w:t>OBD</w:t>
            </w:r>
          </w:p>
        </w:tc>
        <w:tc>
          <w:tcPr>
            <w:tcW w:w="7360" w:type="dxa"/>
            <w:tcBorders>
              <w:top w:val="nil"/>
              <w:left w:val="nil"/>
              <w:bottom w:val="nil"/>
              <w:right w:val="nil"/>
            </w:tcBorders>
            <w:tcMar>
              <w:top w:w="13" w:type="dxa"/>
              <w:left w:w="13" w:type="dxa"/>
              <w:bottom w:w="0" w:type="dxa"/>
              <w:right w:w="13" w:type="dxa"/>
            </w:tcMar>
          </w:tcPr>
          <w:p w14:paraId="46EC4C20" w14:textId="77777777" w:rsidR="001D2587" w:rsidRPr="000855B2" w:rsidRDefault="001D2587" w:rsidP="00F078C9">
            <w:pPr>
              <w:rPr>
                <w:szCs w:val="22"/>
                <w:lang w:val="en-GB"/>
              </w:rPr>
            </w:pPr>
            <w:r w:rsidRPr="000855B2">
              <w:rPr>
                <w:szCs w:val="22"/>
                <w:lang w:val="en-GB"/>
              </w:rPr>
              <w:t>On-</w:t>
            </w:r>
            <w:r w:rsidR="005F0CAB" w:rsidRPr="000855B2">
              <w:rPr>
                <w:szCs w:val="22"/>
                <w:lang w:val="en-GB"/>
              </w:rPr>
              <w:t>b</w:t>
            </w:r>
            <w:r w:rsidRPr="000855B2">
              <w:rPr>
                <w:szCs w:val="22"/>
                <w:lang w:val="en-GB"/>
              </w:rPr>
              <w:t xml:space="preserve">oard </w:t>
            </w:r>
            <w:r w:rsidR="005F0CAB" w:rsidRPr="000855B2">
              <w:rPr>
                <w:szCs w:val="22"/>
                <w:lang w:val="en-GB"/>
              </w:rPr>
              <w:t>d</w:t>
            </w:r>
            <w:r w:rsidRPr="000855B2">
              <w:rPr>
                <w:szCs w:val="22"/>
                <w:lang w:val="en-GB"/>
              </w:rPr>
              <w:t>iagnostics</w:t>
            </w:r>
          </w:p>
        </w:tc>
      </w:tr>
      <w:tr w:rsidR="001D2587" w:rsidRPr="000855B2" w14:paraId="18ACAB00" w14:textId="77777777">
        <w:trPr>
          <w:trHeight w:val="300"/>
        </w:trPr>
        <w:tc>
          <w:tcPr>
            <w:tcW w:w="1500" w:type="dxa"/>
            <w:tcBorders>
              <w:top w:val="nil"/>
              <w:left w:val="nil"/>
              <w:bottom w:val="nil"/>
              <w:right w:val="nil"/>
            </w:tcBorders>
            <w:tcMar>
              <w:top w:w="0" w:type="dxa"/>
              <w:left w:w="13" w:type="dxa"/>
              <w:bottom w:w="0" w:type="dxa"/>
              <w:right w:w="13" w:type="dxa"/>
            </w:tcMar>
          </w:tcPr>
          <w:p w14:paraId="66AC23C5" w14:textId="77777777" w:rsidR="001D2587" w:rsidRPr="000855B2" w:rsidRDefault="001D2587" w:rsidP="00F078C9">
            <w:pPr>
              <w:rPr>
                <w:szCs w:val="22"/>
                <w:lang w:val="en-GB"/>
              </w:rPr>
            </w:pPr>
            <w:r w:rsidRPr="000855B2">
              <w:rPr>
                <w:szCs w:val="22"/>
                <w:lang w:val="en-GB"/>
              </w:rPr>
              <w:t>OC</w:t>
            </w:r>
          </w:p>
        </w:tc>
        <w:tc>
          <w:tcPr>
            <w:tcW w:w="7360" w:type="dxa"/>
            <w:tcBorders>
              <w:top w:val="nil"/>
              <w:left w:val="nil"/>
              <w:bottom w:val="nil"/>
              <w:right w:val="nil"/>
            </w:tcBorders>
            <w:tcMar>
              <w:top w:w="0" w:type="dxa"/>
              <w:left w:w="13" w:type="dxa"/>
              <w:bottom w:w="0" w:type="dxa"/>
              <w:right w:w="13" w:type="dxa"/>
            </w:tcMar>
          </w:tcPr>
          <w:p w14:paraId="74E53845" w14:textId="77777777" w:rsidR="001D2587" w:rsidRPr="000855B2" w:rsidRDefault="001D2587" w:rsidP="00F078C9">
            <w:pPr>
              <w:rPr>
                <w:szCs w:val="22"/>
                <w:lang w:val="en-GB"/>
              </w:rPr>
            </w:pPr>
            <w:r w:rsidRPr="000855B2">
              <w:rPr>
                <w:szCs w:val="22"/>
                <w:lang w:val="en-GB"/>
              </w:rPr>
              <w:t xml:space="preserve">Organic </w:t>
            </w:r>
            <w:r w:rsidR="006F1553" w:rsidRPr="000855B2">
              <w:rPr>
                <w:szCs w:val="22"/>
                <w:lang w:val="en-GB"/>
              </w:rPr>
              <w:t>c</w:t>
            </w:r>
            <w:r w:rsidRPr="000855B2">
              <w:rPr>
                <w:szCs w:val="22"/>
                <w:lang w:val="en-GB"/>
              </w:rPr>
              <w:t>arbon</w:t>
            </w:r>
          </w:p>
        </w:tc>
      </w:tr>
      <w:tr w:rsidR="001D2587" w:rsidRPr="000855B2" w14:paraId="0CE8882D" w14:textId="77777777">
        <w:trPr>
          <w:trHeight w:val="300"/>
        </w:trPr>
        <w:tc>
          <w:tcPr>
            <w:tcW w:w="1500" w:type="dxa"/>
            <w:tcBorders>
              <w:top w:val="nil"/>
              <w:left w:val="nil"/>
              <w:bottom w:val="nil"/>
              <w:right w:val="nil"/>
            </w:tcBorders>
            <w:tcMar>
              <w:top w:w="0" w:type="dxa"/>
              <w:left w:w="13" w:type="dxa"/>
              <w:bottom w:w="0" w:type="dxa"/>
              <w:right w:w="13" w:type="dxa"/>
            </w:tcMar>
          </w:tcPr>
          <w:p w14:paraId="3328E343" w14:textId="77777777" w:rsidR="001D2587" w:rsidRPr="000855B2" w:rsidRDefault="001D2587" w:rsidP="00F078C9">
            <w:pPr>
              <w:rPr>
                <w:szCs w:val="22"/>
                <w:lang w:val="en-GB"/>
              </w:rPr>
            </w:pPr>
            <w:r w:rsidRPr="000855B2">
              <w:rPr>
                <w:szCs w:val="22"/>
                <w:lang w:val="en-GB"/>
              </w:rPr>
              <w:t>OM</w:t>
            </w:r>
          </w:p>
        </w:tc>
        <w:tc>
          <w:tcPr>
            <w:tcW w:w="7360" w:type="dxa"/>
            <w:tcBorders>
              <w:top w:val="nil"/>
              <w:left w:val="nil"/>
              <w:bottom w:val="nil"/>
              <w:right w:val="nil"/>
            </w:tcBorders>
            <w:tcMar>
              <w:top w:w="0" w:type="dxa"/>
              <w:left w:w="13" w:type="dxa"/>
              <w:bottom w:w="0" w:type="dxa"/>
              <w:right w:w="13" w:type="dxa"/>
            </w:tcMar>
          </w:tcPr>
          <w:p w14:paraId="42A34706" w14:textId="77777777" w:rsidR="001D2587" w:rsidRPr="000855B2" w:rsidRDefault="001D2587" w:rsidP="00F078C9">
            <w:pPr>
              <w:rPr>
                <w:szCs w:val="22"/>
                <w:lang w:val="en-GB"/>
              </w:rPr>
            </w:pPr>
            <w:r w:rsidRPr="000855B2">
              <w:rPr>
                <w:szCs w:val="22"/>
                <w:lang w:val="en-GB"/>
              </w:rPr>
              <w:t xml:space="preserve">Organic </w:t>
            </w:r>
            <w:r w:rsidR="006F1553" w:rsidRPr="000855B2">
              <w:rPr>
                <w:szCs w:val="22"/>
                <w:lang w:val="en-GB"/>
              </w:rPr>
              <w:t>m</w:t>
            </w:r>
            <w:r w:rsidRPr="000855B2">
              <w:rPr>
                <w:szCs w:val="22"/>
                <w:lang w:val="en-GB"/>
              </w:rPr>
              <w:t>atter</w:t>
            </w:r>
          </w:p>
        </w:tc>
      </w:tr>
      <w:tr w:rsidR="001D2587" w:rsidRPr="000855B2" w14:paraId="171EF2FF" w14:textId="77777777">
        <w:trPr>
          <w:trHeight w:val="300"/>
        </w:trPr>
        <w:tc>
          <w:tcPr>
            <w:tcW w:w="1500" w:type="dxa"/>
            <w:tcBorders>
              <w:top w:val="nil"/>
              <w:left w:val="nil"/>
              <w:bottom w:val="nil"/>
              <w:right w:val="nil"/>
            </w:tcBorders>
            <w:tcMar>
              <w:top w:w="0" w:type="dxa"/>
              <w:left w:w="13" w:type="dxa"/>
              <w:bottom w:w="0" w:type="dxa"/>
              <w:right w:w="13" w:type="dxa"/>
            </w:tcMar>
          </w:tcPr>
          <w:p w14:paraId="4FBCD567" w14:textId="77777777" w:rsidR="001D2587" w:rsidRPr="000855B2" w:rsidRDefault="001D2587" w:rsidP="00F078C9">
            <w:pPr>
              <w:rPr>
                <w:szCs w:val="22"/>
                <w:lang w:val="en-GB"/>
              </w:rPr>
            </w:pPr>
            <w:r w:rsidRPr="000855B2">
              <w:rPr>
                <w:szCs w:val="22"/>
                <w:lang w:val="en-GB"/>
              </w:rPr>
              <w:t>Pb</w:t>
            </w:r>
          </w:p>
        </w:tc>
        <w:tc>
          <w:tcPr>
            <w:tcW w:w="7360" w:type="dxa"/>
            <w:tcBorders>
              <w:top w:val="nil"/>
              <w:left w:val="nil"/>
              <w:bottom w:val="nil"/>
              <w:right w:val="nil"/>
            </w:tcBorders>
            <w:tcMar>
              <w:top w:w="0" w:type="dxa"/>
              <w:left w:w="13" w:type="dxa"/>
              <w:bottom w:w="0" w:type="dxa"/>
              <w:right w:w="13" w:type="dxa"/>
            </w:tcMar>
          </w:tcPr>
          <w:p w14:paraId="1A53ACF5" w14:textId="77777777" w:rsidR="001D2587" w:rsidRPr="000855B2" w:rsidRDefault="001D2587" w:rsidP="00F078C9">
            <w:pPr>
              <w:pStyle w:val="InsideAddress"/>
              <w:jc w:val="left"/>
              <w:rPr>
                <w:szCs w:val="22"/>
                <w:lang w:eastAsia="nl-NL"/>
              </w:rPr>
            </w:pPr>
            <w:r w:rsidRPr="000855B2">
              <w:rPr>
                <w:szCs w:val="22"/>
                <w:lang w:eastAsia="nl-NL"/>
              </w:rPr>
              <w:t>Lead</w:t>
            </w:r>
          </w:p>
        </w:tc>
      </w:tr>
      <w:tr w:rsidR="001D2587" w:rsidRPr="000855B2" w14:paraId="500125DD" w14:textId="77777777">
        <w:trPr>
          <w:trHeight w:val="300"/>
        </w:trPr>
        <w:tc>
          <w:tcPr>
            <w:tcW w:w="1500" w:type="dxa"/>
            <w:tcBorders>
              <w:top w:val="nil"/>
              <w:left w:val="nil"/>
              <w:bottom w:val="nil"/>
              <w:right w:val="nil"/>
            </w:tcBorders>
            <w:tcMar>
              <w:top w:w="0" w:type="dxa"/>
              <w:left w:w="13" w:type="dxa"/>
              <w:bottom w:w="0" w:type="dxa"/>
              <w:right w:w="13" w:type="dxa"/>
            </w:tcMar>
          </w:tcPr>
          <w:p w14:paraId="195CD8C3" w14:textId="77777777" w:rsidR="001D2587" w:rsidRPr="000855B2" w:rsidRDefault="001D2587" w:rsidP="00F078C9">
            <w:pPr>
              <w:rPr>
                <w:szCs w:val="22"/>
                <w:lang w:val="en-GB"/>
              </w:rPr>
            </w:pPr>
            <w:r w:rsidRPr="000855B2">
              <w:rPr>
                <w:szCs w:val="22"/>
                <w:lang w:val="en-GB"/>
              </w:rPr>
              <w:t>PC</w:t>
            </w:r>
          </w:p>
        </w:tc>
        <w:tc>
          <w:tcPr>
            <w:tcW w:w="7360" w:type="dxa"/>
            <w:tcBorders>
              <w:top w:val="nil"/>
              <w:left w:val="nil"/>
              <w:bottom w:val="nil"/>
              <w:right w:val="nil"/>
            </w:tcBorders>
            <w:tcMar>
              <w:top w:w="0" w:type="dxa"/>
              <w:left w:w="13" w:type="dxa"/>
              <w:bottom w:w="0" w:type="dxa"/>
              <w:right w:w="13" w:type="dxa"/>
            </w:tcMar>
          </w:tcPr>
          <w:p w14:paraId="19F46631" w14:textId="77777777" w:rsidR="001D2587" w:rsidRPr="000855B2" w:rsidRDefault="001D2587" w:rsidP="00F078C9">
            <w:pPr>
              <w:rPr>
                <w:szCs w:val="22"/>
                <w:lang w:val="en-GB"/>
              </w:rPr>
            </w:pPr>
            <w:r w:rsidRPr="000855B2">
              <w:rPr>
                <w:szCs w:val="22"/>
                <w:lang w:val="en-GB"/>
              </w:rPr>
              <w:t xml:space="preserve">Passenger </w:t>
            </w:r>
            <w:r w:rsidR="006F1553" w:rsidRPr="000855B2">
              <w:rPr>
                <w:szCs w:val="22"/>
                <w:lang w:val="en-GB"/>
              </w:rPr>
              <w:t>c</w:t>
            </w:r>
            <w:r w:rsidRPr="000855B2">
              <w:rPr>
                <w:szCs w:val="22"/>
                <w:lang w:val="en-GB"/>
              </w:rPr>
              <w:t>ar</w:t>
            </w:r>
          </w:p>
        </w:tc>
      </w:tr>
      <w:tr w:rsidR="00A54B80" w:rsidRPr="000855B2" w14:paraId="158BD40E" w14:textId="77777777">
        <w:trPr>
          <w:trHeight w:val="300"/>
        </w:trPr>
        <w:tc>
          <w:tcPr>
            <w:tcW w:w="1500" w:type="dxa"/>
            <w:tcBorders>
              <w:top w:val="nil"/>
              <w:left w:val="nil"/>
              <w:bottom w:val="nil"/>
              <w:right w:val="nil"/>
            </w:tcBorders>
            <w:tcMar>
              <w:top w:w="13" w:type="dxa"/>
              <w:left w:w="13" w:type="dxa"/>
              <w:bottom w:w="0" w:type="dxa"/>
              <w:right w:w="13" w:type="dxa"/>
            </w:tcMar>
          </w:tcPr>
          <w:p w14:paraId="571674BD" w14:textId="77777777" w:rsidR="00A54B80" w:rsidRPr="000855B2" w:rsidRDefault="00A54B80" w:rsidP="00F078C9">
            <w:pPr>
              <w:rPr>
                <w:szCs w:val="22"/>
                <w:lang w:val="en-GB"/>
              </w:rPr>
            </w:pPr>
            <w:r>
              <w:rPr>
                <w:szCs w:val="22"/>
                <w:lang w:val="en-GB"/>
              </w:rPr>
              <w:t>RDE</w:t>
            </w:r>
          </w:p>
        </w:tc>
        <w:tc>
          <w:tcPr>
            <w:tcW w:w="7360" w:type="dxa"/>
            <w:tcBorders>
              <w:top w:val="nil"/>
              <w:left w:val="nil"/>
              <w:bottom w:val="nil"/>
              <w:right w:val="nil"/>
            </w:tcBorders>
            <w:tcMar>
              <w:top w:w="13" w:type="dxa"/>
              <w:left w:w="13" w:type="dxa"/>
              <w:bottom w:w="0" w:type="dxa"/>
              <w:right w:w="13" w:type="dxa"/>
            </w:tcMar>
          </w:tcPr>
          <w:p w14:paraId="13894E41" w14:textId="77777777" w:rsidR="00A54B80" w:rsidRPr="000855B2" w:rsidRDefault="00A54B80" w:rsidP="00F078C9">
            <w:pPr>
              <w:rPr>
                <w:szCs w:val="22"/>
                <w:lang w:val="en-GB"/>
              </w:rPr>
            </w:pPr>
            <w:r>
              <w:rPr>
                <w:szCs w:val="22"/>
                <w:lang w:val="en-GB"/>
              </w:rPr>
              <w:t>Real Driving Emissions</w:t>
            </w:r>
          </w:p>
        </w:tc>
      </w:tr>
      <w:tr w:rsidR="001D2587" w:rsidRPr="000855B2" w14:paraId="5BF94A20" w14:textId="77777777">
        <w:trPr>
          <w:trHeight w:val="300"/>
        </w:trPr>
        <w:tc>
          <w:tcPr>
            <w:tcW w:w="1500" w:type="dxa"/>
            <w:tcBorders>
              <w:top w:val="nil"/>
              <w:left w:val="nil"/>
              <w:bottom w:val="nil"/>
              <w:right w:val="nil"/>
            </w:tcBorders>
            <w:tcMar>
              <w:top w:w="13" w:type="dxa"/>
              <w:left w:w="13" w:type="dxa"/>
              <w:bottom w:w="0" w:type="dxa"/>
              <w:right w:w="13" w:type="dxa"/>
            </w:tcMar>
          </w:tcPr>
          <w:p w14:paraId="3052D8A8" w14:textId="77777777" w:rsidR="001D2587" w:rsidRPr="000855B2" w:rsidRDefault="001D2587" w:rsidP="00F078C9">
            <w:pPr>
              <w:rPr>
                <w:szCs w:val="22"/>
                <w:lang w:val="en-GB"/>
              </w:rPr>
            </w:pPr>
            <w:smartTag w:uri="urn:schemas-microsoft-com:office:smarttags" w:element="stockticker">
              <w:r w:rsidRPr="000855B2">
                <w:rPr>
                  <w:szCs w:val="22"/>
                  <w:lang w:val="en-GB"/>
                </w:rPr>
                <w:t>SCR</w:t>
              </w:r>
            </w:smartTag>
          </w:p>
        </w:tc>
        <w:tc>
          <w:tcPr>
            <w:tcW w:w="7360" w:type="dxa"/>
            <w:tcBorders>
              <w:top w:val="nil"/>
              <w:left w:val="nil"/>
              <w:bottom w:val="nil"/>
              <w:right w:val="nil"/>
            </w:tcBorders>
            <w:tcMar>
              <w:top w:w="13" w:type="dxa"/>
              <w:left w:w="13" w:type="dxa"/>
              <w:bottom w:w="0" w:type="dxa"/>
              <w:right w:w="13" w:type="dxa"/>
            </w:tcMar>
          </w:tcPr>
          <w:p w14:paraId="754E6804" w14:textId="77777777" w:rsidR="001D2587" w:rsidRPr="000855B2" w:rsidRDefault="001D2587" w:rsidP="00F078C9">
            <w:pPr>
              <w:rPr>
                <w:szCs w:val="22"/>
                <w:lang w:val="en-GB"/>
              </w:rPr>
            </w:pPr>
            <w:r w:rsidRPr="000855B2">
              <w:rPr>
                <w:szCs w:val="22"/>
                <w:lang w:val="en-GB"/>
              </w:rPr>
              <w:t xml:space="preserve">Selective </w:t>
            </w:r>
            <w:r w:rsidR="00292C0E" w:rsidRPr="000855B2">
              <w:rPr>
                <w:szCs w:val="22"/>
                <w:lang w:val="en-GB"/>
              </w:rPr>
              <w:t>catalyst r</w:t>
            </w:r>
            <w:r w:rsidRPr="000855B2">
              <w:rPr>
                <w:szCs w:val="22"/>
                <w:lang w:val="en-GB"/>
              </w:rPr>
              <w:t>eduction</w:t>
            </w:r>
          </w:p>
        </w:tc>
      </w:tr>
      <w:tr w:rsidR="001D2587" w:rsidRPr="000855B2" w14:paraId="367B6E1B" w14:textId="77777777">
        <w:trPr>
          <w:trHeight w:val="300"/>
        </w:trPr>
        <w:tc>
          <w:tcPr>
            <w:tcW w:w="1500" w:type="dxa"/>
            <w:tcBorders>
              <w:top w:val="nil"/>
              <w:left w:val="nil"/>
              <w:bottom w:val="nil"/>
              <w:right w:val="nil"/>
            </w:tcBorders>
            <w:tcMar>
              <w:top w:w="0" w:type="dxa"/>
              <w:left w:w="13" w:type="dxa"/>
              <w:bottom w:w="0" w:type="dxa"/>
              <w:right w:w="13" w:type="dxa"/>
            </w:tcMar>
          </w:tcPr>
          <w:p w14:paraId="059DA464" w14:textId="77777777" w:rsidR="001D2587" w:rsidRPr="000855B2" w:rsidRDefault="001D2587" w:rsidP="00F078C9">
            <w:pPr>
              <w:rPr>
                <w:szCs w:val="22"/>
                <w:lang w:val="en-GB"/>
              </w:rPr>
            </w:pPr>
            <w:smartTag w:uri="urn:schemas-microsoft-com:office:smarttags" w:element="stockticker">
              <w:r w:rsidRPr="000855B2">
                <w:rPr>
                  <w:szCs w:val="22"/>
                  <w:lang w:val="en-GB"/>
                </w:rPr>
                <w:t>SNAP</w:t>
              </w:r>
            </w:smartTag>
          </w:p>
        </w:tc>
        <w:tc>
          <w:tcPr>
            <w:tcW w:w="7360" w:type="dxa"/>
            <w:tcBorders>
              <w:top w:val="nil"/>
              <w:left w:val="nil"/>
              <w:bottom w:val="nil"/>
              <w:right w:val="nil"/>
            </w:tcBorders>
            <w:tcMar>
              <w:top w:w="0" w:type="dxa"/>
              <w:left w:w="13" w:type="dxa"/>
              <w:bottom w:w="0" w:type="dxa"/>
              <w:right w:w="13" w:type="dxa"/>
            </w:tcMar>
          </w:tcPr>
          <w:p w14:paraId="0BB83FFC" w14:textId="77777777" w:rsidR="001D2587" w:rsidRPr="000855B2" w:rsidRDefault="00292C0E" w:rsidP="00F078C9">
            <w:pPr>
              <w:rPr>
                <w:szCs w:val="22"/>
                <w:lang w:val="en-GB"/>
              </w:rPr>
            </w:pPr>
            <w:r w:rsidRPr="000855B2">
              <w:rPr>
                <w:szCs w:val="22"/>
                <w:lang w:val="en-GB"/>
              </w:rPr>
              <w:t>Selective nomenclature for air p</w:t>
            </w:r>
            <w:r w:rsidR="001D2587" w:rsidRPr="000855B2">
              <w:rPr>
                <w:szCs w:val="22"/>
                <w:lang w:val="en-GB"/>
              </w:rPr>
              <w:t>ollution</w:t>
            </w:r>
          </w:p>
        </w:tc>
      </w:tr>
      <w:tr w:rsidR="006C3A2A" w:rsidRPr="000855B2" w14:paraId="33C0A40F" w14:textId="77777777">
        <w:trPr>
          <w:trHeight w:val="300"/>
        </w:trPr>
        <w:tc>
          <w:tcPr>
            <w:tcW w:w="1500" w:type="dxa"/>
            <w:tcBorders>
              <w:top w:val="nil"/>
              <w:left w:val="nil"/>
              <w:bottom w:val="nil"/>
              <w:right w:val="nil"/>
            </w:tcBorders>
            <w:tcMar>
              <w:top w:w="0" w:type="dxa"/>
              <w:left w:w="13" w:type="dxa"/>
              <w:bottom w:w="0" w:type="dxa"/>
              <w:right w:w="13" w:type="dxa"/>
            </w:tcMar>
          </w:tcPr>
          <w:p w14:paraId="383BC731" w14:textId="77777777" w:rsidR="006C3A2A" w:rsidRPr="000855B2" w:rsidRDefault="006C3A2A" w:rsidP="00F078C9">
            <w:pPr>
              <w:rPr>
                <w:szCs w:val="22"/>
                <w:lang w:val="en-GB"/>
              </w:rPr>
            </w:pPr>
            <w:smartTag w:uri="urn:schemas-microsoft-com:office:smarttags" w:element="stockticker">
              <w:r w:rsidRPr="000855B2">
                <w:rPr>
                  <w:szCs w:val="22"/>
                  <w:lang w:val="en-GB"/>
                </w:rPr>
                <w:t>THC</w:t>
              </w:r>
            </w:smartTag>
          </w:p>
        </w:tc>
        <w:tc>
          <w:tcPr>
            <w:tcW w:w="7360" w:type="dxa"/>
            <w:tcBorders>
              <w:top w:val="nil"/>
              <w:left w:val="nil"/>
              <w:bottom w:val="nil"/>
              <w:right w:val="nil"/>
            </w:tcBorders>
            <w:tcMar>
              <w:top w:w="0" w:type="dxa"/>
              <w:left w:w="13" w:type="dxa"/>
              <w:bottom w:w="0" w:type="dxa"/>
              <w:right w:w="13" w:type="dxa"/>
            </w:tcMar>
          </w:tcPr>
          <w:p w14:paraId="68558448" w14:textId="77777777" w:rsidR="006C3A2A" w:rsidRPr="000855B2" w:rsidRDefault="006C3A2A" w:rsidP="00F078C9">
            <w:pPr>
              <w:rPr>
                <w:szCs w:val="22"/>
                <w:lang w:val="en-GB"/>
              </w:rPr>
            </w:pPr>
            <w:r w:rsidRPr="000855B2">
              <w:rPr>
                <w:szCs w:val="22"/>
                <w:lang w:val="en-GB"/>
              </w:rPr>
              <w:t xml:space="preserve">Total </w:t>
            </w:r>
            <w:r w:rsidR="005E4BDA" w:rsidRPr="000855B2">
              <w:rPr>
                <w:szCs w:val="22"/>
                <w:lang w:val="en-GB"/>
              </w:rPr>
              <w:t>h</w:t>
            </w:r>
            <w:r w:rsidRPr="000855B2">
              <w:rPr>
                <w:szCs w:val="22"/>
                <w:lang w:val="en-GB"/>
              </w:rPr>
              <w:t>ydrocarbons</w:t>
            </w:r>
          </w:p>
        </w:tc>
      </w:tr>
      <w:tr w:rsidR="001D2587" w:rsidRPr="000855B2" w14:paraId="1DDADC3B" w14:textId="77777777">
        <w:trPr>
          <w:trHeight w:val="300"/>
        </w:trPr>
        <w:tc>
          <w:tcPr>
            <w:tcW w:w="1500" w:type="dxa"/>
            <w:tcBorders>
              <w:top w:val="nil"/>
              <w:left w:val="nil"/>
              <w:bottom w:val="nil"/>
              <w:right w:val="nil"/>
            </w:tcBorders>
            <w:tcMar>
              <w:top w:w="0" w:type="dxa"/>
              <w:left w:w="13" w:type="dxa"/>
              <w:bottom w:w="0" w:type="dxa"/>
              <w:right w:w="13" w:type="dxa"/>
            </w:tcMar>
          </w:tcPr>
          <w:p w14:paraId="0062AE7E" w14:textId="77777777" w:rsidR="001D2587" w:rsidRPr="000855B2" w:rsidRDefault="001D2587" w:rsidP="00F078C9">
            <w:pPr>
              <w:rPr>
                <w:szCs w:val="22"/>
                <w:lang w:val="en-GB"/>
              </w:rPr>
            </w:pPr>
            <w:r w:rsidRPr="000855B2">
              <w:rPr>
                <w:szCs w:val="22"/>
                <w:lang w:val="en-GB"/>
              </w:rPr>
              <w:t>SO</w:t>
            </w:r>
            <w:r w:rsidRPr="000855B2">
              <w:rPr>
                <w:szCs w:val="22"/>
                <w:vertAlign w:val="subscript"/>
                <w:lang w:val="en-GB"/>
              </w:rPr>
              <w:t>x</w:t>
            </w:r>
          </w:p>
        </w:tc>
        <w:tc>
          <w:tcPr>
            <w:tcW w:w="7360" w:type="dxa"/>
            <w:tcBorders>
              <w:top w:val="nil"/>
              <w:left w:val="nil"/>
              <w:bottom w:val="nil"/>
              <w:right w:val="nil"/>
            </w:tcBorders>
            <w:tcMar>
              <w:top w:w="0" w:type="dxa"/>
              <w:left w:w="13" w:type="dxa"/>
              <w:bottom w:w="0" w:type="dxa"/>
              <w:right w:w="13" w:type="dxa"/>
            </w:tcMar>
          </w:tcPr>
          <w:p w14:paraId="64CCBF7C" w14:textId="77777777" w:rsidR="001D2587" w:rsidRPr="000855B2" w:rsidRDefault="001D2587" w:rsidP="00F078C9">
            <w:pPr>
              <w:rPr>
                <w:szCs w:val="22"/>
                <w:lang w:val="en-GB"/>
              </w:rPr>
            </w:pPr>
            <w:r w:rsidRPr="000855B2">
              <w:rPr>
                <w:szCs w:val="22"/>
                <w:lang w:val="en-GB"/>
              </w:rPr>
              <w:t xml:space="preserve">Sulphur </w:t>
            </w:r>
            <w:r w:rsidR="006F1553" w:rsidRPr="000855B2">
              <w:rPr>
                <w:szCs w:val="22"/>
                <w:lang w:val="en-GB"/>
              </w:rPr>
              <w:t>o</w:t>
            </w:r>
            <w:r w:rsidRPr="000855B2">
              <w:rPr>
                <w:szCs w:val="22"/>
                <w:lang w:val="en-GB"/>
              </w:rPr>
              <w:t>xides</w:t>
            </w:r>
          </w:p>
        </w:tc>
      </w:tr>
      <w:tr w:rsidR="001D2587" w:rsidRPr="000855B2" w14:paraId="7D785418" w14:textId="77777777">
        <w:trPr>
          <w:trHeight w:val="300"/>
        </w:trPr>
        <w:tc>
          <w:tcPr>
            <w:tcW w:w="1500" w:type="dxa"/>
            <w:tcBorders>
              <w:top w:val="nil"/>
              <w:left w:val="nil"/>
              <w:bottom w:val="nil"/>
              <w:right w:val="nil"/>
            </w:tcBorders>
            <w:tcMar>
              <w:top w:w="0" w:type="dxa"/>
              <w:left w:w="13" w:type="dxa"/>
              <w:bottom w:w="0" w:type="dxa"/>
              <w:right w:w="13" w:type="dxa"/>
            </w:tcMar>
          </w:tcPr>
          <w:p w14:paraId="703F7FAC" w14:textId="77777777" w:rsidR="001D2587" w:rsidRPr="000855B2" w:rsidRDefault="001D2587" w:rsidP="00F078C9">
            <w:pPr>
              <w:rPr>
                <w:szCs w:val="22"/>
                <w:lang w:val="en-GB"/>
              </w:rPr>
            </w:pPr>
            <w:r w:rsidRPr="000855B2">
              <w:rPr>
                <w:szCs w:val="22"/>
                <w:lang w:val="en-GB"/>
              </w:rPr>
              <w:t>VOC</w:t>
            </w:r>
          </w:p>
        </w:tc>
        <w:tc>
          <w:tcPr>
            <w:tcW w:w="7360" w:type="dxa"/>
            <w:tcBorders>
              <w:top w:val="nil"/>
              <w:left w:val="nil"/>
              <w:bottom w:val="nil"/>
              <w:right w:val="nil"/>
            </w:tcBorders>
            <w:tcMar>
              <w:top w:w="0" w:type="dxa"/>
              <w:left w:w="13" w:type="dxa"/>
              <w:bottom w:w="0" w:type="dxa"/>
              <w:right w:w="13" w:type="dxa"/>
            </w:tcMar>
          </w:tcPr>
          <w:p w14:paraId="4F11EB2F" w14:textId="77777777" w:rsidR="001D2587" w:rsidRPr="000855B2" w:rsidRDefault="001D2587" w:rsidP="00F078C9">
            <w:pPr>
              <w:rPr>
                <w:szCs w:val="22"/>
                <w:lang w:val="en-GB"/>
              </w:rPr>
            </w:pPr>
            <w:r w:rsidRPr="000855B2">
              <w:rPr>
                <w:szCs w:val="22"/>
                <w:lang w:val="en-GB"/>
              </w:rPr>
              <w:t xml:space="preserve">Volatile </w:t>
            </w:r>
            <w:r w:rsidR="006F1553" w:rsidRPr="000855B2">
              <w:rPr>
                <w:szCs w:val="22"/>
                <w:lang w:val="en-GB"/>
              </w:rPr>
              <w:t>o</w:t>
            </w:r>
            <w:r w:rsidRPr="000855B2">
              <w:rPr>
                <w:szCs w:val="22"/>
                <w:lang w:val="en-GB"/>
              </w:rPr>
              <w:t xml:space="preserve">rganic </w:t>
            </w:r>
            <w:r w:rsidR="006F1553" w:rsidRPr="000855B2">
              <w:rPr>
                <w:szCs w:val="22"/>
                <w:lang w:val="en-GB"/>
              </w:rPr>
              <w:t>c</w:t>
            </w:r>
            <w:r w:rsidRPr="000855B2">
              <w:rPr>
                <w:szCs w:val="22"/>
                <w:lang w:val="en-GB"/>
              </w:rPr>
              <w:t>ompounds</w:t>
            </w:r>
          </w:p>
        </w:tc>
      </w:tr>
      <w:tr w:rsidR="001D2587" w:rsidRPr="000855B2" w14:paraId="78DCCAB5" w14:textId="77777777">
        <w:trPr>
          <w:trHeight w:val="300"/>
        </w:trPr>
        <w:tc>
          <w:tcPr>
            <w:tcW w:w="1500" w:type="dxa"/>
            <w:tcBorders>
              <w:top w:val="nil"/>
              <w:left w:val="nil"/>
              <w:bottom w:val="nil"/>
              <w:right w:val="nil"/>
            </w:tcBorders>
            <w:tcMar>
              <w:top w:w="13" w:type="dxa"/>
              <w:left w:w="13" w:type="dxa"/>
              <w:bottom w:w="0" w:type="dxa"/>
              <w:right w:w="13" w:type="dxa"/>
            </w:tcMar>
          </w:tcPr>
          <w:p w14:paraId="0C3F1DC0" w14:textId="77777777" w:rsidR="001D2587" w:rsidRPr="000855B2" w:rsidRDefault="001D2587" w:rsidP="00F078C9">
            <w:pPr>
              <w:rPr>
                <w:szCs w:val="22"/>
                <w:lang w:val="en-GB"/>
              </w:rPr>
            </w:pPr>
            <w:r w:rsidRPr="000855B2">
              <w:rPr>
                <w:szCs w:val="22"/>
                <w:lang w:val="en-GB"/>
              </w:rPr>
              <w:t>WMTC</w:t>
            </w:r>
          </w:p>
        </w:tc>
        <w:tc>
          <w:tcPr>
            <w:tcW w:w="7360" w:type="dxa"/>
            <w:tcBorders>
              <w:top w:val="nil"/>
              <w:left w:val="nil"/>
              <w:bottom w:val="nil"/>
              <w:right w:val="nil"/>
            </w:tcBorders>
            <w:tcMar>
              <w:top w:w="13" w:type="dxa"/>
              <w:left w:w="13" w:type="dxa"/>
              <w:bottom w:w="0" w:type="dxa"/>
              <w:right w:w="13" w:type="dxa"/>
            </w:tcMar>
          </w:tcPr>
          <w:p w14:paraId="6C64FA22" w14:textId="77777777" w:rsidR="001D2587" w:rsidRPr="000855B2" w:rsidRDefault="00292C0E" w:rsidP="00F078C9">
            <w:pPr>
              <w:rPr>
                <w:szCs w:val="22"/>
                <w:lang w:val="en-GB"/>
              </w:rPr>
            </w:pPr>
            <w:r w:rsidRPr="000855B2">
              <w:rPr>
                <w:szCs w:val="22"/>
                <w:lang w:val="en-GB"/>
              </w:rPr>
              <w:t>World motorcycle test c</w:t>
            </w:r>
            <w:r w:rsidR="006F1553" w:rsidRPr="000855B2">
              <w:rPr>
                <w:szCs w:val="22"/>
                <w:lang w:val="en-GB"/>
              </w:rPr>
              <w:t>ycle</w:t>
            </w:r>
          </w:p>
        </w:tc>
      </w:tr>
    </w:tbl>
    <w:p w14:paraId="4959725F" w14:textId="77777777" w:rsidR="00027C01" w:rsidRPr="000855B2" w:rsidRDefault="00027C01">
      <w:pPr>
        <w:rPr>
          <w:lang w:val="en-GB"/>
        </w:rPr>
      </w:pPr>
    </w:p>
    <w:p w14:paraId="078580A7" w14:textId="77777777" w:rsidR="001119F4" w:rsidRPr="000855B2" w:rsidRDefault="00027C01" w:rsidP="001119F4">
      <w:pPr>
        <w:pStyle w:val="Heading2"/>
      </w:pPr>
      <w:r w:rsidRPr="000855B2">
        <w:br w:type="page"/>
      </w:r>
      <w:bookmarkStart w:id="327" w:name="_Toc200272625"/>
      <w:bookmarkStart w:id="328" w:name="_Toc482003911"/>
      <w:r w:rsidR="001119F4" w:rsidRPr="000855B2">
        <w:lastRenderedPageBreak/>
        <w:t>List of symbols</w:t>
      </w:r>
      <w:bookmarkEnd w:id="327"/>
      <w:bookmarkEnd w:id="328"/>
    </w:p>
    <w:p w14:paraId="27A54DDA" w14:textId="77777777" w:rsidR="001D2587" w:rsidRPr="000855B2" w:rsidRDefault="001D2587">
      <w:pPr>
        <w:rPr>
          <w:szCs w:val="21"/>
          <w:lang w:val="en-GB"/>
        </w:rPr>
      </w:pPr>
      <w:r w:rsidRPr="000855B2">
        <w:rPr>
          <w:szCs w:val="21"/>
          <w:lang w:val="en-GB"/>
        </w:rPr>
        <w:t>A</w:t>
      </w:r>
      <w:r w:rsidRPr="000855B2">
        <w:rPr>
          <w:szCs w:val="21"/>
          <w:vertAlign w:val="superscript"/>
          <w:lang w:val="en-GB"/>
        </w:rPr>
        <w:t>M</w:t>
      </w:r>
      <w:r w:rsidRPr="000855B2">
        <w:rPr>
          <w:szCs w:val="21"/>
          <w:vertAlign w:val="superscript"/>
          <w:lang w:val="en-GB"/>
        </w:rPr>
        <w:tab/>
      </w:r>
      <w:r w:rsidRPr="000855B2">
        <w:rPr>
          <w:szCs w:val="21"/>
          <w:vertAlign w:val="superscript"/>
          <w:lang w:val="en-GB"/>
        </w:rPr>
        <w:tab/>
      </w:r>
      <w:r w:rsidRPr="000855B2">
        <w:rPr>
          <w:szCs w:val="21"/>
          <w:lang w:val="en-GB"/>
        </w:rPr>
        <w:t>emission performance degradation per kilometre</w:t>
      </w:r>
    </w:p>
    <w:p w14:paraId="0BA86D1B" w14:textId="77777777" w:rsidR="001D2587" w:rsidRPr="000855B2" w:rsidRDefault="001D2587">
      <w:pPr>
        <w:rPr>
          <w:szCs w:val="21"/>
          <w:lang w:val="en-GB"/>
        </w:rPr>
      </w:pPr>
      <w:r w:rsidRPr="000855B2">
        <w:rPr>
          <w:szCs w:val="21"/>
          <w:lang w:val="en-GB"/>
        </w:rPr>
        <w:t>B</w:t>
      </w:r>
      <w:r w:rsidRPr="000855B2">
        <w:rPr>
          <w:szCs w:val="21"/>
          <w:vertAlign w:val="superscript"/>
          <w:lang w:val="en-GB"/>
        </w:rPr>
        <w:t>M</w:t>
      </w:r>
      <w:r w:rsidRPr="000855B2">
        <w:rPr>
          <w:szCs w:val="21"/>
          <w:lang w:val="en-GB"/>
        </w:rPr>
        <w:tab/>
      </w:r>
      <w:r w:rsidRPr="000855B2">
        <w:rPr>
          <w:szCs w:val="21"/>
          <w:lang w:val="en-GB"/>
        </w:rPr>
        <w:tab/>
        <w:t>relative emission level of brand new vehicles</w:t>
      </w:r>
    </w:p>
    <w:p w14:paraId="576E4E2B" w14:textId="77777777" w:rsidR="001D2587" w:rsidRPr="000855B2" w:rsidRDefault="001D2587">
      <w:pPr>
        <w:rPr>
          <w:szCs w:val="21"/>
          <w:lang w:val="en-GB"/>
        </w:rPr>
      </w:pPr>
      <w:r w:rsidRPr="000855B2">
        <w:rPr>
          <w:szCs w:val="21"/>
          <w:lang w:val="en-GB"/>
        </w:rPr>
        <w:t>bc</w:t>
      </w:r>
      <w:r w:rsidRPr="000855B2">
        <w:rPr>
          <w:szCs w:val="21"/>
          <w:lang w:val="en-GB"/>
        </w:rPr>
        <w:tab/>
      </w:r>
      <w:r w:rsidRPr="000855B2">
        <w:rPr>
          <w:szCs w:val="21"/>
          <w:lang w:val="en-GB"/>
        </w:rPr>
        <w:tab/>
        <w:t xml:space="preserve">correction coefficient for the </w:t>
      </w:r>
      <w:r w:rsidRPr="000855B2">
        <w:rPr>
          <w:szCs w:val="21"/>
          <w:lang w:val="en-GB"/>
        </w:rPr>
        <w:sym w:font="Symbol" w:char="F062"/>
      </w:r>
      <w:r w:rsidRPr="000855B2">
        <w:rPr>
          <w:szCs w:val="21"/>
          <w:lang w:val="en-GB"/>
        </w:rPr>
        <w:t>-parameter for improved catalyst vehicles</w:t>
      </w:r>
    </w:p>
    <w:p w14:paraId="3DB9ABA7" w14:textId="77777777" w:rsidR="001D2587" w:rsidRPr="000855B2" w:rsidRDefault="001D2587">
      <w:pPr>
        <w:ind w:left="1418" w:hanging="1418"/>
        <w:rPr>
          <w:szCs w:val="21"/>
          <w:lang w:val="en-GB"/>
        </w:rPr>
      </w:pPr>
      <w:r w:rsidRPr="000855B2">
        <w:rPr>
          <w:szCs w:val="21"/>
          <w:lang w:val="en-GB"/>
        </w:rPr>
        <w:t>E</w:t>
      </w:r>
      <w:r w:rsidRPr="000855B2">
        <w:rPr>
          <w:szCs w:val="21"/>
          <w:vertAlign w:val="subscript"/>
          <w:lang w:val="en-GB"/>
        </w:rPr>
        <w:t xml:space="preserve">HOT </w:t>
      </w:r>
      <w:r w:rsidRPr="000855B2">
        <w:rPr>
          <w:szCs w:val="21"/>
          <w:lang w:val="en-GB"/>
        </w:rPr>
        <w:tab/>
        <w:t>total emissions during thermally stabilised (hot) engine and exhaust aftertreatment conditions</w:t>
      </w:r>
    </w:p>
    <w:p w14:paraId="16FAEBF4" w14:textId="77777777" w:rsidR="001D2587" w:rsidRPr="000855B2" w:rsidRDefault="001D2587">
      <w:pPr>
        <w:ind w:left="1418" w:hanging="1418"/>
        <w:rPr>
          <w:szCs w:val="21"/>
          <w:lang w:val="en-GB"/>
        </w:rPr>
      </w:pPr>
      <w:r w:rsidRPr="000855B2">
        <w:rPr>
          <w:szCs w:val="21"/>
          <w:lang w:val="en-GB"/>
        </w:rPr>
        <w:t>E</w:t>
      </w:r>
      <w:r w:rsidRPr="000855B2">
        <w:rPr>
          <w:szCs w:val="21"/>
          <w:vertAlign w:val="superscript"/>
          <w:lang w:val="en-GB"/>
        </w:rPr>
        <w:t>CALC</w:t>
      </w:r>
      <w:r w:rsidRPr="000855B2">
        <w:rPr>
          <w:szCs w:val="21"/>
          <w:lang w:val="en-GB"/>
        </w:rPr>
        <w:tab/>
        <w:t>emission of a fuel</w:t>
      </w:r>
      <w:r w:rsidR="009D53DE" w:rsidRPr="000855B2">
        <w:rPr>
          <w:szCs w:val="21"/>
          <w:lang w:val="en-GB"/>
        </w:rPr>
        <w:t>-</w:t>
      </w:r>
      <w:r w:rsidRPr="000855B2">
        <w:rPr>
          <w:szCs w:val="21"/>
          <w:lang w:val="en-GB"/>
        </w:rPr>
        <w:t>dependent pollutant (CO</w:t>
      </w:r>
      <w:r w:rsidRPr="000855B2">
        <w:rPr>
          <w:szCs w:val="21"/>
          <w:vertAlign w:val="subscript"/>
          <w:lang w:val="en-GB"/>
        </w:rPr>
        <w:t>2</w:t>
      </w:r>
      <w:r w:rsidRPr="000855B2">
        <w:rPr>
          <w:szCs w:val="21"/>
          <w:lang w:val="en-GB"/>
        </w:rPr>
        <w:t>, SO</w:t>
      </w:r>
      <w:r w:rsidRPr="000855B2">
        <w:rPr>
          <w:szCs w:val="21"/>
          <w:vertAlign w:val="subscript"/>
          <w:lang w:val="en-GB"/>
        </w:rPr>
        <w:t>2</w:t>
      </w:r>
      <w:r w:rsidRPr="000855B2">
        <w:rPr>
          <w:szCs w:val="21"/>
          <w:lang w:val="en-GB"/>
        </w:rPr>
        <w:t>, Pb, HM)</w:t>
      </w:r>
      <w:r w:rsidR="009D53DE" w:rsidRPr="000855B2">
        <w:rPr>
          <w:szCs w:val="21"/>
          <w:lang w:val="en-GB"/>
        </w:rPr>
        <w:t>,</w:t>
      </w:r>
      <w:r w:rsidRPr="000855B2">
        <w:rPr>
          <w:szCs w:val="21"/>
          <w:lang w:val="en-GB"/>
        </w:rPr>
        <w:t xml:space="preserve"> estimated on the basis of the calculated fuel consumption</w:t>
      </w:r>
    </w:p>
    <w:p w14:paraId="333AB1A7" w14:textId="77777777" w:rsidR="001D2587" w:rsidRPr="000855B2" w:rsidRDefault="001D2587">
      <w:pPr>
        <w:rPr>
          <w:szCs w:val="21"/>
          <w:lang w:val="en-GB"/>
        </w:rPr>
      </w:pPr>
      <w:r w:rsidRPr="000855B2">
        <w:rPr>
          <w:szCs w:val="21"/>
          <w:lang w:val="en-GB"/>
        </w:rPr>
        <w:t>E</w:t>
      </w:r>
      <w:r w:rsidRPr="000855B2">
        <w:rPr>
          <w:szCs w:val="21"/>
          <w:vertAlign w:val="superscript"/>
          <w:lang w:val="en-GB"/>
        </w:rPr>
        <w:t>CORR</w:t>
      </w:r>
      <w:r w:rsidRPr="000855B2">
        <w:rPr>
          <w:szCs w:val="21"/>
          <w:vertAlign w:val="superscript"/>
          <w:lang w:val="en-GB"/>
        </w:rPr>
        <w:tab/>
      </w:r>
      <w:r w:rsidRPr="000855B2">
        <w:rPr>
          <w:szCs w:val="21"/>
          <w:lang w:val="en-GB"/>
        </w:rPr>
        <w:tab/>
        <w:t>corrected emission of a fuel dependent pollutant (CO</w:t>
      </w:r>
      <w:r w:rsidRPr="000855B2">
        <w:rPr>
          <w:szCs w:val="21"/>
          <w:vertAlign w:val="subscript"/>
          <w:lang w:val="en-GB"/>
        </w:rPr>
        <w:t>2</w:t>
      </w:r>
      <w:r w:rsidRPr="000855B2">
        <w:rPr>
          <w:szCs w:val="21"/>
          <w:lang w:val="en-GB"/>
        </w:rPr>
        <w:t>, SO</w:t>
      </w:r>
      <w:r w:rsidRPr="000855B2">
        <w:rPr>
          <w:szCs w:val="21"/>
          <w:vertAlign w:val="subscript"/>
          <w:lang w:val="en-GB"/>
        </w:rPr>
        <w:t>2</w:t>
      </w:r>
      <w:r w:rsidRPr="000855B2">
        <w:rPr>
          <w:szCs w:val="21"/>
          <w:lang w:val="en-GB"/>
        </w:rPr>
        <w:t>, Pb, HM) on the basis of t</w:t>
      </w:r>
      <w:r w:rsidRPr="000855B2">
        <w:rPr>
          <w:szCs w:val="21"/>
          <w:lang w:val="en-GB"/>
        </w:rPr>
        <w:tab/>
      </w:r>
      <w:r w:rsidRPr="000855B2">
        <w:rPr>
          <w:szCs w:val="21"/>
          <w:lang w:val="en-GB"/>
        </w:rPr>
        <w:tab/>
        <w:t>the statistical fuel consumption</w:t>
      </w:r>
    </w:p>
    <w:p w14:paraId="6DBE2E7B" w14:textId="77777777" w:rsidR="001D2587" w:rsidRPr="000855B2" w:rsidRDefault="001D2587">
      <w:pPr>
        <w:rPr>
          <w:szCs w:val="21"/>
          <w:lang w:val="en-GB"/>
        </w:rPr>
      </w:pPr>
      <w:r w:rsidRPr="000855B2">
        <w:rPr>
          <w:szCs w:val="21"/>
          <w:lang w:val="en-GB"/>
        </w:rPr>
        <w:t>e</w:t>
      </w:r>
      <w:r w:rsidRPr="000855B2">
        <w:rPr>
          <w:szCs w:val="21"/>
          <w:vertAlign w:val="superscript"/>
          <w:lang w:val="en-GB"/>
        </w:rPr>
        <w:t>COLD</w:t>
      </w:r>
      <w:r w:rsidRPr="000855B2">
        <w:rPr>
          <w:szCs w:val="21"/>
          <w:lang w:val="en-GB"/>
        </w:rPr>
        <w:t>/e</w:t>
      </w:r>
      <w:r w:rsidRPr="000855B2">
        <w:rPr>
          <w:szCs w:val="21"/>
          <w:vertAlign w:val="superscript"/>
          <w:lang w:val="en-GB"/>
        </w:rPr>
        <w:t>HOT</w:t>
      </w:r>
      <w:r w:rsidRPr="000855B2">
        <w:rPr>
          <w:szCs w:val="21"/>
          <w:lang w:val="en-GB"/>
        </w:rPr>
        <w:tab/>
        <w:t>ratio of emissions of cold to hot engines</w:t>
      </w:r>
    </w:p>
    <w:p w14:paraId="340A0438" w14:textId="77777777" w:rsidR="001D2587" w:rsidRPr="000855B2" w:rsidRDefault="001D2587">
      <w:pPr>
        <w:rPr>
          <w:szCs w:val="21"/>
          <w:lang w:val="en-GB"/>
        </w:rPr>
      </w:pPr>
      <w:r w:rsidRPr="000855B2">
        <w:rPr>
          <w:szCs w:val="21"/>
          <w:lang w:val="en-GB"/>
        </w:rPr>
        <w:t>e</w:t>
      </w:r>
      <w:r w:rsidRPr="000855B2">
        <w:rPr>
          <w:szCs w:val="21"/>
          <w:vertAlign w:val="subscript"/>
          <w:lang w:val="en-GB"/>
        </w:rPr>
        <w:t>HOT</w:t>
      </w:r>
      <w:r w:rsidRPr="000855B2">
        <w:rPr>
          <w:szCs w:val="21"/>
          <w:lang w:val="en-GB"/>
        </w:rPr>
        <w:tab/>
      </w:r>
      <w:r w:rsidRPr="000855B2">
        <w:rPr>
          <w:szCs w:val="21"/>
          <w:lang w:val="en-GB"/>
        </w:rPr>
        <w:tab/>
        <w:t xml:space="preserve">average fleet representative baseline emission factor in [g/km] for thermally </w:t>
      </w:r>
      <w:r w:rsidRPr="000855B2">
        <w:rPr>
          <w:szCs w:val="21"/>
          <w:lang w:val="en-GB"/>
        </w:rPr>
        <w:br/>
        <w:t xml:space="preserve"> </w:t>
      </w:r>
      <w:r w:rsidRPr="000855B2">
        <w:rPr>
          <w:szCs w:val="21"/>
          <w:lang w:val="en-GB"/>
        </w:rPr>
        <w:tab/>
      </w:r>
      <w:r w:rsidRPr="000855B2">
        <w:rPr>
          <w:szCs w:val="21"/>
          <w:lang w:val="en-GB"/>
        </w:rPr>
        <w:tab/>
        <w:t>stabilised (hot) engine and exhaust aftertreatment conditions</w:t>
      </w:r>
    </w:p>
    <w:p w14:paraId="7F50A298" w14:textId="77777777" w:rsidR="001D2587" w:rsidRPr="000855B2" w:rsidRDefault="001D2587">
      <w:pPr>
        <w:rPr>
          <w:szCs w:val="21"/>
          <w:lang w:val="en-GB"/>
        </w:rPr>
      </w:pPr>
      <w:r w:rsidRPr="000855B2">
        <w:rPr>
          <w:szCs w:val="21"/>
          <w:lang w:val="en-GB"/>
        </w:rPr>
        <w:t>EF</w:t>
      </w:r>
      <w:r w:rsidRPr="000855B2">
        <w:rPr>
          <w:szCs w:val="21"/>
          <w:lang w:val="en-GB"/>
        </w:rPr>
        <w:tab/>
      </w:r>
      <w:r w:rsidRPr="000855B2">
        <w:rPr>
          <w:szCs w:val="21"/>
          <w:lang w:val="en-GB"/>
        </w:rPr>
        <w:tab/>
        <w:t>fuel consumption specific emission factor</w:t>
      </w:r>
    </w:p>
    <w:p w14:paraId="537AA1A5" w14:textId="77777777" w:rsidR="001D2587" w:rsidRPr="000855B2" w:rsidRDefault="001D2587">
      <w:pPr>
        <w:rPr>
          <w:szCs w:val="21"/>
          <w:lang w:val="en-GB"/>
        </w:rPr>
      </w:pPr>
      <w:r w:rsidRPr="000855B2">
        <w:rPr>
          <w:szCs w:val="21"/>
          <w:lang w:val="en-GB"/>
        </w:rPr>
        <w:t xml:space="preserve">ES </w:t>
      </w:r>
      <w:r w:rsidRPr="000855B2">
        <w:rPr>
          <w:szCs w:val="21"/>
          <w:lang w:val="en-GB"/>
        </w:rPr>
        <w:tab/>
      </w:r>
      <w:r w:rsidRPr="000855B2">
        <w:rPr>
          <w:szCs w:val="21"/>
          <w:lang w:val="en-GB"/>
        </w:rPr>
        <w:tab/>
        <w:t>emission standard according to the legislation</w:t>
      </w:r>
    </w:p>
    <w:p w14:paraId="22981DAC" w14:textId="77777777" w:rsidR="001D2587" w:rsidRPr="000855B2" w:rsidRDefault="001D2587">
      <w:pPr>
        <w:rPr>
          <w:szCs w:val="21"/>
          <w:lang w:val="en-GB"/>
        </w:rPr>
      </w:pPr>
      <w:r w:rsidRPr="000855B2">
        <w:rPr>
          <w:szCs w:val="21"/>
          <w:lang w:val="en-GB"/>
        </w:rPr>
        <w:t>e(V)</w:t>
      </w:r>
      <w:r w:rsidRPr="000855B2">
        <w:rPr>
          <w:szCs w:val="21"/>
          <w:lang w:val="en-GB"/>
        </w:rPr>
        <w:tab/>
      </w:r>
      <w:r w:rsidRPr="000855B2">
        <w:rPr>
          <w:szCs w:val="21"/>
          <w:lang w:val="en-GB"/>
        </w:rPr>
        <w:tab/>
        <w:t>mathematical expression of the speed dependency of e</w:t>
      </w:r>
      <w:r w:rsidRPr="000855B2">
        <w:rPr>
          <w:szCs w:val="21"/>
          <w:vertAlign w:val="subscript"/>
          <w:lang w:val="en-GB"/>
        </w:rPr>
        <w:t>HOT</w:t>
      </w:r>
    </w:p>
    <w:p w14:paraId="40B70416" w14:textId="77777777" w:rsidR="001D2587" w:rsidRPr="000855B2" w:rsidRDefault="001D2587">
      <w:pPr>
        <w:rPr>
          <w:szCs w:val="21"/>
          <w:lang w:val="en-GB"/>
        </w:rPr>
      </w:pPr>
      <w:r w:rsidRPr="000855B2">
        <w:rPr>
          <w:szCs w:val="21"/>
          <w:lang w:val="en-GB"/>
        </w:rPr>
        <w:t>f(V)</w:t>
      </w:r>
      <w:r w:rsidRPr="000855B2">
        <w:rPr>
          <w:szCs w:val="21"/>
          <w:lang w:val="en-GB"/>
        </w:rPr>
        <w:tab/>
      </w:r>
      <w:r w:rsidRPr="000855B2">
        <w:rPr>
          <w:szCs w:val="21"/>
          <w:lang w:val="en-GB"/>
        </w:rPr>
        <w:tab/>
        <w:t xml:space="preserve">equation (e.g. formula of </w:t>
      </w:r>
      <w:r w:rsidR="00BC5284" w:rsidRPr="000855B2">
        <w:rPr>
          <w:szCs w:val="21"/>
          <w:lang w:val="en-GB"/>
        </w:rPr>
        <w:t>‘</w:t>
      </w:r>
      <w:r w:rsidRPr="000855B2">
        <w:rPr>
          <w:szCs w:val="21"/>
          <w:lang w:val="en-GB"/>
        </w:rPr>
        <w:t>best fit</w:t>
      </w:r>
      <w:r w:rsidR="00BC5284" w:rsidRPr="000855B2">
        <w:rPr>
          <w:szCs w:val="21"/>
          <w:lang w:val="en-GB"/>
        </w:rPr>
        <w:t>’</w:t>
      </w:r>
      <w:r w:rsidRPr="000855B2">
        <w:rPr>
          <w:szCs w:val="21"/>
          <w:lang w:val="en-GB"/>
        </w:rPr>
        <w:t xml:space="preserve"> curve) of the frequency distribution of the </w:t>
      </w:r>
      <w:r w:rsidRPr="000855B2">
        <w:rPr>
          <w:szCs w:val="21"/>
          <w:lang w:val="en-GB"/>
        </w:rPr>
        <w:br/>
        <w:t xml:space="preserve"> </w:t>
      </w:r>
      <w:r w:rsidRPr="000855B2">
        <w:rPr>
          <w:szCs w:val="21"/>
          <w:lang w:val="en-GB"/>
        </w:rPr>
        <w:tab/>
      </w:r>
      <w:r w:rsidRPr="000855B2">
        <w:rPr>
          <w:szCs w:val="21"/>
          <w:lang w:val="en-GB"/>
        </w:rPr>
        <w:tab/>
        <w:t xml:space="preserve">mean speeds which corresponds to the driving patterns of vehicles on road </w:t>
      </w:r>
      <w:r w:rsidRPr="000855B2">
        <w:rPr>
          <w:szCs w:val="21"/>
          <w:lang w:val="en-GB"/>
        </w:rPr>
        <w:br/>
        <w:t xml:space="preserve"> </w:t>
      </w:r>
      <w:r w:rsidRPr="000855B2">
        <w:rPr>
          <w:szCs w:val="21"/>
          <w:lang w:val="en-GB"/>
        </w:rPr>
        <w:tab/>
      </w:r>
      <w:r w:rsidRPr="000855B2">
        <w:rPr>
          <w:szCs w:val="21"/>
          <w:lang w:val="en-GB"/>
        </w:rPr>
        <w:tab/>
        <w:t xml:space="preserve">classes </w:t>
      </w:r>
      <w:r w:rsidR="009D53DE" w:rsidRPr="000855B2">
        <w:rPr>
          <w:szCs w:val="21"/>
          <w:lang w:val="en-GB"/>
        </w:rPr>
        <w:t>‘</w:t>
      </w:r>
      <w:r w:rsidRPr="000855B2">
        <w:rPr>
          <w:szCs w:val="21"/>
          <w:lang w:val="en-GB"/>
        </w:rPr>
        <w:t>rural</w:t>
      </w:r>
      <w:r w:rsidR="009D53DE" w:rsidRPr="000855B2">
        <w:rPr>
          <w:szCs w:val="21"/>
          <w:lang w:val="en-GB"/>
        </w:rPr>
        <w:t>’</w:t>
      </w:r>
      <w:r w:rsidRPr="000855B2">
        <w:rPr>
          <w:szCs w:val="21"/>
          <w:lang w:val="en-GB"/>
        </w:rPr>
        <w:t xml:space="preserve">, </w:t>
      </w:r>
      <w:r w:rsidR="009D53DE" w:rsidRPr="000855B2">
        <w:rPr>
          <w:szCs w:val="21"/>
          <w:lang w:val="en-GB"/>
        </w:rPr>
        <w:t>‘</w:t>
      </w:r>
      <w:r w:rsidRPr="000855B2">
        <w:rPr>
          <w:szCs w:val="21"/>
          <w:lang w:val="en-GB"/>
        </w:rPr>
        <w:t>urban</w:t>
      </w:r>
      <w:r w:rsidR="009D53DE" w:rsidRPr="000855B2">
        <w:rPr>
          <w:szCs w:val="21"/>
          <w:lang w:val="en-GB"/>
        </w:rPr>
        <w:t>’</w:t>
      </w:r>
      <w:r w:rsidRPr="000855B2">
        <w:rPr>
          <w:szCs w:val="21"/>
          <w:lang w:val="en-GB"/>
        </w:rPr>
        <w:t xml:space="preserve"> and </w:t>
      </w:r>
      <w:r w:rsidR="009D53DE" w:rsidRPr="000855B2">
        <w:rPr>
          <w:szCs w:val="21"/>
          <w:lang w:val="en-GB"/>
        </w:rPr>
        <w:t>‘</w:t>
      </w:r>
      <w:r w:rsidRPr="000855B2">
        <w:rPr>
          <w:szCs w:val="21"/>
          <w:lang w:val="en-GB"/>
        </w:rPr>
        <w:t>highway</w:t>
      </w:r>
      <w:r w:rsidR="009D53DE" w:rsidRPr="000855B2">
        <w:rPr>
          <w:szCs w:val="21"/>
          <w:lang w:val="en-GB"/>
        </w:rPr>
        <w:t>’</w:t>
      </w:r>
    </w:p>
    <w:p w14:paraId="48248719" w14:textId="77777777" w:rsidR="001D2587" w:rsidRDefault="001D2587">
      <w:pPr>
        <w:rPr>
          <w:szCs w:val="21"/>
          <w:lang w:val="en-GB"/>
        </w:rPr>
      </w:pPr>
      <w:r w:rsidRPr="000855B2">
        <w:rPr>
          <w:szCs w:val="21"/>
          <w:lang w:val="en-GB"/>
        </w:rPr>
        <w:t>FC</w:t>
      </w:r>
      <w:r w:rsidRPr="000855B2">
        <w:rPr>
          <w:szCs w:val="21"/>
          <w:vertAlign w:val="superscript"/>
          <w:lang w:val="en-GB"/>
        </w:rPr>
        <w:t>CALC</w:t>
      </w:r>
      <w:r w:rsidRPr="000855B2">
        <w:rPr>
          <w:szCs w:val="21"/>
          <w:vertAlign w:val="superscript"/>
          <w:lang w:val="en-GB"/>
        </w:rPr>
        <w:tab/>
      </w:r>
      <w:r w:rsidRPr="000855B2">
        <w:rPr>
          <w:szCs w:val="21"/>
          <w:vertAlign w:val="superscript"/>
          <w:lang w:val="en-GB"/>
        </w:rPr>
        <w:tab/>
      </w:r>
      <w:r w:rsidR="002C1E3C" w:rsidRPr="000855B2">
        <w:rPr>
          <w:szCs w:val="21"/>
          <w:lang w:val="en-GB"/>
        </w:rPr>
        <w:t>calculated fuel consumption</w:t>
      </w:r>
    </w:p>
    <w:p w14:paraId="3C5FB262" w14:textId="77777777" w:rsidR="001A3E82" w:rsidRPr="000855B2" w:rsidRDefault="001A3E82">
      <w:pPr>
        <w:rPr>
          <w:szCs w:val="21"/>
          <w:lang w:val="en-GB"/>
        </w:rPr>
      </w:pPr>
      <w:r>
        <w:rPr>
          <w:szCs w:val="21"/>
          <w:lang w:val="en-GB"/>
        </w:rPr>
        <w:t>E</w:t>
      </w:r>
      <w:r w:rsidRPr="000855B2">
        <w:rPr>
          <w:szCs w:val="21"/>
          <w:lang w:val="en-GB"/>
        </w:rPr>
        <w:t>C</w:t>
      </w:r>
      <w:r w:rsidRPr="000855B2">
        <w:rPr>
          <w:szCs w:val="21"/>
          <w:vertAlign w:val="superscript"/>
          <w:lang w:val="en-GB"/>
        </w:rPr>
        <w:t>CALC</w:t>
      </w:r>
      <w:r w:rsidRPr="000855B2">
        <w:rPr>
          <w:szCs w:val="21"/>
          <w:vertAlign w:val="superscript"/>
          <w:lang w:val="en-GB"/>
        </w:rPr>
        <w:tab/>
      </w:r>
      <w:r w:rsidRPr="000855B2">
        <w:rPr>
          <w:szCs w:val="21"/>
          <w:vertAlign w:val="superscript"/>
          <w:lang w:val="en-GB"/>
        </w:rPr>
        <w:tab/>
      </w:r>
      <w:r>
        <w:rPr>
          <w:szCs w:val="21"/>
          <w:lang w:val="en-GB"/>
        </w:rPr>
        <w:t>calculated energy</w:t>
      </w:r>
      <w:r w:rsidRPr="000855B2">
        <w:rPr>
          <w:szCs w:val="21"/>
          <w:lang w:val="en-GB"/>
        </w:rPr>
        <w:t xml:space="preserve"> consumption</w:t>
      </w:r>
    </w:p>
    <w:p w14:paraId="3E4B2D72" w14:textId="77777777" w:rsidR="001D2587" w:rsidRPr="000855B2" w:rsidRDefault="001D2587">
      <w:pPr>
        <w:rPr>
          <w:szCs w:val="21"/>
          <w:lang w:val="en-GB"/>
        </w:rPr>
      </w:pPr>
      <w:r w:rsidRPr="000855B2">
        <w:rPr>
          <w:szCs w:val="21"/>
          <w:lang w:val="en-GB"/>
        </w:rPr>
        <w:t>F</w:t>
      </w:r>
      <w:r w:rsidR="00505C7C" w:rsidRPr="000855B2">
        <w:rPr>
          <w:szCs w:val="21"/>
          <w:lang w:val="en-GB"/>
        </w:rPr>
        <w:t>c</w:t>
      </w:r>
      <w:r w:rsidRPr="000855B2">
        <w:rPr>
          <w:szCs w:val="21"/>
          <w:lang w:val="en-GB"/>
        </w:rPr>
        <w:t>e</w:t>
      </w:r>
      <w:r w:rsidRPr="000855B2">
        <w:rPr>
          <w:szCs w:val="21"/>
          <w:vertAlign w:val="subscript"/>
          <w:lang w:val="en-GB"/>
        </w:rPr>
        <w:t>HOT</w:t>
      </w:r>
      <w:r w:rsidRPr="000855B2">
        <w:rPr>
          <w:szCs w:val="21"/>
          <w:lang w:val="en-GB"/>
        </w:rPr>
        <w:tab/>
      </w:r>
      <w:r w:rsidRPr="000855B2">
        <w:rPr>
          <w:szCs w:val="21"/>
          <w:lang w:val="en-GB"/>
        </w:rPr>
        <w:tab/>
        <w:t>hot emission factor corrected for the use of improved fuel</w:t>
      </w:r>
    </w:p>
    <w:p w14:paraId="651B5211" w14:textId="77777777" w:rsidR="001D2587" w:rsidRPr="000855B2" w:rsidRDefault="001D2587">
      <w:pPr>
        <w:rPr>
          <w:szCs w:val="21"/>
          <w:lang w:val="en-GB"/>
        </w:rPr>
      </w:pPr>
      <w:r w:rsidRPr="000855B2">
        <w:rPr>
          <w:szCs w:val="21"/>
          <w:lang w:val="en-GB"/>
        </w:rPr>
        <w:t>F</w:t>
      </w:r>
      <w:r w:rsidR="00505C7C" w:rsidRPr="000855B2">
        <w:rPr>
          <w:szCs w:val="21"/>
          <w:lang w:val="en-GB"/>
        </w:rPr>
        <w:t>c</w:t>
      </w:r>
      <w:r w:rsidRPr="000855B2">
        <w:rPr>
          <w:szCs w:val="21"/>
          <w:lang w:val="en-GB"/>
        </w:rPr>
        <w:t>orr</w:t>
      </w:r>
      <w:r w:rsidRPr="000855B2">
        <w:rPr>
          <w:szCs w:val="21"/>
          <w:lang w:val="en-GB"/>
        </w:rPr>
        <w:tab/>
      </w:r>
      <w:r w:rsidRPr="000855B2">
        <w:rPr>
          <w:szCs w:val="21"/>
          <w:lang w:val="en-GB"/>
        </w:rPr>
        <w:tab/>
        <w:t>emission correction for the use of conventional or improved fuel</w:t>
      </w:r>
    </w:p>
    <w:p w14:paraId="64284657" w14:textId="4A27E9D6" w:rsidR="001A3E82" w:rsidRDefault="001D2587">
      <w:pPr>
        <w:rPr>
          <w:szCs w:val="21"/>
          <w:lang w:val="en-GB"/>
        </w:rPr>
      </w:pPr>
      <w:r w:rsidRPr="000855B2">
        <w:rPr>
          <w:szCs w:val="21"/>
          <w:lang w:val="en-GB"/>
        </w:rPr>
        <w:t>FC</w:t>
      </w:r>
      <w:r w:rsidRPr="000855B2">
        <w:rPr>
          <w:szCs w:val="21"/>
          <w:vertAlign w:val="superscript"/>
          <w:lang w:val="en-GB"/>
        </w:rPr>
        <w:t>STAT</w:t>
      </w:r>
      <w:r w:rsidRPr="000855B2">
        <w:rPr>
          <w:szCs w:val="21"/>
          <w:vertAlign w:val="superscript"/>
          <w:lang w:val="en-GB"/>
        </w:rPr>
        <w:tab/>
      </w:r>
      <w:r w:rsidRPr="000855B2">
        <w:rPr>
          <w:szCs w:val="21"/>
          <w:vertAlign w:val="superscript"/>
          <w:lang w:val="en-GB"/>
        </w:rPr>
        <w:tab/>
      </w:r>
      <w:r w:rsidRPr="000855B2">
        <w:rPr>
          <w:szCs w:val="21"/>
          <w:lang w:val="en-GB"/>
        </w:rPr>
        <w:t xml:space="preserve">statistical (true) </w:t>
      </w:r>
      <w:r w:rsidR="001A3E82">
        <w:rPr>
          <w:szCs w:val="21"/>
          <w:lang w:val="en-GB"/>
        </w:rPr>
        <w:t>fuel</w:t>
      </w:r>
      <w:r w:rsidRPr="000855B2">
        <w:rPr>
          <w:szCs w:val="21"/>
          <w:lang w:val="en-GB"/>
        </w:rPr>
        <w:t xml:space="preserve"> consumption</w:t>
      </w:r>
    </w:p>
    <w:p w14:paraId="781F7495" w14:textId="784289C2" w:rsidR="001D2587" w:rsidRPr="000855B2" w:rsidRDefault="001A3E82">
      <w:pPr>
        <w:rPr>
          <w:szCs w:val="21"/>
          <w:lang w:val="en-GB"/>
        </w:rPr>
      </w:pPr>
      <w:r>
        <w:rPr>
          <w:szCs w:val="21"/>
          <w:lang w:val="en-GB"/>
        </w:rPr>
        <w:t>E</w:t>
      </w:r>
      <w:r w:rsidRPr="000855B2">
        <w:rPr>
          <w:szCs w:val="21"/>
          <w:lang w:val="en-GB"/>
        </w:rPr>
        <w:t>C</w:t>
      </w:r>
      <w:r w:rsidRPr="000855B2">
        <w:rPr>
          <w:szCs w:val="21"/>
          <w:vertAlign w:val="superscript"/>
          <w:lang w:val="en-GB"/>
        </w:rPr>
        <w:t>STAT</w:t>
      </w:r>
      <w:r w:rsidRPr="000855B2">
        <w:rPr>
          <w:szCs w:val="21"/>
          <w:vertAlign w:val="superscript"/>
          <w:lang w:val="en-GB"/>
        </w:rPr>
        <w:tab/>
      </w:r>
      <w:r w:rsidRPr="000855B2">
        <w:rPr>
          <w:szCs w:val="21"/>
          <w:vertAlign w:val="superscript"/>
          <w:lang w:val="en-GB"/>
        </w:rPr>
        <w:tab/>
      </w:r>
      <w:r>
        <w:rPr>
          <w:szCs w:val="21"/>
          <w:lang w:val="en-GB"/>
        </w:rPr>
        <w:t>statistical (true) energy</w:t>
      </w:r>
      <w:r w:rsidRPr="000855B2">
        <w:rPr>
          <w:szCs w:val="21"/>
          <w:lang w:val="en-GB"/>
        </w:rPr>
        <w:t xml:space="preserve"> consumption</w:t>
      </w:r>
    </w:p>
    <w:p w14:paraId="69C8776E" w14:textId="77777777" w:rsidR="001D2587" w:rsidRPr="000855B2" w:rsidRDefault="001D2587">
      <w:pPr>
        <w:rPr>
          <w:szCs w:val="21"/>
          <w:lang w:val="en-GB"/>
        </w:rPr>
      </w:pPr>
      <w:r w:rsidRPr="000855B2">
        <w:rPr>
          <w:szCs w:val="21"/>
          <w:lang w:val="en-GB"/>
        </w:rPr>
        <w:t>FC</w:t>
      </w:r>
      <w:r w:rsidRPr="000855B2">
        <w:rPr>
          <w:szCs w:val="21"/>
          <w:vertAlign w:val="superscript"/>
          <w:lang w:val="en-GB"/>
        </w:rPr>
        <w:t>BIO</w:t>
      </w:r>
      <w:r w:rsidRPr="000855B2">
        <w:rPr>
          <w:szCs w:val="21"/>
          <w:lang w:val="en-GB"/>
        </w:rPr>
        <w:tab/>
      </w:r>
      <w:r w:rsidRPr="000855B2">
        <w:rPr>
          <w:szCs w:val="21"/>
          <w:lang w:val="en-GB"/>
        </w:rPr>
        <w:tab/>
        <w:t>statistical fuel consumption of biofuel</w:t>
      </w:r>
    </w:p>
    <w:p w14:paraId="4A9AA82D" w14:textId="77777777" w:rsidR="001D2587" w:rsidRPr="000855B2" w:rsidRDefault="001D2587">
      <w:pPr>
        <w:rPr>
          <w:szCs w:val="21"/>
          <w:lang w:val="en-GB"/>
        </w:rPr>
      </w:pPr>
      <w:r w:rsidRPr="000855B2">
        <w:rPr>
          <w:szCs w:val="21"/>
          <w:lang w:val="en-GB"/>
        </w:rPr>
        <w:t>k</w:t>
      </w:r>
      <w:r w:rsidRPr="000855B2">
        <w:rPr>
          <w:szCs w:val="21"/>
          <w:lang w:val="en-GB"/>
        </w:rPr>
        <w:tab/>
      </w:r>
      <w:r w:rsidRPr="000855B2">
        <w:rPr>
          <w:szCs w:val="21"/>
          <w:lang w:val="en-GB"/>
        </w:rPr>
        <w:tab/>
        <w:t>weight related content of any component in the fuel [kg/kg fuel]</w:t>
      </w:r>
    </w:p>
    <w:p w14:paraId="2A32B1CC" w14:textId="77777777" w:rsidR="001D2587" w:rsidRPr="000855B2" w:rsidRDefault="001D2587">
      <w:pPr>
        <w:rPr>
          <w:szCs w:val="21"/>
          <w:lang w:val="en-GB"/>
        </w:rPr>
      </w:pPr>
      <w:r w:rsidRPr="000855B2">
        <w:rPr>
          <w:szCs w:val="21"/>
          <w:lang w:val="en-GB"/>
        </w:rPr>
        <w:t>LP</w:t>
      </w:r>
      <w:r w:rsidRPr="000855B2">
        <w:rPr>
          <w:szCs w:val="21"/>
          <w:lang w:val="en-GB"/>
        </w:rPr>
        <w:tab/>
      </w:r>
      <w:r w:rsidRPr="000855B2">
        <w:rPr>
          <w:szCs w:val="21"/>
          <w:lang w:val="en-GB"/>
        </w:rPr>
        <w:tab/>
        <w:t>the actual vehicle load factor (expressed as a percentage of the maximum load.</w:t>
      </w:r>
      <w:r w:rsidRPr="000855B2">
        <w:rPr>
          <w:szCs w:val="21"/>
          <w:lang w:val="en-GB"/>
        </w:rPr>
        <w:br/>
        <w:t xml:space="preserve"> </w:t>
      </w:r>
      <w:r w:rsidRPr="000855B2">
        <w:rPr>
          <w:szCs w:val="21"/>
          <w:lang w:val="en-GB"/>
        </w:rPr>
        <w:tab/>
      </w:r>
      <w:r w:rsidRPr="000855B2">
        <w:rPr>
          <w:szCs w:val="21"/>
          <w:lang w:val="en-GB"/>
        </w:rPr>
        <w:tab/>
      </w:r>
      <w:r w:rsidR="00F078C9" w:rsidRPr="000855B2">
        <w:rPr>
          <w:szCs w:val="21"/>
          <w:lang w:val="en-GB"/>
        </w:rPr>
        <w:t>i.e.</w:t>
      </w:r>
      <w:r w:rsidRPr="000855B2">
        <w:rPr>
          <w:szCs w:val="21"/>
          <w:lang w:val="en-GB"/>
        </w:rPr>
        <w:t xml:space="preserve">, LP = 0 denotes an unloaded vehicle and LP = 100 represents a totally </w:t>
      </w:r>
      <w:r w:rsidRPr="000855B2">
        <w:rPr>
          <w:szCs w:val="21"/>
          <w:lang w:val="en-GB"/>
        </w:rPr>
        <w:br/>
        <w:t xml:space="preserve"> </w:t>
      </w:r>
      <w:r w:rsidRPr="000855B2">
        <w:rPr>
          <w:szCs w:val="21"/>
          <w:lang w:val="en-GB"/>
        </w:rPr>
        <w:tab/>
      </w:r>
      <w:r w:rsidRPr="000855B2">
        <w:rPr>
          <w:szCs w:val="21"/>
          <w:lang w:val="en-GB"/>
        </w:rPr>
        <w:tab/>
        <w:t>laden one)</w:t>
      </w:r>
    </w:p>
    <w:p w14:paraId="75DBA4B7" w14:textId="77777777" w:rsidR="001D2587" w:rsidRPr="000855B2" w:rsidRDefault="001D2587">
      <w:pPr>
        <w:rPr>
          <w:szCs w:val="21"/>
          <w:lang w:val="en-GB"/>
        </w:rPr>
      </w:pPr>
      <w:r w:rsidRPr="000855B2">
        <w:rPr>
          <w:szCs w:val="21"/>
          <w:lang w:val="en-GB"/>
        </w:rPr>
        <w:t>l</w:t>
      </w:r>
      <w:r w:rsidRPr="000855B2">
        <w:rPr>
          <w:szCs w:val="21"/>
          <w:vertAlign w:val="subscript"/>
          <w:lang w:val="en-GB"/>
        </w:rPr>
        <w:t>trip</w:t>
      </w:r>
      <w:r w:rsidRPr="000855B2">
        <w:rPr>
          <w:szCs w:val="21"/>
          <w:lang w:val="en-GB"/>
        </w:rPr>
        <w:tab/>
      </w:r>
      <w:r w:rsidRPr="000855B2">
        <w:rPr>
          <w:szCs w:val="21"/>
          <w:lang w:val="en-GB"/>
        </w:rPr>
        <w:tab/>
        <w:t>average trip length [km]</w:t>
      </w:r>
    </w:p>
    <w:p w14:paraId="064AF6DF" w14:textId="77777777" w:rsidR="001D2587" w:rsidRPr="000855B2" w:rsidRDefault="001D2587">
      <w:pPr>
        <w:rPr>
          <w:szCs w:val="21"/>
          <w:lang w:val="en-GB"/>
        </w:rPr>
      </w:pPr>
      <w:r w:rsidRPr="000855B2">
        <w:rPr>
          <w:szCs w:val="21"/>
          <w:lang w:val="en-GB"/>
        </w:rPr>
        <w:t>M</w:t>
      </w:r>
      <w:r w:rsidRPr="000855B2">
        <w:rPr>
          <w:szCs w:val="21"/>
          <w:lang w:val="en-GB"/>
        </w:rPr>
        <w:tab/>
      </w:r>
      <w:r w:rsidRPr="000855B2">
        <w:rPr>
          <w:szCs w:val="21"/>
          <w:lang w:val="en-GB"/>
        </w:rPr>
        <w:tab/>
        <w:t>average mileage in [km]</w:t>
      </w:r>
    </w:p>
    <w:p w14:paraId="04ED7C31" w14:textId="77777777" w:rsidR="001D2587" w:rsidRPr="000855B2" w:rsidRDefault="001D2587">
      <w:pPr>
        <w:rPr>
          <w:szCs w:val="21"/>
          <w:lang w:val="en-GB"/>
        </w:rPr>
      </w:pPr>
      <w:r w:rsidRPr="000855B2">
        <w:rPr>
          <w:szCs w:val="21"/>
          <w:lang w:val="en-GB"/>
        </w:rPr>
        <w:t>M</w:t>
      </w:r>
      <w:r w:rsidR="00505C7C" w:rsidRPr="000855B2">
        <w:rPr>
          <w:szCs w:val="21"/>
          <w:lang w:val="en-GB"/>
        </w:rPr>
        <w:t>c</w:t>
      </w:r>
      <w:r w:rsidRPr="000855B2">
        <w:rPr>
          <w:szCs w:val="21"/>
          <w:lang w:val="en-GB"/>
        </w:rPr>
        <w:t>e</w:t>
      </w:r>
      <w:r w:rsidRPr="000855B2">
        <w:rPr>
          <w:szCs w:val="21"/>
          <w:vertAlign w:val="subscript"/>
          <w:lang w:val="en-GB"/>
        </w:rPr>
        <w:t>HOT</w:t>
      </w:r>
      <w:r w:rsidRPr="000855B2">
        <w:rPr>
          <w:szCs w:val="21"/>
          <w:lang w:val="en-GB"/>
        </w:rPr>
        <w:tab/>
      </w:r>
      <w:r w:rsidR="002C1E3C" w:rsidRPr="000855B2">
        <w:rPr>
          <w:szCs w:val="21"/>
          <w:lang w:val="en-GB"/>
        </w:rPr>
        <w:tab/>
      </w:r>
      <w:r w:rsidRPr="000855B2">
        <w:rPr>
          <w:szCs w:val="21"/>
          <w:lang w:val="en-GB"/>
        </w:rPr>
        <w:t>hot emission factor corrected for degraded vehicle performance due to mileage</w:t>
      </w:r>
    </w:p>
    <w:p w14:paraId="25C2199A" w14:textId="77777777" w:rsidR="001D2587" w:rsidRPr="000855B2" w:rsidRDefault="001D2587">
      <w:pPr>
        <w:rPr>
          <w:szCs w:val="21"/>
          <w:lang w:val="en-GB"/>
        </w:rPr>
      </w:pPr>
      <w:r w:rsidRPr="000855B2">
        <w:rPr>
          <w:szCs w:val="21"/>
          <w:lang w:val="en-GB"/>
        </w:rPr>
        <w:t>M</w:t>
      </w:r>
      <w:r w:rsidR="00505C7C" w:rsidRPr="000855B2">
        <w:rPr>
          <w:szCs w:val="21"/>
          <w:lang w:val="en-GB"/>
        </w:rPr>
        <w:t>c</w:t>
      </w:r>
      <w:r w:rsidRPr="000855B2">
        <w:rPr>
          <w:szCs w:val="21"/>
          <w:lang w:val="en-GB"/>
        </w:rPr>
        <w:t>orr</w:t>
      </w:r>
      <w:r w:rsidRPr="000855B2">
        <w:rPr>
          <w:szCs w:val="21"/>
          <w:lang w:val="en-GB"/>
        </w:rPr>
        <w:tab/>
      </w:r>
      <w:r w:rsidRPr="000855B2">
        <w:rPr>
          <w:szCs w:val="21"/>
          <w:lang w:val="en-GB"/>
        </w:rPr>
        <w:tab/>
        <w:t>correction coefficient for emission performance degradation due to mileage</w:t>
      </w:r>
    </w:p>
    <w:p w14:paraId="225CEC75" w14:textId="77777777" w:rsidR="001D2587" w:rsidRPr="000855B2" w:rsidRDefault="001D2587">
      <w:pPr>
        <w:rPr>
          <w:szCs w:val="21"/>
          <w:lang w:val="en-GB"/>
        </w:rPr>
      </w:pPr>
      <w:r w:rsidRPr="000855B2">
        <w:rPr>
          <w:szCs w:val="21"/>
          <w:lang w:val="en-GB"/>
        </w:rPr>
        <w:t>M</w:t>
      </w:r>
      <w:r w:rsidRPr="000855B2">
        <w:rPr>
          <w:szCs w:val="21"/>
          <w:vertAlign w:val="superscript"/>
          <w:lang w:val="en-GB"/>
        </w:rPr>
        <w:t>MEAN</w:t>
      </w:r>
      <w:r w:rsidRPr="000855B2">
        <w:rPr>
          <w:szCs w:val="21"/>
          <w:lang w:val="en-GB"/>
        </w:rPr>
        <w:tab/>
      </w:r>
      <w:r w:rsidRPr="000855B2">
        <w:rPr>
          <w:szCs w:val="21"/>
          <w:lang w:val="en-GB"/>
        </w:rPr>
        <w:tab/>
        <w:t>mean fleet mileage [km]</w:t>
      </w:r>
    </w:p>
    <w:p w14:paraId="61E8113B" w14:textId="77777777" w:rsidR="001D2587" w:rsidRPr="000855B2" w:rsidRDefault="001D2587">
      <w:pPr>
        <w:rPr>
          <w:szCs w:val="21"/>
          <w:lang w:val="en-GB"/>
        </w:rPr>
      </w:pPr>
      <w:r w:rsidRPr="000855B2">
        <w:rPr>
          <w:szCs w:val="21"/>
          <w:lang w:val="en-GB"/>
        </w:rPr>
        <w:t>N</w:t>
      </w:r>
      <w:r w:rsidRPr="000855B2">
        <w:rPr>
          <w:szCs w:val="21"/>
          <w:lang w:val="en-GB"/>
        </w:rPr>
        <w:tab/>
      </w:r>
      <w:r w:rsidRPr="000855B2">
        <w:rPr>
          <w:szCs w:val="21"/>
          <w:lang w:val="en-GB"/>
        </w:rPr>
        <w:tab/>
        <w:t>number of vehicles [veh.]</w:t>
      </w:r>
    </w:p>
    <w:p w14:paraId="1EE9DE46" w14:textId="77777777" w:rsidR="001D2587" w:rsidRPr="000855B2" w:rsidRDefault="001D2587">
      <w:pPr>
        <w:rPr>
          <w:szCs w:val="21"/>
          <w:lang w:val="en-GB"/>
        </w:rPr>
      </w:pPr>
      <w:r w:rsidRPr="000855B2">
        <w:rPr>
          <w:szCs w:val="21"/>
          <w:lang w:val="en-GB"/>
        </w:rPr>
        <w:t>r</w:t>
      </w:r>
      <w:r w:rsidRPr="000855B2">
        <w:rPr>
          <w:szCs w:val="21"/>
          <w:vertAlign w:val="subscript"/>
          <w:lang w:val="en-GB"/>
        </w:rPr>
        <w:t>H:C</w:t>
      </w:r>
      <w:r w:rsidRPr="000855B2">
        <w:rPr>
          <w:szCs w:val="21"/>
          <w:lang w:val="en-GB"/>
        </w:rPr>
        <w:tab/>
      </w:r>
      <w:r w:rsidRPr="000855B2">
        <w:rPr>
          <w:szCs w:val="21"/>
          <w:lang w:val="en-GB"/>
        </w:rPr>
        <w:tab/>
        <w:t>ratio of hydrogen to carbon atoms in fuel</w:t>
      </w:r>
    </w:p>
    <w:p w14:paraId="0D00F51B" w14:textId="77777777" w:rsidR="001D2587" w:rsidRPr="000855B2" w:rsidRDefault="001D2587">
      <w:pPr>
        <w:rPr>
          <w:szCs w:val="21"/>
          <w:lang w:val="en-GB"/>
        </w:rPr>
      </w:pPr>
      <w:r w:rsidRPr="000855B2">
        <w:rPr>
          <w:szCs w:val="21"/>
          <w:lang w:val="en-GB"/>
        </w:rPr>
        <w:t>RF</w:t>
      </w:r>
      <w:r w:rsidRPr="000855B2">
        <w:rPr>
          <w:szCs w:val="21"/>
          <w:lang w:val="en-GB"/>
        </w:rPr>
        <w:tab/>
      </w:r>
      <w:r w:rsidRPr="000855B2">
        <w:rPr>
          <w:szCs w:val="21"/>
          <w:lang w:val="en-GB"/>
        </w:rPr>
        <w:tab/>
        <w:t>reduction factor for emissions of pollutant of a class over a reference class</w:t>
      </w:r>
    </w:p>
    <w:p w14:paraId="78C7BFD5" w14:textId="77777777" w:rsidR="001D2587" w:rsidRPr="000855B2" w:rsidRDefault="001D2587">
      <w:pPr>
        <w:rPr>
          <w:szCs w:val="21"/>
          <w:lang w:val="en-GB"/>
        </w:rPr>
      </w:pPr>
      <w:r w:rsidRPr="000855B2">
        <w:rPr>
          <w:szCs w:val="21"/>
          <w:lang w:val="en-GB"/>
        </w:rPr>
        <w:t>S</w:t>
      </w:r>
      <w:r w:rsidRPr="000855B2">
        <w:rPr>
          <w:szCs w:val="21"/>
          <w:lang w:val="en-GB"/>
        </w:rPr>
        <w:tab/>
      </w:r>
      <w:r w:rsidRPr="000855B2">
        <w:rPr>
          <w:szCs w:val="21"/>
          <w:lang w:val="en-GB"/>
        </w:rPr>
        <w:tab/>
        <w:t>share of mileage driven in different road types</w:t>
      </w:r>
    </w:p>
    <w:p w14:paraId="221742F8" w14:textId="77777777" w:rsidR="001D2587" w:rsidRPr="000855B2" w:rsidRDefault="001D2587">
      <w:pPr>
        <w:rPr>
          <w:szCs w:val="21"/>
          <w:lang w:val="en-GB"/>
        </w:rPr>
      </w:pPr>
      <w:r w:rsidRPr="000855B2">
        <w:rPr>
          <w:szCs w:val="21"/>
          <w:lang w:val="en-GB"/>
        </w:rPr>
        <w:t>t</w:t>
      </w:r>
      <w:r w:rsidRPr="000855B2">
        <w:rPr>
          <w:szCs w:val="21"/>
          <w:lang w:val="en-GB"/>
        </w:rPr>
        <w:tab/>
      </w:r>
      <w:r w:rsidRPr="000855B2">
        <w:rPr>
          <w:szCs w:val="21"/>
          <w:lang w:val="en-GB"/>
        </w:rPr>
        <w:tab/>
        <w:t>ambient temperature [°C]</w:t>
      </w:r>
    </w:p>
    <w:p w14:paraId="7170EFD8" w14:textId="77777777" w:rsidR="001D2587" w:rsidRPr="000855B2" w:rsidRDefault="001D2587">
      <w:pPr>
        <w:rPr>
          <w:szCs w:val="21"/>
          <w:lang w:val="en-GB"/>
        </w:rPr>
      </w:pPr>
      <w:r w:rsidRPr="000855B2">
        <w:rPr>
          <w:szCs w:val="21"/>
          <w:lang w:val="en-GB"/>
        </w:rPr>
        <w:t>V</w:t>
      </w:r>
      <w:r w:rsidRPr="000855B2">
        <w:rPr>
          <w:szCs w:val="21"/>
          <w:lang w:val="en-GB"/>
        </w:rPr>
        <w:tab/>
      </w:r>
      <w:r w:rsidRPr="000855B2">
        <w:rPr>
          <w:szCs w:val="21"/>
          <w:lang w:val="en-GB"/>
        </w:rPr>
        <w:tab/>
        <w:t>vehicle mean travelling speed in [km/h]</w:t>
      </w:r>
    </w:p>
    <w:p w14:paraId="14AE23D0" w14:textId="77777777" w:rsidR="001D2587" w:rsidRPr="000855B2" w:rsidRDefault="001D2587">
      <w:pPr>
        <w:rPr>
          <w:szCs w:val="21"/>
          <w:lang w:val="en-GB"/>
        </w:rPr>
      </w:pPr>
      <w:r w:rsidRPr="000855B2">
        <w:rPr>
          <w:szCs w:val="21"/>
          <w:lang w:val="en-GB"/>
        </w:rPr>
        <w:sym w:font="Symbol" w:char="F062"/>
      </w:r>
      <w:r w:rsidRPr="000855B2">
        <w:rPr>
          <w:szCs w:val="21"/>
          <w:lang w:val="en-GB"/>
        </w:rPr>
        <w:tab/>
      </w:r>
      <w:r w:rsidRPr="000855B2">
        <w:rPr>
          <w:szCs w:val="21"/>
          <w:lang w:val="en-GB"/>
        </w:rPr>
        <w:tab/>
        <w:t>fraction of mileage driven with cold engines</w:t>
      </w:r>
    </w:p>
    <w:p w14:paraId="77A09D3A" w14:textId="77777777" w:rsidR="001D2587" w:rsidRPr="000855B2" w:rsidRDefault="00051237" w:rsidP="00F516D0">
      <w:pPr>
        <w:pStyle w:val="Heading2"/>
      </w:pPr>
      <w:r w:rsidRPr="000855B2">
        <w:br w:type="page"/>
      </w:r>
      <w:bookmarkStart w:id="329" w:name="_Toc200272626"/>
      <w:bookmarkStart w:id="330" w:name="_Toc482003912"/>
      <w:r w:rsidR="001D2587" w:rsidRPr="000855B2">
        <w:lastRenderedPageBreak/>
        <w:t>List of indices</w:t>
      </w:r>
      <w:bookmarkEnd w:id="329"/>
      <w:bookmarkEnd w:id="330"/>
    </w:p>
    <w:p w14:paraId="67BCC2E3" w14:textId="77777777" w:rsidR="001D2587" w:rsidRPr="000855B2" w:rsidRDefault="001D2587">
      <w:pPr>
        <w:rPr>
          <w:sz w:val="20"/>
          <w:lang w:val="en-GB"/>
        </w:rPr>
      </w:pPr>
      <w:r w:rsidRPr="000855B2">
        <w:rPr>
          <w:sz w:val="20"/>
          <w:lang w:val="en-GB"/>
        </w:rPr>
        <w:t>a</w:t>
      </w:r>
      <w:r w:rsidRPr="000855B2">
        <w:rPr>
          <w:sz w:val="20"/>
          <w:lang w:val="en-GB"/>
        </w:rPr>
        <w:tab/>
      </w:r>
      <w:r w:rsidRPr="000855B2">
        <w:rPr>
          <w:sz w:val="20"/>
          <w:lang w:val="en-GB"/>
        </w:rPr>
        <w:tab/>
        <w:t>monthly mean</w:t>
      </w:r>
    </w:p>
    <w:p w14:paraId="4F8D7261" w14:textId="77777777" w:rsidR="001D2587" w:rsidRPr="000855B2" w:rsidRDefault="001D2587">
      <w:pPr>
        <w:rPr>
          <w:sz w:val="20"/>
          <w:lang w:val="en-GB"/>
        </w:rPr>
      </w:pPr>
      <w:r w:rsidRPr="000855B2">
        <w:rPr>
          <w:sz w:val="20"/>
          <w:lang w:val="en-GB"/>
        </w:rPr>
        <w:t xml:space="preserve">Base </w:t>
      </w:r>
      <w:r w:rsidRPr="000855B2">
        <w:rPr>
          <w:sz w:val="20"/>
          <w:lang w:val="en-GB"/>
        </w:rPr>
        <w:tab/>
      </w:r>
      <w:r w:rsidRPr="000855B2">
        <w:rPr>
          <w:sz w:val="20"/>
          <w:lang w:val="en-GB"/>
        </w:rPr>
        <w:tab/>
        <w:t>referred to the base fuel quality</w:t>
      </w:r>
    </w:p>
    <w:p w14:paraId="0069CD02" w14:textId="77777777" w:rsidR="001D2587" w:rsidRPr="00EA3292" w:rsidRDefault="001D2587">
      <w:pPr>
        <w:rPr>
          <w:sz w:val="20"/>
          <w:lang w:val="fr-FR"/>
        </w:rPr>
      </w:pPr>
      <w:r w:rsidRPr="00EA3292">
        <w:rPr>
          <w:sz w:val="20"/>
          <w:lang w:val="fr-FR"/>
        </w:rPr>
        <w:t>c</w:t>
      </w:r>
      <w:r w:rsidRPr="00EA3292">
        <w:rPr>
          <w:sz w:val="20"/>
          <w:lang w:val="fr-FR"/>
        </w:rPr>
        <w:tab/>
      </w:r>
      <w:r w:rsidRPr="00EA3292">
        <w:rPr>
          <w:sz w:val="20"/>
          <w:lang w:val="fr-FR"/>
        </w:rPr>
        <w:tab/>
        <w:t>cycle (c= UDC, EUDC)</w:t>
      </w:r>
    </w:p>
    <w:p w14:paraId="75EA6A10" w14:textId="77777777" w:rsidR="00D9315E" w:rsidRPr="000855B2" w:rsidRDefault="00D9315E">
      <w:pPr>
        <w:rPr>
          <w:sz w:val="20"/>
          <w:lang w:val="en-GB"/>
        </w:rPr>
      </w:pPr>
      <w:r w:rsidRPr="000855B2">
        <w:rPr>
          <w:sz w:val="20"/>
          <w:lang w:val="en-GB"/>
        </w:rPr>
        <w:t>C</w:t>
      </w:r>
      <w:r w:rsidRPr="000855B2">
        <w:rPr>
          <w:sz w:val="20"/>
          <w:lang w:val="en-GB"/>
        </w:rPr>
        <w:tab/>
      </w:r>
      <w:r w:rsidRPr="000855B2">
        <w:rPr>
          <w:sz w:val="20"/>
          <w:lang w:val="en-GB"/>
        </w:rPr>
        <w:tab/>
        <w:t>correction</w:t>
      </w:r>
    </w:p>
    <w:p w14:paraId="3CF3EBB0" w14:textId="77777777" w:rsidR="001D2587" w:rsidRPr="000855B2" w:rsidRDefault="001D2587">
      <w:pPr>
        <w:rPr>
          <w:sz w:val="20"/>
          <w:lang w:val="en-GB"/>
        </w:rPr>
      </w:pPr>
      <w:r w:rsidRPr="000855B2">
        <w:rPr>
          <w:sz w:val="20"/>
          <w:lang w:val="en-GB"/>
        </w:rPr>
        <w:t>COLD</w:t>
      </w:r>
      <w:r w:rsidRPr="000855B2">
        <w:rPr>
          <w:sz w:val="20"/>
          <w:lang w:val="en-GB"/>
        </w:rPr>
        <w:tab/>
      </w:r>
      <w:r w:rsidRPr="000855B2">
        <w:rPr>
          <w:sz w:val="20"/>
          <w:lang w:val="en-GB"/>
        </w:rPr>
        <w:tab/>
        <w:t>referring to cold start over-emissions</w:t>
      </w:r>
    </w:p>
    <w:p w14:paraId="74A59B2C" w14:textId="77777777" w:rsidR="001D2587" w:rsidRPr="000855B2" w:rsidRDefault="001D2587">
      <w:pPr>
        <w:rPr>
          <w:sz w:val="20"/>
          <w:lang w:val="en-GB"/>
        </w:rPr>
      </w:pPr>
      <w:r w:rsidRPr="000855B2">
        <w:rPr>
          <w:sz w:val="20"/>
          <w:lang w:val="en-GB"/>
        </w:rPr>
        <w:t>Fuel</w:t>
      </w:r>
      <w:r w:rsidRPr="000855B2">
        <w:rPr>
          <w:sz w:val="20"/>
          <w:lang w:val="en-GB"/>
        </w:rPr>
        <w:tab/>
      </w:r>
      <w:r w:rsidRPr="000855B2">
        <w:rPr>
          <w:sz w:val="20"/>
          <w:lang w:val="en-GB"/>
        </w:rPr>
        <w:tab/>
        <w:t>referred to improved fuel quality</w:t>
      </w:r>
    </w:p>
    <w:p w14:paraId="103ED7D4" w14:textId="77777777" w:rsidR="001D2587" w:rsidRPr="000855B2" w:rsidRDefault="001D2587">
      <w:pPr>
        <w:rPr>
          <w:sz w:val="20"/>
          <w:lang w:val="en-GB"/>
        </w:rPr>
      </w:pPr>
      <w:r w:rsidRPr="000855B2">
        <w:rPr>
          <w:sz w:val="20"/>
          <w:lang w:val="en-GB"/>
        </w:rPr>
        <w:t>HIGHWAY</w:t>
      </w:r>
      <w:r w:rsidRPr="000855B2">
        <w:rPr>
          <w:sz w:val="20"/>
          <w:lang w:val="en-GB"/>
        </w:rPr>
        <w:tab/>
        <w:t>referring to highway driving conditions</w:t>
      </w:r>
    </w:p>
    <w:p w14:paraId="55EAA8C5" w14:textId="77777777" w:rsidR="001D2587" w:rsidRPr="000855B2" w:rsidRDefault="001D2587">
      <w:pPr>
        <w:rPr>
          <w:sz w:val="20"/>
          <w:lang w:val="en-GB"/>
        </w:rPr>
      </w:pPr>
      <w:smartTag w:uri="urn:schemas-microsoft-com:office:smarttags" w:element="stockticker">
        <w:r w:rsidRPr="000855B2">
          <w:rPr>
            <w:sz w:val="20"/>
            <w:lang w:val="en-GB"/>
          </w:rPr>
          <w:t>HOT</w:t>
        </w:r>
      </w:smartTag>
      <w:r w:rsidRPr="000855B2">
        <w:rPr>
          <w:sz w:val="20"/>
          <w:lang w:val="en-GB"/>
        </w:rPr>
        <w:tab/>
      </w:r>
      <w:r w:rsidRPr="000855B2">
        <w:rPr>
          <w:sz w:val="20"/>
          <w:lang w:val="en-GB"/>
        </w:rPr>
        <w:tab/>
        <w:t xml:space="preserve">referring to thermally stabilised engine conditions </w:t>
      </w:r>
    </w:p>
    <w:p w14:paraId="265975B8" w14:textId="04D087C4" w:rsidR="001D2587" w:rsidRPr="000855B2" w:rsidRDefault="004D5E59">
      <w:pPr>
        <w:rPr>
          <w:sz w:val="20"/>
          <w:lang w:val="en-GB"/>
        </w:rPr>
      </w:pPr>
      <w:r>
        <w:rPr>
          <w:sz w:val="20"/>
          <w:lang w:val="en-GB"/>
        </w:rPr>
        <w:t>i</w:t>
      </w:r>
      <w:r w:rsidR="0000601A" w:rsidRPr="000855B2">
        <w:rPr>
          <w:sz w:val="20"/>
          <w:lang w:val="en-GB"/>
        </w:rPr>
        <w:tab/>
      </w:r>
      <w:r w:rsidR="0000601A" w:rsidRPr="000855B2">
        <w:rPr>
          <w:sz w:val="20"/>
          <w:lang w:val="en-GB"/>
        </w:rPr>
        <w:tab/>
        <w:t xml:space="preserve">pollutant index </w:t>
      </w:r>
    </w:p>
    <w:p w14:paraId="5105D9C0" w14:textId="77777777" w:rsidR="001D2587" w:rsidRPr="000855B2" w:rsidRDefault="001D2587">
      <w:pPr>
        <w:rPr>
          <w:sz w:val="20"/>
          <w:lang w:val="en-GB"/>
        </w:rPr>
      </w:pPr>
      <w:r w:rsidRPr="000855B2">
        <w:rPr>
          <w:sz w:val="20"/>
          <w:lang w:val="en-GB"/>
        </w:rPr>
        <w:t>j</w:t>
      </w:r>
      <w:r w:rsidR="0000601A" w:rsidRPr="000855B2">
        <w:rPr>
          <w:sz w:val="20"/>
          <w:lang w:val="en-GB"/>
        </w:rPr>
        <w:tab/>
      </w:r>
      <w:r w:rsidR="0000601A" w:rsidRPr="000855B2">
        <w:rPr>
          <w:sz w:val="20"/>
          <w:lang w:val="en-GB"/>
        </w:rPr>
        <w:tab/>
        <w:t>vehicle category</w:t>
      </w:r>
      <w:r w:rsidRPr="000855B2">
        <w:rPr>
          <w:sz w:val="20"/>
          <w:lang w:val="en-GB"/>
        </w:rPr>
        <w:t xml:space="preserve"> </w:t>
      </w:r>
    </w:p>
    <w:p w14:paraId="687F86A5" w14:textId="77777777" w:rsidR="001D2587" w:rsidRPr="000855B2" w:rsidRDefault="001D2587">
      <w:pPr>
        <w:rPr>
          <w:sz w:val="20"/>
          <w:lang w:val="en-GB"/>
        </w:rPr>
      </w:pPr>
      <w:r w:rsidRPr="000855B2">
        <w:rPr>
          <w:sz w:val="20"/>
          <w:lang w:val="en-GB"/>
        </w:rPr>
        <w:t>k</w:t>
      </w:r>
      <w:r w:rsidRPr="000855B2">
        <w:rPr>
          <w:sz w:val="20"/>
          <w:lang w:val="en-GB"/>
        </w:rPr>
        <w:tab/>
      </w:r>
      <w:r w:rsidRPr="000855B2">
        <w:rPr>
          <w:sz w:val="20"/>
          <w:lang w:val="en-GB"/>
        </w:rPr>
        <w:tab/>
      </w:r>
      <w:r w:rsidR="0000601A" w:rsidRPr="000855B2">
        <w:rPr>
          <w:sz w:val="20"/>
          <w:lang w:val="en-GB"/>
        </w:rPr>
        <w:t>vehicle technology</w:t>
      </w:r>
    </w:p>
    <w:p w14:paraId="7F5D575B" w14:textId="77777777" w:rsidR="001D2587" w:rsidRPr="000855B2" w:rsidRDefault="001D2587">
      <w:pPr>
        <w:rPr>
          <w:sz w:val="20"/>
          <w:lang w:val="en-GB"/>
        </w:rPr>
      </w:pPr>
      <w:r w:rsidRPr="000855B2">
        <w:rPr>
          <w:sz w:val="20"/>
          <w:lang w:val="en-GB"/>
        </w:rPr>
        <w:t>m</w:t>
      </w:r>
      <w:r w:rsidR="00643FE9" w:rsidRPr="000855B2">
        <w:rPr>
          <w:sz w:val="20"/>
          <w:lang w:val="en-GB"/>
        </w:rPr>
        <w:tab/>
      </w:r>
      <w:r w:rsidR="00643FE9" w:rsidRPr="000855B2">
        <w:rPr>
          <w:sz w:val="20"/>
          <w:lang w:val="en-GB"/>
        </w:rPr>
        <w:tab/>
        <w:t>fuel type</w:t>
      </w:r>
    </w:p>
    <w:p w14:paraId="3AED4215" w14:textId="77777777" w:rsidR="001D2587" w:rsidRPr="000855B2" w:rsidRDefault="001D2587">
      <w:pPr>
        <w:rPr>
          <w:sz w:val="20"/>
          <w:lang w:val="en-GB"/>
        </w:rPr>
      </w:pPr>
      <w:r w:rsidRPr="000855B2">
        <w:rPr>
          <w:sz w:val="20"/>
          <w:lang w:val="en-GB"/>
        </w:rPr>
        <w:t>Pb</w:t>
      </w:r>
      <w:r w:rsidRPr="000855B2">
        <w:rPr>
          <w:sz w:val="20"/>
          <w:lang w:val="en-GB"/>
        </w:rPr>
        <w:tab/>
      </w:r>
      <w:r w:rsidRPr="000855B2">
        <w:rPr>
          <w:sz w:val="20"/>
          <w:lang w:val="en-GB"/>
        </w:rPr>
        <w:tab/>
      </w:r>
      <w:r w:rsidR="00F078C9" w:rsidRPr="000855B2">
        <w:rPr>
          <w:sz w:val="20"/>
          <w:lang w:val="en-GB"/>
        </w:rPr>
        <w:t>l</w:t>
      </w:r>
      <w:r w:rsidRPr="000855B2">
        <w:rPr>
          <w:sz w:val="20"/>
          <w:lang w:val="en-GB"/>
        </w:rPr>
        <w:t>ead content in fuel</w:t>
      </w:r>
    </w:p>
    <w:p w14:paraId="3B0CFB91" w14:textId="77777777" w:rsidR="0000601A" w:rsidRPr="000855B2" w:rsidRDefault="0000601A">
      <w:pPr>
        <w:rPr>
          <w:sz w:val="20"/>
          <w:lang w:val="en-GB"/>
        </w:rPr>
      </w:pPr>
      <w:r w:rsidRPr="000855B2">
        <w:rPr>
          <w:sz w:val="20"/>
          <w:lang w:val="en-GB"/>
        </w:rPr>
        <w:t>r</w:t>
      </w:r>
      <w:r w:rsidRPr="000855B2">
        <w:rPr>
          <w:sz w:val="20"/>
          <w:lang w:val="en-GB"/>
        </w:rPr>
        <w:tab/>
      </w:r>
      <w:r w:rsidRPr="000855B2">
        <w:rPr>
          <w:sz w:val="20"/>
          <w:lang w:val="en-GB"/>
        </w:rPr>
        <w:tab/>
        <w:t>road type (urban, rural, highway)</w:t>
      </w:r>
    </w:p>
    <w:p w14:paraId="7C1BBEA4" w14:textId="77777777" w:rsidR="001D2587" w:rsidRPr="000855B2" w:rsidRDefault="001D2587">
      <w:pPr>
        <w:rPr>
          <w:sz w:val="20"/>
          <w:lang w:val="en-GB"/>
        </w:rPr>
      </w:pPr>
      <w:r w:rsidRPr="000855B2">
        <w:rPr>
          <w:sz w:val="20"/>
          <w:lang w:val="en-GB"/>
        </w:rPr>
        <w:t>RURAL</w:t>
      </w:r>
      <w:r w:rsidRPr="000855B2">
        <w:rPr>
          <w:sz w:val="20"/>
          <w:lang w:val="en-GB"/>
        </w:rPr>
        <w:tab/>
      </w:r>
      <w:r w:rsidR="00051237" w:rsidRPr="000855B2">
        <w:rPr>
          <w:sz w:val="20"/>
          <w:lang w:val="en-GB"/>
        </w:rPr>
        <w:tab/>
      </w:r>
      <w:r w:rsidRPr="000855B2">
        <w:rPr>
          <w:sz w:val="20"/>
          <w:lang w:val="en-GB"/>
        </w:rPr>
        <w:t>referring to rural driving conditions</w:t>
      </w:r>
    </w:p>
    <w:p w14:paraId="4F6D9908" w14:textId="77777777" w:rsidR="001D2587" w:rsidRPr="000855B2" w:rsidRDefault="001D2587">
      <w:pPr>
        <w:rPr>
          <w:sz w:val="20"/>
          <w:lang w:val="en-GB"/>
        </w:rPr>
      </w:pPr>
      <w:r w:rsidRPr="000855B2">
        <w:rPr>
          <w:sz w:val="20"/>
          <w:lang w:val="en-GB"/>
        </w:rPr>
        <w:t>S</w:t>
      </w:r>
      <w:r w:rsidRPr="000855B2">
        <w:rPr>
          <w:sz w:val="20"/>
          <w:lang w:val="en-GB"/>
        </w:rPr>
        <w:tab/>
      </w:r>
      <w:r w:rsidRPr="000855B2">
        <w:rPr>
          <w:sz w:val="20"/>
          <w:lang w:val="en-GB"/>
        </w:rPr>
        <w:tab/>
      </w:r>
      <w:r w:rsidR="00F078C9" w:rsidRPr="000855B2">
        <w:rPr>
          <w:sz w:val="20"/>
          <w:lang w:val="en-GB"/>
        </w:rPr>
        <w:t>s</w:t>
      </w:r>
      <w:r w:rsidRPr="000855B2">
        <w:rPr>
          <w:sz w:val="20"/>
          <w:lang w:val="en-GB"/>
        </w:rPr>
        <w:t>ulphur content in fuel</w:t>
      </w:r>
    </w:p>
    <w:p w14:paraId="3A94A0B2" w14:textId="77777777" w:rsidR="001D2587" w:rsidRPr="000855B2" w:rsidRDefault="001D2587">
      <w:pPr>
        <w:rPr>
          <w:sz w:val="20"/>
          <w:lang w:val="en-GB"/>
        </w:rPr>
      </w:pPr>
      <w:smartTag w:uri="urn:schemas-microsoft-com:office:smarttags" w:element="stockticker">
        <w:r w:rsidRPr="000855B2">
          <w:rPr>
            <w:sz w:val="20"/>
            <w:lang w:val="en-GB"/>
          </w:rPr>
          <w:t>TOT</w:t>
        </w:r>
      </w:smartTag>
      <w:r w:rsidRPr="000855B2">
        <w:rPr>
          <w:sz w:val="20"/>
          <w:lang w:val="en-GB"/>
        </w:rPr>
        <w:tab/>
      </w:r>
      <w:r w:rsidRPr="000855B2">
        <w:rPr>
          <w:sz w:val="20"/>
          <w:lang w:val="en-GB"/>
        </w:rPr>
        <w:tab/>
        <w:t>referring to total calculations</w:t>
      </w:r>
    </w:p>
    <w:p w14:paraId="72E5AFDE" w14:textId="77777777" w:rsidR="001D2587" w:rsidRPr="000855B2" w:rsidRDefault="001D2587">
      <w:pPr>
        <w:rPr>
          <w:sz w:val="20"/>
          <w:lang w:val="en-GB"/>
        </w:rPr>
      </w:pPr>
      <w:r w:rsidRPr="000855B2">
        <w:rPr>
          <w:sz w:val="20"/>
          <w:lang w:val="en-GB"/>
        </w:rPr>
        <w:t>URBAN</w:t>
      </w:r>
      <w:r w:rsidR="00051237" w:rsidRPr="000855B2">
        <w:rPr>
          <w:sz w:val="20"/>
          <w:lang w:val="en-GB"/>
        </w:rPr>
        <w:tab/>
      </w:r>
      <w:r w:rsidRPr="000855B2">
        <w:rPr>
          <w:sz w:val="20"/>
          <w:lang w:val="en-GB"/>
        </w:rPr>
        <w:tab/>
        <w:t>referring to urban driving conditions</w:t>
      </w:r>
    </w:p>
    <w:p w14:paraId="7098C45E" w14:textId="77777777" w:rsidR="001D2587" w:rsidRPr="000855B2" w:rsidRDefault="001D2587">
      <w:pPr>
        <w:rPr>
          <w:lang w:val="en-GB"/>
        </w:rPr>
      </w:pPr>
    </w:p>
    <w:p w14:paraId="2FB23991" w14:textId="77777777" w:rsidR="001D2587" w:rsidRPr="000855B2" w:rsidRDefault="001D2587">
      <w:pPr>
        <w:rPr>
          <w:lang w:val="en-GB"/>
        </w:rPr>
      </w:pPr>
      <w:r w:rsidRPr="000855B2">
        <w:rPr>
          <w:lang w:val="en-GB"/>
        </w:rPr>
        <w:br w:type="page"/>
      </w:r>
    </w:p>
    <w:p w14:paraId="63574D69" w14:textId="77777777" w:rsidR="001D2587" w:rsidRPr="000855B2" w:rsidRDefault="001D2587" w:rsidP="00EA3292">
      <w:pPr>
        <w:pStyle w:val="Heading1"/>
      </w:pPr>
      <w:bookmarkStart w:id="331" w:name="_Toc200272627"/>
      <w:bookmarkStart w:id="332" w:name="_Toc482003913"/>
      <w:r w:rsidRPr="000855B2">
        <w:lastRenderedPageBreak/>
        <w:t>Supplementary documents, references and bibliography</w:t>
      </w:r>
      <w:bookmarkEnd w:id="331"/>
      <w:bookmarkEnd w:id="332"/>
    </w:p>
    <w:p w14:paraId="274197E7" w14:textId="77777777" w:rsidR="001D2587" w:rsidRPr="000855B2" w:rsidRDefault="001D2587" w:rsidP="00F516D0">
      <w:pPr>
        <w:pStyle w:val="Heading2"/>
      </w:pPr>
      <w:bookmarkStart w:id="333" w:name="_Toc200272628"/>
      <w:bookmarkStart w:id="334" w:name="_Toc482003914"/>
      <w:r w:rsidRPr="000855B2">
        <w:t>Supplementary documents</w:t>
      </w:r>
      <w:bookmarkEnd w:id="333"/>
      <w:bookmarkEnd w:id="334"/>
    </w:p>
    <w:p w14:paraId="1A6D3BD5" w14:textId="77777777" w:rsidR="00B642C6" w:rsidRPr="00B642C6" w:rsidRDefault="00B642C6" w:rsidP="00B642C6">
      <w:pPr>
        <w:pStyle w:val="BodyText"/>
      </w:pPr>
      <w:r w:rsidRPr="00B642C6">
        <w:t xml:space="preserve">Ahlvik P., Eggleston S., Gorissen N., Hassel D., Hickman A.-J., Joumard R., Ntziachristos L., Rijkeboer R., Samaras Z., and K.-H. Zierock (1997). </w:t>
      </w:r>
      <w:r w:rsidR="00461783">
        <w:t>COPERT</w:t>
      </w:r>
      <w:r w:rsidRPr="00B642C6">
        <w:t xml:space="preserve"> II Methodology and Emission Factors. Draft final report. European Environment Agency, European Topic Centre on Air Emissions. </w:t>
      </w:r>
    </w:p>
    <w:p w14:paraId="6B9D15B8" w14:textId="77777777" w:rsidR="00B642C6" w:rsidRPr="00B642C6" w:rsidRDefault="00B642C6" w:rsidP="00B642C6">
      <w:pPr>
        <w:pStyle w:val="BodyText"/>
      </w:pPr>
      <w:r w:rsidRPr="00EA3292">
        <w:rPr>
          <w:lang w:val="fr-FR"/>
        </w:rPr>
        <w:t xml:space="preserve">Andrias A., Samaras Z., Zafiris D., and Zierock K.-H. (1993). </w:t>
      </w:r>
      <w:r w:rsidRPr="00B642C6">
        <w:t xml:space="preserve">Corinair Working Group on Emission Factors for Calculating 1990 Emissions from Road Traffic. Volume 2: </w:t>
      </w:r>
      <w:r w:rsidR="00461783">
        <w:t>COPERT</w:t>
      </w:r>
      <w:r w:rsidRPr="00B642C6">
        <w:t xml:space="preserve"> — Computer Programme to Calculate Emissions from Road Traffic. User’s manual. Final report. Document of the European Commission ISBN 92-826-5572-X.</w:t>
      </w:r>
    </w:p>
    <w:p w14:paraId="04572EA8" w14:textId="77777777" w:rsidR="00B642C6" w:rsidRPr="00B642C6" w:rsidRDefault="00B642C6" w:rsidP="00B642C6">
      <w:pPr>
        <w:pStyle w:val="BodyText"/>
      </w:pPr>
      <w:r w:rsidRPr="00B642C6">
        <w:t>Eggleston S., Gaudioso D., Gorißen N., Joumard R., Rijkeboer R.C., Samaras Z., and Zierock K.-H. (1993). Corinair Working Group on Emissions Factors for Calculating 1990 Emissions from Road Traffic. Volume 1: Methodology and Emission Factors. Final report. Document of the European Commission ISBN 92-826-5571-X.</w:t>
      </w:r>
    </w:p>
    <w:p w14:paraId="1FA58B6B" w14:textId="77777777" w:rsidR="00B642C6" w:rsidRPr="00B642C6" w:rsidRDefault="00B642C6" w:rsidP="00B642C6">
      <w:pPr>
        <w:pStyle w:val="BodyText"/>
      </w:pPr>
      <w:r w:rsidRPr="00B642C6">
        <w:t xml:space="preserve">Kouridis Ch., Ntziachristos L., and Samaras Z. (2000). </w:t>
      </w:r>
      <w:r w:rsidR="00461783">
        <w:t>COPERT</w:t>
      </w:r>
      <w:r w:rsidRPr="00B642C6">
        <w:t xml:space="preserve"> </w:t>
      </w:r>
      <w:smartTag w:uri="urn:schemas-microsoft-com:office:smarttags" w:element="stockticker">
        <w:r w:rsidRPr="00B642C6">
          <w:t>III</w:t>
        </w:r>
      </w:smartTag>
      <w:r w:rsidRPr="00B642C6">
        <w:t xml:space="preserve"> user’s manual (version 2.1). Technical report 50. European Environment Agency. Technical report 49, Copenhagen, Denmark, p. 46.</w:t>
      </w:r>
    </w:p>
    <w:p w14:paraId="2CE25E0A" w14:textId="77777777" w:rsidR="00B642C6" w:rsidRPr="00B642C6" w:rsidRDefault="00B642C6" w:rsidP="00B642C6">
      <w:pPr>
        <w:pStyle w:val="BodyText"/>
      </w:pPr>
      <w:r w:rsidRPr="00B642C6">
        <w:t xml:space="preserve">Ntziachristos L. and Samaras Z. (1997). </w:t>
      </w:r>
      <w:r w:rsidR="00461783">
        <w:t>COPERT</w:t>
      </w:r>
      <w:r w:rsidRPr="00B642C6">
        <w:t xml:space="preserve"> II — Computer Programme to Calculate Emissions from Road Transport. User’s manual. European Environmental Agency, European Topic Centre on Air Emissions.</w:t>
      </w:r>
    </w:p>
    <w:p w14:paraId="033E7B21" w14:textId="77777777" w:rsidR="00B642C6" w:rsidRPr="00B642C6" w:rsidRDefault="00B642C6" w:rsidP="00B642C6">
      <w:pPr>
        <w:pStyle w:val="BodyText"/>
      </w:pPr>
      <w:r w:rsidRPr="00B642C6">
        <w:t xml:space="preserve">Ntziachristos L. and Samaras Z. (2000). </w:t>
      </w:r>
      <w:r w:rsidR="00461783">
        <w:t>COPERT</w:t>
      </w:r>
      <w:r w:rsidRPr="00B642C6">
        <w:t xml:space="preserve"> </w:t>
      </w:r>
      <w:smartTag w:uri="urn:schemas-microsoft-com:office:smarttags" w:element="stockticker">
        <w:r w:rsidRPr="00B642C6">
          <w:t>III</w:t>
        </w:r>
      </w:smartTag>
      <w:r w:rsidRPr="00B642C6">
        <w:t xml:space="preserve"> Methodology and emission factors (version 2.1). Technical report 49. European Environment Agency, Copenhagen, Denmark, p. 86.</w:t>
      </w:r>
    </w:p>
    <w:p w14:paraId="0F065E22" w14:textId="77777777" w:rsidR="001D2587" w:rsidRPr="000855B2" w:rsidRDefault="001D2587" w:rsidP="00F516D0">
      <w:pPr>
        <w:pStyle w:val="Heading2"/>
      </w:pPr>
      <w:bookmarkStart w:id="335" w:name="_Toc242849592"/>
      <w:bookmarkStart w:id="336" w:name="_Toc200272629"/>
      <w:bookmarkStart w:id="337" w:name="_Toc482003915"/>
      <w:bookmarkEnd w:id="335"/>
      <w:r w:rsidRPr="000855B2">
        <w:t>References</w:t>
      </w:r>
      <w:bookmarkEnd w:id="336"/>
      <w:bookmarkEnd w:id="337"/>
    </w:p>
    <w:p w14:paraId="0255FA3A" w14:textId="77777777" w:rsidR="00B642C6" w:rsidRPr="000855B2" w:rsidRDefault="00B642C6" w:rsidP="00B642C6">
      <w:pPr>
        <w:pStyle w:val="BodyText"/>
      </w:pPr>
      <w:r w:rsidRPr="000855B2">
        <w:t>ACEA and EUROPIA (1996). European Programme on Emissions, Fuels and Engine Technologies. Final report. Brussels.</w:t>
      </w:r>
    </w:p>
    <w:p w14:paraId="376D2C35" w14:textId="77777777" w:rsidR="00B642C6" w:rsidRPr="000855B2" w:rsidRDefault="00B642C6" w:rsidP="00B642C6">
      <w:pPr>
        <w:pStyle w:val="BodyText"/>
      </w:pPr>
      <w:r w:rsidRPr="000855B2">
        <w:t>AEAT (2007). The impact of changes in vehicle fleet composition and exhaust treatment technology on the attainment of the ambient air quality limit value for nitrogen dioxide in 2010. DG Environment study, currently in draft-final stage. Data submitted by Melanie Hobson.</w:t>
      </w:r>
    </w:p>
    <w:p w14:paraId="7245BC61" w14:textId="77777777" w:rsidR="00B642C6" w:rsidRPr="000855B2" w:rsidRDefault="00B642C6" w:rsidP="00B642C6">
      <w:pPr>
        <w:pStyle w:val="BodyText"/>
      </w:pPr>
      <w:r w:rsidRPr="000855B2">
        <w:t xml:space="preserve">Ahlvik P., Eggleston S., Gorissen N., Hassel, D., Hickman A.-J., Joumard R., Ntziachristos L., Rijkeboer R., Samaras Z. and Zierock K.-H. (1997). </w:t>
      </w:r>
      <w:r w:rsidR="00461783">
        <w:t>COPERT</w:t>
      </w:r>
      <w:r w:rsidRPr="000855B2">
        <w:t xml:space="preserve">II Methodology and Emission Factors. Technical report No 6, </w:t>
      </w:r>
      <w:smartTag w:uri="urn:schemas-microsoft-com:office:smarttags" w:element="stockticker">
        <w:r w:rsidRPr="000855B2">
          <w:t>ETC</w:t>
        </w:r>
      </w:smartTag>
      <w:r w:rsidRPr="000855B2">
        <w:t>/</w:t>
      </w:r>
      <w:smartTag w:uri="urn:schemas-microsoft-com:office:smarttags" w:element="stockticker">
        <w:r w:rsidRPr="000855B2">
          <w:t>AEM</w:t>
        </w:r>
      </w:smartTag>
      <w:r w:rsidRPr="000855B2">
        <w:t>, EEA. http://themes.eea.eu.int/binary/t/tech06.pdf, p. 85.</w:t>
      </w:r>
    </w:p>
    <w:p w14:paraId="7858BEE2" w14:textId="77777777" w:rsidR="00B642C6" w:rsidRPr="00A54B80" w:rsidRDefault="00B642C6" w:rsidP="00B642C6">
      <w:pPr>
        <w:pStyle w:val="BodyText"/>
      </w:pPr>
      <w:r w:rsidRPr="00A54B80">
        <w:rPr>
          <w:szCs w:val="24"/>
          <w:lang w:val="nl-NL" w:eastAsia="nl-NL"/>
        </w:rPr>
        <w:t>Appel H. and Stendel D. (1989). Abgasemissionen von Wartburg und Trabant. Veröffentlichung der Senatsverwaltung für Stadtentwicklung und Umweltschutz, Berlin.</w:t>
      </w:r>
    </w:p>
    <w:p w14:paraId="7F9FE8CC" w14:textId="77777777" w:rsidR="00B642C6" w:rsidRPr="00EA3292" w:rsidRDefault="00B642C6" w:rsidP="00B642C6">
      <w:pPr>
        <w:pStyle w:val="BodyText"/>
        <w:rPr>
          <w:lang w:val="fr-FR"/>
        </w:rPr>
      </w:pPr>
      <w:r w:rsidRPr="00A54B80">
        <w:rPr>
          <w:szCs w:val="24"/>
          <w:lang w:val="nl-NL" w:eastAsia="nl-NL"/>
        </w:rPr>
        <w:t xml:space="preserve">AQA (1990). Final report. Convention </w:t>
      </w:r>
      <w:smartTag w:uri="urn:schemas-microsoft-com:office:smarttags" w:element="stockticker">
        <w:r w:rsidRPr="00A54B80">
          <w:rPr>
            <w:szCs w:val="24"/>
            <w:lang w:val="nl-NL" w:eastAsia="nl-NL"/>
          </w:rPr>
          <w:t>SPP</w:t>
        </w:r>
      </w:smartTag>
      <w:r w:rsidRPr="00A54B80">
        <w:rPr>
          <w:szCs w:val="24"/>
          <w:lang w:val="nl-NL" w:eastAsia="nl-NL"/>
        </w:rPr>
        <w:t xml:space="preserve"> 88248, Paris, p. 20.</w:t>
      </w:r>
    </w:p>
    <w:p w14:paraId="34B2CE53" w14:textId="77777777" w:rsidR="00B642C6" w:rsidRPr="000855B2" w:rsidRDefault="00B642C6" w:rsidP="00B642C6">
      <w:pPr>
        <w:pStyle w:val="BodyText"/>
      </w:pPr>
      <w:r w:rsidRPr="00A54B80">
        <w:rPr>
          <w:szCs w:val="24"/>
          <w:lang w:val="nl-NL" w:eastAsia="nl-NL"/>
        </w:rPr>
        <w:t xml:space="preserve">AQEG (2006). </w:t>
      </w:r>
      <w:r w:rsidRPr="000855B2">
        <w:t>Trends in primary nitrogen dioxide in the UK. Draft report for comment from the Air Quality Expert Group prepared for DEFRA, UK, p. 80.</w:t>
      </w:r>
    </w:p>
    <w:p w14:paraId="4AA21580" w14:textId="77777777" w:rsidR="00B642C6" w:rsidRPr="000855B2" w:rsidRDefault="00B642C6" w:rsidP="00B642C6">
      <w:pPr>
        <w:pStyle w:val="BodyText"/>
      </w:pPr>
      <w:r w:rsidRPr="000855B2">
        <w:t>Bach C., Alvarez R. and Winkler A. (2010), Exhaust gas aftertreatment and emissions of natural gas and biomethane driven vehicles, BIOGASMAX - Integrated Project</w:t>
      </w:r>
    </w:p>
    <w:p w14:paraId="471FB70D" w14:textId="77777777" w:rsidR="00B642C6" w:rsidRPr="000855B2" w:rsidRDefault="00B642C6" w:rsidP="00B642C6">
      <w:pPr>
        <w:pStyle w:val="BodyText"/>
      </w:pPr>
      <w:r w:rsidRPr="000855B2">
        <w:lastRenderedPageBreak/>
        <w:t>Bailey J.C. and B. Schmidl (1989). A Survey of Hydrocarbons Emitted in Vehicle Exhaust Gases, over a Range of Driving Speeds and Conditions from a Representative Sample of the 86/87 UK Vehicle Fleet, Warren Spring Laboratory, Report LR673(AP)M, Stevenage, UK.</w:t>
      </w:r>
    </w:p>
    <w:p w14:paraId="26BE489D" w14:textId="77777777" w:rsidR="00B642C6" w:rsidRPr="000855B2" w:rsidRDefault="00B642C6" w:rsidP="00B642C6">
      <w:pPr>
        <w:pStyle w:val="BodyText"/>
      </w:pPr>
      <w:r w:rsidRPr="000855B2">
        <w:t xml:space="preserve">Battye, W., Boyer, K., Thompson, G.P.: </w:t>
      </w:r>
      <w:r w:rsidRPr="000855B2">
        <w:rPr>
          <w:bCs/>
        </w:rPr>
        <w:t xml:space="preserve">Methods for Improving Global Inventories of Black Carbon and Organic Carbon Particulates, </w:t>
      </w:r>
      <w:r w:rsidRPr="000855B2">
        <w:t>EC/R Incorporated and US EPA, 15 pp.</w:t>
      </w:r>
    </w:p>
    <w:p w14:paraId="6CF46F2C" w14:textId="77777777" w:rsidR="00B642C6" w:rsidRPr="00B642C6" w:rsidRDefault="00B642C6" w:rsidP="00B642C6">
      <w:pPr>
        <w:pStyle w:val="BodyText"/>
        <w:rPr>
          <w:szCs w:val="18"/>
        </w:rPr>
      </w:pPr>
      <w:r w:rsidRPr="000855B2">
        <w:t>Beddows, D.C.S., Harrison, R.M. 2008. Comparison of average particle number emission factors for heavy an</w:t>
      </w:r>
      <w:r w:rsidRPr="00B642C6">
        <w:rPr>
          <w:szCs w:val="18"/>
        </w:rPr>
        <w:t>d light duty vehicles derived from rolling chassis dynamometer and field studies, Atmospheric Environment 42, 7954-7966.</w:t>
      </w:r>
    </w:p>
    <w:p w14:paraId="7859D767" w14:textId="77777777" w:rsidR="00B642C6" w:rsidRPr="00B642C6" w:rsidRDefault="00B642C6" w:rsidP="00B642C6">
      <w:pPr>
        <w:pStyle w:val="BodyText"/>
        <w:rPr>
          <w:szCs w:val="18"/>
        </w:rPr>
      </w:pPr>
      <w:r w:rsidRPr="00B642C6">
        <w:rPr>
          <w:szCs w:val="18"/>
        </w:rPr>
        <w:t>Biswas, S., Verma, V., Schauer, J.J., Sioutas, C. (2009): Chemical speciation of PM emissions from heavy-duty diesel vehicles equipped with diesel particulate filter (DPF) and selective catalytic reduction (SCR) retrofits, Atmospheric Environment 43 (2009) 1917–1925.</w:t>
      </w:r>
    </w:p>
    <w:p w14:paraId="29A98454" w14:textId="77777777" w:rsidR="00B642C6" w:rsidRPr="00B642C6" w:rsidRDefault="00B642C6" w:rsidP="00B642C6">
      <w:pPr>
        <w:pStyle w:val="BodyText"/>
        <w:rPr>
          <w:snapToGrid w:val="0"/>
          <w:szCs w:val="18"/>
        </w:rPr>
      </w:pPr>
      <w:r w:rsidRPr="00B642C6">
        <w:rPr>
          <w:snapToGrid w:val="0"/>
          <w:szCs w:val="18"/>
        </w:rPr>
        <w:t>Boulter P. G. and T. J. Barlow (2005). Artemis: Average speed emission functions for heavy-duty road vehicles. TRL Unpublished project report UPR/IEA/12/05. TRL Limited, Wokingham.</w:t>
      </w:r>
    </w:p>
    <w:p w14:paraId="6746525F" w14:textId="77777777" w:rsidR="00B642C6" w:rsidRPr="00B642C6" w:rsidRDefault="00B642C6" w:rsidP="00B642C6">
      <w:pPr>
        <w:pStyle w:val="BodyText"/>
        <w:rPr>
          <w:szCs w:val="18"/>
        </w:rPr>
      </w:pPr>
      <w:r w:rsidRPr="00B642C6">
        <w:rPr>
          <w:szCs w:val="18"/>
        </w:rPr>
        <w:t>Boulter P and McCrae I (eds.) (2007). Artemis: Assessment and reliability of transport emission models and inventory systems. Final report. Deliverable No 15. TRL unpublished report UPR/IE/044/07. TRL Limited, Wokingham.</w:t>
      </w:r>
    </w:p>
    <w:p w14:paraId="0FD2E7C6" w14:textId="77777777" w:rsidR="00B642C6" w:rsidRPr="00B642C6" w:rsidRDefault="00B642C6" w:rsidP="00B642C6">
      <w:pPr>
        <w:pStyle w:val="BodyText"/>
        <w:rPr>
          <w:szCs w:val="18"/>
        </w:rPr>
      </w:pPr>
      <w:r w:rsidRPr="00B642C6">
        <w:rPr>
          <w:szCs w:val="18"/>
        </w:rPr>
        <w:t xml:space="preserve">Broderick, B. M., O'Donoghue R.T., 2007. Spatial variation of roadside C-2-C-6 hydrocarbon concentrations during low wind speeds: Validation of CALINE4 and COPERT </w:t>
      </w:r>
      <w:smartTag w:uri="urn:schemas-microsoft-com:office:smarttags" w:element="stockticker">
        <w:r w:rsidRPr="00B642C6">
          <w:rPr>
            <w:szCs w:val="18"/>
          </w:rPr>
          <w:t>III</w:t>
        </w:r>
      </w:smartTag>
      <w:r w:rsidRPr="00B642C6">
        <w:rPr>
          <w:szCs w:val="18"/>
        </w:rPr>
        <w:t xml:space="preserve"> modelling, Transportation Research Part D – Transport and Environment 12, 537-547.</w:t>
      </w:r>
    </w:p>
    <w:p w14:paraId="29124191" w14:textId="77777777" w:rsidR="00B642C6" w:rsidRPr="00A54B80" w:rsidRDefault="00B642C6" w:rsidP="00B642C6">
      <w:pPr>
        <w:pStyle w:val="BodyText"/>
        <w:rPr>
          <w:szCs w:val="18"/>
        </w:rPr>
      </w:pPr>
      <w:r w:rsidRPr="00A54B80">
        <w:rPr>
          <w:snapToGrid w:val="0"/>
          <w:szCs w:val="18"/>
          <w:lang w:val="nl-NL" w:eastAsia="nl-NL"/>
        </w:rPr>
        <w:t>BUWAL (1994). Emissionfaktoren ausgewaehlter nichtlimitierter Schadstoffe des Strassenverkehrs, CD Data Version 2.2.</w:t>
      </w:r>
    </w:p>
    <w:p w14:paraId="3C6A18B7" w14:textId="77777777" w:rsidR="00B642C6" w:rsidRPr="00B642C6" w:rsidRDefault="00B642C6" w:rsidP="00B642C6">
      <w:pPr>
        <w:pStyle w:val="BodyText"/>
        <w:rPr>
          <w:snapToGrid w:val="0"/>
          <w:szCs w:val="18"/>
        </w:rPr>
      </w:pPr>
      <w:r w:rsidRPr="00B642C6">
        <w:rPr>
          <w:szCs w:val="18"/>
        </w:rPr>
        <w:t>Cheung, K. L. , Ntziachristos, L. , Tzamkiozis, T. , Schauer, J. J. , Samaras, Z. , Moore, K. F. and Sioutas, C.(2010) 'Emissions of Particulate Trace Elements, Metals and Organic Species from Gasoline, Diesel, and Biodiesel Passenger Vehicles and Their Relation to Oxidative Potential', Aerosol Science and Technology, 44: 7, 500—513.</w:t>
      </w:r>
    </w:p>
    <w:p w14:paraId="4D42F16E" w14:textId="77777777" w:rsidR="00B642C6" w:rsidRPr="004D5E59" w:rsidRDefault="00B642C6" w:rsidP="00B642C6">
      <w:pPr>
        <w:pStyle w:val="BodyText"/>
        <w:rPr>
          <w:szCs w:val="18"/>
        </w:rPr>
      </w:pPr>
      <w:r w:rsidRPr="00A54B80">
        <w:rPr>
          <w:szCs w:val="18"/>
          <w:lang w:val="nl-NL" w:eastAsia="nl-NL"/>
        </w:rPr>
        <w:t>de Reydellet A. (1990). Gaz a effet de serre Methane CH</w:t>
      </w:r>
      <w:r w:rsidRPr="00A54B80">
        <w:rPr>
          <w:szCs w:val="18"/>
          <w:vertAlign w:val="subscript"/>
          <w:lang w:val="nl-NL" w:eastAsia="nl-NL"/>
        </w:rPr>
        <w:t>4</w:t>
      </w:r>
      <w:r w:rsidRPr="00A54B80">
        <w:rPr>
          <w:szCs w:val="18"/>
          <w:lang w:val="nl-NL" w:eastAsia="nl-NL"/>
        </w:rPr>
        <w:t xml:space="preserve"> et protoxide d’azote N</w:t>
      </w:r>
      <w:r w:rsidRPr="00A54B80">
        <w:rPr>
          <w:szCs w:val="18"/>
          <w:vertAlign w:val="subscript"/>
          <w:lang w:val="nl-NL" w:eastAsia="nl-NL"/>
        </w:rPr>
        <w:t>2</w:t>
      </w:r>
      <w:r w:rsidRPr="00A54B80">
        <w:rPr>
          <w:szCs w:val="18"/>
          <w:lang w:val="nl-NL" w:eastAsia="nl-NL"/>
        </w:rPr>
        <w:t>O, Facteurs d’emission. Recherche bibliographique, IFE, Paris.</w:t>
      </w:r>
    </w:p>
    <w:p w14:paraId="1C34F7B5" w14:textId="77777777" w:rsidR="00B642C6" w:rsidRPr="004D5E59" w:rsidRDefault="00B642C6" w:rsidP="00B642C6">
      <w:pPr>
        <w:pStyle w:val="BodyText"/>
        <w:rPr>
          <w:szCs w:val="18"/>
        </w:rPr>
      </w:pPr>
      <w:r w:rsidRPr="00A54B80">
        <w:rPr>
          <w:szCs w:val="18"/>
          <w:lang w:val="nl-NL" w:eastAsia="nl-NL"/>
        </w:rPr>
        <w:t>EEA (2006). Transport and environment: facing a dilemma. European Environment Report 3/2006, Copenhagen, Denmark, p. 56.</w:t>
      </w:r>
    </w:p>
    <w:p w14:paraId="370FA010" w14:textId="77777777" w:rsidR="00B642C6" w:rsidRPr="000855B2" w:rsidRDefault="00B642C6" w:rsidP="00B642C6">
      <w:pPr>
        <w:pStyle w:val="BodyText"/>
      </w:pPr>
      <w:r w:rsidRPr="00A54B80">
        <w:rPr>
          <w:szCs w:val="18"/>
          <w:lang w:val="nl-NL" w:eastAsia="nl-NL"/>
        </w:rPr>
        <w:t xml:space="preserve">Eggleston S., Gaudioso D., Gorißen N., Joumard R., Rijkeboer R.C., Samaras Z., and Zierock K.-H. (1993). </w:t>
      </w:r>
      <w:r w:rsidRPr="00B642C6">
        <w:rPr>
          <w:szCs w:val="18"/>
        </w:rPr>
        <w:t>Corinair Working Gr</w:t>
      </w:r>
      <w:r w:rsidRPr="000855B2">
        <w:t>oup on Emissions Factors for Calculating 1990 Emissions from Road Traffic. Volume 1: Methodology and Emission Factors. Final report. Document of the European Commission ISBN 92-826-5571-X.</w:t>
      </w:r>
    </w:p>
    <w:p w14:paraId="6D7C6053" w14:textId="77777777" w:rsidR="00B642C6" w:rsidRPr="000855B2" w:rsidRDefault="00B642C6" w:rsidP="00B642C6">
      <w:pPr>
        <w:pStyle w:val="BodyText"/>
      </w:pPr>
      <w:r w:rsidRPr="000855B2">
        <w:t>Eggleston S., Gorißen N., Joumard, R., Rijkeboer R.C., Samaras Z., and Zierock K.-H. (1989). Corinair Working Group on Emissions Factors for Calculating 1985 Emissions from Road Traffic. Volume 1: Methodology and Emission Factors. Final report contract No 88/6611/0067, EUR 12260 EN.</w:t>
      </w:r>
    </w:p>
    <w:p w14:paraId="57883A2D" w14:textId="77777777" w:rsidR="00B642C6" w:rsidRPr="00A54B80" w:rsidRDefault="00B642C6" w:rsidP="00B642C6">
      <w:pPr>
        <w:pStyle w:val="BodyText"/>
      </w:pPr>
      <w:smartTag w:uri="urn:schemas-microsoft-com:office:smarttags" w:element="stockticker">
        <w:r w:rsidRPr="000855B2">
          <w:rPr>
            <w:caps/>
          </w:rPr>
          <w:t>ETC</w:t>
        </w:r>
      </w:smartTag>
      <w:r w:rsidRPr="000855B2">
        <w:rPr>
          <w:caps/>
        </w:rPr>
        <w:t xml:space="preserve">/ACC (2005), </w:t>
      </w:r>
      <w:smartTag w:uri="urn:schemas-microsoft-com:office:smarttags" w:element="stockticker">
        <w:r w:rsidRPr="000855B2">
          <w:t>ETC</w:t>
        </w:r>
      </w:smartTag>
      <w:r w:rsidRPr="000855B2">
        <w:t xml:space="preserve">-ACC Air Emissions Spreadsheet for Indicators 2004. </w:t>
      </w:r>
      <w:r w:rsidRPr="00A54B80">
        <w:rPr>
          <w:szCs w:val="24"/>
          <w:lang w:val="nl-NL" w:eastAsia="nl-NL"/>
        </w:rPr>
        <w:t>European Environment Agency, Copenhagen, Denmark.</w:t>
      </w:r>
    </w:p>
    <w:p w14:paraId="202CAB17" w14:textId="77777777" w:rsidR="00B642C6" w:rsidRPr="000855B2" w:rsidRDefault="00B642C6" w:rsidP="00B642C6">
      <w:pPr>
        <w:pStyle w:val="BodyText"/>
      </w:pPr>
      <w:r w:rsidRPr="00A54B80">
        <w:rPr>
          <w:szCs w:val="24"/>
          <w:lang w:val="nl-NL" w:eastAsia="nl-NL"/>
        </w:rPr>
        <w:lastRenderedPageBreak/>
        <w:t xml:space="preserve">Hassel D., Jost P., Dursbeck F., Brosthaus J. and Sonnborn K.S. (1987), Das Abgas-Emissionsverhalten von Personenkraftwagen in der Bundesrepublik Deutschland im Bezugsjahr 1985. </w:t>
      </w:r>
      <w:r w:rsidRPr="000855B2">
        <w:t>UBA Bericht 7/87. Erich Schmidt Verlag, Berlin.</w:t>
      </w:r>
    </w:p>
    <w:p w14:paraId="6CAC438E" w14:textId="77777777" w:rsidR="00B642C6" w:rsidRPr="000855B2" w:rsidRDefault="00B642C6" w:rsidP="00B642C6">
      <w:pPr>
        <w:pStyle w:val="BodyText"/>
      </w:pPr>
      <w:r w:rsidRPr="000855B2">
        <w:t xml:space="preserve">Hassel D., Jost P., Weber F.-J., Dursbeck F., Sonnborn K.-S., and D. Plettau (1993), Exhaust Emission Factors for Motor Vehicles in the Federal Republic of Germany for the Reference Year 1990. Final report of a study carried out on behalf of the Federal Environmental Protection Agency, UFOPLAN No 104 05 152 and 104 05 509, UBA-FB 91-042, TÜV Rheinland (English Translation made by </w:t>
      </w:r>
      <w:smartTag w:uri="urn:schemas-microsoft-com:office:smarttags" w:element="stockticker">
        <w:r w:rsidRPr="000855B2">
          <w:t>COST</w:t>
        </w:r>
      </w:smartTag>
      <w:r w:rsidRPr="000855B2">
        <w:t>319).</w:t>
      </w:r>
    </w:p>
    <w:p w14:paraId="27A89340" w14:textId="77777777" w:rsidR="00B642C6" w:rsidRPr="000855B2" w:rsidRDefault="00B642C6" w:rsidP="00B642C6">
      <w:pPr>
        <w:pStyle w:val="BodyText"/>
      </w:pPr>
      <w:r w:rsidRPr="00A54B80">
        <w:rPr>
          <w:szCs w:val="24"/>
          <w:lang w:val="nl-NL" w:eastAsia="nl-NL"/>
        </w:rPr>
        <w:t xml:space="preserve">Hauger A. and R. Joumard (1991), LPG pollutant emissions. </w:t>
      </w:r>
      <w:r w:rsidRPr="000855B2">
        <w:t>Use of Compressed Natural Gas (CNG), Liquefied Natural Gas (LNG) and Liquefied Petroleum Gas (LPG) as fuel for internal combustion engines, UN-ECE Symposium, Kiev, Ukraine.</w:t>
      </w:r>
    </w:p>
    <w:p w14:paraId="0925D10D" w14:textId="77777777" w:rsidR="00B642C6" w:rsidRPr="000855B2" w:rsidRDefault="00B642C6" w:rsidP="00B642C6">
      <w:pPr>
        <w:pStyle w:val="BodyText"/>
      </w:pPr>
      <w:r w:rsidRPr="000855B2">
        <w:t>Jileh P. (1991), Data of the Ministry of the Environment of the Czech. Republic supplied to Mr. Bouscaren (Citepa).</w:t>
      </w:r>
    </w:p>
    <w:p w14:paraId="0AD18830" w14:textId="77777777" w:rsidR="00B642C6" w:rsidRPr="000855B2" w:rsidRDefault="00B642C6" w:rsidP="00B642C6">
      <w:pPr>
        <w:pStyle w:val="BodyText"/>
      </w:pPr>
      <w:r w:rsidRPr="000855B2">
        <w:t>Johansson, C., Norman, M., Burman, L., 2009. Road traffic emission factors for heavy metals, Atmospheric Environment 43, 4681-4688.</w:t>
      </w:r>
    </w:p>
    <w:p w14:paraId="742B9B1C" w14:textId="77777777" w:rsidR="00855054" w:rsidRPr="000855B2" w:rsidRDefault="00855054" w:rsidP="00855054">
      <w:pPr>
        <w:pStyle w:val="BodyText"/>
      </w:pPr>
      <w:r>
        <w:t>Karavalakis, G., Stournas, S., Karonis, D., 2010. Evaluation of the oxidation stability of diesel/biodiesel blends. Fuel 89, 2483-2489.</w:t>
      </w:r>
    </w:p>
    <w:p w14:paraId="23625036" w14:textId="77777777" w:rsidR="00B642C6" w:rsidRPr="00A54B80" w:rsidRDefault="00B642C6" w:rsidP="00B642C6">
      <w:pPr>
        <w:pStyle w:val="BodyText"/>
      </w:pPr>
      <w:r w:rsidRPr="00A54B80">
        <w:rPr>
          <w:szCs w:val="24"/>
          <w:lang w:val="nl-NL" w:eastAsia="nl-NL"/>
        </w:rPr>
        <w:t>Keller M., Evéquoz R., Heldstab J. and Kessler H. (1995), Luftschadstoffemissionen des Straßenverkehrs 1950-2010, Schriftenreihe Umwelt Nr. 255 des BUWAL — Bundesamt für Umwelt, Wald und Landschaft, 3003 Bern (in German, also available in French).</w:t>
      </w:r>
    </w:p>
    <w:p w14:paraId="0DABF8FE" w14:textId="77777777" w:rsidR="00B642C6" w:rsidRPr="000855B2" w:rsidRDefault="00B642C6" w:rsidP="00B642C6">
      <w:pPr>
        <w:pStyle w:val="BodyText"/>
      </w:pPr>
      <w:r w:rsidRPr="000855B2">
        <w:t>Kouridis, Ch., Gkatzoflias, D., Kioutsioukis, I., Ntziachristos, L., Pastorello, C., Dilara, P. (2010). Uncertainty estimates and guidance for road transport emission calculations. European Communities, DOI 10.2788/78236.</w:t>
      </w:r>
    </w:p>
    <w:p w14:paraId="197BE5CB" w14:textId="77777777" w:rsidR="00B642C6" w:rsidRPr="000855B2" w:rsidRDefault="00B642C6" w:rsidP="00B642C6">
      <w:pPr>
        <w:pStyle w:val="BodyText"/>
      </w:pPr>
      <w:r w:rsidRPr="000855B2">
        <w:t xml:space="preserve">LAT/AUTh, INRETS, </w:t>
      </w:r>
      <w:smartTag w:uri="urn:schemas-microsoft-com:office:smarttags" w:element="stockticker">
        <w:r w:rsidRPr="000855B2">
          <w:t>TNO</w:t>
        </w:r>
      </w:smartTag>
      <w:r w:rsidRPr="000855B2">
        <w:t>, TÜV, TRL (1998), The inspection of in-use cars in order to attain minimum emissions of pollutants and optimum energy efficiency. Main report.</w:t>
      </w:r>
      <w:r w:rsidRPr="000855B2">
        <w:rPr>
          <w:i/>
          <w:iCs/>
        </w:rPr>
        <w:t xml:space="preserve"> </w:t>
      </w:r>
      <w:r w:rsidRPr="000855B2">
        <w:t xml:space="preserve">Project funded by the European Commission, Directorate Generals for Environment (DG XI), Transport (DG </w:t>
      </w:r>
      <w:smartTag w:uri="urn:schemas-microsoft-com:office:smarttags" w:element="stockticker">
        <w:r w:rsidRPr="000855B2">
          <w:t>VII</w:t>
        </w:r>
      </w:smartTag>
      <w:r w:rsidRPr="000855B2">
        <w:t>) and Energy (DG XVII), http://europa.eu.int/comm/dg11/pollutants/index.htm, p.94, Thessaloniki, Greece.</w:t>
      </w:r>
    </w:p>
    <w:p w14:paraId="412B5518" w14:textId="77777777" w:rsidR="00B642C6" w:rsidRPr="000855B2" w:rsidRDefault="00B642C6" w:rsidP="00B642C6">
      <w:pPr>
        <w:pStyle w:val="BodyText"/>
      </w:pPr>
      <w:r w:rsidRPr="00A54B80">
        <w:rPr>
          <w:szCs w:val="24"/>
          <w:lang w:val="nl-NL" w:eastAsia="nl-NL"/>
        </w:rPr>
        <w:t xml:space="preserve">Librando, V., Tringali, G., Calastrini, F., Gualtieri, G. 2009. </w:t>
      </w:r>
      <w:r w:rsidRPr="000855B2">
        <w:t>Simulating the production and dispersion of environmental pollutants in aerosol phase in an urban area of great historical and cultural value (Gualtieri, Giovanni), Environmental Monitoring and Assessment 158, 479-498.</w:t>
      </w:r>
    </w:p>
    <w:p w14:paraId="366C43F9" w14:textId="77777777" w:rsidR="00B642C6" w:rsidRPr="000855B2" w:rsidRDefault="00B642C6" w:rsidP="00B642C6">
      <w:pPr>
        <w:pStyle w:val="BodyText"/>
        <w:rPr>
          <w:bCs/>
        </w:rPr>
      </w:pPr>
      <w:r w:rsidRPr="000855B2">
        <w:t xml:space="preserve">May, J., Bosteels, D., Favre, C. 2010: </w:t>
      </w:r>
      <w:r w:rsidRPr="000855B2">
        <w:rPr>
          <w:bCs/>
        </w:rPr>
        <w:t>Emissions Control Systems and Climate Change Emissions, AECC, 6 pp.</w:t>
      </w:r>
    </w:p>
    <w:p w14:paraId="72788185" w14:textId="77777777" w:rsidR="00B642C6" w:rsidRPr="000855B2" w:rsidRDefault="00B642C6" w:rsidP="00B642C6">
      <w:pPr>
        <w:pStyle w:val="BodyText"/>
      </w:pPr>
      <w:r w:rsidRPr="000855B2">
        <w:t xml:space="preserve">Mayer A., Kasper M., Mosimann Th., Legerer F., Czerwinski J., Emmenegger L., Mohn J., Ulrich A., and Kirchen P. (2007), Nanoparticle-emission of Euro 4 and Euro 5 HDV compared to Euro 3 with and without DPF. </w:t>
      </w:r>
      <w:smartTag w:uri="urn:schemas-microsoft-com:office:smarttags" w:element="stockticker">
        <w:r w:rsidRPr="000855B2">
          <w:t>SAE</w:t>
        </w:r>
      </w:smartTag>
      <w:r w:rsidRPr="000855B2">
        <w:t xml:space="preserve"> technology paper 2007-01-1112.</w:t>
      </w:r>
    </w:p>
    <w:p w14:paraId="140DB1E5" w14:textId="77777777" w:rsidR="00B642C6" w:rsidRPr="000855B2" w:rsidRDefault="00B642C6" w:rsidP="00B642C6">
      <w:pPr>
        <w:pStyle w:val="BodyText"/>
      </w:pPr>
      <w:r w:rsidRPr="000855B2">
        <w:t>Mellios G., Hausberger , M. Keller S., Samaras C., Ntziachristos L., 2012, Parameterisation of fuel consumption and CO</w:t>
      </w:r>
      <w:r w:rsidRPr="000855B2">
        <w:rPr>
          <w:vertAlign w:val="subscript"/>
        </w:rPr>
        <w:t>2</w:t>
      </w:r>
      <w:r w:rsidRPr="000855B2">
        <w:t xml:space="preserve"> emissions of passenger cars and light commercial vehicles for modelling purposes, JRC Report</w:t>
      </w:r>
    </w:p>
    <w:p w14:paraId="6C6E6B4A" w14:textId="77777777" w:rsidR="00B642C6" w:rsidRPr="000855B2" w:rsidRDefault="00B642C6" w:rsidP="00B642C6">
      <w:pPr>
        <w:pStyle w:val="BodyText"/>
      </w:pPr>
      <w:r w:rsidRPr="000855B2">
        <w:t>Moussiopoulos N., Sahm P., Papalexiou S., Samaras Z. and Tsilingiridis G. (1996), The Importance of Using Accurate Emission Input Data for Performing Reliable Air Quality Simulations. Eurotrac annual report, Computational Mechanics Publications, pp. 655–659.</w:t>
      </w:r>
    </w:p>
    <w:p w14:paraId="6316F290" w14:textId="77777777" w:rsidR="00B642C6" w:rsidRPr="000855B2" w:rsidRDefault="00B642C6" w:rsidP="00B642C6">
      <w:pPr>
        <w:pStyle w:val="BodyText"/>
      </w:pPr>
      <w:r w:rsidRPr="000855B2">
        <w:lastRenderedPageBreak/>
        <w:t xml:space="preserve">Ntziachristos L. and Samaras Z. (2000a), </w:t>
      </w:r>
      <w:r w:rsidR="00461783">
        <w:t>COPERT</w:t>
      </w:r>
      <w:r w:rsidRPr="000855B2">
        <w:t xml:space="preserve"> </w:t>
      </w:r>
      <w:smartTag w:uri="urn:schemas-microsoft-com:office:smarttags" w:element="stockticker">
        <w:r w:rsidRPr="000855B2">
          <w:t>III</w:t>
        </w:r>
      </w:smartTag>
      <w:r w:rsidRPr="000855B2">
        <w:t xml:space="preserve"> Computer programme to calculate emissions from road transport. Technical report 49. European Environment Agency, Copenhagen, Denmark, p. 86.</w:t>
      </w:r>
    </w:p>
    <w:p w14:paraId="026461BF" w14:textId="77777777" w:rsidR="00B642C6" w:rsidRPr="000855B2" w:rsidRDefault="00B642C6" w:rsidP="00B642C6">
      <w:pPr>
        <w:pStyle w:val="BodyText"/>
      </w:pPr>
      <w:r w:rsidRPr="000855B2">
        <w:rPr>
          <w:snapToGrid w:val="0"/>
        </w:rPr>
        <w:t xml:space="preserve">Ntziachristos L. and Samaras Z. (2000b), ‘Speed Dependent Representative Emission Factors of Catalyst Passenger Cars and Influencing Parameters’, </w:t>
      </w:r>
      <w:r w:rsidRPr="000855B2">
        <w:rPr>
          <w:i/>
          <w:snapToGrid w:val="0"/>
        </w:rPr>
        <w:t>Atmospheric Environment</w:t>
      </w:r>
      <w:r w:rsidRPr="000855B2">
        <w:rPr>
          <w:snapToGrid w:val="0"/>
        </w:rPr>
        <w:t>, Vol. 34, pp. 4611</w:t>
      </w:r>
      <w:r w:rsidRPr="000855B2">
        <w:t>–</w:t>
      </w:r>
      <w:r w:rsidRPr="000855B2">
        <w:rPr>
          <w:snapToGrid w:val="0"/>
        </w:rPr>
        <w:t>4619.</w:t>
      </w:r>
    </w:p>
    <w:p w14:paraId="60069149" w14:textId="77777777" w:rsidR="00B642C6" w:rsidRPr="000855B2" w:rsidRDefault="00B642C6" w:rsidP="00B642C6">
      <w:pPr>
        <w:pStyle w:val="BodyText"/>
      </w:pPr>
      <w:r w:rsidRPr="000855B2">
        <w:t xml:space="preserve">Ntziachristos L. and Samaras Z (2001), ‘An empirical method for predicting exhaust emissions of regulated pollutants from future vehicle technologies’, </w:t>
      </w:r>
      <w:r w:rsidRPr="000855B2">
        <w:rPr>
          <w:i/>
        </w:rPr>
        <w:t>Atmospheric Environment</w:t>
      </w:r>
      <w:r w:rsidRPr="000855B2">
        <w:t>, Vol. 35, pp. 1985–1999.</w:t>
      </w:r>
    </w:p>
    <w:p w14:paraId="77008080" w14:textId="77777777" w:rsidR="00B642C6" w:rsidRPr="000855B2" w:rsidRDefault="00B642C6" w:rsidP="00B642C6">
      <w:pPr>
        <w:pStyle w:val="BodyText"/>
      </w:pPr>
      <w:r w:rsidRPr="000855B2">
        <w:t>Ntziachristos L., Tourlou P.M., Samaras Z., Geivanidis S., and Andrias A. (2002), National and central estimates for air emissions from road transport. Technical report 74. European Environment Agency, Copenhagen, Denmark, p. 60.</w:t>
      </w:r>
    </w:p>
    <w:p w14:paraId="694E9D51" w14:textId="6165C1D9" w:rsidR="00B642C6" w:rsidRPr="000855B2" w:rsidRDefault="00B642C6" w:rsidP="00B642C6">
      <w:pPr>
        <w:pStyle w:val="BodyText"/>
      </w:pPr>
      <w:r w:rsidRPr="000855B2">
        <w:t xml:space="preserve">Ntziachristos L., Mamakos A., Xanthopoulos A., Iakovou E., and Samaras Z. (2004), Impact assessment/Package of new requirements relating to the emissions from two and three-wheel motor vehicles. Aristotle University, Thessaloniki, Greece. Available online at </w:t>
      </w:r>
      <w:hyperlink r:id="rId56" w:history="1">
        <w:r w:rsidRPr="000855B2">
          <w:rPr>
            <w:rStyle w:val="Hyperlink"/>
          </w:rPr>
          <w:t>http://ec.europa.eu/enterprise/automotive/mveg_meetings/motos/meeting7/index.htm</w:t>
        </w:r>
      </w:hyperlink>
      <w:r w:rsidRPr="000855B2">
        <w:t xml:space="preserve"> </w:t>
      </w:r>
    </w:p>
    <w:p w14:paraId="07F61F25" w14:textId="77777777" w:rsidR="00B642C6" w:rsidRPr="000855B2" w:rsidRDefault="00B642C6" w:rsidP="00B642C6">
      <w:pPr>
        <w:pStyle w:val="BodyText"/>
      </w:pPr>
      <w:r w:rsidRPr="000855B2">
        <w:t>Ntziachristos L. and Kouridis C. (2007), EMEP Corinair Emissions Inventory Guidebook 2007, Group 7 — Road Transport. Available from website: http://reports.eea.europa.eu/EMEPCORINAIR5/</w:t>
      </w:r>
    </w:p>
    <w:p w14:paraId="08158571" w14:textId="77777777" w:rsidR="00B642C6" w:rsidRPr="000855B2" w:rsidRDefault="00B642C6" w:rsidP="00B642C6">
      <w:pPr>
        <w:pStyle w:val="BodyText"/>
      </w:pPr>
      <w:r w:rsidRPr="000855B2">
        <w:t>Ntziachristos, L., Mellios, G., Fontaras, G., Gkeivanidis, S., Kousoulidou, M., Gkatzoflias, D, Papageorgiou, Th., and Kouridis, C. (2007), Updates of the Guidebook Chapter on Road Transport. LAT Report No 0706, p. 63.</w:t>
      </w:r>
    </w:p>
    <w:p w14:paraId="3CACFFF7" w14:textId="77777777" w:rsidR="00B642C6" w:rsidRPr="000855B2" w:rsidRDefault="00B642C6" w:rsidP="00B642C6">
      <w:pPr>
        <w:pStyle w:val="BodyText"/>
      </w:pPr>
      <w:r w:rsidRPr="000855B2">
        <w:t xml:space="preserve">Ntziachristos L., Mellios G., Kouridis C., Papageorgiou Th., Theodosopoulou M., Samaras Z., Zierock K.-H., Kouvaritakis N., Panos E., Karkatsoulis P., Schilling S., Merétei T., Bodor P.A., Damjanovic S., and Petit A. (2008), European Database of Vehicle Stock for the Calculation and Forecast of Pollutant and Greenhouse Gases Emissions with Tremove and </w:t>
      </w:r>
      <w:r w:rsidR="00461783">
        <w:t>COPERT</w:t>
      </w:r>
      <w:r w:rsidRPr="000855B2">
        <w:t>. Final report. LAT report No 08.RE.0009.V2, Thessaloniki, Greece.</w:t>
      </w:r>
    </w:p>
    <w:p w14:paraId="53E47E3F" w14:textId="77777777" w:rsidR="00B642C6" w:rsidRPr="000855B2" w:rsidRDefault="00B642C6" w:rsidP="00B642C6">
      <w:pPr>
        <w:pStyle w:val="BodyText"/>
      </w:pPr>
      <w:r w:rsidRPr="000855B2">
        <w:t>Organisation for Economic Co-operation and Development — OECD (1991), Estimation of Greenhouse Gas Emissions and Sinks. Final report, prepared for the Intergovernmental Panel on Climate Change.</w:t>
      </w:r>
    </w:p>
    <w:p w14:paraId="7FCC16B7" w14:textId="77777777" w:rsidR="00B642C6" w:rsidRPr="000855B2" w:rsidRDefault="00B642C6" w:rsidP="00B642C6">
      <w:pPr>
        <w:pStyle w:val="BodyText"/>
      </w:pPr>
      <w:r w:rsidRPr="000855B2">
        <w:t>Papathanasiou, L. and Tzirgas, S. (2005). N</w:t>
      </w:r>
      <w:r w:rsidRPr="000855B2">
        <w:rPr>
          <w:vertAlign w:val="subscript"/>
        </w:rPr>
        <w:t>2</w:t>
      </w:r>
      <w:r w:rsidRPr="000855B2">
        <w:t>O and NH</w:t>
      </w:r>
      <w:r w:rsidRPr="000855B2">
        <w:rPr>
          <w:vertAlign w:val="subscript"/>
        </w:rPr>
        <w:t>3</w:t>
      </w:r>
      <w:r w:rsidRPr="000855B2">
        <w:t xml:space="preserve"> emission factors from road vehicles. LAT/AUTh report 0507, Thessaloniki, Greece (in Greek).</w:t>
      </w:r>
    </w:p>
    <w:p w14:paraId="539076E5" w14:textId="77777777" w:rsidR="00B642C6" w:rsidRPr="000855B2" w:rsidRDefault="00B642C6" w:rsidP="00B642C6">
      <w:pPr>
        <w:pStyle w:val="BodyText"/>
      </w:pPr>
      <w:r w:rsidRPr="000855B2">
        <w:t xml:space="preserve">Pastramas N., Ntziachristos L., Melios G., (2014), COPERT 4 v.11, Emisia SA, Thessaloniki, Greece </w:t>
      </w:r>
    </w:p>
    <w:p w14:paraId="682E1850" w14:textId="77777777" w:rsidR="00B642C6" w:rsidRPr="000855B2" w:rsidRDefault="00B642C6" w:rsidP="00B642C6">
      <w:pPr>
        <w:pStyle w:val="BodyText"/>
      </w:pPr>
      <w:r w:rsidRPr="000855B2">
        <w:t xml:space="preserve">Pattas K. and Kyriakis N. (1983). Exhaust Gas Emission Study of Current Vehicle Fleet in Athens (Phase I). Final report to PERPA/ </w:t>
      </w:r>
      <w:smartTag w:uri="urn:schemas-microsoft-com:office:smarttags" w:element="stockticker">
        <w:r w:rsidRPr="000855B2">
          <w:t>EEC</w:t>
        </w:r>
      </w:smartTag>
      <w:r w:rsidRPr="000855B2">
        <w:t>, Thessaloniki, Greece.</w:t>
      </w:r>
    </w:p>
    <w:p w14:paraId="4B67AF32" w14:textId="77777777" w:rsidR="00B642C6" w:rsidRPr="000855B2" w:rsidRDefault="00B642C6" w:rsidP="00B642C6">
      <w:pPr>
        <w:pStyle w:val="BodyText"/>
      </w:pPr>
      <w:r w:rsidRPr="000855B2">
        <w:t xml:space="preserve">Pattas K., Kyriakis N., and Z. Samaras (1985). Exhaust Gas Emission Study of Current Vehicle Fleet in Athens (PHASE II). Volumes I, II, </w:t>
      </w:r>
      <w:smartTag w:uri="urn:schemas-microsoft-com:office:smarttags" w:element="stockticker">
        <w:r w:rsidRPr="000855B2">
          <w:t>III</w:t>
        </w:r>
      </w:smartTag>
      <w:r w:rsidRPr="000855B2">
        <w:t>. Final report to PERPA/</w:t>
      </w:r>
      <w:smartTag w:uri="urn:schemas-microsoft-com:office:smarttags" w:element="stockticker">
        <w:r w:rsidRPr="000855B2">
          <w:t>EEC</w:t>
        </w:r>
      </w:smartTag>
      <w:r w:rsidRPr="000855B2">
        <w:t>, Thessaloniki, Greece.</w:t>
      </w:r>
    </w:p>
    <w:p w14:paraId="63B8EDD9" w14:textId="77777777" w:rsidR="00B642C6" w:rsidRPr="000855B2" w:rsidRDefault="00B642C6" w:rsidP="00B642C6">
      <w:pPr>
        <w:pStyle w:val="BodyText"/>
      </w:pPr>
      <w:r w:rsidRPr="00A54B80">
        <w:rPr>
          <w:szCs w:val="24"/>
          <w:lang w:val="nl-NL" w:eastAsia="nl-NL"/>
        </w:rPr>
        <w:t xml:space="preserve">Perby H. (1990). Lustgasemission fran vågtrafik. </w:t>
      </w:r>
      <w:r w:rsidRPr="000855B2">
        <w:t>Swedish Road and Traffic Research Institute. Report 629. Linköping, Sweden.</w:t>
      </w:r>
    </w:p>
    <w:p w14:paraId="4889921F" w14:textId="77777777" w:rsidR="00B642C6" w:rsidRPr="000855B2" w:rsidRDefault="00B642C6" w:rsidP="00B642C6">
      <w:pPr>
        <w:pStyle w:val="BodyText"/>
      </w:pPr>
      <w:r w:rsidRPr="000855B2">
        <w:t>Potter D. (1990). Lustgasemission fran Katalysatorbilar, Department of Inorganic Chemistry, Chalmers University of Technology and University of Goeteborg. Report OOK 90:02, Sweden.</w:t>
      </w:r>
    </w:p>
    <w:p w14:paraId="60B78581" w14:textId="77777777" w:rsidR="00B642C6" w:rsidRPr="000855B2" w:rsidRDefault="00B642C6" w:rsidP="00B642C6">
      <w:pPr>
        <w:pStyle w:val="BodyText"/>
      </w:pPr>
      <w:r w:rsidRPr="000855B2">
        <w:t>Potter D. and Savage C. (1983). A survey of gaseous pollutant emissions from tuned in-service gasoline engined cars over a range of road operating conditions. WSL report, LR 447 (AP) M, Stevenage.</w:t>
      </w:r>
    </w:p>
    <w:p w14:paraId="7B898252" w14:textId="77777777" w:rsidR="00B642C6" w:rsidRPr="000855B2" w:rsidRDefault="00B642C6" w:rsidP="00B642C6">
      <w:pPr>
        <w:pStyle w:val="BodyText"/>
      </w:pPr>
      <w:r w:rsidRPr="000855B2">
        <w:lastRenderedPageBreak/>
        <w:t>Pringent M. and De Soete G. (1989). Nitrous Oxide N</w:t>
      </w:r>
      <w:r w:rsidRPr="000855B2">
        <w:rPr>
          <w:vertAlign w:val="subscript"/>
        </w:rPr>
        <w:t>2</w:t>
      </w:r>
      <w:r w:rsidRPr="000855B2">
        <w:t xml:space="preserve">O in Engines Exhaust Gases — A First Appraisal of Catalyst Impact. </w:t>
      </w:r>
      <w:smartTag w:uri="urn:schemas-microsoft-com:office:smarttags" w:element="stockticker">
        <w:r w:rsidRPr="000855B2">
          <w:t>SAE</w:t>
        </w:r>
      </w:smartTag>
      <w:r w:rsidRPr="000855B2">
        <w:t xml:space="preserve"> paper 890492.</w:t>
      </w:r>
    </w:p>
    <w:p w14:paraId="65598989" w14:textId="77777777" w:rsidR="00B642C6" w:rsidRPr="000855B2" w:rsidRDefault="00B642C6" w:rsidP="00B642C6">
      <w:pPr>
        <w:pStyle w:val="BodyText"/>
      </w:pPr>
      <w:r w:rsidRPr="000855B2">
        <w:t>Riemersma I.J., Jordaan K., and Oonk J. (2003). N</w:t>
      </w:r>
      <w:r w:rsidRPr="000855B2">
        <w:rPr>
          <w:vertAlign w:val="subscript"/>
        </w:rPr>
        <w:t>2</w:t>
      </w:r>
      <w:r w:rsidRPr="000855B2">
        <w:t xml:space="preserve">O-emission of HD vehicles. </w:t>
      </w:r>
      <w:smartTag w:uri="urn:schemas-microsoft-com:office:smarttags" w:element="stockticker">
        <w:r w:rsidRPr="000855B2">
          <w:t>TNO</w:t>
        </w:r>
      </w:smartTag>
      <w:r w:rsidRPr="000855B2">
        <w:t xml:space="preserve"> report 03.OR.VM.006.1/IJR, Delft, the Netherlands, p. 62.</w:t>
      </w:r>
    </w:p>
    <w:p w14:paraId="36FE2F73" w14:textId="77777777" w:rsidR="00B642C6" w:rsidRPr="000855B2" w:rsidRDefault="00B642C6" w:rsidP="00B642C6">
      <w:pPr>
        <w:pStyle w:val="BodyText"/>
      </w:pPr>
      <w:r w:rsidRPr="000855B2">
        <w:t xml:space="preserve">Rijkeboer R.C. (1997). Emission factors for mopeds and motorcycles. </w:t>
      </w:r>
      <w:smartTag w:uri="urn:schemas-microsoft-com:office:smarttags" w:element="stockticker">
        <w:r w:rsidRPr="000855B2">
          <w:t>TNO</w:t>
        </w:r>
      </w:smartTag>
      <w:r w:rsidRPr="000855B2">
        <w:t xml:space="preserve"> report No°97.OR.VM.31.1/RR, Delft, the Netherlands, p. 16.</w:t>
      </w:r>
    </w:p>
    <w:p w14:paraId="506F3115" w14:textId="77777777" w:rsidR="00B642C6" w:rsidRPr="000855B2" w:rsidRDefault="00B642C6" w:rsidP="00B642C6">
      <w:pPr>
        <w:pStyle w:val="BodyText"/>
      </w:pPr>
      <w:r w:rsidRPr="000855B2">
        <w:t xml:space="preserve">Rijkeboer R.C., Van der Haagen M.F., and Van Sloten P. (1990). Results of Project on In-use Compliance Testing of Vehicles. </w:t>
      </w:r>
      <w:smartTag w:uri="urn:schemas-microsoft-com:office:smarttags" w:element="stockticker">
        <w:r w:rsidRPr="000855B2">
          <w:t>TNO</w:t>
        </w:r>
      </w:smartTag>
      <w:r w:rsidRPr="000855B2">
        <w:t xml:space="preserve"> report 733039000, Delft, the Netherlands.</w:t>
      </w:r>
    </w:p>
    <w:p w14:paraId="54BAD875" w14:textId="77777777" w:rsidR="00B642C6" w:rsidRPr="000855B2" w:rsidRDefault="00B642C6" w:rsidP="00B642C6">
      <w:pPr>
        <w:pStyle w:val="BodyText"/>
      </w:pPr>
      <w:r w:rsidRPr="000855B2">
        <w:t>Rijkeboer R.C., Van Sloten P., and Schmal P. (1989). Steekproef-controleprogramma, onderzoek naar luchtverontreininging door voertuigen in het verkeer. Jaarrapport 1988/89. No Lucht 87, IWT-</w:t>
      </w:r>
      <w:smartTag w:uri="urn:schemas-microsoft-com:office:smarttags" w:element="stockticker">
        <w:r w:rsidRPr="000855B2">
          <w:t>TNO</w:t>
        </w:r>
      </w:smartTag>
      <w:r w:rsidRPr="000855B2">
        <w:t>, Delft, the Netherlands.</w:t>
      </w:r>
    </w:p>
    <w:p w14:paraId="1F0ED493" w14:textId="17CA8411" w:rsidR="00B642C6" w:rsidRPr="000855B2" w:rsidRDefault="00B642C6" w:rsidP="00B642C6">
      <w:pPr>
        <w:pStyle w:val="BodyText"/>
      </w:pPr>
      <w:r w:rsidRPr="000855B2">
        <w:t xml:space="preserve">Samaras Z. and Ntziachristos L. (1998). Average Hot Emission Factors for Passenger Cars and Light Duty Vehicles, Task 1.2 /. Deliverable 7 of the MEET project. LAT report No 9811, Thessaloniki, Greece, </w:t>
      </w:r>
      <w:hyperlink r:id="rId57" w:history="1">
        <w:r w:rsidRPr="000855B2">
          <w:rPr>
            <w:rStyle w:val="Hyperlink"/>
          </w:rPr>
          <w:t>www.inrets.fr/ur/lte/cost319/index.html</w:t>
        </w:r>
      </w:hyperlink>
    </w:p>
    <w:p w14:paraId="16FDDD9A" w14:textId="4F3938AC" w:rsidR="00B642C6" w:rsidRPr="000855B2" w:rsidRDefault="00B642C6" w:rsidP="00B642C6">
      <w:pPr>
        <w:pStyle w:val="BodyText"/>
      </w:pPr>
      <w:r w:rsidRPr="000855B2">
        <w:rPr>
          <w:snapToGrid w:val="0"/>
        </w:rPr>
        <w:t xml:space="preserve">Samaras Z., Ntziachristos L., Thompson N., Hall D., Westerholm R., and Boulter P. (2005). Characterisation of Exhaust Particulate Emissions from Road Vehicles (Particulates). Final publishable report. Available online at </w:t>
      </w:r>
      <w:hyperlink r:id="rId58" w:history="1">
        <w:r w:rsidRPr="000855B2">
          <w:rPr>
            <w:rStyle w:val="Hyperlink"/>
            <w:snapToGrid w:val="0"/>
          </w:rPr>
          <w:t>http://lat.eng.auth.gr/particulates/</w:t>
        </w:r>
      </w:hyperlink>
      <w:r w:rsidRPr="000855B2">
        <w:rPr>
          <w:snapToGrid w:val="0"/>
        </w:rPr>
        <w:t xml:space="preserve"> </w:t>
      </w:r>
    </w:p>
    <w:p w14:paraId="242B1A63" w14:textId="77777777" w:rsidR="00B642C6" w:rsidRPr="000855B2" w:rsidRDefault="00B642C6" w:rsidP="00B642C6">
      <w:pPr>
        <w:pStyle w:val="BodyText"/>
        <w:rPr>
          <w:snapToGrid w:val="0"/>
        </w:rPr>
      </w:pPr>
      <w:r w:rsidRPr="00A54B80">
        <w:rPr>
          <w:snapToGrid w:val="0"/>
          <w:szCs w:val="24"/>
          <w:lang w:val="nl-NL" w:eastAsia="nl-NL"/>
        </w:rPr>
        <w:t xml:space="preserve">Suzuki, H., Ishii, H., Sakai, K., Fujimori, K. (2008). </w:t>
      </w:r>
      <w:r w:rsidRPr="000855B2">
        <w:rPr>
          <w:snapToGrid w:val="0"/>
        </w:rPr>
        <w:t xml:space="preserve">Regulated and Unregulated Emission Components Characteristics of Urea </w:t>
      </w:r>
      <w:smartTag w:uri="urn:schemas-microsoft-com:office:smarttags" w:element="stockticker">
        <w:r w:rsidRPr="000855B2">
          <w:rPr>
            <w:snapToGrid w:val="0"/>
          </w:rPr>
          <w:t>SCR</w:t>
        </w:r>
      </w:smartTag>
      <w:r w:rsidRPr="000855B2">
        <w:rPr>
          <w:snapToGrid w:val="0"/>
        </w:rPr>
        <w:t xml:space="preserve"> Vehicles. JSAE Proceedings, Vol. 39 No. 6. November (in Japanese)</w:t>
      </w:r>
    </w:p>
    <w:p w14:paraId="24A01FB5" w14:textId="77777777" w:rsidR="00B642C6" w:rsidRPr="000855B2" w:rsidRDefault="00B642C6" w:rsidP="00B642C6">
      <w:pPr>
        <w:pStyle w:val="BodyText"/>
      </w:pPr>
      <w:r w:rsidRPr="000855B2">
        <w:rPr>
          <w:snapToGrid w:val="0"/>
        </w:rPr>
        <w:t>Smit, R. (2007). Primary NO</w:t>
      </w:r>
      <w:r w:rsidRPr="000855B2">
        <w:rPr>
          <w:snapToGrid w:val="0"/>
          <w:vertAlign w:val="subscript"/>
        </w:rPr>
        <w:t>2</w:t>
      </w:r>
      <w:r w:rsidRPr="000855B2">
        <w:rPr>
          <w:snapToGrid w:val="0"/>
        </w:rPr>
        <w:t xml:space="preserve"> emission factors for local air quality assessment in the Netherlands. Personal communication.</w:t>
      </w:r>
    </w:p>
    <w:p w14:paraId="2DED3121" w14:textId="77777777" w:rsidR="00B642C6" w:rsidRPr="000855B2" w:rsidRDefault="00B642C6" w:rsidP="00B642C6">
      <w:pPr>
        <w:pStyle w:val="BodyText"/>
        <w:rPr>
          <w:snapToGrid w:val="0"/>
        </w:rPr>
      </w:pPr>
      <w:r w:rsidRPr="000855B2">
        <w:rPr>
          <w:snapToGrid w:val="0"/>
        </w:rPr>
        <w:t>Smit, R., Ntziachristos, L., Boulter, P. 2010. Validation of Road Vehicle and Traffic Emission Models - A Review. Atmospheric Environment, submitted.</w:t>
      </w:r>
    </w:p>
    <w:p w14:paraId="7F8298AD" w14:textId="77777777" w:rsidR="00B642C6" w:rsidRPr="000855B2" w:rsidRDefault="00B642C6" w:rsidP="00B642C6">
      <w:pPr>
        <w:pStyle w:val="BodyText"/>
        <w:rPr>
          <w:snapToGrid w:val="0"/>
        </w:rPr>
      </w:pPr>
      <w:r w:rsidRPr="000855B2">
        <w:rPr>
          <w:snapToGrid w:val="0"/>
        </w:rPr>
        <w:t>Timmons S. (2010) NG Fuel effects on vehicle exhaust emissions and fuel economy, SwRI Project, Final Report</w:t>
      </w:r>
    </w:p>
    <w:p w14:paraId="50280EF2" w14:textId="77777777" w:rsidR="00B642C6" w:rsidRPr="000855B2" w:rsidRDefault="00B642C6" w:rsidP="00B642C6">
      <w:pPr>
        <w:pStyle w:val="BodyText"/>
      </w:pPr>
      <w:smartTag w:uri="urn:schemas-microsoft-com:office:smarttags" w:element="stockticker">
        <w:r w:rsidRPr="000855B2">
          <w:rPr>
            <w:snapToGrid w:val="0"/>
          </w:rPr>
          <w:t>TNO</w:t>
        </w:r>
      </w:smartTag>
      <w:r w:rsidRPr="000855B2">
        <w:rPr>
          <w:snapToGrid w:val="0"/>
        </w:rPr>
        <w:t xml:space="preserve"> (1993). Regulated and Unregulated Exhaust Components from LD Vehicles on Petrol, Diesel, LPG and CNG, Delft, The Netherlands.</w:t>
      </w:r>
    </w:p>
    <w:p w14:paraId="2BD23B8C" w14:textId="77777777" w:rsidR="00B642C6" w:rsidRPr="000855B2" w:rsidRDefault="00B642C6" w:rsidP="00B642C6">
      <w:pPr>
        <w:pStyle w:val="BodyText"/>
      </w:pPr>
      <w:smartTag w:uri="urn:schemas-microsoft-com:office:smarttags" w:element="stockticker">
        <w:r w:rsidRPr="000855B2">
          <w:rPr>
            <w:snapToGrid w:val="0"/>
          </w:rPr>
          <w:t>TNO</w:t>
        </w:r>
      </w:smartTag>
      <w:r w:rsidRPr="000855B2">
        <w:rPr>
          <w:snapToGrid w:val="0"/>
        </w:rPr>
        <w:t xml:space="preserve"> (2002). N</w:t>
      </w:r>
      <w:r w:rsidRPr="000855B2">
        <w:rPr>
          <w:snapToGrid w:val="0"/>
          <w:vertAlign w:val="subscript"/>
        </w:rPr>
        <w:t>2</w:t>
      </w:r>
      <w:r w:rsidRPr="000855B2">
        <w:rPr>
          <w:snapToGrid w:val="0"/>
        </w:rPr>
        <w:t>O Formation in Vehicle Catalysts. Report No </w:t>
      </w:r>
      <w:smartTag w:uri="urn:schemas-microsoft-com:office:smarttags" w:element="stockticker">
        <w:r w:rsidRPr="000855B2">
          <w:rPr>
            <w:snapToGrid w:val="0"/>
          </w:rPr>
          <w:t>TNO</w:t>
        </w:r>
      </w:smartTag>
      <w:r w:rsidRPr="000855B2">
        <w:rPr>
          <w:snapToGrid w:val="0"/>
        </w:rPr>
        <w:t xml:space="preserve"> 02.OR.VM.017.1/NG, Delft, the Netherlands.</w:t>
      </w:r>
    </w:p>
    <w:p w14:paraId="3B433756" w14:textId="77777777" w:rsidR="00B642C6" w:rsidRPr="000855B2" w:rsidRDefault="00B642C6" w:rsidP="00B642C6">
      <w:pPr>
        <w:pStyle w:val="BodyText"/>
      </w:pPr>
      <w:r w:rsidRPr="000855B2">
        <w:rPr>
          <w:snapToGrid w:val="0"/>
        </w:rPr>
        <w:t>Umweltbundesamt (1996). Determination of Requirements to Limit Emissions of Dioxins and Furans, Texte 58/95, ISSN 0722-186X.</w:t>
      </w:r>
    </w:p>
    <w:p w14:paraId="6C8BDDC8" w14:textId="77777777" w:rsidR="00855054" w:rsidRPr="000855B2" w:rsidRDefault="00855054" w:rsidP="00855054">
      <w:pPr>
        <w:pStyle w:val="BodyText"/>
      </w:pPr>
      <w:r>
        <w:rPr>
          <w:snapToGrid w:val="0"/>
        </w:rPr>
        <w:t xml:space="preserve">UN, 2015. </w:t>
      </w:r>
      <w:r w:rsidRPr="00B56FAD">
        <w:rPr>
          <w:snapToGrid w:val="0"/>
        </w:rPr>
        <w:t>Uniform provisions concerning the approval of vehicles with regard to the emission of pollutants according to engine fuel requirements</w:t>
      </w:r>
      <w:r>
        <w:rPr>
          <w:snapToGrid w:val="0"/>
        </w:rPr>
        <w:t xml:space="preserve">, </w:t>
      </w:r>
      <w:r w:rsidRPr="00B56FAD">
        <w:rPr>
          <w:snapToGrid w:val="0"/>
        </w:rPr>
        <w:t>Addendum 82: Regulation No. 83</w:t>
      </w:r>
      <w:r>
        <w:rPr>
          <w:snapToGrid w:val="0"/>
        </w:rPr>
        <w:t>, Geneve, Switzerland.</w:t>
      </w:r>
    </w:p>
    <w:p w14:paraId="1CAEB10A" w14:textId="77777777" w:rsidR="00B642C6" w:rsidRPr="00A54B80" w:rsidRDefault="00B642C6" w:rsidP="00B642C6">
      <w:pPr>
        <w:pStyle w:val="BodyText"/>
      </w:pPr>
      <w:r w:rsidRPr="00A54B80">
        <w:rPr>
          <w:szCs w:val="24"/>
          <w:lang w:val="nl-NL" w:eastAsia="nl-NL"/>
        </w:rPr>
        <w:t>Volkswagen AG (1989). Nicht limitierte Automobil-Abgaskomponenten, Wolfsburg, Germany.</w:t>
      </w:r>
    </w:p>
    <w:p w14:paraId="74CA9B74" w14:textId="77777777" w:rsidR="00B642C6" w:rsidRPr="00855054" w:rsidRDefault="00B642C6" w:rsidP="00B642C6">
      <w:pPr>
        <w:pStyle w:val="BodyText"/>
        <w:rPr>
          <w:lang w:val="da-DK"/>
        </w:rPr>
      </w:pPr>
      <w:r w:rsidRPr="00B642C6">
        <w:rPr>
          <w:lang w:val="da-DK"/>
        </w:rPr>
        <w:t xml:space="preserve">Vonk, W.A., Verbeek, R.P., Dekker, H.J. (2010). </w:t>
      </w:r>
      <w:r w:rsidRPr="00A54B80">
        <w:rPr>
          <w:szCs w:val="24"/>
          <w:lang w:val="nl-NL" w:eastAsia="nl-NL"/>
        </w:rPr>
        <w:t xml:space="preserve">Emissieprestaties van jonge Nederlandse personenwagens met LPG en CNG installaties. </w:t>
      </w:r>
      <w:smartTag w:uri="urn:schemas-microsoft-com:office:smarttags" w:element="stockticker">
        <w:r w:rsidRPr="00A54B80">
          <w:rPr>
            <w:szCs w:val="24"/>
            <w:lang w:val="nl-NL" w:eastAsia="nl-NL"/>
          </w:rPr>
          <w:t>TNO</w:t>
        </w:r>
      </w:smartTag>
      <w:r w:rsidRPr="00A54B80">
        <w:rPr>
          <w:szCs w:val="24"/>
          <w:lang w:val="nl-NL" w:eastAsia="nl-NL"/>
        </w:rPr>
        <w:t>-rapport MON-</w:t>
      </w:r>
      <w:smartTag w:uri="urn:schemas-microsoft-com:office:smarttags" w:element="stockticker">
        <w:r w:rsidRPr="00A54B80">
          <w:rPr>
            <w:szCs w:val="24"/>
            <w:lang w:val="nl-NL" w:eastAsia="nl-NL"/>
          </w:rPr>
          <w:t>RPT</w:t>
        </w:r>
      </w:smartTag>
      <w:r w:rsidRPr="00A54B80">
        <w:rPr>
          <w:szCs w:val="24"/>
          <w:lang w:val="nl-NL" w:eastAsia="nl-NL"/>
        </w:rPr>
        <w:t xml:space="preserve">-2010-01330a, Delft, Netherland, p.26 (in Dutch). </w:t>
      </w:r>
    </w:p>
    <w:p w14:paraId="1BBAB4A4" w14:textId="77777777" w:rsidR="00B642C6" w:rsidRPr="000855B2" w:rsidRDefault="00B642C6" w:rsidP="00B642C6">
      <w:pPr>
        <w:pStyle w:val="BodyText"/>
        <w:rPr>
          <w:sz w:val="22"/>
          <w:szCs w:val="22"/>
        </w:rPr>
      </w:pPr>
      <w:r w:rsidRPr="000855B2">
        <w:t>Winther, M., Slentø, E. (2010). Heavy metal emissions from Danish road transport. NERI Technical Report no.780. Risoe, Denmark, p.99.</w:t>
      </w:r>
    </w:p>
    <w:p w14:paraId="64B0C906" w14:textId="77777777" w:rsidR="00B642C6" w:rsidRPr="000855B2" w:rsidRDefault="00B642C6" w:rsidP="00B642C6">
      <w:pPr>
        <w:pStyle w:val="BodyText"/>
      </w:pPr>
      <w:r w:rsidRPr="000855B2">
        <w:lastRenderedPageBreak/>
        <w:t>Winther, M. 2012: Danish emission inventories for road transport and other mobile sources. Inventories until the year 2010. National Environmental Research Institute, University of Aarhus. 283 pp. – DCE Scientific Report No. 24. http://www.dmu.dk/Pub/SR24.pdf.</w:t>
      </w:r>
    </w:p>
    <w:p w14:paraId="6D1CD606" w14:textId="77777777" w:rsidR="00B642C6" w:rsidRPr="000855B2" w:rsidRDefault="00B642C6" w:rsidP="00B642C6">
      <w:pPr>
        <w:pStyle w:val="BodyText"/>
      </w:pPr>
      <w:r w:rsidRPr="000855B2">
        <w:t>Zachariadis T. and Z. Samaras (1997). Comparative Assessment of European Tools to Estimate Traffic International Journal of Vehicle Design, Vol. 18, Nos 3/4, pp. 312–325.</w:t>
      </w:r>
    </w:p>
    <w:p w14:paraId="064BA523" w14:textId="77777777" w:rsidR="00B642C6" w:rsidRPr="000855B2" w:rsidRDefault="00B642C6" w:rsidP="00B642C6">
      <w:pPr>
        <w:pStyle w:val="BodyText"/>
      </w:pPr>
      <w:r w:rsidRPr="000855B2">
        <w:t>Zachariadis Th., Ntziachristos L., and Samaras Z. (2001). The effect of age and technological change on motor vehicle emissions. Transportation Research Part D, Vol. 6, pp. 221–227.</w:t>
      </w:r>
    </w:p>
    <w:p w14:paraId="1F0AD40F" w14:textId="77777777" w:rsidR="00B642C6" w:rsidRPr="000855B2" w:rsidRDefault="00B642C6" w:rsidP="00B642C6">
      <w:pPr>
        <w:pStyle w:val="BodyText"/>
      </w:pPr>
      <w:r w:rsidRPr="000855B2">
        <w:t>Zajontz J., Frey V., and Gutknecht C. (1991). Emission of unregulated Exhaust Gas Components of Otto Engines equipped with Catalytic Converters. Institute for Chemical Technology and Fuel Techniques, Technical University of Clausthal. Interim status report of 03.05.1991, Germany.</w:t>
      </w:r>
    </w:p>
    <w:p w14:paraId="7D75FA98" w14:textId="77777777" w:rsidR="002B3D9D" w:rsidRPr="000855B2" w:rsidRDefault="00B642C6" w:rsidP="00513092">
      <w:pPr>
        <w:pStyle w:val="BodyText"/>
      </w:pPr>
      <w:r w:rsidRPr="000855B2">
        <w:t xml:space="preserve">Zervas E. and Panousi E. (2010), Exhaust Methane Emissions from Passenger Cars, SAE International </w:t>
      </w:r>
    </w:p>
    <w:p w14:paraId="321B8D6F" w14:textId="77777777" w:rsidR="001D2587" w:rsidRPr="000855B2" w:rsidRDefault="001D2587" w:rsidP="00F516D0">
      <w:pPr>
        <w:pStyle w:val="Heading2"/>
      </w:pPr>
      <w:bookmarkStart w:id="338" w:name="_Toc200272630"/>
      <w:bookmarkStart w:id="339" w:name="_Toc482003916"/>
      <w:r w:rsidRPr="000855B2">
        <w:t>Bibliography</w:t>
      </w:r>
      <w:bookmarkEnd w:id="338"/>
      <w:bookmarkEnd w:id="339"/>
    </w:p>
    <w:p w14:paraId="660DAAAC" w14:textId="77777777" w:rsidR="00711FD8" w:rsidRPr="000855B2" w:rsidRDefault="00711FD8">
      <w:pPr>
        <w:spacing w:after="120"/>
        <w:rPr>
          <w:szCs w:val="21"/>
          <w:lang w:val="en-GB"/>
        </w:rPr>
      </w:pPr>
      <w:r w:rsidRPr="000855B2">
        <w:rPr>
          <w:szCs w:val="21"/>
          <w:lang w:val="en-GB"/>
        </w:rPr>
        <w:t>Boulter P</w:t>
      </w:r>
      <w:r w:rsidR="00B03AE7" w:rsidRPr="000855B2">
        <w:rPr>
          <w:szCs w:val="21"/>
          <w:lang w:val="en-GB"/>
        </w:rPr>
        <w:t>.,</w:t>
      </w:r>
      <w:r w:rsidRPr="000855B2">
        <w:rPr>
          <w:szCs w:val="21"/>
          <w:lang w:val="en-GB"/>
        </w:rPr>
        <w:t xml:space="preserve"> and McCrae I</w:t>
      </w:r>
      <w:r w:rsidR="00B03AE7" w:rsidRPr="000855B2">
        <w:rPr>
          <w:szCs w:val="21"/>
          <w:lang w:val="en-GB"/>
        </w:rPr>
        <w:t>.,</w:t>
      </w:r>
      <w:r w:rsidRPr="000855B2">
        <w:rPr>
          <w:szCs w:val="21"/>
          <w:lang w:val="en-GB"/>
        </w:rPr>
        <w:t xml:space="preserve"> (eds.) (2007). </w:t>
      </w:r>
      <w:r w:rsidR="00CC5B0C" w:rsidRPr="000855B2">
        <w:rPr>
          <w:szCs w:val="21"/>
          <w:lang w:val="en-GB"/>
        </w:rPr>
        <w:t>Artemis</w:t>
      </w:r>
      <w:r w:rsidRPr="000855B2">
        <w:rPr>
          <w:szCs w:val="21"/>
          <w:lang w:val="en-GB"/>
        </w:rPr>
        <w:t xml:space="preserve">: Assessment and reliability of transport emission models and inventory systems. Final </w:t>
      </w:r>
      <w:r w:rsidR="00B55C8B" w:rsidRPr="000855B2">
        <w:rPr>
          <w:szCs w:val="21"/>
          <w:lang w:val="en-GB"/>
        </w:rPr>
        <w:t>r</w:t>
      </w:r>
      <w:r w:rsidRPr="000855B2">
        <w:rPr>
          <w:szCs w:val="21"/>
          <w:lang w:val="en-GB"/>
        </w:rPr>
        <w:t>eport. Deliverable No</w:t>
      </w:r>
      <w:r w:rsidR="00B55C8B" w:rsidRPr="000855B2">
        <w:rPr>
          <w:szCs w:val="21"/>
          <w:lang w:val="en-GB"/>
        </w:rPr>
        <w:t> </w:t>
      </w:r>
      <w:r w:rsidRPr="000855B2">
        <w:rPr>
          <w:szCs w:val="21"/>
          <w:lang w:val="en-GB"/>
        </w:rPr>
        <w:t xml:space="preserve">15. TRL Unpublished </w:t>
      </w:r>
      <w:r w:rsidR="00B55C8B" w:rsidRPr="000855B2">
        <w:rPr>
          <w:szCs w:val="21"/>
          <w:lang w:val="en-GB"/>
        </w:rPr>
        <w:t>r</w:t>
      </w:r>
      <w:r w:rsidRPr="000855B2">
        <w:rPr>
          <w:szCs w:val="21"/>
          <w:lang w:val="en-GB"/>
        </w:rPr>
        <w:t>eport UPR/IE/044/07. TRL Limited, Wokingham.</w:t>
      </w:r>
    </w:p>
    <w:p w14:paraId="35597009" w14:textId="77777777" w:rsidR="001D2587" w:rsidRPr="000855B2" w:rsidRDefault="001D2587">
      <w:pPr>
        <w:spacing w:after="120"/>
        <w:rPr>
          <w:lang w:val="en-GB"/>
        </w:rPr>
      </w:pPr>
      <w:r w:rsidRPr="000855B2">
        <w:rPr>
          <w:lang w:val="en-GB"/>
        </w:rPr>
        <w:t>Joumard, R. (ed.) (1999)</w:t>
      </w:r>
      <w:r w:rsidR="00B55C8B" w:rsidRPr="000855B2">
        <w:rPr>
          <w:lang w:val="en-GB"/>
        </w:rPr>
        <w:t>.</w:t>
      </w:r>
      <w:r w:rsidRPr="000855B2">
        <w:rPr>
          <w:lang w:val="en-GB"/>
        </w:rPr>
        <w:t xml:space="preserve"> </w:t>
      </w:r>
      <w:smartTag w:uri="urn:schemas-microsoft-com:office:smarttags" w:element="stockticker">
        <w:r w:rsidRPr="000855B2">
          <w:rPr>
            <w:lang w:val="en-GB"/>
          </w:rPr>
          <w:t>COST</w:t>
        </w:r>
      </w:smartTag>
      <w:r w:rsidRPr="000855B2">
        <w:rPr>
          <w:lang w:val="en-GB"/>
        </w:rPr>
        <w:t xml:space="preserve"> 319 Estimation of pollutant emissions from transport</w:t>
      </w:r>
      <w:r w:rsidR="00B55C8B" w:rsidRPr="000855B2">
        <w:rPr>
          <w:lang w:val="en-GB"/>
        </w:rPr>
        <w:t>.</w:t>
      </w:r>
      <w:r w:rsidRPr="000855B2">
        <w:rPr>
          <w:lang w:val="en-GB"/>
        </w:rPr>
        <w:t xml:space="preserve"> Final report of the action</w:t>
      </w:r>
      <w:r w:rsidR="00B55C8B" w:rsidRPr="000855B2">
        <w:rPr>
          <w:lang w:val="en-GB"/>
        </w:rPr>
        <w:t>.</w:t>
      </w:r>
      <w:r w:rsidRPr="000855B2">
        <w:rPr>
          <w:lang w:val="en-GB"/>
        </w:rPr>
        <w:t xml:space="preserve"> Directorate General Transport</w:t>
      </w:r>
      <w:r w:rsidR="00B55C8B" w:rsidRPr="000855B2">
        <w:rPr>
          <w:lang w:val="en-GB"/>
        </w:rPr>
        <w:t>.</w:t>
      </w:r>
      <w:r w:rsidRPr="000855B2">
        <w:rPr>
          <w:lang w:val="en-GB"/>
        </w:rPr>
        <w:t xml:space="preserve"> </w:t>
      </w:r>
      <w:r w:rsidR="00B55C8B" w:rsidRPr="000855B2">
        <w:rPr>
          <w:lang w:val="en-GB"/>
        </w:rPr>
        <w:t>Publications Office of the European Union</w:t>
      </w:r>
      <w:r w:rsidRPr="000855B2">
        <w:rPr>
          <w:lang w:val="en-GB"/>
        </w:rPr>
        <w:t>, Luxembourg, p.</w:t>
      </w:r>
      <w:r w:rsidR="00B55C8B" w:rsidRPr="000855B2">
        <w:rPr>
          <w:lang w:val="en-GB"/>
        </w:rPr>
        <w:t> </w:t>
      </w:r>
      <w:r w:rsidRPr="000855B2">
        <w:rPr>
          <w:lang w:val="en-GB"/>
        </w:rPr>
        <w:t>174.</w:t>
      </w:r>
    </w:p>
    <w:p w14:paraId="432BE428" w14:textId="77777777" w:rsidR="001D2587" w:rsidRPr="000855B2" w:rsidRDefault="001D2587">
      <w:pPr>
        <w:spacing w:after="120"/>
        <w:rPr>
          <w:lang w:val="en-GB"/>
        </w:rPr>
      </w:pPr>
      <w:r w:rsidRPr="000855B2">
        <w:rPr>
          <w:lang w:val="en-GB"/>
        </w:rPr>
        <w:t>MEET (1999)</w:t>
      </w:r>
      <w:r w:rsidR="00B55C8B" w:rsidRPr="000855B2">
        <w:rPr>
          <w:lang w:val="en-GB"/>
        </w:rPr>
        <w:t>.</w:t>
      </w:r>
      <w:r w:rsidRPr="000855B2">
        <w:rPr>
          <w:lang w:val="en-GB"/>
        </w:rPr>
        <w:t xml:space="preserve"> Methodology for calculating transport emissions and energy consumption, DG </w:t>
      </w:r>
      <w:smartTag w:uri="urn:schemas-microsoft-com:office:smarttags" w:element="stockticker">
        <w:r w:rsidRPr="000855B2">
          <w:rPr>
            <w:lang w:val="en-GB"/>
          </w:rPr>
          <w:t>VII</w:t>
        </w:r>
      </w:smartTag>
      <w:r w:rsidRPr="000855B2">
        <w:rPr>
          <w:lang w:val="en-GB"/>
        </w:rPr>
        <w:t xml:space="preserve">, </w:t>
      </w:r>
      <w:r w:rsidR="00B55C8B" w:rsidRPr="000855B2">
        <w:rPr>
          <w:lang w:val="en-GB"/>
        </w:rPr>
        <w:t>Publications Office of the European Union</w:t>
      </w:r>
      <w:r w:rsidRPr="000855B2">
        <w:rPr>
          <w:lang w:val="en-GB"/>
        </w:rPr>
        <w:t>, Luxembourg, p.</w:t>
      </w:r>
      <w:r w:rsidR="00B55C8B" w:rsidRPr="000855B2">
        <w:rPr>
          <w:lang w:val="en-GB"/>
        </w:rPr>
        <w:t> </w:t>
      </w:r>
      <w:r w:rsidRPr="000855B2">
        <w:rPr>
          <w:lang w:val="en-GB"/>
        </w:rPr>
        <w:t>362.</w:t>
      </w:r>
    </w:p>
    <w:p w14:paraId="05DCB909" w14:textId="77777777" w:rsidR="00DE272E" w:rsidRPr="00513092" w:rsidRDefault="001E5AC0" w:rsidP="00EA3292">
      <w:pPr>
        <w:pStyle w:val="Heading1"/>
      </w:pPr>
      <w:bookmarkStart w:id="340" w:name="_Toc482003917"/>
      <w:r w:rsidRPr="000855B2">
        <w:t>Point of enquiry</w:t>
      </w:r>
      <w:bookmarkEnd w:id="340"/>
    </w:p>
    <w:p w14:paraId="7FB35453" w14:textId="613FF6AC" w:rsidR="001E5AC0" w:rsidRPr="000855B2" w:rsidRDefault="001E5AC0" w:rsidP="001E5AC0">
      <w:pPr>
        <w:rPr>
          <w:szCs w:val="21"/>
          <w:lang w:val="en-GB"/>
        </w:rPr>
      </w:pPr>
      <w:r w:rsidRPr="000855B2">
        <w:rPr>
          <w:rFonts w:eastAsia="MS Mincho"/>
          <w:szCs w:val="21"/>
          <w:lang w:val="en-GB" w:eastAsia="ja-JP"/>
        </w:rPr>
        <w:t xml:space="preserve">Enquiries concerning this chapter should be directed to the relevant leader(s) of the Task Force on Emission Inventories and Projection’s expert panel on Transport. </w:t>
      </w:r>
      <w:r w:rsidR="008E4816" w:rsidRPr="000855B2">
        <w:rPr>
          <w:rFonts w:eastAsia="MS Mincho"/>
          <w:szCs w:val="21"/>
          <w:lang w:val="en-GB" w:eastAsia="ja-JP"/>
        </w:rPr>
        <w:t>Please refer to the TFEIP website (</w:t>
      </w:r>
      <w:hyperlink r:id="rId59" w:history="1">
        <w:r w:rsidR="008E4816" w:rsidRPr="000855B2">
          <w:rPr>
            <w:rStyle w:val="Hyperlink"/>
            <w:rFonts w:eastAsia="MS Mincho"/>
            <w:szCs w:val="21"/>
            <w:lang w:val="en-GB" w:eastAsia="ja-JP"/>
          </w:rPr>
          <w:t>www.tfeip-secretariat.org/</w:t>
        </w:r>
      </w:hyperlink>
      <w:r w:rsidR="008E4816" w:rsidRPr="000855B2">
        <w:rPr>
          <w:rFonts w:eastAsia="MS Mincho"/>
          <w:szCs w:val="21"/>
          <w:lang w:val="en-GB" w:eastAsia="ja-JP"/>
        </w:rPr>
        <w:t>) for the contact details of the current expert panel leaders.</w:t>
      </w:r>
    </w:p>
    <w:p w14:paraId="1DB6EDFD" w14:textId="77777777" w:rsidR="001D2587" w:rsidRPr="000855B2" w:rsidRDefault="001D2587">
      <w:pPr>
        <w:rPr>
          <w:lang w:val="en-GB"/>
        </w:rPr>
      </w:pPr>
    </w:p>
    <w:p w14:paraId="0DD4C3E0" w14:textId="77777777" w:rsidR="001D2587" w:rsidRPr="000855B2" w:rsidRDefault="001D2587" w:rsidP="00EA3292">
      <w:pPr>
        <w:pStyle w:val="Heading1"/>
        <w:numPr>
          <w:ilvl w:val="0"/>
          <w:numId w:val="0"/>
        </w:numPr>
      </w:pPr>
      <w:r w:rsidRPr="000855B2">
        <w:br w:type="page"/>
      </w:r>
      <w:bookmarkStart w:id="341" w:name="_Toc200272634"/>
      <w:bookmarkStart w:id="342" w:name="_Toc482003918"/>
      <w:r w:rsidRPr="000855B2">
        <w:lastRenderedPageBreak/>
        <w:t>A</w:t>
      </w:r>
      <w:r w:rsidR="00B5186D" w:rsidRPr="000855B2">
        <w:t>ppendix</w:t>
      </w:r>
      <w:r w:rsidRPr="000855B2">
        <w:t xml:space="preserve"> 1</w:t>
      </w:r>
      <w:r w:rsidR="00B5186D" w:rsidRPr="000855B2">
        <w:tab/>
      </w:r>
      <w:bookmarkStart w:id="343" w:name="_Ref197485004"/>
      <w:r w:rsidRPr="000855B2">
        <w:t xml:space="preserve">Bulk </w:t>
      </w:r>
      <w:r w:rsidR="00002FF2" w:rsidRPr="000855B2">
        <w:t xml:space="preserve">Tier 1 </w:t>
      </w:r>
      <w:r w:rsidRPr="000855B2">
        <w:t>emission factors for selected European countries</w:t>
      </w:r>
      <w:bookmarkEnd w:id="341"/>
      <w:bookmarkEnd w:id="342"/>
      <w:bookmarkEnd w:id="343"/>
    </w:p>
    <w:p w14:paraId="366B2E5C" w14:textId="6DE71CAB" w:rsidR="001D2587" w:rsidRPr="000855B2" w:rsidRDefault="001D2587" w:rsidP="00DE272E">
      <w:pPr>
        <w:pStyle w:val="BodyText"/>
      </w:pPr>
      <w:r w:rsidRPr="000855B2">
        <w:t>The Tie</w:t>
      </w:r>
      <w:r w:rsidR="00D73F59" w:rsidRPr="000855B2">
        <w:t>r 1</w:t>
      </w:r>
      <w:r w:rsidRPr="000855B2">
        <w:t xml:space="preserve"> approach uses general emission factors</w:t>
      </w:r>
      <w:r w:rsidR="008B1F75" w:rsidRPr="000855B2">
        <w:t xml:space="preserve"> which are</w:t>
      </w:r>
      <w:r w:rsidRPr="000855B2">
        <w:t xml:space="preserve"> averag</w:t>
      </w:r>
      <w:r w:rsidR="008B1F75" w:rsidRPr="000855B2">
        <w:t>ed</w:t>
      </w:r>
      <w:r w:rsidRPr="000855B2">
        <w:t xml:space="preserve"> over a number of key parameters. A more detailed alternative would be to use data at a national level. This has been achieved by </w:t>
      </w:r>
      <w:r w:rsidRPr="000855B2">
        <w:rPr>
          <w:i/>
        </w:rPr>
        <w:t>a</w:t>
      </w:r>
      <w:r w:rsidR="008B1F75" w:rsidRPr="000855B2">
        <w:rPr>
          <w:i/>
        </w:rPr>
        <w:t xml:space="preserve"> </w:t>
      </w:r>
      <w:r w:rsidRPr="000855B2">
        <w:rPr>
          <w:i/>
        </w:rPr>
        <w:t>priori</w:t>
      </w:r>
      <w:r w:rsidRPr="000855B2">
        <w:t xml:space="preserve"> introducing a large number of data and estimates to come up with aggregated emission factors. The production of these emission factors has been performed using the activity data from </w:t>
      </w:r>
      <w:r w:rsidR="00C0504E" w:rsidRPr="000855B2">
        <w:t>EC4MACS</w:t>
      </w:r>
      <w:r w:rsidRPr="000855B2">
        <w:t xml:space="preserve"> </w:t>
      </w:r>
      <w:r w:rsidR="002C1E3C" w:rsidRPr="000855B2">
        <w:t>(</w:t>
      </w:r>
      <w:r w:rsidR="009879AC" w:rsidRPr="000855B2">
        <w:t>www.</w:t>
      </w:r>
      <w:r w:rsidR="00C0504E" w:rsidRPr="000855B2">
        <w:t>ec4macs.eu</w:t>
      </w:r>
      <w:r w:rsidR="002C1E3C" w:rsidRPr="000855B2">
        <w:t xml:space="preserve">) </w:t>
      </w:r>
      <w:r w:rsidRPr="000855B2">
        <w:t xml:space="preserve">and the methodology of </w:t>
      </w:r>
      <w:r w:rsidR="00461783">
        <w:t>COPERT</w:t>
      </w:r>
      <w:r w:rsidRPr="000855B2">
        <w:t xml:space="preserve"> 4 v</w:t>
      </w:r>
      <w:r w:rsidR="00C0504E" w:rsidRPr="000855B2">
        <w:t>8</w:t>
      </w:r>
      <w:r w:rsidRPr="000855B2">
        <w:t>.0</w:t>
      </w:r>
      <w:r w:rsidR="002C1E3C" w:rsidRPr="000855B2">
        <w:t xml:space="preserve"> (</w:t>
      </w:r>
      <w:bookmarkStart w:id="344" w:name="_Hlk201987458"/>
      <w:r w:rsidR="00E17971" w:rsidRPr="000855B2">
        <w:fldChar w:fldCharType="begin"/>
      </w:r>
      <w:r w:rsidR="001E5FF2" w:rsidRPr="000855B2">
        <w:instrText xml:space="preserve"> HYPERLINK "http://www.emisia.com/copert" </w:instrText>
      </w:r>
      <w:r w:rsidR="00E17971" w:rsidRPr="000855B2">
        <w:fldChar w:fldCharType="separate"/>
      </w:r>
      <w:r w:rsidR="001E5FF2" w:rsidRPr="000855B2">
        <w:rPr>
          <w:rStyle w:val="Hyperlink"/>
        </w:rPr>
        <w:t>http://www.emisia.com/copert</w:t>
      </w:r>
      <w:r w:rsidR="00E17971" w:rsidRPr="000855B2">
        <w:fldChar w:fldCharType="end"/>
      </w:r>
      <w:bookmarkEnd w:id="344"/>
      <w:r w:rsidR="002C1E3C" w:rsidRPr="000855B2">
        <w:t>)</w:t>
      </w:r>
      <w:r w:rsidRPr="000855B2">
        <w:t>.</w:t>
      </w:r>
    </w:p>
    <w:p w14:paraId="06A31BFF" w14:textId="77777777" w:rsidR="0071604C" w:rsidRDefault="001D2587" w:rsidP="00131917">
      <w:pPr>
        <w:pStyle w:val="BodyText"/>
      </w:pPr>
      <w:r w:rsidRPr="000855B2">
        <w:t>In principle,</w:t>
      </w:r>
      <w:r w:rsidR="002C1E3C" w:rsidRPr="000855B2">
        <w:t xml:space="preserve"> for the Tie</w:t>
      </w:r>
      <w:r w:rsidR="00D73F59" w:rsidRPr="000855B2">
        <w:t>r 1</w:t>
      </w:r>
      <w:r w:rsidR="002C1E3C" w:rsidRPr="000855B2">
        <w:t xml:space="preserve"> method</w:t>
      </w:r>
      <w:r w:rsidRPr="000855B2">
        <w:t xml:space="preserve"> any energy consumption</w:t>
      </w:r>
      <w:r w:rsidR="008B1F75" w:rsidRPr="000855B2">
        <w:t>-</w:t>
      </w:r>
      <w:r w:rsidRPr="000855B2">
        <w:t>related figure can substitute FC</w:t>
      </w:r>
      <w:r w:rsidR="00030BF7" w:rsidRPr="000855B2">
        <w:rPr>
          <w:vertAlign w:val="subscript"/>
        </w:rPr>
        <w:t>j,m</w:t>
      </w:r>
      <w:r w:rsidRPr="000855B2">
        <w:t xml:space="preserve"> value</w:t>
      </w:r>
      <w:r w:rsidR="00030BF7" w:rsidRPr="000855B2">
        <w:t xml:space="preserve"> in </w:t>
      </w:r>
      <w:r w:rsidR="003C2DC5" w:rsidRPr="000855B2">
        <w:t>equation</w:t>
      </w:r>
      <w:r w:rsidR="00030BF7" w:rsidRPr="000855B2">
        <w:t xml:space="preserve"> </w:t>
      </w:r>
      <w:r w:rsidR="00FB454C">
        <w:fldChar w:fldCharType="begin"/>
      </w:r>
      <w:r w:rsidR="00FB454C">
        <w:instrText xml:space="preserve"> REF _Ref201987592 \h  \* MERGEFORMAT </w:instrText>
      </w:r>
      <w:r w:rsidR="00FB454C">
        <w:fldChar w:fldCharType="separate"/>
      </w:r>
      <w:r w:rsidR="0071604C" w:rsidRPr="000855B2">
        <w:t>(</w:t>
      </w:r>
      <w:r w:rsidR="0071604C">
        <w:rPr>
          <w:noProof/>
        </w:rPr>
        <w:t>1</w:t>
      </w:r>
      <w:r w:rsidR="0071604C" w:rsidRPr="000855B2">
        <w:rPr>
          <w:noProof/>
        </w:rPr>
        <w:t>)</w:t>
      </w:r>
      <w:r w:rsidR="00FB454C">
        <w:fldChar w:fldCharType="end"/>
      </w:r>
      <w:r w:rsidRPr="000855B2">
        <w:t xml:space="preserve">. One may choose to use total vehicle-kilometres or passenger-kilometres, </w:t>
      </w:r>
      <w:r w:rsidR="00D73F59" w:rsidRPr="000855B2">
        <w:t>etc</w:t>
      </w:r>
      <w:r w:rsidRPr="000855B2">
        <w:t>. However, we have chosen fuel consumption because it is a widely reported figure</w:t>
      </w:r>
      <w:r w:rsidR="008B1F75" w:rsidRPr="000855B2">
        <w:t>,</w:t>
      </w:r>
      <w:r w:rsidRPr="000855B2">
        <w:t xml:space="preserve"> and one which even the occasional user of the methodology has a</w:t>
      </w:r>
      <w:r w:rsidR="008B1F75" w:rsidRPr="000855B2">
        <w:t>n understanding</w:t>
      </w:r>
      <w:r w:rsidRPr="000855B2">
        <w:t xml:space="preserve"> of. </w:t>
      </w:r>
      <w:r w:rsidR="008B1F75" w:rsidRPr="000855B2">
        <w:t>W</w:t>
      </w:r>
      <w:r w:rsidRPr="000855B2">
        <w:t xml:space="preserve">e </w:t>
      </w:r>
      <w:r w:rsidR="008B1F75" w:rsidRPr="000855B2">
        <w:t xml:space="preserve">also </w:t>
      </w:r>
      <w:r w:rsidRPr="000855B2">
        <w:t xml:space="preserve">propose to </w:t>
      </w:r>
      <w:r w:rsidR="00C43D5F" w:rsidRPr="000855B2">
        <w:t>group</w:t>
      </w:r>
      <w:r w:rsidRPr="000855B2">
        <w:t xml:space="preserve"> </w:t>
      </w:r>
      <w:r w:rsidR="008B1F75" w:rsidRPr="000855B2">
        <w:t xml:space="preserve">the </w:t>
      </w:r>
      <w:r w:rsidRPr="000855B2">
        <w:t xml:space="preserve">vehicle categories </w:t>
      </w:r>
      <w:r w:rsidR="008B1F75" w:rsidRPr="000855B2">
        <w:t>in</w:t>
      </w:r>
      <w:r w:rsidRPr="000855B2">
        <w:t xml:space="preserve"> </w:t>
      </w:r>
      <w:r w:rsidR="00E17971">
        <w:fldChar w:fldCharType="begin"/>
      </w:r>
      <w:r w:rsidR="00B642C6">
        <w:instrText xml:space="preserve"> REF _Ref461359945 \h </w:instrText>
      </w:r>
      <w:r w:rsidR="00E17971">
        <w:fldChar w:fldCharType="separate"/>
      </w:r>
    </w:p>
    <w:p w14:paraId="3A75C062" w14:textId="77777777" w:rsidR="0071604C" w:rsidRDefault="0071604C" w:rsidP="00131917">
      <w:pPr>
        <w:pStyle w:val="BodyText"/>
      </w:pPr>
    </w:p>
    <w:p w14:paraId="13138809" w14:textId="395EB7C4" w:rsidR="001D2587" w:rsidRPr="000855B2" w:rsidRDefault="00E17971" w:rsidP="00DE272E">
      <w:pPr>
        <w:pStyle w:val="BodyText"/>
      </w:pPr>
      <w:r>
        <w:fldChar w:fldCharType="end"/>
      </w:r>
      <w:r w:rsidR="00B642C6">
        <w:t xml:space="preserve"> to </w:t>
      </w:r>
      <w:r w:rsidR="001D2587" w:rsidRPr="000855B2">
        <w:t xml:space="preserve">come up with simplified emission factors. The split adopted is </w:t>
      </w:r>
      <w:r w:rsidR="008B1F75" w:rsidRPr="000855B2">
        <w:t>shown</w:t>
      </w:r>
      <w:r w:rsidR="001D2587" w:rsidRPr="000855B2">
        <w:t xml:space="preserve"> in </w:t>
      </w:r>
      <w:r w:rsidR="00FB454C">
        <w:fldChar w:fldCharType="begin"/>
      </w:r>
      <w:r w:rsidR="00FB454C">
        <w:instrText xml:space="preserve"> REF _Ref172093469 \h  \* MERGEFORMAT </w:instrText>
      </w:r>
      <w:r w:rsidR="00FB454C">
        <w:fldChar w:fldCharType="separate"/>
      </w:r>
      <w:r w:rsidR="0071604C" w:rsidRPr="000855B2">
        <w:t>Table</w:t>
      </w:r>
      <w:r w:rsidR="0071604C">
        <w:t xml:space="preserve"> A1</w:t>
      </w:r>
      <w:r w:rsidR="0071604C" w:rsidRPr="000855B2">
        <w:noBreakHyphen/>
      </w:r>
      <w:r w:rsidR="0071604C">
        <w:t>0.1</w:t>
      </w:r>
      <w:r w:rsidR="00FB454C">
        <w:fldChar w:fldCharType="end"/>
      </w:r>
      <w:r w:rsidR="008B1F75" w:rsidRPr="000855B2">
        <w:t>,</w:t>
      </w:r>
      <w:r w:rsidR="001D2587" w:rsidRPr="000855B2">
        <w:t xml:space="preserve"> together with the range of </w:t>
      </w:r>
      <w:smartTag w:uri="urn:schemas-microsoft-com:office:smarttags" w:element="stockticker">
        <w:r w:rsidR="001D2587" w:rsidRPr="000855B2">
          <w:t>SNAP</w:t>
        </w:r>
      </w:smartTag>
      <w:r w:rsidR="001D2587" w:rsidRPr="000855B2">
        <w:t xml:space="preserve"> codes included </w:t>
      </w:r>
      <w:r w:rsidR="008B1F75" w:rsidRPr="000855B2">
        <w:t>for</w:t>
      </w:r>
      <w:r w:rsidR="001D2587" w:rsidRPr="000855B2">
        <w:t xml:space="preserve"> each vehicle category j. The simplified methodology does not deal with LPG</w:t>
      </w:r>
      <w:r w:rsidR="008B1F75" w:rsidRPr="000855B2">
        <w:t xml:space="preserve"> vehicles</w:t>
      </w:r>
      <w:r w:rsidR="001D2587" w:rsidRPr="000855B2">
        <w:t xml:space="preserve">, </w:t>
      </w:r>
      <w:r w:rsidR="00C97944" w:rsidRPr="000855B2">
        <w:t>two-stroke</w:t>
      </w:r>
      <w:r w:rsidR="001D2587" w:rsidRPr="000855B2">
        <w:t xml:space="preserve"> </w:t>
      </w:r>
      <w:r w:rsidR="008B1F75" w:rsidRPr="000855B2">
        <w:t xml:space="preserve">cars, </w:t>
      </w:r>
      <w:r w:rsidR="001D2587" w:rsidRPr="000855B2">
        <w:t xml:space="preserve">and </w:t>
      </w:r>
      <w:r w:rsidR="005E4DC4">
        <w:t>petrol</w:t>
      </w:r>
      <w:r w:rsidR="001D2587" w:rsidRPr="000855B2">
        <w:t xml:space="preserve"> heavy-duty vehicles because of their small contribution to a national inventory.</w:t>
      </w:r>
      <w:r w:rsidR="00FB454C">
        <w:fldChar w:fldCharType="begin"/>
      </w:r>
      <w:r w:rsidR="00FB454C">
        <w:instrText xml:space="preserve"> REF _Ref171996161 \h  \* MERGEFORMAT </w:instrText>
      </w:r>
      <w:r w:rsidR="00FB454C">
        <w:fldChar w:fldCharType="separate"/>
      </w:r>
      <w:r w:rsidR="0071604C" w:rsidRPr="008D1A83">
        <w:t>Table A1</w:t>
      </w:r>
      <w:r w:rsidR="0071604C" w:rsidRPr="008D1A83">
        <w:noBreakHyphen/>
      </w:r>
      <w:r w:rsidR="0071604C">
        <w:t>0.2</w:t>
      </w:r>
      <w:r w:rsidR="00FB454C">
        <w:fldChar w:fldCharType="end"/>
      </w:r>
      <w:r w:rsidR="001D2587" w:rsidRPr="000855B2">
        <w:t xml:space="preserve"> to </w:t>
      </w:r>
      <w:r w:rsidR="00FB454C">
        <w:fldChar w:fldCharType="begin"/>
      </w:r>
      <w:r w:rsidR="00FB454C">
        <w:instrText xml:space="preserve"> REF _Ref201137280 \h  \* MERGEFORMAT </w:instrText>
      </w:r>
      <w:r w:rsidR="00FB454C">
        <w:fldChar w:fldCharType="separate"/>
      </w:r>
      <w:r w:rsidR="0071604C" w:rsidRPr="000855B2">
        <w:t>Table </w:t>
      </w:r>
      <w:r w:rsidR="0071604C">
        <w:t>A1</w:t>
      </w:r>
      <w:r w:rsidR="0071604C" w:rsidRPr="000855B2">
        <w:noBreakHyphen/>
      </w:r>
      <w:r w:rsidR="0071604C">
        <w:t>0.31</w:t>
      </w:r>
      <w:r w:rsidR="00FB454C">
        <w:fldChar w:fldCharType="end"/>
      </w:r>
      <w:r w:rsidR="009F0BAC" w:rsidRPr="000855B2">
        <w:t xml:space="preserve"> </w:t>
      </w:r>
      <w:r w:rsidR="001D2587" w:rsidRPr="000855B2">
        <w:t>provide fuel consumption</w:t>
      </w:r>
      <w:r w:rsidR="000D26BE" w:rsidRPr="000855B2">
        <w:t>-</w:t>
      </w:r>
      <w:r w:rsidR="001D2587" w:rsidRPr="000855B2">
        <w:t xml:space="preserve">specific emission factors for </w:t>
      </w:r>
      <w:r w:rsidR="000D26BE" w:rsidRPr="000855B2">
        <w:t xml:space="preserve">the </w:t>
      </w:r>
      <w:r w:rsidR="001D2587" w:rsidRPr="000855B2">
        <w:t xml:space="preserve">main pollutants for </w:t>
      </w:r>
      <w:r w:rsidR="0015473A" w:rsidRPr="000855B2">
        <w:t>a number of countries</w:t>
      </w:r>
      <w:r w:rsidR="000D26BE" w:rsidRPr="000855B2">
        <w:t>,</w:t>
      </w:r>
      <w:r w:rsidR="001D2587" w:rsidRPr="000855B2">
        <w:t xml:space="preserve"> and </w:t>
      </w:r>
      <w:r w:rsidR="000D26BE" w:rsidRPr="000855B2">
        <w:t xml:space="preserve">also for </w:t>
      </w:r>
      <w:r w:rsidR="001D2587" w:rsidRPr="000855B2">
        <w:t xml:space="preserve">countries classified as CC4, BC and </w:t>
      </w:r>
      <w:smartTag w:uri="urn:schemas-microsoft-com:office:smarttags" w:element="stockticker">
        <w:r w:rsidR="001D2587" w:rsidRPr="000855B2">
          <w:t>NIS</w:t>
        </w:r>
      </w:smartTag>
      <w:r w:rsidR="001D2587" w:rsidRPr="000855B2">
        <w:t xml:space="preserve">. These emission factors should be combined with fuel consumption </w:t>
      </w:r>
      <w:r w:rsidR="000D26BE" w:rsidRPr="000855B2">
        <w:t>data by</w:t>
      </w:r>
      <w:r w:rsidR="001D2587" w:rsidRPr="000855B2">
        <w:t xml:space="preserve"> vehicle category to provide total emission estimates. In particular for CO</w:t>
      </w:r>
      <w:r w:rsidR="001D2587" w:rsidRPr="000855B2">
        <w:rPr>
          <w:vertAlign w:val="subscript"/>
        </w:rPr>
        <w:t>2</w:t>
      </w:r>
      <w:r w:rsidR="001D2587" w:rsidRPr="000855B2">
        <w:t xml:space="preserve">, the emission factor corresponds to the </w:t>
      </w:r>
      <w:r w:rsidR="000D26BE" w:rsidRPr="000855B2">
        <w:t xml:space="preserve">exhaust emission </w:t>
      </w:r>
      <w:r w:rsidR="001D2587" w:rsidRPr="000855B2">
        <w:t>and not ultimate CO</w:t>
      </w:r>
      <w:r w:rsidR="001D2587" w:rsidRPr="000855B2">
        <w:rPr>
          <w:vertAlign w:val="subscript"/>
        </w:rPr>
        <w:t>2</w:t>
      </w:r>
      <w:r w:rsidR="001D2587" w:rsidRPr="000855B2">
        <w:t>. For definition</w:t>
      </w:r>
      <w:r w:rsidR="000D26BE" w:rsidRPr="000855B2">
        <w:t>s</w:t>
      </w:r>
      <w:r w:rsidR="001D2587" w:rsidRPr="000855B2">
        <w:t xml:space="preserve"> and </w:t>
      </w:r>
      <w:r w:rsidR="000D26BE" w:rsidRPr="000855B2">
        <w:t xml:space="preserve">a </w:t>
      </w:r>
      <w:r w:rsidR="001D2587" w:rsidRPr="000855B2">
        <w:t xml:space="preserve">conversion between the two, refer to </w:t>
      </w:r>
      <w:r w:rsidR="00F078C9" w:rsidRPr="000855B2">
        <w:t>sub</w:t>
      </w:r>
      <w:r w:rsidR="001D2587" w:rsidRPr="000855B2">
        <w:t>section</w:t>
      </w:r>
      <w:r w:rsidR="003C2DC5" w:rsidRPr="000855B2">
        <w:t> </w:t>
      </w:r>
      <w:r w:rsidR="00FB454C">
        <w:fldChar w:fldCharType="begin"/>
      </w:r>
      <w:r w:rsidR="00FB454C">
        <w:instrText xml:space="preserve"> REF _Ref144973018 \r \h  \* MERGEFORMAT </w:instrText>
      </w:r>
      <w:r w:rsidR="00FB454C">
        <w:fldChar w:fldCharType="separate"/>
      </w:r>
      <w:r w:rsidR="0071604C">
        <w:t>0</w:t>
      </w:r>
      <w:r w:rsidR="00FB454C">
        <w:fldChar w:fldCharType="end"/>
      </w:r>
      <w:r w:rsidR="001D2587" w:rsidRPr="000855B2">
        <w:t>. The emission factor production is based on a large number of assumptions concerning vehicle technology mix (</w:t>
      </w:r>
      <w:r w:rsidR="00D73F59" w:rsidRPr="000855B2">
        <w:t>e.g</w:t>
      </w:r>
      <w:r w:rsidR="001D2587" w:rsidRPr="000855B2">
        <w:rPr>
          <w:i/>
        </w:rPr>
        <w:t>.</w:t>
      </w:r>
      <w:r w:rsidR="001D2587" w:rsidRPr="000855B2">
        <w:t xml:space="preserve"> share of passenger cars </w:t>
      </w:r>
      <w:r w:rsidR="000D26BE" w:rsidRPr="000855B2">
        <w:t>in</w:t>
      </w:r>
      <w:r w:rsidR="001D2587" w:rsidRPr="000855B2">
        <w:t xml:space="preserve"> different ECE and Euro </w:t>
      </w:r>
      <w:r w:rsidR="000D26BE" w:rsidRPr="000855B2">
        <w:t>classes</w:t>
      </w:r>
      <w:r w:rsidR="001D2587" w:rsidRPr="000855B2">
        <w:t xml:space="preserve">), driving conditions (travelling speeds, </w:t>
      </w:r>
      <w:r w:rsidR="00D73F59" w:rsidRPr="000855B2">
        <w:t>etc</w:t>
      </w:r>
      <w:r w:rsidR="001D2587" w:rsidRPr="000855B2">
        <w:rPr>
          <w:i/>
        </w:rPr>
        <w:t>.</w:t>
      </w:r>
      <w:r w:rsidR="001D2587" w:rsidRPr="000855B2">
        <w:t>) and even climatic conditions (temperature). Such assumptions</w:t>
      </w:r>
      <w:r w:rsidR="000D26BE" w:rsidRPr="000855B2">
        <w:t>,</w:t>
      </w:r>
      <w:r w:rsidR="001D2587" w:rsidRPr="000855B2">
        <w:t xml:space="preserve"> as well as the methodology to produce vehicle fleet compositions</w:t>
      </w:r>
      <w:r w:rsidR="000D26BE" w:rsidRPr="000855B2">
        <w:t>,</w:t>
      </w:r>
      <w:r w:rsidR="001D2587" w:rsidRPr="000855B2">
        <w:t xml:space="preserve"> is described in detail in relevant literature (</w:t>
      </w:r>
      <w:r w:rsidR="00D73F59" w:rsidRPr="000855B2">
        <w:t>e.g</w:t>
      </w:r>
      <w:r w:rsidR="001D2587" w:rsidRPr="000855B2">
        <w:rPr>
          <w:i/>
        </w:rPr>
        <w:t>.</w:t>
      </w:r>
      <w:r w:rsidR="001D2587" w:rsidRPr="000855B2">
        <w:t xml:space="preserve"> Zachariadis </w:t>
      </w:r>
      <w:r w:rsidR="00D73F59" w:rsidRPr="000855B2">
        <w:rPr>
          <w:iCs/>
        </w:rPr>
        <w:t>et al</w:t>
      </w:r>
      <w:r w:rsidR="001D2587" w:rsidRPr="000855B2">
        <w:t>., 2001). There are a number of clarifications which need to be made for the relevance and range of application of th</w:t>
      </w:r>
      <w:r w:rsidR="000D26BE" w:rsidRPr="000855B2">
        <w:t>e</w:t>
      </w:r>
      <w:r w:rsidR="001D2587" w:rsidRPr="000855B2">
        <w:t>se emission factors</w:t>
      </w:r>
      <w:r w:rsidR="000D26BE" w:rsidRPr="000855B2">
        <w:t xml:space="preserve">; </w:t>
      </w:r>
      <w:r w:rsidR="001D2587" w:rsidRPr="000855B2">
        <w:t>most of the shortcomings are thoroughly discussed by Ntziachristos et. al. (2002):</w:t>
      </w:r>
    </w:p>
    <w:p w14:paraId="6F5678F0" w14:textId="77777777" w:rsidR="001D2587" w:rsidRPr="000855B2" w:rsidRDefault="003C2DC5" w:rsidP="00DE272E">
      <w:pPr>
        <w:pStyle w:val="ListBullet"/>
      </w:pPr>
      <w:r w:rsidRPr="000855B2">
        <w:t>t</w:t>
      </w:r>
      <w:r w:rsidR="001D2587" w:rsidRPr="000855B2">
        <w:t xml:space="preserve">hey have not been calculated </w:t>
      </w:r>
      <w:r w:rsidR="00C0504E" w:rsidRPr="000855B2">
        <w:t xml:space="preserve">strictly </w:t>
      </w:r>
      <w:r w:rsidR="001D2587" w:rsidRPr="000855B2">
        <w:t>on the basis of national submitted data</w:t>
      </w:r>
      <w:r w:rsidR="000D26BE" w:rsidRPr="000855B2">
        <w:t>,</w:t>
      </w:r>
      <w:r w:rsidR="001D2587" w:rsidRPr="000855B2">
        <w:t xml:space="preserve"> but following a uniform methodology across all countries (</w:t>
      </w:r>
      <w:r w:rsidR="00C0504E" w:rsidRPr="000855B2">
        <w:t>EC4MACS</w:t>
      </w:r>
      <w:r w:rsidR="001D2587" w:rsidRPr="000855B2">
        <w:t xml:space="preserve">). Hence, combination with the activity data </w:t>
      </w:r>
      <w:r w:rsidR="000D26BE" w:rsidRPr="000855B2">
        <w:t xml:space="preserve">also </w:t>
      </w:r>
      <w:r w:rsidR="001D2587" w:rsidRPr="000855B2">
        <w:t xml:space="preserve">proposed in this </w:t>
      </w:r>
      <w:r w:rsidR="000D26BE" w:rsidRPr="000855B2">
        <w:t>chapter</w:t>
      </w:r>
      <w:r w:rsidR="001D2587" w:rsidRPr="000855B2">
        <w:t xml:space="preserve"> should not be expected </w:t>
      </w:r>
      <w:r w:rsidR="00030BF7" w:rsidRPr="000855B2">
        <w:t xml:space="preserve">to </w:t>
      </w:r>
      <w:r w:rsidR="001D2587" w:rsidRPr="000855B2">
        <w:t xml:space="preserve">provide consistent results with the official data </w:t>
      </w:r>
      <w:r w:rsidR="001A209B" w:rsidRPr="000855B2">
        <w:t>reported by countries;</w:t>
      </w:r>
    </w:p>
    <w:p w14:paraId="636A8DD1" w14:textId="77777777" w:rsidR="001D2587" w:rsidRPr="000855B2" w:rsidRDefault="003C2DC5" w:rsidP="00DE272E">
      <w:pPr>
        <w:pStyle w:val="ListBullet"/>
      </w:pPr>
      <w:r w:rsidRPr="000855B2">
        <w:t>t</w:t>
      </w:r>
      <w:r w:rsidR="001D2587" w:rsidRPr="000855B2">
        <w:t xml:space="preserve">hey correspond to a fleet composition </w:t>
      </w:r>
      <w:r w:rsidR="000D26BE" w:rsidRPr="000855B2">
        <w:t>in</w:t>
      </w:r>
      <w:r w:rsidR="001D2587" w:rsidRPr="000855B2">
        <w:t xml:space="preserve"> 2005. Their accuracy deteriorates </w:t>
      </w:r>
      <w:r w:rsidR="000D26BE" w:rsidRPr="000855B2">
        <w:t xml:space="preserve">forward </w:t>
      </w:r>
      <w:r w:rsidR="001D2587" w:rsidRPr="000855B2">
        <w:t>from this point because new technologies appear and the contribution of older technologies decreases</w:t>
      </w:r>
      <w:r w:rsidRPr="000855B2">
        <w:t>;</w:t>
      </w:r>
    </w:p>
    <w:p w14:paraId="09CF63DF" w14:textId="77777777" w:rsidR="001D2587" w:rsidRPr="000855B2" w:rsidRDefault="003C2DC5" w:rsidP="00DE272E">
      <w:pPr>
        <w:pStyle w:val="ListBullet"/>
      </w:pPr>
      <w:r w:rsidRPr="000855B2">
        <w:t>t</w:t>
      </w:r>
      <w:r w:rsidR="001D2587" w:rsidRPr="000855B2">
        <w:t>hey correspond to national application</w:t>
      </w:r>
      <w:r w:rsidR="0069595F" w:rsidRPr="000855B2">
        <w:t>s</w:t>
      </w:r>
      <w:r w:rsidR="000D26BE" w:rsidRPr="000855B2">
        <w:t>,</w:t>
      </w:r>
      <w:r w:rsidR="001D2587" w:rsidRPr="000855B2">
        <w:t xml:space="preserve"> including mixed </w:t>
      </w:r>
      <w:r w:rsidR="000D26BE" w:rsidRPr="000855B2">
        <w:t xml:space="preserve">driving </w:t>
      </w:r>
      <w:r w:rsidR="001D2587" w:rsidRPr="000855B2">
        <w:t>conditions (urban congestion to free flow highway).</w:t>
      </w:r>
    </w:p>
    <w:p w14:paraId="7437066D" w14:textId="77777777" w:rsidR="001D2587" w:rsidRPr="000855B2" w:rsidRDefault="001D2587" w:rsidP="00DE272E">
      <w:pPr>
        <w:pStyle w:val="BodyText"/>
      </w:pPr>
      <w:r w:rsidRPr="000855B2">
        <w:t xml:space="preserve">Their range of application can </w:t>
      </w:r>
      <w:r w:rsidR="000D26BE" w:rsidRPr="000855B2">
        <w:t>include</w:t>
      </w:r>
      <w:r w:rsidRPr="000855B2">
        <w:t>:</w:t>
      </w:r>
    </w:p>
    <w:p w14:paraId="7DFE6813" w14:textId="77777777" w:rsidR="001D2587" w:rsidRPr="000855B2" w:rsidRDefault="003C2DC5" w:rsidP="00DE272E">
      <w:pPr>
        <w:pStyle w:val="ListBullet"/>
      </w:pPr>
      <w:r w:rsidRPr="000855B2">
        <w:t>s</w:t>
      </w:r>
      <w:r w:rsidR="001D2587" w:rsidRPr="000855B2">
        <w:t>implified inventories, where rough estimate of the transport contribution is required</w:t>
      </w:r>
      <w:r w:rsidRPr="000855B2">
        <w:t>;</w:t>
      </w:r>
    </w:p>
    <w:p w14:paraId="23EB9112" w14:textId="77777777" w:rsidR="001D2587" w:rsidRPr="000855B2" w:rsidRDefault="003C2DC5" w:rsidP="00DE272E">
      <w:pPr>
        <w:pStyle w:val="ListBullet"/>
      </w:pPr>
      <w:r w:rsidRPr="000855B2">
        <w:t>c</w:t>
      </w:r>
      <w:r w:rsidR="001D2587" w:rsidRPr="000855B2">
        <w:t xml:space="preserve">alculation of emissions when a particular vehicle type is </w:t>
      </w:r>
      <w:r w:rsidR="000D26BE" w:rsidRPr="000855B2">
        <w:t>‘</w:t>
      </w:r>
      <w:r w:rsidR="001D2587" w:rsidRPr="000855B2">
        <w:t>artificially</w:t>
      </w:r>
      <w:r w:rsidR="000D26BE" w:rsidRPr="000855B2">
        <w:t>’</w:t>
      </w:r>
      <w:r w:rsidR="001D2587" w:rsidRPr="000855B2">
        <w:t xml:space="preserve"> promoted or discouraged from circulation (</w:t>
      </w:r>
      <w:r w:rsidR="00D73F59" w:rsidRPr="000855B2">
        <w:t>e.g</w:t>
      </w:r>
      <w:r w:rsidR="001D2587" w:rsidRPr="000855B2">
        <w:t>. dieselisation, promotio</w:t>
      </w:r>
      <w:r w:rsidR="000D26BE" w:rsidRPr="000855B2">
        <w:t>n of two-wheel vehicles</w:t>
      </w:r>
      <w:r w:rsidR="001D2587" w:rsidRPr="000855B2">
        <w:t xml:space="preserve"> in urban areas, </w:t>
      </w:r>
      <w:r w:rsidR="00D73F59" w:rsidRPr="000855B2">
        <w:t>etc</w:t>
      </w:r>
      <w:r w:rsidR="001D2587" w:rsidRPr="000855B2">
        <w:t>)</w:t>
      </w:r>
      <w:r w:rsidRPr="000855B2">
        <w:t>;</w:t>
      </w:r>
    </w:p>
    <w:p w14:paraId="1F29363C" w14:textId="77777777" w:rsidR="001D2587" w:rsidRPr="000855B2" w:rsidRDefault="003C2DC5" w:rsidP="00DE272E">
      <w:pPr>
        <w:pStyle w:val="ListBullet"/>
      </w:pPr>
      <w:r w:rsidRPr="000855B2">
        <w:t>d</w:t>
      </w:r>
      <w:r w:rsidR="001D2587" w:rsidRPr="000855B2">
        <w:t>emonstration of the emission reduction potential when shifting the balance with other modes of transport</w:t>
      </w:r>
      <w:r w:rsidRPr="000855B2">
        <w:t>.</w:t>
      </w:r>
    </w:p>
    <w:p w14:paraId="0B125558" w14:textId="4AE991D5" w:rsidR="001D2587" w:rsidRPr="000855B2" w:rsidRDefault="00095EA7" w:rsidP="008D1A83">
      <w:pPr>
        <w:pStyle w:val="Caption"/>
      </w:pPr>
      <w:bookmarkStart w:id="345" w:name="_Ref172093469"/>
      <w:bookmarkStart w:id="346" w:name="_Ref140399794"/>
      <w:r w:rsidRPr="000855B2">
        <w:lastRenderedPageBreak/>
        <w:t>Table</w:t>
      </w:r>
      <w:r w:rsidR="00B642C6">
        <w:t xml:space="preserve"> 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w:t>
      </w:r>
      <w:r w:rsidR="00FB454C">
        <w:rPr>
          <w:noProof/>
        </w:rPr>
        <w:fldChar w:fldCharType="end"/>
      </w:r>
      <w:bookmarkEnd w:id="345"/>
      <w:r w:rsidR="001D2587" w:rsidRPr="000855B2">
        <w:t xml:space="preserve">: Vehicle categories for application of the simplified methodology and respective </w:t>
      </w:r>
      <w:smartTag w:uri="urn:schemas-microsoft-com:office:smarttags" w:element="stockticker">
        <w:r w:rsidR="001D2587" w:rsidRPr="000855B2">
          <w:t>SNAP</w:t>
        </w:r>
      </w:smartTag>
      <w:r w:rsidR="001D2587" w:rsidRPr="000855B2">
        <w:t xml:space="preserve">-like ranges from </w:t>
      </w:r>
      <w:r w:rsidRPr="000855B2">
        <w:t>Table </w:t>
      </w:r>
      <w:r w:rsidR="001D2587" w:rsidRPr="000855B2">
        <w:t>2-1.</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67"/>
        <w:gridCol w:w="3261"/>
      </w:tblGrid>
      <w:tr w:rsidR="001D2587" w:rsidRPr="000855B2" w14:paraId="054ED865" w14:textId="77777777" w:rsidTr="00192A58">
        <w:tc>
          <w:tcPr>
            <w:tcW w:w="3067" w:type="dxa"/>
            <w:tcBorders>
              <w:top w:val="double" w:sz="4" w:space="0" w:color="auto"/>
              <w:bottom w:val="single" w:sz="12" w:space="0" w:color="auto"/>
            </w:tcBorders>
            <w:vAlign w:val="center"/>
          </w:tcPr>
          <w:p w14:paraId="5960D7A0" w14:textId="77777777" w:rsidR="001D2587" w:rsidRPr="008D1A83" w:rsidRDefault="001D2587" w:rsidP="00AF4A3C">
            <w:pPr>
              <w:keepNext/>
              <w:jc w:val="center"/>
              <w:rPr>
                <w:sz w:val="16"/>
                <w:szCs w:val="16"/>
                <w:lang w:val="en-GB"/>
              </w:rPr>
            </w:pPr>
            <w:r w:rsidRPr="008D1A83">
              <w:rPr>
                <w:sz w:val="16"/>
                <w:szCs w:val="16"/>
                <w:lang w:val="en-GB"/>
              </w:rPr>
              <w:t>Vehicle category</w:t>
            </w:r>
            <w:r w:rsidR="000F3E28" w:rsidRPr="008D1A83">
              <w:rPr>
                <w:sz w:val="16"/>
                <w:szCs w:val="16"/>
                <w:lang w:val="en-GB"/>
              </w:rPr>
              <w:t xml:space="preserve"> — </w:t>
            </w:r>
            <w:r w:rsidRPr="008D1A83">
              <w:rPr>
                <w:sz w:val="16"/>
                <w:szCs w:val="16"/>
                <w:lang w:val="en-GB"/>
              </w:rPr>
              <w:t>j</w:t>
            </w:r>
          </w:p>
        </w:tc>
        <w:tc>
          <w:tcPr>
            <w:tcW w:w="3261" w:type="dxa"/>
            <w:tcBorders>
              <w:top w:val="double" w:sz="4" w:space="0" w:color="auto"/>
              <w:bottom w:val="single" w:sz="12" w:space="0" w:color="auto"/>
            </w:tcBorders>
            <w:vAlign w:val="center"/>
          </w:tcPr>
          <w:p w14:paraId="733CF9FA" w14:textId="77777777" w:rsidR="001D2587" w:rsidRPr="008D1A83" w:rsidRDefault="001D2587" w:rsidP="00AF4A3C">
            <w:pPr>
              <w:keepNext/>
              <w:jc w:val="center"/>
              <w:rPr>
                <w:sz w:val="16"/>
                <w:szCs w:val="16"/>
                <w:lang w:val="en-GB"/>
              </w:rPr>
            </w:pPr>
            <w:smartTag w:uri="urn:schemas-microsoft-com:office:smarttags" w:element="stockticker">
              <w:r w:rsidRPr="008D1A83">
                <w:rPr>
                  <w:sz w:val="16"/>
                  <w:szCs w:val="16"/>
                  <w:lang w:val="en-GB"/>
                </w:rPr>
                <w:t>SNAP</w:t>
              </w:r>
            </w:smartTag>
            <w:r w:rsidRPr="008D1A83">
              <w:rPr>
                <w:sz w:val="16"/>
                <w:szCs w:val="16"/>
                <w:lang w:val="en-GB"/>
              </w:rPr>
              <w:t xml:space="preserve">-like code ranges included from </w:t>
            </w:r>
            <w:r w:rsidR="00095EA7" w:rsidRPr="008D1A83">
              <w:rPr>
                <w:sz w:val="16"/>
                <w:szCs w:val="16"/>
                <w:lang w:val="en-GB"/>
              </w:rPr>
              <w:t>Table </w:t>
            </w:r>
            <w:r w:rsidRPr="008D1A83">
              <w:rPr>
                <w:sz w:val="16"/>
                <w:szCs w:val="16"/>
                <w:lang w:val="en-GB"/>
              </w:rPr>
              <w:t>2-1</w:t>
            </w:r>
          </w:p>
        </w:tc>
      </w:tr>
      <w:tr w:rsidR="001D2587" w:rsidRPr="000855B2" w14:paraId="783ADC7B" w14:textId="77777777" w:rsidTr="00192A58">
        <w:tc>
          <w:tcPr>
            <w:tcW w:w="3067" w:type="dxa"/>
            <w:tcBorders>
              <w:top w:val="nil"/>
            </w:tcBorders>
            <w:vAlign w:val="center"/>
          </w:tcPr>
          <w:p w14:paraId="3CD055CF" w14:textId="77777777" w:rsidR="001D2587" w:rsidRPr="008D1A83" w:rsidRDefault="004E1503" w:rsidP="00AF4A3C">
            <w:pPr>
              <w:keepNext/>
              <w:rPr>
                <w:sz w:val="16"/>
                <w:szCs w:val="16"/>
                <w:lang w:val="en-GB"/>
              </w:rPr>
            </w:pPr>
            <w:r>
              <w:rPr>
                <w:sz w:val="16"/>
                <w:szCs w:val="16"/>
                <w:lang w:val="en-GB"/>
              </w:rPr>
              <w:t>Petrol</w:t>
            </w:r>
            <w:r w:rsidR="001D2587" w:rsidRPr="008D1A83">
              <w:rPr>
                <w:sz w:val="16"/>
                <w:szCs w:val="16"/>
                <w:lang w:val="en-GB"/>
              </w:rPr>
              <w:t xml:space="preserve"> passenger cars </w:t>
            </w:r>
            <w:r w:rsidR="00D205E2" w:rsidRPr="008D1A83">
              <w:rPr>
                <w:sz w:val="16"/>
                <w:szCs w:val="16"/>
                <w:lang w:val="en-GB"/>
              </w:rPr>
              <w:t>&lt; </w:t>
            </w:r>
            <w:r w:rsidR="001D2587" w:rsidRPr="008D1A83">
              <w:rPr>
                <w:sz w:val="16"/>
                <w:szCs w:val="16"/>
                <w:lang w:val="en-GB"/>
              </w:rPr>
              <w:t>2.5</w:t>
            </w:r>
            <w:r w:rsidR="00391A9C" w:rsidRPr="008D1A83">
              <w:rPr>
                <w:sz w:val="16"/>
                <w:szCs w:val="16"/>
                <w:lang w:val="en-GB"/>
              </w:rPr>
              <w:t> </w:t>
            </w:r>
            <w:r w:rsidR="001D2587" w:rsidRPr="008D1A83">
              <w:rPr>
                <w:sz w:val="16"/>
                <w:szCs w:val="16"/>
                <w:lang w:val="en-GB"/>
              </w:rPr>
              <w:t>t</w:t>
            </w:r>
          </w:p>
        </w:tc>
        <w:tc>
          <w:tcPr>
            <w:tcW w:w="3261" w:type="dxa"/>
            <w:tcBorders>
              <w:top w:val="nil"/>
            </w:tcBorders>
            <w:vAlign w:val="center"/>
          </w:tcPr>
          <w:p w14:paraId="1F78CC1B" w14:textId="77777777" w:rsidR="001D2587" w:rsidRPr="008D1A83" w:rsidRDefault="001D2587" w:rsidP="00AF4A3C">
            <w:pPr>
              <w:keepNext/>
              <w:jc w:val="center"/>
              <w:rPr>
                <w:sz w:val="16"/>
                <w:szCs w:val="16"/>
                <w:lang w:val="en-GB"/>
              </w:rPr>
            </w:pPr>
            <w:r w:rsidRPr="008D1A83">
              <w:rPr>
                <w:sz w:val="16"/>
                <w:szCs w:val="16"/>
                <w:lang w:val="en-GB"/>
              </w:rPr>
              <w:t>07 01 01 01</w:t>
            </w:r>
            <w:r w:rsidR="00391A9C" w:rsidRPr="008D1A83">
              <w:rPr>
                <w:sz w:val="16"/>
                <w:szCs w:val="16"/>
                <w:lang w:val="en-GB"/>
              </w:rPr>
              <w:t>–</w:t>
            </w:r>
            <w:r w:rsidRPr="008D1A83">
              <w:rPr>
                <w:sz w:val="16"/>
                <w:szCs w:val="16"/>
                <w:lang w:val="en-GB"/>
              </w:rPr>
              <w:t>07 01 03 03</w:t>
            </w:r>
          </w:p>
        </w:tc>
      </w:tr>
      <w:tr w:rsidR="001D2587" w:rsidRPr="000855B2" w14:paraId="089A4F04" w14:textId="77777777" w:rsidTr="00192A58">
        <w:tc>
          <w:tcPr>
            <w:tcW w:w="3067" w:type="dxa"/>
            <w:vAlign w:val="center"/>
          </w:tcPr>
          <w:p w14:paraId="05294F20" w14:textId="77777777" w:rsidR="001D2587" w:rsidRPr="008D1A83" w:rsidRDefault="001D2587" w:rsidP="00AF4A3C">
            <w:pPr>
              <w:keepNext/>
              <w:rPr>
                <w:sz w:val="16"/>
                <w:szCs w:val="16"/>
                <w:lang w:val="en-GB"/>
              </w:rPr>
            </w:pPr>
            <w:r w:rsidRPr="008D1A83">
              <w:rPr>
                <w:sz w:val="16"/>
                <w:szCs w:val="16"/>
                <w:lang w:val="en-GB"/>
              </w:rPr>
              <w:t xml:space="preserve">Diesel passenger cars </w:t>
            </w:r>
            <w:r w:rsidR="00D205E2" w:rsidRPr="008D1A83">
              <w:rPr>
                <w:sz w:val="16"/>
                <w:szCs w:val="16"/>
                <w:lang w:val="en-GB"/>
              </w:rPr>
              <w:t>&lt; </w:t>
            </w:r>
            <w:r w:rsidRPr="008D1A83">
              <w:rPr>
                <w:sz w:val="16"/>
                <w:szCs w:val="16"/>
                <w:lang w:val="en-GB"/>
              </w:rPr>
              <w:t>2.5</w:t>
            </w:r>
            <w:r w:rsidR="00391A9C" w:rsidRPr="008D1A83">
              <w:rPr>
                <w:sz w:val="16"/>
                <w:szCs w:val="16"/>
                <w:lang w:val="en-GB"/>
              </w:rPr>
              <w:t> </w:t>
            </w:r>
            <w:r w:rsidRPr="008D1A83">
              <w:rPr>
                <w:sz w:val="16"/>
                <w:szCs w:val="16"/>
                <w:lang w:val="en-GB"/>
              </w:rPr>
              <w:t>t</w:t>
            </w:r>
          </w:p>
        </w:tc>
        <w:tc>
          <w:tcPr>
            <w:tcW w:w="3261" w:type="dxa"/>
            <w:vAlign w:val="center"/>
          </w:tcPr>
          <w:p w14:paraId="1CCD3C98" w14:textId="77777777" w:rsidR="001D2587" w:rsidRPr="008D1A83" w:rsidRDefault="001D2587" w:rsidP="00AF4A3C">
            <w:pPr>
              <w:keepNext/>
              <w:jc w:val="center"/>
              <w:rPr>
                <w:sz w:val="16"/>
                <w:szCs w:val="16"/>
                <w:lang w:val="en-GB"/>
              </w:rPr>
            </w:pPr>
            <w:r w:rsidRPr="008D1A83">
              <w:rPr>
                <w:sz w:val="16"/>
                <w:szCs w:val="16"/>
                <w:lang w:val="en-GB"/>
              </w:rPr>
              <w:t>07 01 04 01</w:t>
            </w:r>
            <w:r w:rsidR="00391A9C" w:rsidRPr="008D1A83">
              <w:rPr>
                <w:sz w:val="16"/>
                <w:szCs w:val="16"/>
                <w:lang w:val="en-GB"/>
              </w:rPr>
              <w:t>–</w:t>
            </w:r>
            <w:r w:rsidRPr="008D1A83">
              <w:rPr>
                <w:sz w:val="16"/>
                <w:szCs w:val="16"/>
                <w:lang w:val="en-GB"/>
              </w:rPr>
              <w:t>07 01 05 03</w:t>
            </w:r>
          </w:p>
        </w:tc>
      </w:tr>
      <w:tr w:rsidR="001D2587" w:rsidRPr="000855B2" w14:paraId="13387396" w14:textId="77777777" w:rsidTr="00192A58">
        <w:tc>
          <w:tcPr>
            <w:tcW w:w="3067" w:type="dxa"/>
            <w:vAlign w:val="center"/>
          </w:tcPr>
          <w:p w14:paraId="22D5FDFC" w14:textId="77777777" w:rsidR="001D2587" w:rsidRPr="00EA3292" w:rsidRDefault="004E1503" w:rsidP="00AF4A3C">
            <w:pPr>
              <w:keepNext/>
              <w:rPr>
                <w:sz w:val="16"/>
                <w:szCs w:val="16"/>
                <w:lang w:val="fr-FR"/>
              </w:rPr>
            </w:pPr>
            <w:r w:rsidRPr="00EA3292">
              <w:rPr>
                <w:sz w:val="16"/>
                <w:szCs w:val="16"/>
                <w:lang w:val="fr-FR"/>
              </w:rPr>
              <w:t>Petrol</w:t>
            </w:r>
            <w:r w:rsidR="001D2587" w:rsidRPr="00EA3292">
              <w:rPr>
                <w:sz w:val="16"/>
                <w:szCs w:val="16"/>
                <w:lang w:val="fr-FR"/>
              </w:rPr>
              <w:t xml:space="preserve"> </w:t>
            </w:r>
            <w:r w:rsidR="00CF67A4" w:rsidRPr="00EA3292">
              <w:rPr>
                <w:sz w:val="16"/>
                <w:szCs w:val="16"/>
                <w:lang w:val="fr-FR"/>
              </w:rPr>
              <w:t>light commercial</w:t>
            </w:r>
            <w:r w:rsidR="001D2587" w:rsidRPr="00EA3292">
              <w:rPr>
                <w:sz w:val="16"/>
                <w:szCs w:val="16"/>
                <w:lang w:val="fr-FR"/>
              </w:rPr>
              <w:t xml:space="preserve"> vehicles </w:t>
            </w:r>
            <w:r w:rsidR="00D205E2" w:rsidRPr="00EA3292">
              <w:rPr>
                <w:sz w:val="16"/>
                <w:szCs w:val="16"/>
                <w:lang w:val="fr-FR"/>
              </w:rPr>
              <w:t>&lt; </w:t>
            </w:r>
            <w:r w:rsidR="001D2587" w:rsidRPr="00EA3292">
              <w:rPr>
                <w:sz w:val="16"/>
                <w:szCs w:val="16"/>
                <w:lang w:val="fr-FR"/>
              </w:rPr>
              <w:t>3.5</w:t>
            </w:r>
            <w:r w:rsidR="00391A9C" w:rsidRPr="00EA3292">
              <w:rPr>
                <w:sz w:val="16"/>
                <w:szCs w:val="16"/>
                <w:lang w:val="fr-FR"/>
              </w:rPr>
              <w:t> </w:t>
            </w:r>
            <w:r w:rsidR="001D2587" w:rsidRPr="00EA3292">
              <w:rPr>
                <w:sz w:val="16"/>
                <w:szCs w:val="16"/>
                <w:lang w:val="fr-FR"/>
              </w:rPr>
              <w:t>t</w:t>
            </w:r>
          </w:p>
        </w:tc>
        <w:tc>
          <w:tcPr>
            <w:tcW w:w="3261" w:type="dxa"/>
            <w:vAlign w:val="center"/>
          </w:tcPr>
          <w:p w14:paraId="067D6280" w14:textId="77777777" w:rsidR="001D2587" w:rsidRPr="008D1A83" w:rsidRDefault="001D2587" w:rsidP="00AF4A3C">
            <w:pPr>
              <w:keepNext/>
              <w:jc w:val="center"/>
              <w:rPr>
                <w:sz w:val="16"/>
                <w:szCs w:val="16"/>
                <w:lang w:val="en-GB"/>
              </w:rPr>
            </w:pPr>
            <w:r w:rsidRPr="008D1A83">
              <w:rPr>
                <w:sz w:val="16"/>
                <w:szCs w:val="16"/>
                <w:lang w:val="en-GB"/>
              </w:rPr>
              <w:t>07 02 01 01</w:t>
            </w:r>
            <w:r w:rsidR="00391A9C" w:rsidRPr="008D1A83">
              <w:rPr>
                <w:sz w:val="16"/>
                <w:szCs w:val="16"/>
                <w:lang w:val="en-GB"/>
              </w:rPr>
              <w:t>–</w:t>
            </w:r>
            <w:r w:rsidRPr="008D1A83">
              <w:rPr>
                <w:sz w:val="16"/>
                <w:szCs w:val="16"/>
                <w:lang w:val="en-GB"/>
              </w:rPr>
              <w:t>07 02 01 03</w:t>
            </w:r>
          </w:p>
        </w:tc>
      </w:tr>
      <w:tr w:rsidR="001D2587" w:rsidRPr="000855B2" w14:paraId="4CCDE0D9" w14:textId="77777777" w:rsidTr="00192A58">
        <w:tc>
          <w:tcPr>
            <w:tcW w:w="3067" w:type="dxa"/>
            <w:vAlign w:val="center"/>
          </w:tcPr>
          <w:p w14:paraId="77B705F9" w14:textId="77777777" w:rsidR="001D2587" w:rsidRPr="00855054" w:rsidRDefault="001D2587" w:rsidP="00AF4A3C">
            <w:pPr>
              <w:keepNext/>
              <w:rPr>
                <w:sz w:val="16"/>
                <w:szCs w:val="16"/>
                <w:lang w:val="fr-FR"/>
              </w:rPr>
            </w:pPr>
            <w:r w:rsidRPr="00855054">
              <w:rPr>
                <w:sz w:val="16"/>
                <w:szCs w:val="16"/>
                <w:lang w:val="fr-FR"/>
              </w:rPr>
              <w:t xml:space="preserve">Diesel </w:t>
            </w:r>
            <w:r w:rsidR="00CF67A4" w:rsidRPr="00855054">
              <w:rPr>
                <w:sz w:val="16"/>
                <w:szCs w:val="16"/>
                <w:lang w:val="fr-FR"/>
              </w:rPr>
              <w:t>light commercial</w:t>
            </w:r>
            <w:r w:rsidRPr="00855054">
              <w:rPr>
                <w:sz w:val="16"/>
                <w:szCs w:val="16"/>
                <w:lang w:val="fr-FR"/>
              </w:rPr>
              <w:t xml:space="preserve"> vehicles </w:t>
            </w:r>
            <w:r w:rsidR="00D205E2" w:rsidRPr="00855054">
              <w:rPr>
                <w:sz w:val="16"/>
                <w:szCs w:val="16"/>
                <w:lang w:val="fr-FR"/>
              </w:rPr>
              <w:t>&lt; </w:t>
            </w:r>
            <w:r w:rsidRPr="00855054">
              <w:rPr>
                <w:sz w:val="16"/>
                <w:szCs w:val="16"/>
                <w:lang w:val="fr-FR"/>
              </w:rPr>
              <w:t>3.5</w:t>
            </w:r>
            <w:r w:rsidR="00391A9C" w:rsidRPr="00855054">
              <w:rPr>
                <w:sz w:val="16"/>
                <w:szCs w:val="16"/>
                <w:lang w:val="fr-FR"/>
              </w:rPr>
              <w:t> </w:t>
            </w:r>
            <w:r w:rsidRPr="00855054">
              <w:rPr>
                <w:sz w:val="16"/>
                <w:szCs w:val="16"/>
                <w:lang w:val="fr-FR"/>
              </w:rPr>
              <w:t>t</w:t>
            </w:r>
          </w:p>
        </w:tc>
        <w:tc>
          <w:tcPr>
            <w:tcW w:w="3261" w:type="dxa"/>
            <w:vAlign w:val="center"/>
          </w:tcPr>
          <w:p w14:paraId="436D2269" w14:textId="77777777" w:rsidR="001D2587" w:rsidRPr="008D1A83" w:rsidRDefault="001D2587" w:rsidP="00AF4A3C">
            <w:pPr>
              <w:keepNext/>
              <w:jc w:val="center"/>
              <w:rPr>
                <w:sz w:val="16"/>
                <w:szCs w:val="16"/>
                <w:lang w:val="en-GB"/>
              </w:rPr>
            </w:pPr>
            <w:r w:rsidRPr="008D1A83">
              <w:rPr>
                <w:sz w:val="16"/>
                <w:szCs w:val="16"/>
                <w:lang w:val="en-GB"/>
              </w:rPr>
              <w:t>07 02 02 01</w:t>
            </w:r>
            <w:r w:rsidR="00391A9C" w:rsidRPr="008D1A83">
              <w:rPr>
                <w:sz w:val="16"/>
                <w:szCs w:val="16"/>
                <w:lang w:val="en-GB"/>
              </w:rPr>
              <w:t>–</w:t>
            </w:r>
            <w:r w:rsidRPr="008D1A83">
              <w:rPr>
                <w:sz w:val="16"/>
                <w:szCs w:val="16"/>
                <w:lang w:val="en-GB"/>
              </w:rPr>
              <w:t>07 02 02 03</w:t>
            </w:r>
          </w:p>
        </w:tc>
      </w:tr>
      <w:tr w:rsidR="001D2587" w:rsidRPr="000855B2" w14:paraId="3C2C8290" w14:textId="77777777" w:rsidTr="00192A58">
        <w:tc>
          <w:tcPr>
            <w:tcW w:w="3067" w:type="dxa"/>
            <w:vAlign w:val="center"/>
          </w:tcPr>
          <w:p w14:paraId="1137C259" w14:textId="77777777" w:rsidR="001D2587" w:rsidRPr="008D1A83" w:rsidRDefault="001D2587" w:rsidP="00AF4A3C">
            <w:pPr>
              <w:keepNext/>
              <w:rPr>
                <w:sz w:val="16"/>
                <w:szCs w:val="16"/>
                <w:lang w:val="en-GB"/>
              </w:rPr>
            </w:pPr>
            <w:r w:rsidRPr="008D1A83">
              <w:rPr>
                <w:sz w:val="16"/>
                <w:szCs w:val="16"/>
                <w:lang w:val="en-GB"/>
              </w:rPr>
              <w:t>Diesel heavy</w:t>
            </w:r>
            <w:r w:rsidR="00CA4F04" w:rsidRPr="008D1A83">
              <w:rPr>
                <w:sz w:val="16"/>
                <w:szCs w:val="16"/>
                <w:lang w:val="en-GB"/>
              </w:rPr>
              <w:t>-</w:t>
            </w:r>
            <w:r w:rsidRPr="008D1A83">
              <w:rPr>
                <w:sz w:val="16"/>
                <w:szCs w:val="16"/>
                <w:lang w:val="en-GB"/>
              </w:rPr>
              <w:t xml:space="preserve">duty vehicles </w:t>
            </w:r>
            <w:r w:rsidR="00972A38" w:rsidRPr="008D1A83">
              <w:rPr>
                <w:sz w:val="16"/>
                <w:szCs w:val="16"/>
                <w:lang w:val="en-GB"/>
              </w:rPr>
              <w:t>&gt; </w:t>
            </w:r>
            <w:r w:rsidRPr="008D1A83">
              <w:rPr>
                <w:sz w:val="16"/>
                <w:szCs w:val="16"/>
                <w:lang w:val="en-GB"/>
              </w:rPr>
              <w:t>7.5</w:t>
            </w:r>
            <w:r w:rsidR="00391A9C" w:rsidRPr="008D1A83">
              <w:rPr>
                <w:sz w:val="16"/>
                <w:szCs w:val="16"/>
                <w:lang w:val="en-GB"/>
              </w:rPr>
              <w:t> </w:t>
            </w:r>
            <w:r w:rsidRPr="008D1A83">
              <w:rPr>
                <w:sz w:val="16"/>
                <w:szCs w:val="16"/>
                <w:lang w:val="en-GB"/>
              </w:rPr>
              <w:t>t</w:t>
            </w:r>
          </w:p>
        </w:tc>
        <w:tc>
          <w:tcPr>
            <w:tcW w:w="3261" w:type="dxa"/>
            <w:vAlign w:val="center"/>
          </w:tcPr>
          <w:p w14:paraId="232777D2" w14:textId="77777777" w:rsidR="001D2587" w:rsidRPr="008D1A83" w:rsidRDefault="001D2587" w:rsidP="00AF4A3C">
            <w:pPr>
              <w:keepNext/>
              <w:jc w:val="center"/>
              <w:rPr>
                <w:sz w:val="16"/>
                <w:szCs w:val="16"/>
                <w:lang w:val="en-GB"/>
              </w:rPr>
            </w:pPr>
            <w:r w:rsidRPr="008D1A83">
              <w:rPr>
                <w:sz w:val="16"/>
                <w:szCs w:val="16"/>
                <w:lang w:val="en-GB"/>
              </w:rPr>
              <w:t>07 03 02 01</w:t>
            </w:r>
            <w:r w:rsidR="00391A9C" w:rsidRPr="008D1A83">
              <w:rPr>
                <w:sz w:val="16"/>
                <w:szCs w:val="16"/>
                <w:lang w:val="en-GB"/>
              </w:rPr>
              <w:t>–</w:t>
            </w:r>
            <w:r w:rsidRPr="008D1A83">
              <w:rPr>
                <w:sz w:val="16"/>
                <w:szCs w:val="16"/>
                <w:lang w:val="en-GB"/>
              </w:rPr>
              <w:t>07 03 05 03</w:t>
            </w:r>
          </w:p>
        </w:tc>
      </w:tr>
      <w:tr w:rsidR="001D2587" w:rsidRPr="000855B2" w14:paraId="5E7898A7" w14:textId="77777777" w:rsidTr="00192A58">
        <w:tc>
          <w:tcPr>
            <w:tcW w:w="3067" w:type="dxa"/>
            <w:vAlign w:val="center"/>
          </w:tcPr>
          <w:p w14:paraId="1299AEE6" w14:textId="77777777" w:rsidR="001D2587" w:rsidRPr="008D1A83" w:rsidRDefault="001D2587" w:rsidP="00AF4A3C">
            <w:pPr>
              <w:keepNext/>
              <w:rPr>
                <w:sz w:val="16"/>
                <w:szCs w:val="16"/>
                <w:lang w:val="en-GB"/>
              </w:rPr>
            </w:pPr>
            <w:r w:rsidRPr="008D1A83">
              <w:rPr>
                <w:sz w:val="16"/>
                <w:szCs w:val="16"/>
                <w:lang w:val="en-GB"/>
              </w:rPr>
              <w:t>Buses</w:t>
            </w:r>
          </w:p>
        </w:tc>
        <w:tc>
          <w:tcPr>
            <w:tcW w:w="3261" w:type="dxa"/>
            <w:vAlign w:val="center"/>
          </w:tcPr>
          <w:p w14:paraId="2CD76634" w14:textId="77777777" w:rsidR="001D2587" w:rsidRPr="008D1A83" w:rsidRDefault="001D2587" w:rsidP="00AF4A3C">
            <w:pPr>
              <w:keepNext/>
              <w:jc w:val="center"/>
              <w:rPr>
                <w:sz w:val="16"/>
                <w:szCs w:val="16"/>
                <w:lang w:val="en-GB"/>
              </w:rPr>
            </w:pPr>
            <w:r w:rsidRPr="008D1A83">
              <w:rPr>
                <w:sz w:val="16"/>
                <w:szCs w:val="16"/>
                <w:lang w:val="en-GB"/>
              </w:rPr>
              <w:t>07 03 06 00</w:t>
            </w:r>
          </w:p>
        </w:tc>
      </w:tr>
      <w:tr w:rsidR="001D2587" w:rsidRPr="000855B2" w14:paraId="128ECAB1" w14:textId="77777777" w:rsidTr="00192A58">
        <w:tc>
          <w:tcPr>
            <w:tcW w:w="3067" w:type="dxa"/>
            <w:vAlign w:val="center"/>
          </w:tcPr>
          <w:p w14:paraId="53852E9C" w14:textId="77777777" w:rsidR="001D2587" w:rsidRPr="008D1A83" w:rsidRDefault="001D2587" w:rsidP="00AF4A3C">
            <w:pPr>
              <w:keepNext/>
              <w:rPr>
                <w:sz w:val="16"/>
                <w:szCs w:val="16"/>
                <w:lang w:val="en-GB"/>
              </w:rPr>
            </w:pPr>
            <w:r w:rsidRPr="008D1A83">
              <w:rPr>
                <w:sz w:val="16"/>
                <w:szCs w:val="16"/>
                <w:lang w:val="en-GB"/>
              </w:rPr>
              <w:t>Coaches</w:t>
            </w:r>
          </w:p>
        </w:tc>
        <w:tc>
          <w:tcPr>
            <w:tcW w:w="3261" w:type="dxa"/>
            <w:vAlign w:val="center"/>
          </w:tcPr>
          <w:p w14:paraId="3759FEC0" w14:textId="77777777" w:rsidR="001D2587" w:rsidRPr="008D1A83" w:rsidRDefault="001D2587" w:rsidP="00AF4A3C">
            <w:pPr>
              <w:keepNext/>
              <w:jc w:val="center"/>
              <w:rPr>
                <w:sz w:val="16"/>
                <w:szCs w:val="16"/>
                <w:lang w:val="en-GB"/>
              </w:rPr>
            </w:pPr>
            <w:r w:rsidRPr="008D1A83">
              <w:rPr>
                <w:sz w:val="16"/>
                <w:szCs w:val="16"/>
                <w:lang w:val="en-GB"/>
              </w:rPr>
              <w:t>07 03 07 01</w:t>
            </w:r>
            <w:r w:rsidR="00391A9C" w:rsidRPr="008D1A83">
              <w:rPr>
                <w:sz w:val="16"/>
                <w:szCs w:val="16"/>
                <w:lang w:val="en-GB"/>
              </w:rPr>
              <w:t>–</w:t>
            </w:r>
            <w:r w:rsidRPr="008D1A83">
              <w:rPr>
                <w:sz w:val="16"/>
                <w:szCs w:val="16"/>
                <w:lang w:val="en-GB"/>
              </w:rPr>
              <w:t>07 03 07 03</w:t>
            </w:r>
          </w:p>
        </w:tc>
      </w:tr>
      <w:tr w:rsidR="001D2587" w:rsidRPr="000855B2" w14:paraId="05C636C3" w14:textId="77777777" w:rsidTr="00192A58">
        <w:tc>
          <w:tcPr>
            <w:tcW w:w="3067" w:type="dxa"/>
            <w:vAlign w:val="center"/>
          </w:tcPr>
          <w:p w14:paraId="0B02B1F5" w14:textId="77777777" w:rsidR="001D2587" w:rsidRPr="008D1A83" w:rsidRDefault="00CA4F04" w:rsidP="00AF4A3C">
            <w:pPr>
              <w:keepNext/>
              <w:rPr>
                <w:sz w:val="16"/>
                <w:szCs w:val="16"/>
                <w:lang w:val="en-GB"/>
              </w:rPr>
            </w:pPr>
            <w:r w:rsidRPr="008D1A83">
              <w:rPr>
                <w:sz w:val="16"/>
                <w:szCs w:val="16"/>
                <w:lang w:val="en-GB"/>
              </w:rPr>
              <w:t>T</w:t>
            </w:r>
            <w:r w:rsidR="001D2587" w:rsidRPr="008D1A83">
              <w:rPr>
                <w:sz w:val="16"/>
                <w:szCs w:val="16"/>
                <w:lang w:val="en-GB"/>
              </w:rPr>
              <w:t>wo-wheel vehicles</w:t>
            </w:r>
          </w:p>
        </w:tc>
        <w:tc>
          <w:tcPr>
            <w:tcW w:w="3261" w:type="dxa"/>
            <w:vAlign w:val="center"/>
          </w:tcPr>
          <w:p w14:paraId="0171CCB0" w14:textId="77777777" w:rsidR="001D2587" w:rsidRPr="008D1A83" w:rsidRDefault="001D2587" w:rsidP="00AF4A3C">
            <w:pPr>
              <w:keepNext/>
              <w:jc w:val="center"/>
              <w:rPr>
                <w:sz w:val="16"/>
                <w:szCs w:val="16"/>
                <w:lang w:val="en-GB"/>
              </w:rPr>
            </w:pPr>
            <w:r w:rsidRPr="008D1A83">
              <w:rPr>
                <w:sz w:val="16"/>
                <w:szCs w:val="16"/>
                <w:lang w:val="en-GB"/>
              </w:rPr>
              <w:t>07 04 01 00</w:t>
            </w:r>
            <w:r w:rsidR="00391A9C" w:rsidRPr="008D1A83">
              <w:rPr>
                <w:sz w:val="16"/>
                <w:szCs w:val="16"/>
                <w:lang w:val="en-GB"/>
              </w:rPr>
              <w:t>–</w:t>
            </w:r>
            <w:r w:rsidRPr="008D1A83">
              <w:rPr>
                <w:sz w:val="16"/>
                <w:szCs w:val="16"/>
                <w:lang w:val="en-GB"/>
              </w:rPr>
              <w:t>07 05 05 03</w:t>
            </w:r>
          </w:p>
        </w:tc>
      </w:tr>
    </w:tbl>
    <w:p w14:paraId="202F7A82" w14:textId="25C41626" w:rsidR="001D2587" w:rsidRPr="008D1A83" w:rsidRDefault="00095EA7" w:rsidP="008D1A83">
      <w:pPr>
        <w:pStyle w:val="Caption"/>
      </w:pPr>
      <w:bookmarkStart w:id="347" w:name="_Ref171996161"/>
      <w:r w:rsidRPr="008D1A83">
        <w:t>Table </w:t>
      </w:r>
      <w:r w:rsidR="00B642C6" w:rsidRPr="008D1A83">
        <w:t>A1</w:t>
      </w:r>
      <w:r w:rsidR="0071699C" w:rsidRPr="008D1A83">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w:t>
      </w:r>
      <w:r w:rsidR="00FB454C">
        <w:rPr>
          <w:noProof/>
        </w:rPr>
        <w:fldChar w:fldCharType="end"/>
      </w:r>
      <w:bookmarkEnd w:id="346"/>
      <w:bookmarkEnd w:id="347"/>
      <w:r w:rsidR="001D2587" w:rsidRPr="008D1A83">
        <w:t>: Bulk emission factors (g/kg fuel) (for CO2 kg/kg fuel) for Austria,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485AA9FC"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87B9DE2"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1964BAB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Austria</w:t>
            </w:r>
          </w:p>
        </w:tc>
      </w:tr>
      <w:tr w:rsidR="00BE3ADC" w:rsidRPr="000855B2" w14:paraId="28783ABB"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5937FD4A"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53FCEA6E"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28BA630A"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117651C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032AE16F"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4</w:t>
            </w:r>
          </w:p>
        </w:tc>
        <w:tc>
          <w:tcPr>
            <w:tcW w:w="602" w:type="dxa"/>
            <w:tcBorders>
              <w:top w:val="nil"/>
              <w:left w:val="nil"/>
              <w:bottom w:val="single" w:sz="12" w:space="0" w:color="auto"/>
              <w:right w:val="single" w:sz="4" w:space="0" w:color="auto"/>
            </w:tcBorders>
            <w:shd w:val="clear" w:color="auto" w:fill="auto"/>
            <w:noWrap/>
            <w:vAlign w:val="center"/>
          </w:tcPr>
          <w:p w14:paraId="1F171905"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5427A96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109B14C3"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2C52B90D"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771F320"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5988C84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68.7</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6F78015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6.44</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69D9481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7.43</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4FB0802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0.64</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4130A55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0244DB2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8.89</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697E5A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4BE19C1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C91EFBA"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05A6A1C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3.02</w:t>
            </w:r>
          </w:p>
        </w:tc>
        <w:tc>
          <w:tcPr>
            <w:tcW w:w="685" w:type="dxa"/>
            <w:tcBorders>
              <w:top w:val="nil"/>
              <w:left w:val="nil"/>
              <w:bottom w:val="single" w:sz="4" w:space="0" w:color="auto"/>
              <w:right w:val="single" w:sz="4" w:space="0" w:color="auto"/>
            </w:tcBorders>
            <w:shd w:val="clear" w:color="auto" w:fill="auto"/>
            <w:noWrap/>
            <w:vAlign w:val="center"/>
          </w:tcPr>
          <w:p w14:paraId="6498A4F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13.1</w:t>
            </w:r>
          </w:p>
        </w:tc>
        <w:tc>
          <w:tcPr>
            <w:tcW w:w="1315" w:type="dxa"/>
            <w:tcBorders>
              <w:top w:val="nil"/>
              <w:left w:val="nil"/>
              <w:bottom w:val="single" w:sz="4" w:space="0" w:color="auto"/>
              <w:right w:val="single" w:sz="4" w:space="0" w:color="auto"/>
            </w:tcBorders>
            <w:shd w:val="clear" w:color="auto" w:fill="auto"/>
            <w:noWrap/>
            <w:vAlign w:val="center"/>
          </w:tcPr>
          <w:p w14:paraId="4EFD332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0.61</w:t>
            </w:r>
          </w:p>
        </w:tc>
        <w:tc>
          <w:tcPr>
            <w:tcW w:w="630" w:type="dxa"/>
            <w:tcBorders>
              <w:top w:val="nil"/>
              <w:left w:val="nil"/>
              <w:bottom w:val="single" w:sz="4" w:space="0" w:color="auto"/>
              <w:right w:val="single" w:sz="4" w:space="0" w:color="auto"/>
            </w:tcBorders>
            <w:shd w:val="clear" w:color="auto" w:fill="auto"/>
            <w:noWrap/>
            <w:vAlign w:val="center"/>
          </w:tcPr>
          <w:p w14:paraId="62A04B7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0.07</w:t>
            </w:r>
          </w:p>
        </w:tc>
        <w:tc>
          <w:tcPr>
            <w:tcW w:w="602" w:type="dxa"/>
            <w:tcBorders>
              <w:top w:val="nil"/>
              <w:left w:val="nil"/>
              <w:bottom w:val="single" w:sz="4" w:space="0" w:color="auto"/>
              <w:right w:val="single" w:sz="4" w:space="0" w:color="auto"/>
            </w:tcBorders>
            <w:shd w:val="clear" w:color="auto" w:fill="auto"/>
            <w:noWrap/>
            <w:vAlign w:val="center"/>
          </w:tcPr>
          <w:p w14:paraId="3A7AF39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0.99</w:t>
            </w:r>
          </w:p>
        </w:tc>
        <w:tc>
          <w:tcPr>
            <w:tcW w:w="1609" w:type="dxa"/>
            <w:tcBorders>
              <w:top w:val="nil"/>
              <w:left w:val="nil"/>
              <w:bottom w:val="single" w:sz="4" w:space="0" w:color="auto"/>
              <w:right w:val="nil"/>
            </w:tcBorders>
            <w:shd w:val="clear" w:color="auto" w:fill="auto"/>
            <w:noWrap/>
            <w:vAlign w:val="center"/>
          </w:tcPr>
          <w:p w14:paraId="19DF8A8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8.78</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FD2FA8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09A5A46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92E7ED8"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77C4DF6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193</w:t>
            </w:r>
          </w:p>
        </w:tc>
        <w:tc>
          <w:tcPr>
            <w:tcW w:w="685" w:type="dxa"/>
            <w:tcBorders>
              <w:top w:val="nil"/>
              <w:left w:val="nil"/>
              <w:bottom w:val="single" w:sz="4" w:space="0" w:color="auto"/>
              <w:right w:val="single" w:sz="4" w:space="0" w:color="auto"/>
            </w:tcBorders>
            <w:shd w:val="clear" w:color="auto" w:fill="auto"/>
            <w:noWrap/>
            <w:vAlign w:val="center"/>
          </w:tcPr>
          <w:p w14:paraId="56BCA3A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18.1</w:t>
            </w:r>
          </w:p>
        </w:tc>
        <w:tc>
          <w:tcPr>
            <w:tcW w:w="1315" w:type="dxa"/>
            <w:tcBorders>
              <w:top w:val="nil"/>
              <w:left w:val="nil"/>
              <w:bottom w:val="single" w:sz="4" w:space="0" w:color="auto"/>
              <w:right w:val="single" w:sz="4" w:space="0" w:color="auto"/>
            </w:tcBorders>
            <w:shd w:val="clear" w:color="auto" w:fill="auto"/>
            <w:noWrap/>
            <w:vAlign w:val="center"/>
          </w:tcPr>
          <w:p w14:paraId="1DDF211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15.9</w:t>
            </w:r>
          </w:p>
        </w:tc>
        <w:tc>
          <w:tcPr>
            <w:tcW w:w="630" w:type="dxa"/>
            <w:tcBorders>
              <w:top w:val="nil"/>
              <w:left w:val="nil"/>
              <w:bottom w:val="single" w:sz="4" w:space="0" w:color="auto"/>
              <w:right w:val="single" w:sz="4" w:space="0" w:color="auto"/>
            </w:tcBorders>
            <w:shd w:val="clear" w:color="auto" w:fill="auto"/>
            <w:noWrap/>
            <w:vAlign w:val="center"/>
          </w:tcPr>
          <w:p w14:paraId="1405975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0.96</w:t>
            </w:r>
          </w:p>
        </w:tc>
        <w:tc>
          <w:tcPr>
            <w:tcW w:w="602" w:type="dxa"/>
            <w:tcBorders>
              <w:top w:val="nil"/>
              <w:left w:val="nil"/>
              <w:bottom w:val="single" w:sz="4" w:space="0" w:color="auto"/>
              <w:right w:val="single" w:sz="4" w:space="0" w:color="auto"/>
            </w:tcBorders>
            <w:shd w:val="clear" w:color="auto" w:fill="auto"/>
            <w:noWrap/>
            <w:vAlign w:val="center"/>
          </w:tcPr>
          <w:p w14:paraId="358BEDF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54345B1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6.44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77977D0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605B1AB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2A007D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405A6EF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7.42</w:t>
            </w:r>
          </w:p>
        </w:tc>
        <w:tc>
          <w:tcPr>
            <w:tcW w:w="685" w:type="dxa"/>
            <w:tcBorders>
              <w:top w:val="nil"/>
              <w:left w:val="nil"/>
              <w:bottom w:val="single" w:sz="4" w:space="0" w:color="auto"/>
              <w:right w:val="single" w:sz="4" w:space="0" w:color="auto"/>
            </w:tcBorders>
            <w:shd w:val="clear" w:color="auto" w:fill="auto"/>
            <w:noWrap/>
            <w:vAlign w:val="center"/>
          </w:tcPr>
          <w:p w14:paraId="685FF71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14.4</w:t>
            </w:r>
          </w:p>
        </w:tc>
        <w:tc>
          <w:tcPr>
            <w:tcW w:w="1315" w:type="dxa"/>
            <w:tcBorders>
              <w:top w:val="nil"/>
              <w:left w:val="nil"/>
              <w:bottom w:val="single" w:sz="4" w:space="0" w:color="auto"/>
              <w:right w:val="single" w:sz="4" w:space="0" w:color="auto"/>
            </w:tcBorders>
            <w:shd w:val="clear" w:color="auto" w:fill="auto"/>
            <w:noWrap/>
            <w:vAlign w:val="center"/>
          </w:tcPr>
          <w:p w14:paraId="4496DC6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1.51</w:t>
            </w:r>
          </w:p>
        </w:tc>
        <w:tc>
          <w:tcPr>
            <w:tcW w:w="630" w:type="dxa"/>
            <w:tcBorders>
              <w:top w:val="nil"/>
              <w:left w:val="nil"/>
              <w:bottom w:val="single" w:sz="4" w:space="0" w:color="auto"/>
              <w:right w:val="single" w:sz="4" w:space="0" w:color="auto"/>
            </w:tcBorders>
            <w:shd w:val="clear" w:color="auto" w:fill="auto"/>
            <w:noWrap/>
            <w:vAlign w:val="center"/>
          </w:tcPr>
          <w:p w14:paraId="6A9284A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0.07</w:t>
            </w:r>
          </w:p>
        </w:tc>
        <w:tc>
          <w:tcPr>
            <w:tcW w:w="602" w:type="dxa"/>
            <w:tcBorders>
              <w:top w:val="nil"/>
              <w:left w:val="nil"/>
              <w:bottom w:val="single" w:sz="4" w:space="0" w:color="auto"/>
              <w:right w:val="single" w:sz="4" w:space="0" w:color="auto"/>
            </w:tcBorders>
            <w:shd w:val="clear" w:color="auto" w:fill="auto"/>
            <w:noWrap/>
            <w:vAlign w:val="center"/>
          </w:tcPr>
          <w:p w14:paraId="11F8ED9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1.54</w:t>
            </w:r>
          </w:p>
        </w:tc>
        <w:tc>
          <w:tcPr>
            <w:tcW w:w="1609" w:type="dxa"/>
            <w:tcBorders>
              <w:top w:val="nil"/>
              <w:left w:val="nil"/>
              <w:bottom w:val="single" w:sz="4" w:space="0" w:color="auto"/>
              <w:right w:val="nil"/>
            </w:tcBorders>
            <w:shd w:val="clear" w:color="auto" w:fill="auto"/>
            <w:noWrap/>
            <w:vAlign w:val="center"/>
          </w:tcPr>
          <w:p w14:paraId="15BE8BC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6.01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A05ECD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4EAA4C7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21CC3EF"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44957F6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7.00</w:t>
            </w:r>
          </w:p>
        </w:tc>
        <w:tc>
          <w:tcPr>
            <w:tcW w:w="685" w:type="dxa"/>
            <w:tcBorders>
              <w:top w:val="nil"/>
              <w:left w:val="nil"/>
              <w:bottom w:val="single" w:sz="4" w:space="0" w:color="auto"/>
              <w:right w:val="single" w:sz="4" w:space="0" w:color="auto"/>
            </w:tcBorders>
            <w:shd w:val="clear" w:color="auto" w:fill="auto"/>
            <w:noWrap/>
            <w:vAlign w:val="center"/>
          </w:tcPr>
          <w:p w14:paraId="3645EC4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31.2</w:t>
            </w:r>
          </w:p>
        </w:tc>
        <w:tc>
          <w:tcPr>
            <w:tcW w:w="1315" w:type="dxa"/>
            <w:tcBorders>
              <w:top w:val="nil"/>
              <w:left w:val="nil"/>
              <w:bottom w:val="single" w:sz="4" w:space="0" w:color="auto"/>
              <w:right w:val="single" w:sz="4" w:space="0" w:color="auto"/>
            </w:tcBorders>
            <w:shd w:val="clear" w:color="auto" w:fill="auto"/>
            <w:noWrap/>
            <w:vAlign w:val="center"/>
          </w:tcPr>
          <w:p w14:paraId="338774A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1.58</w:t>
            </w:r>
          </w:p>
        </w:tc>
        <w:tc>
          <w:tcPr>
            <w:tcW w:w="630" w:type="dxa"/>
            <w:tcBorders>
              <w:top w:val="nil"/>
              <w:left w:val="nil"/>
              <w:bottom w:val="single" w:sz="4" w:space="0" w:color="auto"/>
              <w:right w:val="single" w:sz="4" w:space="0" w:color="auto"/>
            </w:tcBorders>
            <w:shd w:val="clear" w:color="auto" w:fill="auto"/>
            <w:noWrap/>
            <w:vAlign w:val="center"/>
          </w:tcPr>
          <w:p w14:paraId="6E922DD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0.20</w:t>
            </w:r>
          </w:p>
        </w:tc>
        <w:tc>
          <w:tcPr>
            <w:tcW w:w="602" w:type="dxa"/>
            <w:tcBorders>
              <w:top w:val="nil"/>
              <w:left w:val="nil"/>
              <w:bottom w:val="single" w:sz="4" w:space="0" w:color="auto"/>
              <w:right w:val="single" w:sz="4" w:space="0" w:color="auto"/>
            </w:tcBorders>
            <w:shd w:val="clear" w:color="auto" w:fill="auto"/>
            <w:noWrap/>
            <w:vAlign w:val="center"/>
          </w:tcPr>
          <w:p w14:paraId="78F5536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0.79</w:t>
            </w:r>
          </w:p>
        </w:tc>
        <w:tc>
          <w:tcPr>
            <w:tcW w:w="1609" w:type="dxa"/>
            <w:tcBorders>
              <w:top w:val="nil"/>
              <w:left w:val="nil"/>
              <w:bottom w:val="single" w:sz="4" w:space="0" w:color="auto"/>
              <w:right w:val="nil"/>
            </w:tcBorders>
            <w:shd w:val="clear" w:color="auto" w:fill="auto"/>
            <w:noWrap/>
            <w:vAlign w:val="center"/>
          </w:tcPr>
          <w:p w14:paraId="768E004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2.51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0AD2D2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250E0C8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6456C5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605B2FE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8.18</w:t>
            </w:r>
          </w:p>
        </w:tc>
        <w:tc>
          <w:tcPr>
            <w:tcW w:w="685" w:type="dxa"/>
            <w:tcBorders>
              <w:top w:val="nil"/>
              <w:left w:val="nil"/>
              <w:bottom w:val="single" w:sz="4" w:space="0" w:color="auto"/>
              <w:right w:val="single" w:sz="4" w:space="0" w:color="auto"/>
            </w:tcBorders>
            <w:shd w:val="clear" w:color="auto" w:fill="auto"/>
            <w:noWrap/>
            <w:vAlign w:val="center"/>
          </w:tcPr>
          <w:p w14:paraId="2548D3E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35.5</w:t>
            </w:r>
          </w:p>
        </w:tc>
        <w:tc>
          <w:tcPr>
            <w:tcW w:w="1315" w:type="dxa"/>
            <w:tcBorders>
              <w:top w:val="nil"/>
              <w:left w:val="nil"/>
              <w:bottom w:val="single" w:sz="4" w:space="0" w:color="auto"/>
              <w:right w:val="single" w:sz="4" w:space="0" w:color="auto"/>
            </w:tcBorders>
            <w:shd w:val="clear" w:color="auto" w:fill="auto"/>
            <w:noWrap/>
            <w:vAlign w:val="center"/>
          </w:tcPr>
          <w:p w14:paraId="75F741B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2.44</w:t>
            </w:r>
          </w:p>
        </w:tc>
        <w:tc>
          <w:tcPr>
            <w:tcW w:w="630" w:type="dxa"/>
            <w:tcBorders>
              <w:top w:val="nil"/>
              <w:left w:val="nil"/>
              <w:bottom w:val="single" w:sz="4" w:space="0" w:color="auto"/>
              <w:right w:val="single" w:sz="4" w:space="0" w:color="auto"/>
            </w:tcBorders>
            <w:shd w:val="clear" w:color="auto" w:fill="auto"/>
            <w:noWrap/>
            <w:vAlign w:val="center"/>
          </w:tcPr>
          <w:p w14:paraId="29A073F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0.26</w:t>
            </w:r>
          </w:p>
        </w:tc>
        <w:tc>
          <w:tcPr>
            <w:tcW w:w="602" w:type="dxa"/>
            <w:tcBorders>
              <w:top w:val="nil"/>
              <w:left w:val="nil"/>
              <w:bottom w:val="single" w:sz="4" w:space="0" w:color="auto"/>
              <w:right w:val="single" w:sz="4" w:space="0" w:color="auto"/>
            </w:tcBorders>
            <w:shd w:val="clear" w:color="auto" w:fill="auto"/>
            <w:noWrap/>
            <w:vAlign w:val="center"/>
          </w:tcPr>
          <w:p w14:paraId="0B8E12B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1.15</w:t>
            </w:r>
          </w:p>
        </w:tc>
        <w:tc>
          <w:tcPr>
            <w:tcW w:w="1609" w:type="dxa"/>
            <w:tcBorders>
              <w:top w:val="nil"/>
              <w:left w:val="nil"/>
              <w:bottom w:val="single" w:sz="4" w:space="0" w:color="auto"/>
              <w:right w:val="nil"/>
            </w:tcBorders>
            <w:shd w:val="clear" w:color="auto" w:fill="auto"/>
            <w:noWrap/>
            <w:vAlign w:val="center"/>
          </w:tcPr>
          <w:p w14:paraId="6470C89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3.22</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5CC98C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7E6F00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7031852"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3CC8B8A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664</w:t>
            </w:r>
          </w:p>
        </w:tc>
        <w:tc>
          <w:tcPr>
            <w:tcW w:w="685" w:type="dxa"/>
            <w:tcBorders>
              <w:top w:val="nil"/>
              <w:left w:val="nil"/>
              <w:bottom w:val="single" w:sz="4" w:space="0" w:color="auto"/>
              <w:right w:val="single" w:sz="4" w:space="0" w:color="auto"/>
            </w:tcBorders>
            <w:shd w:val="clear" w:color="auto" w:fill="auto"/>
            <w:noWrap/>
            <w:vAlign w:val="center"/>
          </w:tcPr>
          <w:p w14:paraId="7B601D8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1.51</w:t>
            </w:r>
          </w:p>
        </w:tc>
        <w:tc>
          <w:tcPr>
            <w:tcW w:w="1315" w:type="dxa"/>
            <w:tcBorders>
              <w:top w:val="nil"/>
              <w:left w:val="nil"/>
              <w:bottom w:val="single" w:sz="4" w:space="0" w:color="auto"/>
              <w:right w:val="single" w:sz="4" w:space="0" w:color="auto"/>
            </w:tcBorders>
            <w:shd w:val="clear" w:color="auto" w:fill="auto"/>
            <w:noWrap/>
            <w:vAlign w:val="center"/>
          </w:tcPr>
          <w:p w14:paraId="315AB05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268</w:t>
            </w:r>
          </w:p>
        </w:tc>
        <w:tc>
          <w:tcPr>
            <w:tcW w:w="630" w:type="dxa"/>
            <w:tcBorders>
              <w:top w:val="nil"/>
              <w:left w:val="nil"/>
              <w:bottom w:val="single" w:sz="4" w:space="0" w:color="auto"/>
              <w:right w:val="single" w:sz="4" w:space="0" w:color="auto"/>
            </w:tcBorders>
            <w:shd w:val="clear" w:color="auto" w:fill="auto"/>
            <w:noWrap/>
            <w:vAlign w:val="center"/>
          </w:tcPr>
          <w:p w14:paraId="7F2BFF3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4.65</w:t>
            </w:r>
          </w:p>
        </w:tc>
        <w:tc>
          <w:tcPr>
            <w:tcW w:w="602" w:type="dxa"/>
            <w:tcBorders>
              <w:top w:val="nil"/>
              <w:left w:val="nil"/>
              <w:bottom w:val="single" w:sz="4" w:space="0" w:color="auto"/>
              <w:right w:val="single" w:sz="4" w:space="0" w:color="auto"/>
            </w:tcBorders>
            <w:shd w:val="clear" w:color="auto" w:fill="auto"/>
            <w:noWrap/>
            <w:vAlign w:val="center"/>
          </w:tcPr>
          <w:p w14:paraId="55EA428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4.71</w:t>
            </w:r>
          </w:p>
        </w:tc>
        <w:tc>
          <w:tcPr>
            <w:tcW w:w="1609" w:type="dxa"/>
            <w:tcBorders>
              <w:top w:val="nil"/>
              <w:left w:val="nil"/>
              <w:bottom w:val="single" w:sz="4" w:space="0" w:color="auto"/>
              <w:right w:val="nil"/>
            </w:tcBorders>
            <w:shd w:val="clear" w:color="auto" w:fill="auto"/>
            <w:noWrap/>
            <w:vAlign w:val="center"/>
          </w:tcPr>
          <w:p w14:paraId="17084BA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118</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344C22F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0924A181"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2193AF50"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39B9575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421</w:t>
            </w:r>
          </w:p>
        </w:tc>
        <w:tc>
          <w:tcPr>
            <w:tcW w:w="685" w:type="dxa"/>
            <w:tcBorders>
              <w:top w:val="nil"/>
              <w:left w:val="nil"/>
              <w:bottom w:val="double" w:sz="6" w:space="0" w:color="auto"/>
              <w:right w:val="single" w:sz="4" w:space="0" w:color="auto"/>
            </w:tcBorders>
            <w:shd w:val="clear" w:color="auto" w:fill="auto"/>
            <w:noWrap/>
            <w:vAlign w:val="center"/>
          </w:tcPr>
          <w:p w14:paraId="1657B4A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9.91</w:t>
            </w:r>
          </w:p>
        </w:tc>
        <w:tc>
          <w:tcPr>
            <w:tcW w:w="1315" w:type="dxa"/>
            <w:tcBorders>
              <w:top w:val="nil"/>
              <w:left w:val="nil"/>
              <w:bottom w:val="double" w:sz="6" w:space="0" w:color="auto"/>
              <w:right w:val="single" w:sz="4" w:space="0" w:color="auto"/>
            </w:tcBorders>
            <w:shd w:val="clear" w:color="auto" w:fill="auto"/>
            <w:noWrap/>
            <w:vAlign w:val="center"/>
          </w:tcPr>
          <w:p w14:paraId="3DBAA9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67.2</w:t>
            </w:r>
          </w:p>
        </w:tc>
        <w:tc>
          <w:tcPr>
            <w:tcW w:w="630" w:type="dxa"/>
            <w:tcBorders>
              <w:top w:val="nil"/>
              <w:left w:val="nil"/>
              <w:bottom w:val="double" w:sz="6" w:space="0" w:color="auto"/>
              <w:right w:val="single" w:sz="4" w:space="0" w:color="auto"/>
            </w:tcBorders>
            <w:shd w:val="clear" w:color="auto" w:fill="auto"/>
            <w:noWrap/>
            <w:vAlign w:val="center"/>
          </w:tcPr>
          <w:p w14:paraId="3D0012D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4.52</w:t>
            </w:r>
          </w:p>
        </w:tc>
        <w:tc>
          <w:tcPr>
            <w:tcW w:w="602" w:type="dxa"/>
            <w:tcBorders>
              <w:top w:val="nil"/>
              <w:left w:val="nil"/>
              <w:bottom w:val="double" w:sz="6" w:space="0" w:color="auto"/>
              <w:right w:val="single" w:sz="4" w:space="0" w:color="auto"/>
            </w:tcBorders>
            <w:shd w:val="clear" w:color="auto" w:fill="auto"/>
            <w:noWrap/>
            <w:vAlign w:val="center"/>
          </w:tcPr>
          <w:p w14:paraId="46DF11C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1.17</w:t>
            </w:r>
          </w:p>
        </w:tc>
        <w:tc>
          <w:tcPr>
            <w:tcW w:w="1609" w:type="dxa"/>
            <w:tcBorders>
              <w:top w:val="nil"/>
              <w:left w:val="nil"/>
              <w:bottom w:val="double" w:sz="6" w:space="0" w:color="auto"/>
              <w:right w:val="nil"/>
            </w:tcBorders>
            <w:shd w:val="clear" w:color="auto" w:fill="auto"/>
            <w:noWrap/>
            <w:vAlign w:val="center"/>
          </w:tcPr>
          <w:p w14:paraId="76B9D30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31.8</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51E2E97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5D5488B6" w14:textId="5D1519DF" w:rsidR="001D2587" w:rsidRPr="000855B2" w:rsidRDefault="00095EA7" w:rsidP="008D1A83">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6A45CE" w:rsidRPr="000855B2">
        <w:t xml:space="preserve"> </w:t>
      </w:r>
      <w:r w:rsidR="001D2587" w:rsidRPr="000855B2">
        <w:t>for Belgium, year 2005</w:t>
      </w:r>
    </w:p>
    <w:tbl>
      <w:tblPr>
        <w:tblW w:w="7968" w:type="dxa"/>
        <w:tblInd w:w="108" w:type="dxa"/>
        <w:tblLook w:val="0000" w:firstRow="0" w:lastRow="0" w:firstColumn="0" w:lastColumn="0" w:noHBand="0" w:noVBand="0"/>
      </w:tblPr>
      <w:tblGrid>
        <w:gridCol w:w="1248"/>
        <w:gridCol w:w="595"/>
        <w:gridCol w:w="760"/>
        <w:gridCol w:w="1300"/>
        <w:gridCol w:w="623"/>
        <w:gridCol w:w="595"/>
        <w:gridCol w:w="1589"/>
        <w:gridCol w:w="1258"/>
      </w:tblGrid>
      <w:tr w:rsidR="00BE3ADC" w:rsidRPr="000855B2" w14:paraId="401EE76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0F0D8676"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14EC164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Belgium</w:t>
            </w:r>
          </w:p>
        </w:tc>
      </w:tr>
      <w:tr w:rsidR="00BE3ADC" w:rsidRPr="000855B2" w14:paraId="3526BE92"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7CA10754" w14:textId="77777777" w:rsidR="00BE3ADC" w:rsidRPr="008D1A83" w:rsidRDefault="00BE3ADC" w:rsidP="0062782E">
            <w:pPr>
              <w:spacing w:line="240" w:lineRule="auto"/>
              <w:jc w:val="center"/>
              <w:rPr>
                <w:b/>
                <w:bCs/>
                <w:color w:val="000000"/>
                <w:sz w:val="16"/>
                <w:szCs w:val="16"/>
                <w:lang w:val="en-GB" w:eastAsia="el-GR" w:bidi="hi-IN"/>
              </w:rPr>
            </w:pPr>
          </w:p>
        </w:tc>
        <w:tc>
          <w:tcPr>
            <w:tcW w:w="595" w:type="dxa"/>
            <w:tcBorders>
              <w:top w:val="nil"/>
              <w:left w:val="nil"/>
              <w:bottom w:val="single" w:sz="12" w:space="0" w:color="auto"/>
              <w:right w:val="single" w:sz="4" w:space="0" w:color="auto"/>
            </w:tcBorders>
            <w:shd w:val="clear" w:color="auto" w:fill="auto"/>
            <w:noWrap/>
            <w:vAlign w:val="center"/>
          </w:tcPr>
          <w:p w14:paraId="48A30D56"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760" w:type="dxa"/>
            <w:tcBorders>
              <w:top w:val="nil"/>
              <w:left w:val="nil"/>
              <w:bottom w:val="single" w:sz="12" w:space="0" w:color="auto"/>
              <w:right w:val="single" w:sz="4" w:space="0" w:color="auto"/>
            </w:tcBorders>
            <w:shd w:val="clear" w:color="auto" w:fill="auto"/>
            <w:noWrap/>
            <w:vAlign w:val="center"/>
          </w:tcPr>
          <w:p w14:paraId="324384C5"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00" w:type="dxa"/>
            <w:tcBorders>
              <w:top w:val="nil"/>
              <w:left w:val="nil"/>
              <w:bottom w:val="single" w:sz="12" w:space="0" w:color="auto"/>
              <w:right w:val="single" w:sz="4" w:space="0" w:color="auto"/>
            </w:tcBorders>
            <w:shd w:val="clear" w:color="auto" w:fill="auto"/>
            <w:noWrap/>
            <w:vAlign w:val="center"/>
          </w:tcPr>
          <w:p w14:paraId="63493BF3"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23" w:type="dxa"/>
            <w:tcBorders>
              <w:top w:val="nil"/>
              <w:left w:val="nil"/>
              <w:bottom w:val="single" w:sz="12" w:space="0" w:color="auto"/>
              <w:right w:val="single" w:sz="4" w:space="0" w:color="auto"/>
            </w:tcBorders>
            <w:shd w:val="clear" w:color="auto" w:fill="auto"/>
            <w:noWrap/>
            <w:vAlign w:val="center"/>
          </w:tcPr>
          <w:p w14:paraId="0B8DD6F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4</w:t>
            </w:r>
          </w:p>
        </w:tc>
        <w:tc>
          <w:tcPr>
            <w:tcW w:w="595" w:type="dxa"/>
            <w:tcBorders>
              <w:top w:val="nil"/>
              <w:left w:val="nil"/>
              <w:bottom w:val="single" w:sz="12" w:space="0" w:color="auto"/>
              <w:right w:val="single" w:sz="4" w:space="0" w:color="auto"/>
            </w:tcBorders>
            <w:shd w:val="clear" w:color="auto" w:fill="auto"/>
            <w:noWrap/>
            <w:vAlign w:val="center"/>
          </w:tcPr>
          <w:p w14:paraId="5B7B59C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589" w:type="dxa"/>
            <w:tcBorders>
              <w:top w:val="nil"/>
              <w:left w:val="nil"/>
              <w:bottom w:val="single" w:sz="12" w:space="0" w:color="auto"/>
              <w:right w:val="nil"/>
            </w:tcBorders>
            <w:shd w:val="clear" w:color="auto" w:fill="auto"/>
            <w:vAlign w:val="center"/>
          </w:tcPr>
          <w:p w14:paraId="262F0D2B"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58" w:type="dxa"/>
            <w:tcBorders>
              <w:top w:val="nil"/>
              <w:left w:val="single" w:sz="4" w:space="0" w:color="auto"/>
              <w:bottom w:val="single" w:sz="12" w:space="0" w:color="auto"/>
              <w:right w:val="double" w:sz="6" w:space="0" w:color="auto"/>
            </w:tcBorders>
            <w:shd w:val="clear" w:color="auto" w:fill="auto"/>
            <w:vAlign w:val="center"/>
          </w:tcPr>
          <w:p w14:paraId="7618EC1B"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6DA0B6C6"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A69BD22"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595" w:type="dxa"/>
            <w:tcBorders>
              <w:top w:val="single" w:sz="12" w:space="0" w:color="auto"/>
              <w:left w:val="nil"/>
              <w:bottom w:val="single" w:sz="4" w:space="0" w:color="auto"/>
              <w:right w:val="single" w:sz="4" w:space="0" w:color="auto"/>
            </w:tcBorders>
            <w:shd w:val="clear" w:color="auto" w:fill="auto"/>
            <w:noWrap/>
            <w:vAlign w:val="center"/>
          </w:tcPr>
          <w:p w14:paraId="35898FE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91.4</w:t>
            </w:r>
          </w:p>
        </w:tc>
        <w:tc>
          <w:tcPr>
            <w:tcW w:w="760" w:type="dxa"/>
            <w:tcBorders>
              <w:top w:val="single" w:sz="12" w:space="0" w:color="auto"/>
              <w:left w:val="nil"/>
              <w:bottom w:val="single" w:sz="4" w:space="0" w:color="auto"/>
              <w:right w:val="single" w:sz="4" w:space="0" w:color="auto"/>
            </w:tcBorders>
            <w:shd w:val="clear" w:color="auto" w:fill="auto"/>
            <w:noWrap/>
            <w:vAlign w:val="center"/>
          </w:tcPr>
          <w:p w14:paraId="79616BF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13.26</w:t>
            </w:r>
          </w:p>
        </w:tc>
        <w:tc>
          <w:tcPr>
            <w:tcW w:w="1300" w:type="dxa"/>
            <w:tcBorders>
              <w:top w:val="single" w:sz="12" w:space="0" w:color="auto"/>
              <w:left w:val="nil"/>
              <w:bottom w:val="single" w:sz="4" w:space="0" w:color="auto"/>
              <w:right w:val="single" w:sz="4" w:space="0" w:color="auto"/>
            </w:tcBorders>
            <w:shd w:val="clear" w:color="auto" w:fill="auto"/>
            <w:noWrap/>
            <w:vAlign w:val="center"/>
          </w:tcPr>
          <w:p w14:paraId="29791DD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12.05</w:t>
            </w:r>
          </w:p>
        </w:tc>
        <w:tc>
          <w:tcPr>
            <w:tcW w:w="623" w:type="dxa"/>
            <w:tcBorders>
              <w:top w:val="single" w:sz="12" w:space="0" w:color="auto"/>
              <w:left w:val="nil"/>
              <w:bottom w:val="single" w:sz="4" w:space="0" w:color="auto"/>
              <w:right w:val="single" w:sz="4" w:space="0" w:color="auto"/>
            </w:tcBorders>
            <w:shd w:val="clear" w:color="auto" w:fill="auto"/>
            <w:noWrap/>
            <w:vAlign w:val="center"/>
          </w:tcPr>
          <w:p w14:paraId="267B3D1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0.97</w:t>
            </w:r>
          </w:p>
        </w:tc>
        <w:tc>
          <w:tcPr>
            <w:tcW w:w="595" w:type="dxa"/>
            <w:tcBorders>
              <w:top w:val="single" w:sz="12" w:space="0" w:color="auto"/>
              <w:left w:val="nil"/>
              <w:bottom w:val="single" w:sz="4" w:space="0" w:color="auto"/>
              <w:right w:val="single" w:sz="4" w:space="0" w:color="auto"/>
            </w:tcBorders>
            <w:shd w:val="clear" w:color="auto" w:fill="auto"/>
            <w:noWrap/>
            <w:vAlign w:val="center"/>
          </w:tcPr>
          <w:p w14:paraId="60E36FB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589" w:type="dxa"/>
            <w:tcBorders>
              <w:top w:val="single" w:sz="12" w:space="0" w:color="auto"/>
              <w:left w:val="nil"/>
              <w:bottom w:val="single" w:sz="4" w:space="0" w:color="auto"/>
              <w:right w:val="nil"/>
            </w:tcBorders>
            <w:shd w:val="clear" w:color="auto" w:fill="auto"/>
            <w:noWrap/>
            <w:vAlign w:val="center"/>
          </w:tcPr>
          <w:p w14:paraId="1041FA4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8.98</w:t>
            </w:r>
          </w:p>
        </w:tc>
        <w:tc>
          <w:tcPr>
            <w:tcW w:w="1258"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E2B491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62DF945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990B095"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595" w:type="dxa"/>
            <w:tcBorders>
              <w:top w:val="nil"/>
              <w:left w:val="nil"/>
              <w:bottom w:val="single" w:sz="4" w:space="0" w:color="auto"/>
              <w:right w:val="single" w:sz="4" w:space="0" w:color="auto"/>
            </w:tcBorders>
            <w:shd w:val="clear" w:color="auto" w:fill="auto"/>
            <w:noWrap/>
            <w:vAlign w:val="center"/>
          </w:tcPr>
          <w:p w14:paraId="4ED3184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2.54</w:t>
            </w:r>
          </w:p>
        </w:tc>
        <w:tc>
          <w:tcPr>
            <w:tcW w:w="760" w:type="dxa"/>
            <w:tcBorders>
              <w:top w:val="nil"/>
              <w:left w:val="nil"/>
              <w:bottom w:val="single" w:sz="4" w:space="0" w:color="auto"/>
              <w:right w:val="single" w:sz="4" w:space="0" w:color="auto"/>
            </w:tcBorders>
            <w:shd w:val="clear" w:color="auto" w:fill="auto"/>
            <w:noWrap/>
            <w:vAlign w:val="center"/>
          </w:tcPr>
          <w:p w14:paraId="13570E9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13.1</w:t>
            </w:r>
          </w:p>
        </w:tc>
        <w:tc>
          <w:tcPr>
            <w:tcW w:w="1300" w:type="dxa"/>
            <w:tcBorders>
              <w:top w:val="nil"/>
              <w:left w:val="nil"/>
              <w:bottom w:val="single" w:sz="4" w:space="0" w:color="auto"/>
              <w:right w:val="single" w:sz="4" w:space="0" w:color="auto"/>
            </w:tcBorders>
            <w:shd w:val="clear" w:color="auto" w:fill="auto"/>
            <w:noWrap/>
            <w:vAlign w:val="center"/>
          </w:tcPr>
          <w:p w14:paraId="0DD7BCE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0.68</w:t>
            </w:r>
          </w:p>
        </w:tc>
        <w:tc>
          <w:tcPr>
            <w:tcW w:w="623" w:type="dxa"/>
            <w:tcBorders>
              <w:top w:val="nil"/>
              <w:left w:val="nil"/>
              <w:bottom w:val="single" w:sz="4" w:space="0" w:color="auto"/>
              <w:right w:val="single" w:sz="4" w:space="0" w:color="auto"/>
            </w:tcBorders>
            <w:shd w:val="clear" w:color="auto" w:fill="auto"/>
            <w:noWrap/>
            <w:vAlign w:val="center"/>
          </w:tcPr>
          <w:p w14:paraId="2876C20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0.06</w:t>
            </w:r>
          </w:p>
        </w:tc>
        <w:tc>
          <w:tcPr>
            <w:tcW w:w="595" w:type="dxa"/>
            <w:tcBorders>
              <w:top w:val="nil"/>
              <w:left w:val="nil"/>
              <w:bottom w:val="single" w:sz="4" w:space="0" w:color="auto"/>
              <w:right w:val="single" w:sz="4" w:space="0" w:color="auto"/>
            </w:tcBorders>
            <w:shd w:val="clear" w:color="auto" w:fill="auto"/>
            <w:noWrap/>
            <w:vAlign w:val="center"/>
          </w:tcPr>
          <w:p w14:paraId="6EFE9E1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1.07</w:t>
            </w:r>
          </w:p>
        </w:tc>
        <w:tc>
          <w:tcPr>
            <w:tcW w:w="1589" w:type="dxa"/>
            <w:tcBorders>
              <w:top w:val="nil"/>
              <w:left w:val="nil"/>
              <w:bottom w:val="single" w:sz="4" w:space="0" w:color="auto"/>
              <w:right w:val="nil"/>
            </w:tcBorders>
            <w:shd w:val="clear" w:color="auto" w:fill="auto"/>
            <w:noWrap/>
            <w:vAlign w:val="center"/>
          </w:tcPr>
          <w:p w14:paraId="3904F6B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8.27</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0E7969E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402F523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64A788A"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595" w:type="dxa"/>
            <w:tcBorders>
              <w:top w:val="nil"/>
              <w:left w:val="nil"/>
              <w:bottom w:val="single" w:sz="4" w:space="0" w:color="auto"/>
              <w:right w:val="single" w:sz="4" w:space="0" w:color="auto"/>
            </w:tcBorders>
            <w:shd w:val="clear" w:color="auto" w:fill="auto"/>
            <w:noWrap/>
            <w:vAlign w:val="center"/>
          </w:tcPr>
          <w:p w14:paraId="61FF230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197</w:t>
            </w:r>
          </w:p>
        </w:tc>
        <w:tc>
          <w:tcPr>
            <w:tcW w:w="760" w:type="dxa"/>
            <w:tcBorders>
              <w:top w:val="nil"/>
              <w:left w:val="nil"/>
              <w:bottom w:val="single" w:sz="4" w:space="0" w:color="auto"/>
              <w:right w:val="single" w:sz="4" w:space="0" w:color="auto"/>
            </w:tcBorders>
            <w:shd w:val="clear" w:color="auto" w:fill="auto"/>
            <w:noWrap/>
            <w:vAlign w:val="center"/>
          </w:tcPr>
          <w:p w14:paraId="13F03FD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16.7</w:t>
            </w:r>
          </w:p>
        </w:tc>
        <w:tc>
          <w:tcPr>
            <w:tcW w:w="1300" w:type="dxa"/>
            <w:tcBorders>
              <w:top w:val="nil"/>
              <w:left w:val="nil"/>
              <w:bottom w:val="single" w:sz="4" w:space="0" w:color="auto"/>
              <w:right w:val="single" w:sz="4" w:space="0" w:color="auto"/>
            </w:tcBorders>
            <w:shd w:val="clear" w:color="auto" w:fill="auto"/>
            <w:noWrap/>
            <w:vAlign w:val="center"/>
          </w:tcPr>
          <w:p w14:paraId="02CD71E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14.8</w:t>
            </w:r>
          </w:p>
        </w:tc>
        <w:tc>
          <w:tcPr>
            <w:tcW w:w="623" w:type="dxa"/>
            <w:tcBorders>
              <w:top w:val="nil"/>
              <w:left w:val="nil"/>
              <w:bottom w:val="single" w:sz="4" w:space="0" w:color="auto"/>
              <w:right w:val="single" w:sz="4" w:space="0" w:color="auto"/>
            </w:tcBorders>
            <w:shd w:val="clear" w:color="auto" w:fill="auto"/>
            <w:noWrap/>
            <w:vAlign w:val="center"/>
          </w:tcPr>
          <w:p w14:paraId="1E973BC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0.83</w:t>
            </w:r>
          </w:p>
        </w:tc>
        <w:tc>
          <w:tcPr>
            <w:tcW w:w="595" w:type="dxa"/>
            <w:tcBorders>
              <w:top w:val="nil"/>
              <w:left w:val="nil"/>
              <w:bottom w:val="single" w:sz="4" w:space="0" w:color="auto"/>
              <w:right w:val="single" w:sz="4" w:space="0" w:color="auto"/>
            </w:tcBorders>
            <w:shd w:val="clear" w:color="auto" w:fill="auto"/>
            <w:noWrap/>
            <w:vAlign w:val="center"/>
          </w:tcPr>
          <w:p w14:paraId="2ADD161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589" w:type="dxa"/>
            <w:tcBorders>
              <w:top w:val="nil"/>
              <w:left w:val="nil"/>
              <w:bottom w:val="single" w:sz="4" w:space="0" w:color="auto"/>
              <w:right w:val="nil"/>
            </w:tcBorders>
            <w:shd w:val="clear" w:color="auto" w:fill="auto"/>
            <w:noWrap/>
            <w:vAlign w:val="center"/>
          </w:tcPr>
          <w:p w14:paraId="7EA638B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5.79</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49D9B63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4E39C2F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270D3DA"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595" w:type="dxa"/>
            <w:tcBorders>
              <w:top w:val="nil"/>
              <w:left w:val="nil"/>
              <w:bottom w:val="single" w:sz="4" w:space="0" w:color="auto"/>
              <w:right w:val="single" w:sz="4" w:space="0" w:color="auto"/>
            </w:tcBorders>
            <w:shd w:val="clear" w:color="auto" w:fill="auto"/>
            <w:noWrap/>
            <w:vAlign w:val="center"/>
          </w:tcPr>
          <w:p w14:paraId="6D7C38E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7.11</w:t>
            </w:r>
          </w:p>
        </w:tc>
        <w:tc>
          <w:tcPr>
            <w:tcW w:w="760" w:type="dxa"/>
            <w:tcBorders>
              <w:top w:val="nil"/>
              <w:left w:val="nil"/>
              <w:bottom w:val="single" w:sz="4" w:space="0" w:color="auto"/>
              <w:right w:val="single" w:sz="4" w:space="0" w:color="auto"/>
            </w:tcBorders>
            <w:shd w:val="clear" w:color="auto" w:fill="auto"/>
            <w:noWrap/>
            <w:vAlign w:val="center"/>
          </w:tcPr>
          <w:p w14:paraId="51A090C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13.4</w:t>
            </w:r>
          </w:p>
        </w:tc>
        <w:tc>
          <w:tcPr>
            <w:tcW w:w="1300" w:type="dxa"/>
            <w:tcBorders>
              <w:top w:val="nil"/>
              <w:left w:val="nil"/>
              <w:bottom w:val="single" w:sz="4" w:space="0" w:color="auto"/>
              <w:right w:val="single" w:sz="4" w:space="0" w:color="auto"/>
            </w:tcBorders>
            <w:shd w:val="clear" w:color="auto" w:fill="auto"/>
            <w:noWrap/>
            <w:vAlign w:val="center"/>
          </w:tcPr>
          <w:p w14:paraId="17DECA1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1.29</w:t>
            </w:r>
          </w:p>
        </w:tc>
        <w:tc>
          <w:tcPr>
            <w:tcW w:w="623" w:type="dxa"/>
            <w:tcBorders>
              <w:top w:val="nil"/>
              <w:left w:val="nil"/>
              <w:bottom w:val="single" w:sz="4" w:space="0" w:color="auto"/>
              <w:right w:val="single" w:sz="4" w:space="0" w:color="auto"/>
            </w:tcBorders>
            <w:shd w:val="clear" w:color="auto" w:fill="auto"/>
            <w:noWrap/>
            <w:vAlign w:val="center"/>
          </w:tcPr>
          <w:p w14:paraId="58FB4C6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0.05</w:t>
            </w:r>
          </w:p>
        </w:tc>
        <w:tc>
          <w:tcPr>
            <w:tcW w:w="595" w:type="dxa"/>
            <w:tcBorders>
              <w:top w:val="nil"/>
              <w:left w:val="nil"/>
              <w:bottom w:val="single" w:sz="4" w:space="0" w:color="auto"/>
              <w:right w:val="single" w:sz="4" w:space="0" w:color="auto"/>
            </w:tcBorders>
            <w:shd w:val="clear" w:color="auto" w:fill="auto"/>
            <w:noWrap/>
            <w:vAlign w:val="center"/>
          </w:tcPr>
          <w:p w14:paraId="3BAF4E9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1.37</w:t>
            </w:r>
          </w:p>
        </w:tc>
        <w:tc>
          <w:tcPr>
            <w:tcW w:w="1589" w:type="dxa"/>
            <w:tcBorders>
              <w:top w:val="nil"/>
              <w:left w:val="nil"/>
              <w:bottom w:val="single" w:sz="4" w:space="0" w:color="auto"/>
              <w:right w:val="nil"/>
            </w:tcBorders>
            <w:shd w:val="clear" w:color="auto" w:fill="auto"/>
            <w:noWrap/>
            <w:vAlign w:val="center"/>
          </w:tcPr>
          <w:p w14:paraId="4F6770D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6.37</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4E5FD9F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B1F223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8F9E064"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595" w:type="dxa"/>
            <w:tcBorders>
              <w:top w:val="nil"/>
              <w:left w:val="nil"/>
              <w:bottom w:val="single" w:sz="4" w:space="0" w:color="auto"/>
              <w:right w:val="single" w:sz="4" w:space="0" w:color="auto"/>
            </w:tcBorders>
            <w:shd w:val="clear" w:color="auto" w:fill="auto"/>
            <w:noWrap/>
            <w:vAlign w:val="center"/>
          </w:tcPr>
          <w:p w14:paraId="4522219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7.13</w:t>
            </w:r>
          </w:p>
        </w:tc>
        <w:tc>
          <w:tcPr>
            <w:tcW w:w="760" w:type="dxa"/>
            <w:tcBorders>
              <w:top w:val="nil"/>
              <w:left w:val="nil"/>
              <w:bottom w:val="single" w:sz="4" w:space="0" w:color="auto"/>
              <w:right w:val="single" w:sz="4" w:space="0" w:color="auto"/>
            </w:tcBorders>
            <w:shd w:val="clear" w:color="auto" w:fill="auto"/>
            <w:noWrap/>
            <w:vAlign w:val="center"/>
          </w:tcPr>
          <w:p w14:paraId="496E64D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32.5</w:t>
            </w:r>
          </w:p>
        </w:tc>
        <w:tc>
          <w:tcPr>
            <w:tcW w:w="1300" w:type="dxa"/>
            <w:tcBorders>
              <w:top w:val="nil"/>
              <w:left w:val="nil"/>
              <w:bottom w:val="single" w:sz="4" w:space="0" w:color="auto"/>
              <w:right w:val="single" w:sz="4" w:space="0" w:color="auto"/>
            </w:tcBorders>
            <w:shd w:val="clear" w:color="auto" w:fill="auto"/>
            <w:noWrap/>
            <w:vAlign w:val="center"/>
          </w:tcPr>
          <w:p w14:paraId="2B2013B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1.49</w:t>
            </w:r>
          </w:p>
        </w:tc>
        <w:tc>
          <w:tcPr>
            <w:tcW w:w="623" w:type="dxa"/>
            <w:tcBorders>
              <w:top w:val="nil"/>
              <w:left w:val="nil"/>
              <w:bottom w:val="single" w:sz="4" w:space="0" w:color="auto"/>
              <w:right w:val="single" w:sz="4" w:space="0" w:color="auto"/>
            </w:tcBorders>
            <w:shd w:val="clear" w:color="auto" w:fill="auto"/>
            <w:noWrap/>
            <w:vAlign w:val="center"/>
          </w:tcPr>
          <w:p w14:paraId="08A0BAA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0.19</w:t>
            </w:r>
          </w:p>
        </w:tc>
        <w:tc>
          <w:tcPr>
            <w:tcW w:w="595" w:type="dxa"/>
            <w:tcBorders>
              <w:top w:val="nil"/>
              <w:left w:val="nil"/>
              <w:bottom w:val="single" w:sz="4" w:space="0" w:color="auto"/>
              <w:right w:val="single" w:sz="4" w:space="0" w:color="auto"/>
            </w:tcBorders>
            <w:shd w:val="clear" w:color="auto" w:fill="auto"/>
            <w:noWrap/>
            <w:vAlign w:val="center"/>
          </w:tcPr>
          <w:p w14:paraId="19267A5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0.88</w:t>
            </w:r>
          </w:p>
        </w:tc>
        <w:tc>
          <w:tcPr>
            <w:tcW w:w="1589" w:type="dxa"/>
            <w:tcBorders>
              <w:top w:val="nil"/>
              <w:left w:val="nil"/>
              <w:bottom w:val="single" w:sz="4" w:space="0" w:color="auto"/>
              <w:right w:val="nil"/>
            </w:tcBorders>
            <w:shd w:val="clear" w:color="auto" w:fill="auto"/>
            <w:noWrap/>
            <w:vAlign w:val="center"/>
          </w:tcPr>
          <w:p w14:paraId="742FCF8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2.02</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6939D7F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99E046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47102CF"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595" w:type="dxa"/>
            <w:tcBorders>
              <w:top w:val="nil"/>
              <w:left w:val="nil"/>
              <w:bottom w:val="single" w:sz="4" w:space="0" w:color="auto"/>
              <w:right w:val="single" w:sz="4" w:space="0" w:color="auto"/>
            </w:tcBorders>
            <w:shd w:val="clear" w:color="auto" w:fill="auto"/>
            <w:noWrap/>
            <w:vAlign w:val="center"/>
          </w:tcPr>
          <w:p w14:paraId="1E857CD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8.09</w:t>
            </w:r>
          </w:p>
        </w:tc>
        <w:tc>
          <w:tcPr>
            <w:tcW w:w="760" w:type="dxa"/>
            <w:tcBorders>
              <w:top w:val="nil"/>
              <w:left w:val="nil"/>
              <w:bottom w:val="single" w:sz="4" w:space="0" w:color="auto"/>
              <w:right w:val="single" w:sz="4" w:space="0" w:color="auto"/>
            </w:tcBorders>
            <w:shd w:val="clear" w:color="auto" w:fill="auto"/>
            <w:noWrap/>
            <w:vAlign w:val="center"/>
          </w:tcPr>
          <w:p w14:paraId="021416E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33.9</w:t>
            </w:r>
          </w:p>
        </w:tc>
        <w:tc>
          <w:tcPr>
            <w:tcW w:w="1300" w:type="dxa"/>
            <w:tcBorders>
              <w:top w:val="nil"/>
              <w:left w:val="nil"/>
              <w:bottom w:val="single" w:sz="4" w:space="0" w:color="auto"/>
              <w:right w:val="single" w:sz="4" w:space="0" w:color="auto"/>
            </w:tcBorders>
            <w:shd w:val="clear" w:color="auto" w:fill="auto"/>
            <w:noWrap/>
            <w:vAlign w:val="center"/>
          </w:tcPr>
          <w:p w14:paraId="57C090D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2.03</w:t>
            </w:r>
          </w:p>
        </w:tc>
        <w:tc>
          <w:tcPr>
            <w:tcW w:w="623" w:type="dxa"/>
            <w:tcBorders>
              <w:top w:val="nil"/>
              <w:left w:val="nil"/>
              <w:bottom w:val="single" w:sz="4" w:space="0" w:color="auto"/>
              <w:right w:val="single" w:sz="4" w:space="0" w:color="auto"/>
            </w:tcBorders>
            <w:shd w:val="clear" w:color="auto" w:fill="auto"/>
            <w:noWrap/>
            <w:vAlign w:val="center"/>
          </w:tcPr>
          <w:p w14:paraId="11813C9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0.24</w:t>
            </w:r>
          </w:p>
        </w:tc>
        <w:tc>
          <w:tcPr>
            <w:tcW w:w="595" w:type="dxa"/>
            <w:tcBorders>
              <w:top w:val="nil"/>
              <w:left w:val="nil"/>
              <w:bottom w:val="single" w:sz="4" w:space="0" w:color="auto"/>
              <w:right w:val="single" w:sz="4" w:space="0" w:color="auto"/>
            </w:tcBorders>
            <w:shd w:val="clear" w:color="auto" w:fill="auto"/>
            <w:noWrap/>
            <w:vAlign w:val="center"/>
          </w:tcPr>
          <w:p w14:paraId="25FD0A2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0.96</w:t>
            </w:r>
          </w:p>
        </w:tc>
        <w:tc>
          <w:tcPr>
            <w:tcW w:w="1589" w:type="dxa"/>
            <w:tcBorders>
              <w:top w:val="nil"/>
              <w:left w:val="nil"/>
              <w:bottom w:val="single" w:sz="4" w:space="0" w:color="auto"/>
              <w:right w:val="nil"/>
            </w:tcBorders>
            <w:shd w:val="clear" w:color="auto" w:fill="auto"/>
            <w:noWrap/>
            <w:vAlign w:val="center"/>
          </w:tcPr>
          <w:p w14:paraId="777A2EB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4.12</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255FDC9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67F4A3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E1B3602"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595" w:type="dxa"/>
            <w:tcBorders>
              <w:top w:val="nil"/>
              <w:left w:val="nil"/>
              <w:bottom w:val="single" w:sz="4" w:space="0" w:color="auto"/>
              <w:right w:val="single" w:sz="4" w:space="0" w:color="auto"/>
            </w:tcBorders>
            <w:shd w:val="clear" w:color="auto" w:fill="auto"/>
            <w:noWrap/>
            <w:vAlign w:val="center"/>
          </w:tcPr>
          <w:p w14:paraId="24F3E81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593</w:t>
            </w:r>
          </w:p>
        </w:tc>
        <w:tc>
          <w:tcPr>
            <w:tcW w:w="760" w:type="dxa"/>
            <w:tcBorders>
              <w:top w:val="nil"/>
              <w:left w:val="nil"/>
              <w:bottom w:val="single" w:sz="4" w:space="0" w:color="auto"/>
              <w:right w:val="single" w:sz="4" w:space="0" w:color="auto"/>
            </w:tcBorders>
            <w:shd w:val="clear" w:color="auto" w:fill="auto"/>
            <w:noWrap/>
            <w:vAlign w:val="center"/>
          </w:tcPr>
          <w:p w14:paraId="3C1B431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1300" w:type="dxa"/>
            <w:tcBorders>
              <w:top w:val="nil"/>
              <w:left w:val="nil"/>
              <w:bottom w:val="single" w:sz="4" w:space="0" w:color="auto"/>
              <w:right w:val="single" w:sz="4" w:space="0" w:color="auto"/>
            </w:tcBorders>
            <w:shd w:val="clear" w:color="auto" w:fill="auto"/>
            <w:noWrap/>
            <w:vAlign w:val="center"/>
          </w:tcPr>
          <w:p w14:paraId="7CEADFC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389</w:t>
            </w:r>
          </w:p>
        </w:tc>
        <w:tc>
          <w:tcPr>
            <w:tcW w:w="623" w:type="dxa"/>
            <w:tcBorders>
              <w:top w:val="nil"/>
              <w:left w:val="nil"/>
              <w:bottom w:val="single" w:sz="4" w:space="0" w:color="auto"/>
              <w:right w:val="single" w:sz="4" w:space="0" w:color="auto"/>
            </w:tcBorders>
            <w:shd w:val="clear" w:color="auto" w:fill="auto"/>
            <w:noWrap/>
            <w:vAlign w:val="center"/>
          </w:tcPr>
          <w:p w14:paraId="5997446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6.39</w:t>
            </w:r>
          </w:p>
        </w:tc>
        <w:tc>
          <w:tcPr>
            <w:tcW w:w="595" w:type="dxa"/>
            <w:tcBorders>
              <w:top w:val="nil"/>
              <w:left w:val="nil"/>
              <w:bottom w:val="single" w:sz="4" w:space="0" w:color="auto"/>
              <w:right w:val="single" w:sz="4" w:space="0" w:color="auto"/>
            </w:tcBorders>
            <w:shd w:val="clear" w:color="auto" w:fill="auto"/>
            <w:noWrap/>
            <w:vAlign w:val="center"/>
          </w:tcPr>
          <w:p w14:paraId="1B29354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6.45</w:t>
            </w:r>
          </w:p>
        </w:tc>
        <w:tc>
          <w:tcPr>
            <w:tcW w:w="1589" w:type="dxa"/>
            <w:tcBorders>
              <w:top w:val="nil"/>
              <w:left w:val="nil"/>
              <w:bottom w:val="single" w:sz="4" w:space="0" w:color="auto"/>
              <w:right w:val="nil"/>
            </w:tcBorders>
            <w:shd w:val="clear" w:color="auto" w:fill="auto"/>
            <w:noWrap/>
            <w:vAlign w:val="center"/>
          </w:tcPr>
          <w:p w14:paraId="16ED042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158</w:t>
            </w:r>
          </w:p>
        </w:tc>
        <w:tc>
          <w:tcPr>
            <w:tcW w:w="1258" w:type="dxa"/>
            <w:tcBorders>
              <w:top w:val="nil"/>
              <w:left w:val="single" w:sz="4" w:space="0" w:color="auto"/>
              <w:bottom w:val="single" w:sz="4" w:space="0" w:color="auto"/>
              <w:right w:val="double" w:sz="6" w:space="0" w:color="auto"/>
            </w:tcBorders>
            <w:shd w:val="clear" w:color="auto" w:fill="auto"/>
            <w:noWrap/>
            <w:vAlign w:val="center"/>
          </w:tcPr>
          <w:p w14:paraId="1DC4806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4B8047F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2C4EBC15"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595" w:type="dxa"/>
            <w:tcBorders>
              <w:top w:val="nil"/>
              <w:left w:val="nil"/>
              <w:bottom w:val="double" w:sz="6" w:space="0" w:color="auto"/>
              <w:right w:val="single" w:sz="4" w:space="0" w:color="auto"/>
            </w:tcBorders>
            <w:shd w:val="clear" w:color="auto" w:fill="auto"/>
            <w:noWrap/>
            <w:vAlign w:val="center"/>
          </w:tcPr>
          <w:p w14:paraId="639229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528</w:t>
            </w:r>
          </w:p>
        </w:tc>
        <w:tc>
          <w:tcPr>
            <w:tcW w:w="760" w:type="dxa"/>
            <w:tcBorders>
              <w:top w:val="nil"/>
              <w:left w:val="nil"/>
              <w:bottom w:val="double" w:sz="6" w:space="0" w:color="auto"/>
              <w:right w:val="single" w:sz="4" w:space="0" w:color="auto"/>
            </w:tcBorders>
            <w:shd w:val="clear" w:color="auto" w:fill="auto"/>
            <w:noWrap/>
            <w:vAlign w:val="center"/>
          </w:tcPr>
          <w:p w14:paraId="794FE6D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7.40</w:t>
            </w:r>
          </w:p>
        </w:tc>
        <w:tc>
          <w:tcPr>
            <w:tcW w:w="1300" w:type="dxa"/>
            <w:tcBorders>
              <w:top w:val="nil"/>
              <w:left w:val="nil"/>
              <w:bottom w:val="double" w:sz="6" w:space="0" w:color="auto"/>
              <w:right w:val="single" w:sz="4" w:space="0" w:color="auto"/>
            </w:tcBorders>
            <w:shd w:val="clear" w:color="auto" w:fill="auto"/>
            <w:noWrap/>
            <w:vAlign w:val="center"/>
          </w:tcPr>
          <w:p w14:paraId="095805A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61.6</w:t>
            </w:r>
          </w:p>
        </w:tc>
        <w:tc>
          <w:tcPr>
            <w:tcW w:w="623" w:type="dxa"/>
            <w:tcBorders>
              <w:top w:val="nil"/>
              <w:left w:val="nil"/>
              <w:bottom w:val="double" w:sz="6" w:space="0" w:color="auto"/>
              <w:right w:val="single" w:sz="4" w:space="0" w:color="auto"/>
            </w:tcBorders>
            <w:shd w:val="clear" w:color="auto" w:fill="auto"/>
            <w:noWrap/>
            <w:vAlign w:val="center"/>
          </w:tcPr>
          <w:p w14:paraId="10DC891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4.84</w:t>
            </w:r>
          </w:p>
        </w:tc>
        <w:tc>
          <w:tcPr>
            <w:tcW w:w="595" w:type="dxa"/>
            <w:tcBorders>
              <w:top w:val="nil"/>
              <w:left w:val="nil"/>
              <w:bottom w:val="double" w:sz="6" w:space="0" w:color="auto"/>
              <w:right w:val="single" w:sz="4" w:space="0" w:color="auto"/>
            </w:tcBorders>
            <w:shd w:val="clear" w:color="auto" w:fill="auto"/>
            <w:noWrap/>
            <w:vAlign w:val="center"/>
          </w:tcPr>
          <w:p w14:paraId="7784198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0.91</w:t>
            </w:r>
          </w:p>
        </w:tc>
        <w:tc>
          <w:tcPr>
            <w:tcW w:w="1589" w:type="dxa"/>
            <w:tcBorders>
              <w:top w:val="nil"/>
              <w:left w:val="nil"/>
              <w:bottom w:val="double" w:sz="6" w:space="0" w:color="auto"/>
              <w:right w:val="nil"/>
            </w:tcBorders>
            <w:shd w:val="clear" w:color="auto" w:fill="auto"/>
            <w:noWrap/>
            <w:vAlign w:val="center"/>
          </w:tcPr>
          <w:p w14:paraId="21D38E7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53.7</w:t>
            </w:r>
          </w:p>
        </w:tc>
        <w:tc>
          <w:tcPr>
            <w:tcW w:w="1258" w:type="dxa"/>
            <w:tcBorders>
              <w:top w:val="nil"/>
              <w:left w:val="single" w:sz="4" w:space="0" w:color="auto"/>
              <w:bottom w:val="double" w:sz="6" w:space="0" w:color="auto"/>
              <w:right w:val="double" w:sz="6" w:space="0" w:color="auto"/>
            </w:tcBorders>
            <w:shd w:val="clear" w:color="auto" w:fill="auto"/>
            <w:noWrap/>
            <w:vAlign w:val="center"/>
          </w:tcPr>
          <w:p w14:paraId="4C0DE11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1355425F" w14:textId="1DDCC6E7" w:rsidR="001D2587" w:rsidRPr="008D1A83" w:rsidRDefault="00095EA7" w:rsidP="008D1A83">
      <w:pPr>
        <w:pStyle w:val="Caption"/>
      </w:pPr>
      <w:r w:rsidRPr="008D1A83">
        <w:t>Table </w:t>
      </w:r>
      <w:r w:rsidR="00B642C6" w:rsidRPr="008D1A83">
        <w:t>A1</w:t>
      </w:r>
      <w:r w:rsidR="0071699C" w:rsidRPr="008D1A83">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4</w:t>
      </w:r>
      <w:r w:rsidR="00FB454C">
        <w:rPr>
          <w:noProof/>
        </w:rPr>
        <w:fldChar w:fldCharType="end"/>
      </w:r>
      <w:r w:rsidR="001D2587" w:rsidRPr="008D1A83">
        <w:t>: Bulk emission factors (g/kg fuel) (for CO2 kg/kg fuel)</w:t>
      </w:r>
      <w:r w:rsidR="008F41BA" w:rsidRPr="008D1A83">
        <w:t xml:space="preserve"> </w:t>
      </w:r>
      <w:r w:rsidR="001D2587" w:rsidRPr="008D1A83">
        <w:t xml:space="preserve">for </w:t>
      </w:r>
      <w:r w:rsidR="00263997" w:rsidRPr="008D1A83">
        <w:t>Bulgaria</w:t>
      </w:r>
      <w:r w:rsidR="001D2587" w:rsidRPr="008D1A83">
        <w:t>,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584641E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48DFEB1C"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514B7EA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Bulgaria</w:t>
            </w:r>
          </w:p>
        </w:tc>
      </w:tr>
      <w:tr w:rsidR="00BE3ADC" w:rsidRPr="000855B2" w14:paraId="187B1FAE"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A5A2896"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0FD3BFC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49714BD3"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1A76B446"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56EE940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5</w:t>
            </w:r>
          </w:p>
        </w:tc>
        <w:tc>
          <w:tcPr>
            <w:tcW w:w="602" w:type="dxa"/>
            <w:tcBorders>
              <w:top w:val="nil"/>
              <w:left w:val="nil"/>
              <w:bottom w:val="single" w:sz="12" w:space="0" w:color="auto"/>
              <w:right w:val="single" w:sz="4" w:space="0" w:color="auto"/>
            </w:tcBorders>
            <w:shd w:val="clear" w:color="auto" w:fill="auto"/>
            <w:noWrap/>
            <w:vAlign w:val="center"/>
          </w:tcPr>
          <w:p w14:paraId="19B0DB82"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30E1C85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60CFA1B2"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5762F57E"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67B0CE9"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lastRenderedPageBreak/>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79AB110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266</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32B9E1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19.5</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200764C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33.9</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56B1344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72E69E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7AA2411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8.27</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DA7548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127666B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A70C7E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23B2B12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5.94</w:t>
            </w:r>
          </w:p>
        </w:tc>
        <w:tc>
          <w:tcPr>
            <w:tcW w:w="685" w:type="dxa"/>
            <w:tcBorders>
              <w:top w:val="nil"/>
              <w:left w:val="nil"/>
              <w:bottom w:val="single" w:sz="4" w:space="0" w:color="auto"/>
              <w:right w:val="single" w:sz="4" w:space="0" w:color="auto"/>
            </w:tcBorders>
            <w:shd w:val="clear" w:color="auto" w:fill="auto"/>
            <w:noWrap/>
            <w:vAlign w:val="center"/>
          </w:tcPr>
          <w:p w14:paraId="194402A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12.4</w:t>
            </w:r>
          </w:p>
        </w:tc>
        <w:tc>
          <w:tcPr>
            <w:tcW w:w="1315" w:type="dxa"/>
            <w:tcBorders>
              <w:top w:val="nil"/>
              <w:left w:val="nil"/>
              <w:bottom w:val="single" w:sz="4" w:space="0" w:color="auto"/>
              <w:right w:val="single" w:sz="4" w:space="0" w:color="auto"/>
            </w:tcBorders>
            <w:shd w:val="clear" w:color="auto" w:fill="auto"/>
            <w:noWrap/>
            <w:vAlign w:val="center"/>
          </w:tcPr>
          <w:p w14:paraId="6125E14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1.66</w:t>
            </w:r>
          </w:p>
        </w:tc>
        <w:tc>
          <w:tcPr>
            <w:tcW w:w="630" w:type="dxa"/>
            <w:tcBorders>
              <w:top w:val="nil"/>
              <w:left w:val="nil"/>
              <w:bottom w:val="single" w:sz="4" w:space="0" w:color="auto"/>
              <w:right w:val="single" w:sz="4" w:space="0" w:color="auto"/>
            </w:tcBorders>
            <w:shd w:val="clear" w:color="auto" w:fill="auto"/>
            <w:noWrap/>
            <w:vAlign w:val="center"/>
          </w:tcPr>
          <w:p w14:paraId="05407E9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0.15</w:t>
            </w:r>
          </w:p>
        </w:tc>
        <w:tc>
          <w:tcPr>
            <w:tcW w:w="602" w:type="dxa"/>
            <w:tcBorders>
              <w:top w:val="nil"/>
              <w:left w:val="nil"/>
              <w:bottom w:val="single" w:sz="4" w:space="0" w:color="auto"/>
              <w:right w:val="single" w:sz="4" w:space="0" w:color="auto"/>
            </w:tcBorders>
            <w:shd w:val="clear" w:color="auto" w:fill="auto"/>
            <w:noWrap/>
            <w:vAlign w:val="center"/>
          </w:tcPr>
          <w:p w14:paraId="1645553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1.86</w:t>
            </w:r>
          </w:p>
        </w:tc>
        <w:tc>
          <w:tcPr>
            <w:tcW w:w="1609" w:type="dxa"/>
            <w:tcBorders>
              <w:top w:val="nil"/>
              <w:left w:val="nil"/>
              <w:bottom w:val="single" w:sz="4" w:space="0" w:color="auto"/>
              <w:right w:val="nil"/>
            </w:tcBorders>
            <w:shd w:val="clear" w:color="auto" w:fill="auto"/>
            <w:noWrap/>
            <w:vAlign w:val="center"/>
          </w:tcPr>
          <w:p w14:paraId="7CE35AE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8.01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392318A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003187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34F20FE"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6DB1980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238</w:t>
            </w:r>
          </w:p>
        </w:tc>
        <w:tc>
          <w:tcPr>
            <w:tcW w:w="685" w:type="dxa"/>
            <w:tcBorders>
              <w:top w:val="nil"/>
              <w:left w:val="nil"/>
              <w:bottom w:val="single" w:sz="4" w:space="0" w:color="auto"/>
              <w:right w:val="single" w:sz="4" w:space="0" w:color="auto"/>
            </w:tcBorders>
            <w:shd w:val="clear" w:color="auto" w:fill="auto"/>
            <w:noWrap/>
            <w:vAlign w:val="center"/>
          </w:tcPr>
          <w:p w14:paraId="5122F42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16.2</w:t>
            </w:r>
          </w:p>
        </w:tc>
        <w:tc>
          <w:tcPr>
            <w:tcW w:w="1315" w:type="dxa"/>
            <w:tcBorders>
              <w:top w:val="nil"/>
              <w:left w:val="nil"/>
              <w:bottom w:val="single" w:sz="4" w:space="0" w:color="auto"/>
              <w:right w:val="single" w:sz="4" w:space="0" w:color="auto"/>
            </w:tcBorders>
            <w:shd w:val="clear" w:color="auto" w:fill="auto"/>
            <w:noWrap/>
            <w:vAlign w:val="center"/>
          </w:tcPr>
          <w:p w14:paraId="44FD564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23.0</w:t>
            </w:r>
          </w:p>
        </w:tc>
        <w:tc>
          <w:tcPr>
            <w:tcW w:w="630" w:type="dxa"/>
            <w:tcBorders>
              <w:top w:val="nil"/>
              <w:left w:val="nil"/>
              <w:bottom w:val="single" w:sz="4" w:space="0" w:color="auto"/>
              <w:right w:val="single" w:sz="4" w:space="0" w:color="auto"/>
            </w:tcBorders>
            <w:shd w:val="clear" w:color="auto" w:fill="auto"/>
            <w:noWrap/>
            <w:vAlign w:val="center"/>
          </w:tcPr>
          <w:p w14:paraId="45E4DBE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1.06</w:t>
            </w:r>
          </w:p>
        </w:tc>
        <w:tc>
          <w:tcPr>
            <w:tcW w:w="602" w:type="dxa"/>
            <w:tcBorders>
              <w:top w:val="nil"/>
              <w:left w:val="nil"/>
              <w:bottom w:val="single" w:sz="4" w:space="0" w:color="auto"/>
              <w:right w:val="single" w:sz="4" w:space="0" w:color="auto"/>
            </w:tcBorders>
            <w:shd w:val="clear" w:color="auto" w:fill="auto"/>
            <w:noWrap/>
            <w:vAlign w:val="center"/>
          </w:tcPr>
          <w:p w14:paraId="77D4360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2328BA7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6.14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C85B1C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3CCC481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1CF0F35"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2F874D0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9.55</w:t>
            </w:r>
          </w:p>
        </w:tc>
        <w:tc>
          <w:tcPr>
            <w:tcW w:w="685" w:type="dxa"/>
            <w:tcBorders>
              <w:top w:val="nil"/>
              <w:left w:val="nil"/>
              <w:bottom w:val="single" w:sz="4" w:space="0" w:color="auto"/>
              <w:right w:val="single" w:sz="4" w:space="0" w:color="auto"/>
            </w:tcBorders>
            <w:shd w:val="clear" w:color="auto" w:fill="auto"/>
            <w:noWrap/>
            <w:vAlign w:val="center"/>
          </w:tcPr>
          <w:p w14:paraId="74A1F6C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16.8</w:t>
            </w:r>
          </w:p>
        </w:tc>
        <w:tc>
          <w:tcPr>
            <w:tcW w:w="1315" w:type="dxa"/>
            <w:tcBorders>
              <w:top w:val="nil"/>
              <w:left w:val="nil"/>
              <w:bottom w:val="single" w:sz="4" w:space="0" w:color="auto"/>
              <w:right w:val="single" w:sz="4" w:space="0" w:color="auto"/>
            </w:tcBorders>
            <w:shd w:val="clear" w:color="auto" w:fill="auto"/>
            <w:noWrap/>
            <w:vAlign w:val="center"/>
          </w:tcPr>
          <w:p w14:paraId="048615B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1.67</w:t>
            </w:r>
          </w:p>
        </w:tc>
        <w:tc>
          <w:tcPr>
            <w:tcW w:w="630" w:type="dxa"/>
            <w:tcBorders>
              <w:top w:val="nil"/>
              <w:left w:val="nil"/>
              <w:bottom w:val="single" w:sz="4" w:space="0" w:color="auto"/>
              <w:right w:val="single" w:sz="4" w:space="0" w:color="auto"/>
            </w:tcBorders>
            <w:shd w:val="clear" w:color="auto" w:fill="auto"/>
            <w:noWrap/>
            <w:vAlign w:val="center"/>
          </w:tcPr>
          <w:p w14:paraId="26FB5E5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0.12</w:t>
            </w:r>
          </w:p>
        </w:tc>
        <w:tc>
          <w:tcPr>
            <w:tcW w:w="602" w:type="dxa"/>
            <w:tcBorders>
              <w:top w:val="nil"/>
              <w:left w:val="nil"/>
              <w:bottom w:val="single" w:sz="4" w:space="0" w:color="auto"/>
              <w:right w:val="single" w:sz="4" w:space="0" w:color="auto"/>
            </w:tcBorders>
            <w:shd w:val="clear" w:color="auto" w:fill="auto"/>
            <w:noWrap/>
            <w:vAlign w:val="center"/>
          </w:tcPr>
          <w:p w14:paraId="145F72D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2.21</w:t>
            </w:r>
          </w:p>
        </w:tc>
        <w:tc>
          <w:tcPr>
            <w:tcW w:w="1609" w:type="dxa"/>
            <w:tcBorders>
              <w:top w:val="nil"/>
              <w:left w:val="nil"/>
              <w:bottom w:val="single" w:sz="4" w:space="0" w:color="auto"/>
              <w:right w:val="nil"/>
            </w:tcBorders>
            <w:shd w:val="clear" w:color="auto" w:fill="auto"/>
            <w:noWrap/>
            <w:vAlign w:val="center"/>
          </w:tcPr>
          <w:p w14:paraId="2CC6962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5.54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97A1D8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747BD52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3F792F3"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4BCD24E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9.98</w:t>
            </w:r>
          </w:p>
        </w:tc>
        <w:tc>
          <w:tcPr>
            <w:tcW w:w="685" w:type="dxa"/>
            <w:tcBorders>
              <w:top w:val="nil"/>
              <w:left w:val="nil"/>
              <w:bottom w:val="single" w:sz="4" w:space="0" w:color="auto"/>
              <w:right w:val="single" w:sz="4" w:space="0" w:color="auto"/>
            </w:tcBorders>
            <w:shd w:val="clear" w:color="auto" w:fill="auto"/>
            <w:noWrap/>
            <w:vAlign w:val="center"/>
          </w:tcPr>
          <w:p w14:paraId="180DADB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38.0</w:t>
            </w:r>
          </w:p>
        </w:tc>
        <w:tc>
          <w:tcPr>
            <w:tcW w:w="1315" w:type="dxa"/>
            <w:tcBorders>
              <w:top w:val="nil"/>
              <w:left w:val="nil"/>
              <w:bottom w:val="single" w:sz="4" w:space="0" w:color="auto"/>
              <w:right w:val="single" w:sz="4" w:space="0" w:color="auto"/>
            </w:tcBorders>
            <w:shd w:val="clear" w:color="auto" w:fill="auto"/>
            <w:noWrap/>
            <w:vAlign w:val="center"/>
          </w:tcPr>
          <w:p w14:paraId="5FCD889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3.58</w:t>
            </w:r>
          </w:p>
        </w:tc>
        <w:tc>
          <w:tcPr>
            <w:tcW w:w="630" w:type="dxa"/>
            <w:tcBorders>
              <w:top w:val="nil"/>
              <w:left w:val="nil"/>
              <w:bottom w:val="single" w:sz="4" w:space="0" w:color="auto"/>
              <w:right w:val="single" w:sz="4" w:space="0" w:color="auto"/>
            </w:tcBorders>
            <w:shd w:val="clear" w:color="auto" w:fill="auto"/>
            <w:noWrap/>
            <w:vAlign w:val="center"/>
          </w:tcPr>
          <w:p w14:paraId="6AFCE2A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0.29</w:t>
            </w:r>
          </w:p>
        </w:tc>
        <w:tc>
          <w:tcPr>
            <w:tcW w:w="602" w:type="dxa"/>
            <w:tcBorders>
              <w:top w:val="nil"/>
              <w:left w:val="nil"/>
              <w:bottom w:val="single" w:sz="4" w:space="0" w:color="auto"/>
              <w:right w:val="single" w:sz="4" w:space="0" w:color="auto"/>
            </w:tcBorders>
            <w:shd w:val="clear" w:color="auto" w:fill="auto"/>
            <w:noWrap/>
            <w:vAlign w:val="center"/>
          </w:tcPr>
          <w:p w14:paraId="0290723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1.48</w:t>
            </w:r>
          </w:p>
        </w:tc>
        <w:tc>
          <w:tcPr>
            <w:tcW w:w="1609" w:type="dxa"/>
            <w:tcBorders>
              <w:top w:val="nil"/>
              <w:left w:val="nil"/>
              <w:bottom w:val="single" w:sz="4" w:space="0" w:color="auto"/>
              <w:right w:val="nil"/>
            </w:tcBorders>
            <w:shd w:val="clear" w:color="auto" w:fill="auto"/>
            <w:noWrap/>
            <w:vAlign w:val="center"/>
          </w:tcPr>
          <w:p w14:paraId="7A7B904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2.15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715C141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57BD19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DAC28E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60AB197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12.4</w:t>
            </w:r>
          </w:p>
        </w:tc>
        <w:tc>
          <w:tcPr>
            <w:tcW w:w="685" w:type="dxa"/>
            <w:tcBorders>
              <w:top w:val="nil"/>
              <w:left w:val="nil"/>
              <w:bottom w:val="single" w:sz="4" w:space="0" w:color="auto"/>
              <w:right w:val="single" w:sz="4" w:space="0" w:color="auto"/>
            </w:tcBorders>
            <w:shd w:val="clear" w:color="auto" w:fill="auto"/>
            <w:noWrap/>
            <w:vAlign w:val="center"/>
          </w:tcPr>
          <w:p w14:paraId="1EFDA0E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39.2</w:t>
            </w:r>
          </w:p>
        </w:tc>
        <w:tc>
          <w:tcPr>
            <w:tcW w:w="1315" w:type="dxa"/>
            <w:tcBorders>
              <w:top w:val="nil"/>
              <w:left w:val="nil"/>
              <w:bottom w:val="single" w:sz="4" w:space="0" w:color="auto"/>
              <w:right w:val="single" w:sz="4" w:space="0" w:color="auto"/>
            </w:tcBorders>
            <w:shd w:val="clear" w:color="auto" w:fill="auto"/>
            <w:noWrap/>
            <w:vAlign w:val="center"/>
          </w:tcPr>
          <w:p w14:paraId="0311DB1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4.37</w:t>
            </w:r>
          </w:p>
        </w:tc>
        <w:tc>
          <w:tcPr>
            <w:tcW w:w="630" w:type="dxa"/>
            <w:tcBorders>
              <w:top w:val="nil"/>
              <w:left w:val="nil"/>
              <w:bottom w:val="single" w:sz="4" w:space="0" w:color="auto"/>
              <w:right w:val="single" w:sz="4" w:space="0" w:color="auto"/>
            </w:tcBorders>
            <w:shd w:val="clear" w:color="auto" w:fill="auto"/>
            <w:noWrap/>
            <w:vAlign w:val="center"/>
          </w:tcPr>
          <w:p w14:paraId="5F0EC4C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0.33</w:t>
            </w:r>
          </w:p>
        </w:tc>
        <w:tc>
          <w:tcPr>
            <w:tcW w:w="602" w:type="dxa"/>
            <w:tcBorders>
              <w:top w:val="nil"/>
              <w:left w:val="nil"/>
              <w:bottom w:val="single" w:sz="4" w:space="0" w:color="auto"/>
              <w:right w:val="single" w:sz="4" w:space="0" w:color="auto"/>
            </w:tcBorders>
            <w:shd w:val="clear" w:color="auto" w:fill="auto"/>
            <w:noWrap/>
            <w:vAlign w:val="center"/>
          </w:tcPr>
          <w:p w14:paraId="54A0658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1.84</w:t>
            </w:r>
          </w:p>
        </w:tc>
        <w:tc>
          <w:tcPr>
            <w:tcW w:w="1609" w:type="dxa"/>
            <w:tcBorders>
              <w:top w:val="nil"/>
              <w:left w:val="nil"/>
              <w:bottom w:val="single" w:sz="4" w:space="0" w:color="auto"/>
              <w:right w:val="nil"/>
            </w:tcBorders>
            <w:shd w:val="clear" w:color="auto" w:fill="auto"/>
            <w:noWrap/>
            <w:vAlign w:val="center"/>
          </w:tcPr>
          <w:p w14:paraId="2862FAD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3.69</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783D5F3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7A42A12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A25A397"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7101C81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536</w:t>
            </w:r>
          </w:p>
        </w:tc>
        <w:tc>
          <w:tcPr>
            <w:tcW w:w="685" w:type="dxa"/>
            <w:tcBorders>
              <w:top w:val="nil"/>
              <w:left w:val="nil"/>
              <w:bottom w:val="single" w:sz="4" w:space="0" w:color="auto"/>
              <w:right w:val="single" w:sz="4" w:space="0" w:color="auto"/>
            </w:tcBorders>
            <w:shd w:val="clear" w:color="auto" w:fill="auto"/>
            <w:noWrap/>
            <w:vAlign w:val="center"/>
          </w:tcPr>
          <w:p w14:paraId="6C6644A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4.39</w:t>
            </w:r>
          </w:p>
        </w:tc>
        <w:tc>
          <w:tcPr>
            <w:tcW w:w="1315" w:type="dxa"/>
            <w:tcBorders>
              <w:top w:val="nil"/>
              <w:left w:val="nil"/>
              <w:bottom w:val="single" w:sz="4" w:space="0" w:color="auto"/>
              <w:right w:val="single" w:sz="4" w:space="0" w:color="auto"/>
            </w:tcBorders>
            <w:shd w:val="clear" w:color="auto" w:fill="auto"/>
            <w:noWrap/>
            <w:vAlign w:val="center"/>
          </w:tcPr>
          <w:p w14:paraId="2A65290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307</w:t>
            </w:r>
          </w:p>
        </w:tc>
        <w:tc>
          <w:tcPr>
            <w:tcW w:w="630" w:type="dxa"/>
            <w:tcBorders>
              <w:top w:val="nil"/>
              <w:left w:val="nil"/>
              <w:bottom w:val="single" w:sz="4" w:space="0" w:color="auto"/>
              <w:right w:val="single" w:sz="4" w:space="0" w:color="auto"/>
            </w:tcBorders>
            <w:shd w:val="clear" w:color="auto" w:fill="auto"/>
            <w:noWrap/>
            <w:vAlign w:val="center"/>
          </w:tcPr>
          <w:p w14:paraId="05E350A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4.80</w:t>
            </w:r>
          </w:p>
        </w:tc>
        <w:tc>
          <w:tcPr>
            <w:tcW w:w="602" w:type="dxa"/>
            <w:tcBorders>
              <w:top w:val="nil"/>
              <w:left w:val="nil"/>
              <w:bottom w:val="single" w:sz="4" w:space="0" w:color="auto"/>
              <w:right w:val="single" w:sz="4" w:space="0" w:color="auto"/>
            </w:tcBorders>
            <w:shd w:val="clear" w:color="auto" w:fill="auto"/>
            <w:noWrap/>
            <w:vAlign w:val="center"/>
          </w:tcPr>
          <w:p w14:paraId="7C99D41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5.93</w:t>
            </w:r>
          </w:p>
        </w:tc>
        <w:tc>
          <w:tcPr>
            <w:tcW w:w="1609" w:type="dxa"/>
            <w:tcBorders>
              <w:top w:val="nil"/>
              <w:left w:val="nil"/>
              <w:bottom w:val="single" w:sz="4" w:space="0" w:color="auto"/>
              <w:right w:val="nil"/>
            </w:tcBorders>
            <w:shd w:val="clear" w:color="auto" w:fill="auto"/>
            <w:noWrap/>
            <w:vAlign w:val="center"/>
          </w:tcPr>
          <w:p w14:paraId="346B0DE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A01987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6087B7B8"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92D87DF"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12C2581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513</w:t>
            </w:r>
          </w:p>
        </w:tc>
        <w:tc>
          <w:tcPr>
            <w:tcW w:w="685" w:type="dxa"/>
            <w:tcBorders>
              <w:top w:val="nil"/>
              <w:left w:val="nil"/>
              <w:bottom w:val="double" w:sz="6" w:space="0" w:color="auto"/>
              <w:right w:val="single" w:sz="4" w:space="0" w:color="auto"/>
            </w:tcBorders>
            <w:shd w:val="clear" w:color="auto" w:fill="auto"/>
            <w:noWrap/>
            <w:vAlign w:val="center"/>
          </w:tcPr>
          <w:p w14:paraId="44BA61A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6.35</w:t>
            </w:r>
          </w:p>
        </w:tc>
        <w:tc>
          <w:tcPr>
            <w:tcW w:w="1315" w:type="dxa"/>
            <w:tcBorders>
              <w:top w:val="nil"/>
              <w:left w:val="nil"/>
              <w:bottom w:val="double" w:sz="6" w:space="0" w:color="auto"/>
              <w:right w:val="single" w:sz="4" w:space="0" w:color="auto"/>
            </w:tcBorders>
            <w:shd w:val="clear" w:color="auto" w:fill="auto"/>
            <w:noWrap/>
            <w:vAlign w:val="center"/>
          </w:tcPr>
          <w:p w14:paraId="3D40B10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143</w:t>
            </w:r>
          </w:p>
        </w:tc>
        <w:tc>
          <w:tcPr>
            <w:tcW w:w="630" w:type="dxa"/>
            <w:tcBorders>
              <w:top w:val="nil"/>
              <w:left w:val="nil"/>
              <w:bottom w:val="double" w:sz="6" w:space="0" w:color="auto"/>
              <w:right w:val="single" w:sz="4" w:space="0" w:color="auto"/>
            </w:tcBorders>
            <w:shd w:val="clear" w:color="auto" w:fill="auto"/>
            <w:noWrap/>
            <w:vAlign w:val="center"/>
          </w:tcPr>
          <w:p w14:paraId="75D3912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5.42</w:t>
            </w:r>
          </w:p>
        </w:tc>
        <w:tc>
          <w:tcPr>
            <w:tcW w:w="602" w:type="dxa"/>
            <w:tcBorders>
              <w:top w:val="nil"/>
              <w:left w:val="nil"/>
              <w:bottom w:val="double" w:sz="6" w:space="0" w:color="auto"/>
              <w:right w:val="single" w:sz="4" w:space="0" w:color="auto"/>
            </w:tcBorders>
            <w:shd w:val="clear" w:color="auto" w:fill="auto"/>
            <w:noWrap/>
            <w:vAlign w:val="center"/>
          </w:tcPr>
          <w:p w14:paraId="5074C04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2.32</w:t>
            </w:r>
          </w:p>
        </w:tc>
        <w:tc>
          <w:tcPr>
            <w:tcW w:w="1609" w:type="dxa"/>
            <w:tcBorders>
              <w:top w:val="nil"/>
              <w:left w:val="nil"/>
              <w:bottom w:val="double" w:sz="6" w:space="0" w:color="auto"/>
              <w:right w:val="nil"/>
            </w:tcBorders>
            <w:shd w:val="clear" w:color="auto" w:fill="auto"/>
            <w:noWrap/>
            <w:vAlign w:val="center"/>
          </w:tcPr>
          <w:p w14:paraId="2A00B99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16.4</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78DD656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519FFA90" w14:textId="66796DDF" w:rsidR="00822B8C" w:rsidRPr="008D1A83" w:rsidRDefault="00822B8C" w:rsidP="008D1A83">
      <w:pPr>
        <w:pStyle w:val="Caption"/>
      </w:pPr>
      <w:r w:rsidRPr="008D1A83">
        <w:t>Table </w:t>
      </w:r>
      <w:r w:rsidR="00B642C6" w:rsidRPr="008D1A83">
        <w:t>A1</w:t>
      </w:r>
      <w:r w:rsidR="0071699C" w:rsidRPr="008D1A83">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5</w:t>
      </w:r>
      <w:r w:rsidR="00FB454C">
        <w:rPr>
          <w:noProof/>
        </w:rPr>
        <w:fldChar w:fldCharType="end"/>
      </w:r>
      <w:r w:rsidRPr="008D1A83">
        <w:t>: Bulk emission factors (g/kg fuel) (for CO2 kg/kg fuel) for Cyprus,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43A96D1E"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015C55A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4E4EE4B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Cyprus</w:t>
            </w:r>
          </w:p>
        </w:tc>
      </w:tr>
      <w:tr w:rsidR="00BE3ADC" w:rsidRPr="000855B2" w14:paraId="1E3AA67C"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55CBEA05"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0ADD9EA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731C4887"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1F17576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5D810E1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6</w:t>
            </w:r>
          </w:p>
        </w:tc>
        <w:tc>
          <w:tcPr>
            <w:tcW w:w="602" w:type="dxa"/>
            <w:tcBorders>
              <w:top w:val="nil"/>
              <w:left w:val="nil"/>
              <w:bottom w:val="single" w:sz="12" w:space="0" w:color="auto"/>
              <w:right w:val="single" w:sz="4" w:space="0" w:color="auto"/>
            </w:tcBorders>
            <w:shd w:val="clear" w:color="auto" w:fill="auto"/>
            <w:noWrap/>
            <w:vAlign w:val="center"/>
          </w:tcPr>
          <w:p w14:paraId="3B05817C"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5D454DAF"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46C21208"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4C633A11"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B1193E6"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7C63C8E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49.0</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1B1E2FE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5.34</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7020E54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7.46</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390869E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0.60</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12D4654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793DB61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7.96</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F7EBE9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2FECEBC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5B77E63"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3B78582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6.91</w:t>
            </w:r>
          </w:p>
        </w:tc>
        <w:tc>
          <w:tcPr>
            <w:tcW w:w="685" w:type="dxa"/>
            <w:tcBorders>
              <w:top w:val="nil"/>
              <w:left w:val="nil"/>
              <w:bottom w:val="single" w:sz="4" w:space="0" w:color="auto"/>
              <w:right w:val="single" w:sz="4" w:space="0" w:color="auto"/>
            </w:tcBorders>
            <w:shd w:val="clear" w:color="auto" w:fill="auto"/>
            <w:noWrap/>
            <w:vAlign w:val="center"/>
          </w:tcPr>
          <w:p w14:paraId="12D9E4B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11.2</w:t>
            </w:r>
          </w:p>
        </w:tc>
        <w:tc>
          <w:tcPr>
            <w:tcW w:w="1315" w:type="dxa"/>
            <w:tcBorders>
              <w:top w:val="nil"/>
              <w:left w:val="nil"/>
              <w:bottom w:val="single" w:sz="4" w:space="0" w:color="auto"/>
              <w:right w:val="single" w:sz="4" w:space="0" w:color="auto"/>
            </w:tcBorders>
            <w:shd w:val="clear" w:color="auto" w:fill="auto"/>
            <w:noWrap/>
            <w:vAlign w:val="center"/>
          </w:tcPr>
          <w:p w14:paraId="4C2854E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1.68</w:t>
            </w:r>
          </w:p>
        </w:tc>
        <w:tc>
          <w:tcPr>
            <w:tcW w:w="630" w:type="dxa"/>
            <w:tcBorders>
              <w:top w:val="nil"/>
              <w:left w:val="nil"/>
              <w:bottom w:val="single" w:sz="4" w:space="0" w:color="auto"/>
              <w:right w:val="single" w:sz="4" w:space="0" w:color="auto"/>
            </w:tcBorders>
            <w:shd w:val="clear" w:color="auto" w:fill="auto"/>
            <w:noWrap/>
            <w:vAlign w:val="center"/>
          </w:tcPr>
          <w:p w14:paraId="424E685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0.19</w:t>
            </w:r>
          </w:p>
        </w:tc>
        <w:tc>
          <w:tcPr>
            <w:tcW w:w="602" w:type="dxa"/>
            <w:tcBorders>
              <w:top w:val="nil"/>
              <w:left w:val="nil"/>
              <w:bottom w:val="single" w:sz="4" w:space="0" w:color="auto"/>
              <w:right w:val="single" w:sz="4" w:space="0" w:color="auto"/>
            </w:tcBorders>
            <w:shd w:val="clear" w:color="auto" w:fill="auto"/>
            <w:noWrap/>
            <w:vAlign w:val="center"/>
          </w:tcPr>
          <w:p w14:paraId="550537C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1.52</w:t>
            </w:r>
          </w:p>
        </w:tc>
        <w:tc>
          <w:tcPr>
            <w:tcW w:w="1609" w:type="dxa"/>
            <w:tcBorders>
              <w:top w:val="nil"/>
              <w:left w:val="nil"/>
              <w:bottom w:val="single" w:sz="4" w:space="0" w:color="auto"/>
              <w:right w:val="nil"/>
            </w:tcBorders>
            <w:shd w:val="clear" w:color="auto" w:fill="auto"/>
            <w:noWrap/>
            <w:vAlign w:val="center"/>
          </w:tcPr>
          <w:p w14:paraId="4438CDC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8.33</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23AAC3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F99A3D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F1D330A"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0E3BDE0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179</w:t>
            </w:r>
          </w:p>
        </w:tc>
        <w:tc>
          <w:tcPr>
            <w:tcW w:w="685" w:type="dxa"/>
            <w:tcBorders>
              <w:top w:val="nil"/>
              <w:left w:val="nil"/>
              <w:bottom w:val="single" w:sz="4" w:space="0" w:color="auto"/>
              <w:right w:val="single" w:sz="4" w:space="0" w:color="auto"/>
            </w:tcBorders>
            <w:shd w:val="clear" w:color="auto" w:fill="auto"/>
            <w:noWrap/>
            <w:vAlign w:val="center"/>
          </w:tcPr>
          <w:p w14:paraId="29C077E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16.1</w:t>
            </w:r>
          </w:p>
        </w:tc>
        <w:tc>
          <w:tcPr>
            <w:tcW w:w="1315" w:type="dxa"/>
            <w:tcBorders>
              <w:top w:val="nil"/>
              <w:left w:val="nil"/>
              <w:bottom w:val="single" w:sz="4" w:space="0" w:color="auto"/>
              <w:right w:val="single" w:sz="4" w:space="0" w:color="auto"/>
            </w:tcBorders>
            <w:shd w:val="clear" w:color="auto" w:fill="auto"/>
            <w:noWrap/>
            <w:vAlign w:val="center"/>
          </w:tcPr>
          <w:p w14:paraId="57C47A7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22.8</w:t>
            </w:r>
          </w:p>
        </w:tc>
        <w:tc>
          <w:tcPr>
            <w:tcW w:w="630" w:type="dxa"/>
            <w:tcBorders>
              <w:top w:val="nil"/>
              <w:left w:val="nil"/>
              <w:bottom w:val="single" w:sz="4" w:space="0" w:color="auto"/>
              <w:right w:val="single" w:sz="4" w:space="0" w:color="auto"/>
            </w:tcBorders>
            <w:shd w:val="clear" w:color="auto" w:fill="auto"/>
            <w:noWrap/>
            <w:vAlign w:val="center"/>
          </w:tcPr>
          <w:p w14:paraId="279BCF4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0.98</w:t>
            </w:r>
          </w:p>
        </w:tc>
        <w:tc>
          <w:tcPr>
            <w:tcW w:w="602" w:type="dxa"/>
            <w:tcBorders>
              <w:top w:val="nil"/>
              <w:left w:val="nil"/>
              <w:bottom w:val="single" w:sz="4" w:space="0" w:color="auto"/>
              <w:right w:val="single" w:sz="4" w:space="0" w:color="auto"/>
            </w:tcBorders>
            <w:shd w:val="clear" w:color="auto" w:fill="auto"/>
            <w:noWrap/>
            <w:vAlign w:val="center"/>
          </w:tcPr>
          <w:p w14:paraId="1F6B7D4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79B3011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5.96</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33E7EF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389905E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4306931"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00406C3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8.91</w:t>
            </w:r>
          </w:p>
        </w:tc>
        <w:tc>
          <w:tcPr>
            <w:tcW w:w="685" w:type="dxa"/>
            <w:tcBorders>
              <w:top w:val="nil"/>
              <w:left w:val="nil"/>
              <w:bottom w:val="single" w:sz="4" w:space="0" w:color="auto"/>
              <w:right w:val="single" w:sz="4" w:space="0" w:color="auto"/>
            </w:tcBorders>
            <w:shd w:val="clear" w:color="auto" w:fill="auto"/>
            <w:noWrap/>
            <w:vAlign w:val="center"/>
          </w:tcPr>
          <w:p w14:paraId="42847E1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16.8</w:t>
            </w:r>
          </w:p>
        </w:tc>
        <w:tc>
          <w:tcPr>
            <w:tcW w:w="1315" w:type="dxa"/>
            <w:tcBorders>
              <w:top w:val="nil"/>
              <w:left w:val="nil"/>
              <w:bottom w:val="single" w:sz="4" w:space="0" w:color="auto"/>
              <w:right w:val="single" w:sz="4" w:space="0" w:color="auto"/>
            </w:tcBorders>
            <w:shd w:val="clear" w:color="auto" w:fill="auto"/>
            <w:noWrap/>
            <w:vAlign w:val="center"/>
          </w:tcPr>
          <w:p w14:paraId="6FE5A80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1.41</w:t>
            </w:r>
          </w:p>
        </w:tc>
        <w:tc>
          <w:tcPr>
            <w:tcW w:w="630" w:type="dxa"/>
            <w:tcBorders>
              <w:top w:val="nil"/>
              <w:left w:val="nil"/>
              <w:bottom w:val="single" w:sz="4" w:space="0" w:color="auto"/>
              <w:right w:val="single" w:sz="4" w:space="0" w:color="auto"/>
            </w:tcBorders>
            <w:shd w:val="clear" w:color="auto" w:fill="auto"/>
            <w:noWrap/>
            <w:vAlign w:val="center"/>
          </w:tcPr>
          <w:p w14:paraId="586BBF7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0.13</w:t>
            </w:r>
          </w:p>
        </w:tc>
        <w:tc>
          <w:tcPr>
            <w:tcW w:w="602" w:type="dxa"/>
            <w:tcBorders>
              <w:top w:val="nil"/>
              <w:left w:val="nil"/>
              <w:bottom w:val="single" w:sz="4" w:space="0" w:color="auto"/>
              <w:right w:val="single" w:sz="4" w:space="0" w:color="auto"/>
            </w:tcBorders>
            <w:shd w:val="clear" w:color="auto" w:fill="auto"/>
            <w:noWrap/>
            <w:vAlign w:val="center"/>
          </w:tcPr>
          <w:p w14:paraId="389D884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1.82</w:t>
            </w:r>
          </w:p>
        </w:tc>
        <w:tc>
          <w:tcPr>
            <w:tcW w:w="1609" w:type="dxa"/>
            <w:tcBorders>
              <w:top w:val="nil"/>
              <w:left w:val="nil"/>
              <w:bottom w:val="single" w:sz="4" w:space="0" w:color="auto"/>
              <w:right w:val="nil"/>
            </w:tcBorders>
            <w:shd w:val="clear" w:color="auto" w:fill="auto"/>
            <w:noWrap/>
            <w:vAlign w:val="center"/>
          </w:tcPr>
          <w:p w14:paraId="0E83022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6.80</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2F5BE7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36E5234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184D9AB"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409F520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9.16</w:t>
            </w:r>
          </w:p>
        </w:tc>
        <w:tc>
          <w:tcPr>
            <w:tcW w:w="685" w:type="dxa"/>
            <w:tcBorders>
              <w:top w:val="nil"/>
              <w:left w:val="nil"/>
              <w:bottom w:val="single" w:sz="4" w:space="0" w:color="auto"/>
              <w:right w:val="single" w:sz="4" w:space="0" w:color="auto"/>
            </w:tcBorders>
            <w:shd w:val="clear" w:color="auto" w:fill="auto"/>
            <w:noWrap/>
            <w:vAlign w:val="center"/>
          </w:tcPr>
          <w:p w14:paraId="3B1ADFB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36.7</w:t>
            </w:r>
          </w:p>
        </w:tc>
        <w:tc>
          <w:tcPr>
            <w:tcW w:w="1315" w:type="dxa"/>
            <w:tcBorders>
              <w:top w:val="nil"/>
              <w:left w:val="nil"/>
              <w:bottom w:val="single" w:sz="4" w:space="0" w:color="auto"/>
              <w:right w:val="single" w:sz="4" w:space="0" w:color="auto"/>
            </w:tcBorders>
            <w:shd w:val="clear" w:color="auto" w:fill="auto"/>
            <w:noWrap/>
            <w:vAlign w:val="center"/>
          </w:tcPr>
          <w:p w14:paraId="11061F8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3.24</w:t>
            </w:r>
          </w:p>
        </w:tc>
        <w:tc>
          <w:tcPr>
            <w:tcW w:w="630" w:type="dxa"/>
            <w:tcBorders>
              <w:top w:val="nil"/>
              <w:left w:val="nil"/>
              <w:bottom w:val="single" w:sz="4" w:space="0" w:color="auto"/>
              <w:right w:val="single" w:sz="4" w:space="0" w:color="auto"/>
            </w:tcBorders>
            <w:shd w:val="clear" w:color="auto" w:fill="auto"/>
            <w:noWrap/>
            <w:vAlign w:val="center"/>
          </w:tcPr>
          <w:p w14:paraId="32F4CEB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0.28</w:t>
            </w:r>
          </w:p>
        </w:tc>
        <w:tc>
          <w:tcPr>
            <w:tcW w:w="602" w:type="dxa"/>
            <w:tcBorders>
              <w:top w:val="nil"/>
              <w:left w:val="nil"/>
              <w:bottom w:val="single" w:sz="4" w:space="0" w:color="auto"/>
              <w:right w:val="single" w:sz="4" w:space="0" w:color="auto"/>
            </w:tcBorders>
            <w:shd w:val="clear" w:color="auto" w:fill="auto"/>
            <w:noWrap/>
            <w:vAlign w:val="center"/>
          </w:tcPr>
          <w:p w14:paraId="74AB3DA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1.31</w:t>
            </w:r>
          </w:p>
        </w:tc>
        <w:tc>
          <w:tcPr>
            <w:tcW w:w="1609" w:type="dxa"/>
            <w:tcBorders>
              <w:top w:val="nil"/>
              <w:left w:val="nil"/>
              <w:bottom w:val="single" w:sz="4" w:space="0" w:color="auto"/>
              <w:right w:val="nil"/>
            </w:tcBorders>
            <w:shd w:val="clear" w:color="auto" w:fill="auto"/>
            <w:noWrap/>
            <w:vAlign w:val="center"/>
          </w:tcPr>
          <w:p w14:paraId="68696DE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2.24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2FAA64A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4187FA3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F8834B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775C027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10.4</w:t>
            </w:r>
          </w:p>
        </w:tc>
        <w:tc>
          <w:tcPr>
            <w:tcW w:w="685" w:type="dxa"/>
            <w:tcBorders>
              <w:top w:val="nil"/>
              <w:left w:val="nil"/>
              <w:bottom w:val="single" w:sz="4" w:space="0" w:color="auto"/>
              <w:right w:val="single" w:sz="4" w:space="0" w:color="auto"/>
            </w:tcBorders>
            <w:shd w:val="clear" w:color="auto" w:fill="auto"/>
            <w:noWrap/>
            <w:vAlign w:val="center"/>
          </w:tcPr>
          <w:p w14:paraId="1FD848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35.6</w:t>
            </w:r>
          </w:p>
        </w:tc>
        <w:tc>
          <w:tcPr>
            <w:tcW w:w="1315" w:type="dxa"/>
            <w:tcBorders>
              <w:top w:val="nil"/>
              <w:left w:val="nil"/>
              <w:bottom w:val="single" w:sz="4" w:space="0" w:color="auto"/>
              <w:right w:val="single" w:sz="4" w:space="0" w:color="auto"/>
            </w:tcBorders>
            <w:shd w:val="clear" w:color="auto" w:fill="auto"/>
            <w:noWrap/>
            <w:vAlign w:val="center"/>
          </w:tcPr>
          <w:p w14:paraId="475CA7E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3.62</w:t>
            </w:r>
          </w:p>
        </w:tc>
        <w:tc>
          <w:tcPr>
            <w:tcW w:w="630" w:type="dxa"/>
            <w:tcBorders>
              <w:top w:val="nil"/>
              <w:left w:val="nil"/>
              <w:bottom w:val="single" w:sz="4" w:space="0" w:color="auto"/>
              <w:right w:val="single" w:sz="4" w:space="0" w:color="auto"/>
            </w:tcBorders>
            <w:shd w:val="clear" w:color="auto" w:fill="auto"/>
            <w:noWrap/>
            <w:vAlign w:val="center"/>
          </w:tcPr>
          <w:p w14:paraId="48A1D80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0.38</w:t>
            </w:r>
          </w:p>
        </w:tc>
        <w:tc>
          <w:tcPr>
            <w:tcW w:w="602" w:type="dxa"/>
            <w:tcBorders>
              <w:top w:val="nil"/>
              <w:left w:val="nil"/>
              <w:bottom w:val="single" w:sz="4" w:space="0" w:color="auto"/>
              <w:right w:val="single" w:sz="4" w:space="0" w:color="auto"/>
            </w:tcBorders>
            <w:shd w:val="clear" w:color="auto" w:fill="auto"/>
            <w:noWrap/>
            <w:vAlign w:val="center"/>
          </w:tcPr>
          <w:p w14:paraId="03EA5F1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1.41</w:t>
            </w:r>
          </w:p>
        </w:tc>
        <w:tc>
          <w:tcPr>
            <w:tcW w:w="1609" w:type="dxa"/>
            <w:tcBorders>
              <w:top w:val="nil"/>
              <w:left w:val="nil"/>
              <w:bottom w:val="single" w:sz="4" w:space="0" w:color="auto"/>
              <w:right w:val="nil"/>
            </w:tcBorders>
            <w:shd w:val="clear" w:color="auto" w:fill="auto"/>
            <w:noWrap/>
            <w:vAlign w:val="center"/>
          </w:tcPr>
          <w:p w14:paraId="514EAC3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4.41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2311F3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4E21F32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89608E3"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4EDFB33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382</w:t>
            </w:r>
          </w:p>
        </w:tc>
        <w:tc>
          <w:tcPr>
            <w:tcW w:w="685" w:type="dxa"/>
            <w:tcBorders>
              <w:top w:val="nil"/>
              <w:left w:val="nil"/>
              <w:bottom w:val="single" w:sz="4" w:space="0" w:color="auto"/>
              <w:right w:val="single" w:sz="4" w:space="0" w:color="auto"/>
            </w:tcBorders>
            <w:shd w:val="clear" w:color="auto" w:fill="auto"/>
            <w:noWrap/>
            <w:vAlign w:val="center"/>
          </w:tcPr>
          <w:p w14:paraId="76EA70F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4.98</w:t>
            </w:r>
          </w:p>
        </w:tc>
        <w:tc>
          <w:tcPr>
            <w:tcW w:w="1315" w:type="dxa"/>
            <w:tcBorders>
              <w:top w:val="nil"/>
              <w:left w:val="nil"/>
              <w:bottom w:val="single" w:sz="4" w:space="0" w:color="auto"/>
              <w:right w:val="single" w:sz="4" w:space="0" w:color="auto"/>
            </w:tcBorders>
            <w:shd w:val="clear" w:color="auto" w:fill="auto"/>
            <w:noWrap/>
            <w:vAlign w:val="center"/>
          </w:tcPr>
          <w:p w14:paraId="1AFD5C0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339</w:t>
            </w:r>
          </w:p>
        </w:tc>
        <w:tc>
          <w:tcPr>
            <w:tcW w:w="630" w:type="dxa"/>
            <w:tcBorders>
              <w:top w:val="nil"/>
              <w:left w:val="nil"/>
              <w:bottom w:val="single" w:sz="4" w:space="0" w:color="auto"/>
              <w:right w:val="single" w:sz="4" w:space="0" w:color="auto"/>
            </w:tcBorders>
            <w:shd w:val="clear" w:color="auto" w:fill="auto"/>
            <w:noWrap/>
            <w:vAlign w:val="center"/>
          </w:tcPr>
          <w:p w14:paraId="04BF279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5.51</w:t>
            </w:r>
          </w:p>
        </w:tc>
        <w:tc>
          <w:tcPr>
            <w:tcW w:w="602" w:type="dxa"/>
            <w:tcBorders>
              <w:top w:val="nil"/>
              <w:left w:val="nil"/>
              <w:bottom w:val="single" w:sz="4" w:space="0" w:color="auto"/>
              <w:right w:val="single" w:sz="4" w:space="0" w:color="auto"/>
            </w:tcBorders>
            <w:shd w:val="clear" w:color="auto" w:fill="auto"/>
            <w:noWrap/>
            <w:vAlign w:val="center"/>
          </w:tcPr>
          <w:p w14:paraId="345DCF0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5.86</w:t>
            </w:r>
          </w:p>
        </w:tc>
        <w:tc>
          <w:tcPr>
            <w:tcW w:w="1609" w:type="dxa"/>
            <w:tcBorders>
              <w:top w:val="nil"/>
              <w:left w:val="nil"/>
              <w:bottom w:val="single" w:sz="4" w:space="0" w:color="auto"/>
              <w:right w:val="nil"/>
            </w:tcBorders>
            <w:shd w:val="clear" w:color="auto" w:fill="auto"/>
            <w:noWrap/>
            <w:vAlign w:val="center"/>
          </w:tcPr>
          <w:p w14:paraId="0DDC01D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157</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C3FFEE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5EF666E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0779EAD9"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6B334BD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435</w:t>
            </w:r>
          </w:p>
        </w:tc>
        <w:tc>
          <w:tcPr>
            <w:tcW w:w="685" w:type="dxa"/>
            <w:tcBorders>
              <w:top w:val="nil"/>
              <w:left w:val="nil"/>
              <w:bottom w:val="double" w:sz="6" w:space="0" w:color="auto"/>
              <w:right w:val="single" w:sz="4" w:space="0" w:color="auto"/>
            </w:tcBorders>
            <w:shd w:val="clear" w:color="auto" w:fill="auto"/>
            <w:noWrap/>
            <w:vAlign w:val="center"/>
          </w:tcPr>
          <w:p w14:paraId="29F15C1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6.02</w:t>
            </w:r>
          </w:p>
        </w:tc>
        <w:tc>
          <w:tcPr>
            <w:tcW w:w="1315" w:type="dxa"/>
            <w:tcBorders>
              <w:top w:val="nil"/>
              <w:left w:val="nil"/>
              <w:bottom w:val="double" w:sz="6" w:space="0" w:color="auto"/>
              <w:right w:val="single" w:sz="4" w:space="0" w:color="auto"/>
            </w:tcBorders>
            <w:shd w:val="clear" w:color="auto" w:fill="auto"/>
            <w:noWrap/>
            <w:vAlign w:val="center"/>
          </w:tcPr>
          <w:p w14:paraId="2B67725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154</w:t>
            </w:r>
          </w:p>
        </w:tc>
        <w:tc>
          <w:tcPr>
            <w:tcW w:w="630" w:type="dxa"/>
            <w:tcBorders>
              <w:top w:val="nil"/>
              <w:left w:val="nil"/>
              <w:bottom w:val="double" w:sz="6" w:space="0" w:color="auto"/>
              <w:right w:val="single" w:sz="4" w:space="0" w:color="auto"/>
            </w:tcBorders>
            <w:shd w:val="clear" w:color="auto" w:fill="auto"/>
            <w:noWrap/>
            <w:vAlign w:val="center"/>
          </w:tcPr>
          <w:p w14:paraId="3A99669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5.25</w:t>
            </w:r>
          </w:p>
        </w:tc>
        <w:tc>
          <w:tcPr>
            <w:tcW w:w="602" w:type="dxa"/>
            <w:tcBorders>
              <w:top w:val="nil"/>
              <w:left w:val="nil"/>
              <w:bottom w:val="double" w:sz="6" w:space="0" w:color="auto"/>
              <w:right w:val="single" w:sz="4" w:space="0" w:color="auto"/>
            </w:tcBorders>
            <w:shd w:val="clear" w:color="auto" w:fill="auto"/>
            <w:noWrap/>
            <w:vAlign w:val="center"/>
          </w:tcPr>
          <w:p w14:paraId="2A018E8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2.49</w:t>
            </w:r>
          </w:p>
        </w:tc>
        <w:tc>
          <w:tcPr>
            <w:tcW w:w="1609" w:type="dxa"/>
            <w:tcBorders>
              <w:top w:val="nil"/>
              <w:left w:val="nil"/>
              <w:bottom w:val="double" w:sz="6" w:space="0" w:color="auto"/>
              <w:right w:val="nil"/>
            </w:tcBorders>
            <w:shd w:val="clear" w:color="auto" w:fill="auto"/>
            <w:noWrap/>
            <w:vAlign w:val="center"/>
          </w:tcPr>
          <w:p w14:paraId="18C61C4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39.0</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03368E1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2DD624CE" w14:textId="6664B4E1" w:rsidR="001D2587" w:rsidRPr="008D1A83" w:rsidRDefault="00095EA7" w:rsidP="008D1A83">
      <w:pPr>
        <w:pStyle w:val="Caption"/>
      </w:pPr>
      <w:r w:rsidRPr="008D1A83">
        <w:t>Table </w:t>
      </w:r>
      <w:r w:rsidR="00B642C6" w:rsidRPr="008D1A83">
        <w:t>A1</w:t>
      </w:r>
      <w:r w:rsidR="0071699C" w:rsidRPr="008D1A83">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6</w:t>
      </w:r>
      <w:r w:rsidR="00FB454C">
        <w:rPr>
          <w:noProof/>
        </w:rPr>
        <w:fldChar w:fldCharType="end"/>
      </w:r>
      <w:r w:rsidR="001D2587" w:rsidRPr="008D1A83">
        <w:t>: Bulk emission factors (g/kg fuel) (for CO2 kg/kg fuel)</w:t>
      </w:r>
      <w:r w:rsidR="006A45CE" w:rsidRPr="008D1A83">
        <w:t xml:space="preserve"> </w:t>
      </w:r>
      <w:r w:rsidR="001D2587" w:rsidRPr="008D1A83">
        <w:t>for Czech Republic,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3D76FE72"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0B4EB381"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654905F9"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Czech Republic</w:t>
            </w:r>
          </w:p>
        </w:tc>
      </w:tr>
      <w:tr w:rsidR="00BE3ADC" w:rsidRPr="000855B2" w14:paraId="632CBC69"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90C1EDA"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010856F5"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37FCAC9A"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7376613E"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1F7D6FE7"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7</w:t>
            </w:r>
          </w:p>
        </w:tc>
        <w:tc>
          <w:tcPr>
            <w:tcW w:w="602" w:type="dxa"/>
            <w:tcBorders>
              <w:top w:val="nil"/>
              <w:left w:val="nil"/>
              <w:bottom w:val="single" w:sz="12" w:space="0" w:color="auto"/>
              <w:right w:val="single" w:sz="4" w:space="0" w:color="auto"/>
            </w:tcBorders>
            <w:shd w:val="clear" w:color="auto" w:fill="auto"/>
            <w:noWrap/>
            <w:vAlign w:val="center"/>
          </w:tcPr>
          <w:p w14:paraId="2A3AA572"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26E9C68E"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7172FBA4"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73F9F763"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644EF78"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5DA3BAF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6D477C0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14.7</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6A6EEA0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20.2</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3C149FD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1.30</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7E45467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42ACF5A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9.50</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0059115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0BEBE50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7947C30"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766D22F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7.67</w:t>
            </w:r>
          </w:p>
        </w:tc>
        <w:tc>
          <w:tcPr>
            <w:tcW w:w="685" w:type="dxa"/>
            <w:tcBorders>
              <w:top w:val="nil"/>
              <w:left w:val="nil"/>
              <w:bottom w:val="single" w:sz="4" w:space="0" w:color="auto"/>
              <w:right w:val="single" w:sz="4" w:space="0" w:color="auto"/>
            </w:tcBorders>
            <w:shd w:val="clear" w:color="auto" w:fill="auto"/>
            <w:noWrap/>
            <w:vAlign w:val="center"/>
          </w:tcPr>
          <w:p w14:paraId="53E33C4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11.8</w:t>
            </w:r>
          </w:p>
        </w:tc>
        <w:tc>
          <w:tcPr>
            <w:tcW w:w="1315" w:type="dxa"/>
            <w:tcBorders>
              <w:top w:val="nil"/>
              <w:left w:val="nil"/>
              <w:bottom w:val="single" w:sz="4" w:space="0" w:color="auto"/>
              <w:right w:val="single" w:sz="4" w:space="0" w:color="auto"/>
            </w:tcBorders>
            <w:shd w:val="clear" w:color="auto" w:fill="auto"/>
            <w:noWrap/>
            <w:vAlign w:val="center"/>
          </w:tcPr>
          <w:p w14:paraId="4F8CC5B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1.83</w:t>
            </w:r>
          </w:p>
        </w:tc>
        <w:tc>
          <w:tcPr>
            <w:tcW w:w="630" w:type="dxa"/>
            <w:tcBorders>
              <w:top w:val="nil"/>
              <w:left w:val="nil"/>
              <w:bottom w:val="single" w:sz="4" w:space="0" w:color="auto"/>
              <w:right w:val="single" w:sz="4" w:space="0" w:color="auto"/>
            </w:tcBorders>
            <w:shd w:val="clear" w:color="auto" w:fill="auto"/>
            <w:noWrap/>
            <w:vAlign w:val="center"/>
          </w:tcPr>
          <w:p w14:paraId="6689C7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0.25</w:t>
            </w:r>
          </w:p>
        </w:tc>
        <w:tc>
          <w:tcPr>
            <w:tcW w:w="602" w:type="dxa"/>
            <w:tcBorders>
              <w:top w:val="nil"/>
              <w:left w:val="nil"/>
              <w:bottom w:val="single" w:sz="4" w:space="0" w:color="auto"/>
              <w:right w:val="single" w:sz="4" w:space="0" w:color="auto"/>
            </w:tcBorders>
            <w:shd w:val="clear" w:color="auto" w:fill="auto"/>
            <w:noWrap/>
            <w:vAlign w:val="center"/>
          </w:tcPr>
          <w:p w14:paraId="4EB1F20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2.64</w:t>
            </w:r>
          </w:p>
        </w:tc>
        <w:tc>
          <w:tcPr>
            <w:tcW w:w="1609" w:type="dxa"/>
            <w:tcBorders>
              <w:top w:val="nil"/>
              <w:left w:val="nil"/>
              <w:bottom w:val="single" w:sz="4" w:space="0" w:color="auto"/>
              <w:right w:val="nil"/>
            </w:tcBorders>
            <w:shd w:val="clear" w:color="auto" w:fill="auto"/>
            <w:noWrap/>
            <w:vAlign w:val="center"/>
          </w:tcPr>
          <w:p w14:paraId="1B9E0B8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10.3</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92DC50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CC025F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3BED8D8"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7B91CE5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146</w:t>
            </w:r>
          </w:p>
        </w:tc>
        <w:tc>
          <w:tcPr>
            <w:tcW w:w="685" w:type="dxa"/>
            <w:tcBorders>
              <w:top w:val="nil"/>
              <w:left w:val="nil"/>
              <w:bottom w:val="single" w:sz="4" w:space="0" w:color="auto"/>
              <w:right w:val="single" w:sz="4" w:space="0" w:color="auto"/>
            </w:tcBorders>
            <w:shd w:val="clear" w:color="auto" w:fill="auto"/>
            <w:noWrap/>
            <w:vAlign w:val="center"/>
          </w:tcPr>
          <w:p w14:paraId="23A6448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12.6</w:t>
            </w:r>
          </w:p>
        </w:tc>
        <w:tc>
          <w:tcPr>
            <w:tcW w:w="1315" w:type="dxa"/>
            <w:tcBorders>
              <w:top w:val="nil"/>
              <w:left w:val="nil"/>
              <w:bottom w:val="single" w:sz="4" w:space="0" w:color="auto"/>
              <w:right w:val="single" w:sz="4" w:space="0" w:color="auto"/>
            </w:tcBorders>
            <w:shd w:val="clear" w:color="auto" w:fill="auto"/>
            <w:noWrap/>
            <w:vAlign w:val="center"/>
          </w:tcPr>
          <w:p w14:paraId="3C9F2C2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16.3</w:t>
            </w:r>
          </w:p>
        </w:tc>
        <w:tc>
          <w:tcPr>
            <w:tcW w:w="630" w:type="dxa"/>
            <w:tcBorders>
              <w:top w:val="nil"/>
              <w:left w:val="nil"/>
              <w:bottom w:val="single" w:sz="4" w:space="0" w:color="auto"/>
              <w:right w:val="single" w:sz="4" w:space="0" w:color="auto"/>
            </w:tcBorders>
            <w:shd w:val="clear" w:color="auto" w:fill="auto"/>
            <w:noWrap/>
            <w:vAlign w:val="center"/>
          </w:tcPr>
          <w:p w14:paraId="416CE65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0.83</w:t>
            </w:r>
          </w:p>
        </w:tc>
        <w:tc>
          <w:tcPr>
            <w:tcW w:w="602" w:type="dxa"/>
            <w:tcBorders>
              <w:top w:val="nil"/>
              <w:left w:val="nil"/>
              <w:bottom w:val="single" w:sz="4" w:space="0" w:color="auto"/>
              <w:right w:val="single" w:sz="4" w:space="0" w:color="auto"/>
            </w:tcBorders>
            <w:shd w:val="clear" w:color="auto" w:fill="auto"/>
            <w:noWrap/>
            <w:vAlign w:val="center"/>
          </w:tcPr>
          <w:p w14:paraId="09CCCD0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10E34FD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5.92</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7B7A454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181DF50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27D0358"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60F60A8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11.7</w:t>
            </w:r>
          </w:p>
        </w:tc>
        <w:tc>
          <w:tcPr>
            <w:tcW w:w="685" w:type="dxa"/>
            <w:tcBorders>
              <w:top w:val="nil"/>
              <w:left w:val="nil"/>
              <w:bottom w:val="single" w:sz="4" w:space="0" w:color="auto"/>
              <w:right w:val="single" w:sz="4" w:space="0" w:color="auto"/>
            </w:tcBorders>
            <w:shd w:val="clear" w:color="auto" w:fill="auto"/>
            <w:noWrap/>
            <w:vAlign w:val="center"/>
          </w:tcPr>
          <w:p w14:paraId="59FFBD4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18.4</w:t>
            </w:r>
          </w:p>
        </w:tc>
        <w:tc>
          <w:tcPr>
            <w:tcW w:w="1315" w:type="dxa"/>
            <w:tcBorders>
              <w:top w:val="nil"/>
              <w:left w:val="nil"/>
              <w:bottom w:val="single" w:sz="4" w:space="0" w:color="auto"/>
              <w:right w:val="single" w:sz="4" w:space="0" w:color="auto"/>
            </w:tcBorders>
            <w:shd w:val="clear" w:color="auto" w:fill="auto"/>
            <w:noWrap/>
            <w:vAlign w:val="center"/>
          </w:tcPr>
          <w:p w14:paraId="430D48E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1.72</w:t>
            </w:r>
          </w:p>
        </w:tc>
        <w:tc>
          <w:tcPr>
            <w:tcW w:w="630" w:type="dxa"/>
            <w:tcBorders>
              <w:top w:val="nil"/>
              <w:left w:val="nil"/>
              <w:bottom w:val="single" w:sz="4" w:space="0" w:color="auto"/>
              <w:right w:val="single" w:sz="4" w:space="0" w:color="auto"/>
            </w:tcBorders>
            <w:shd w:val="clear" w:color="auto" w:fill="auto"/>
            <w:noWrap/>
            <w:vAlign w:val="center"/>
          </w:tcPr>
          <w:p w14:paraId="6FB18B6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0.19</w:t>
            </w:r>
          </w:p>
        </w:tc>
        <w:tc>
          <w:tcPr>
            <w:tcW w:w="602" w:type="dxa"/>
            <w:tcBorders>
              <w:top w:val="nil"/>
              <w:left w:val="nil"/>
              <w:bottom w:val="single" w:sz="4" w:space="0" w:color="auto"/>
              <w:right w:val="single" w:sz="4" w:space="0" w:color="auto"/>
            </w:tcBorders>
            <w:shd w:val="clear" w:color="auto" w:fill="auto"/>
            <w:noWrap/>
            <w:vAlign w:val="center"/>
          </w:tcPr>
          <w:p w14:paraId="093E841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2.99</w:t>
            </w:r>
          </w:p>
        </w:tc>
        <w:tc>
          <w:tcPr>
            <w:tcW w:w="1609" w:type="dxa"/>
            <w:tcBorders>
              <w:top w:val="nil"/>
              <w:left w:val="nil"/>
              <w:bottom w:val="single" w:sz="4" w:space="0" w:color="auto"/>
              <w:right w:val="nil"/>
            </w:tcBorders>
            <w:shd w:val="clear" w:color="auto" w:fill="auto"/>
            <w:noWrap/>
            <w:vAlign w:val="center"/>
          </w:tcPr>
          <w:p w14:paraId="3E5EB99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6.84</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3023E5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56BA468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04D150F"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382DB74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8.93</w:t>
            </w:r>
          </w:p>
        </w:tc>
        <w:tc>
          <w:tcPr>
            <w:tcW w:w="685" w:type="dxa"/>
            <w:tcBorders>
              <w:top w:val="nil"/>
              <w:left w:val="nil"/>
              <w:bottom w:val="single" w:sz="4" w:space="0" w:color="auto"/>
              <w:right w:val="single" w:sz="4" w:space="0" w:color="auto"/>
            </w:tcBorders>
            <w:shd w:val="clear" w:color="auto" w:fill="auto"/>
            <w:noWrap/>
            <w:vAlign w:val="center"/>
          </w:tcPr>
          <w:p w14:paraId="4CDD7FB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35.6</w:t>
            </w:r>
          </w:p>
        </w:tc>
        <w:tc>
          <w:tcPr>
            <w:tcW w:w="1315" w:type="dxa"/>
            <w:tcBorders>
              <w:top w:val="nil"/>
              <w:left w:val="nil"/>
              <w:bottom w:val="single" w:sz="4" w:space="0" w:color="auto"/>
              <w:right w:val="single" w:sz="4" w:space="0" w:color="auto"/>
            </w:tcBorders>
            <w:shd w:val="clear" w:color="auto" w:fill="auto"/>
            <w:noWrap/>
            <w:vAlign w:val="center"/>
          </w:tcPr>
          <w:p w14:paraId="6879E75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3.07</w:t>
            </w:r>
          </w:p>
        </w:tc>
        <w:tc>
          <w:tcPr>
            <w:tcW w:w="630" w:type="dxa"/>
            <w:tcBorders>
              <w:top w:val="nil"/>
              <w:left w:val="nil"/>
              <w:bottom w:val="single" w:sz="4" w:space="0" w:color="auto"/>
              <w:right w:val="single" w:sz="4" w:space="0" w:color="auto"/>
            </w:tcBorders>
            <w:shd w:val="clear" w:color="auto" w:fill="auto"/>
            <w:noWrap/>
            <w:vAlign w:val="center"/>
          </w:tcPr>
          <w:p w14:paraId="27AD26F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0.27</w:t>
            </w:r>
          </w:p>
        </w:tc>
        <w:tc>
          <w:tcPr>
            <w:tcW w:w="602" w:type="dxa"/>
            <w:tcBorders>
              <w:top w:val="nil"/>
              <w:left w:val="nil"/>
              <w:bottom w:val="single" w:sz="4" w:space="0" w:color="auto"/>
              <w:right w:val="single" w:sz="4" w:space="0" w:color="auto"/>
            </w:tcBorders>
            <w:shd w:val="clear" w:color="auto" w:fill="auto"/>
            <w:noWrap/>
            <w:vAlign w:val="center"/>
          </w:tcPr>
          <w:p w14:paraId="38BB845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1.27</w:t>
            </w:r>
          </w:p>
        </w:tc>
        <w:tc>
          <w:tcPr>
            <w:tcW w:w="1609" w:type="dxa"/>
            <w:tcBorders>
              <w:top w:val="nil"/>
              <w:left w:val="nil"/>
              <w:bottom w:val="single" w:sz="4" w:space="0" w:color="auto"/>
              <w:right w:val="nil"/>
            </w:tcBorders>
            <w:shd w:val="clear" w:color="auto" w:fill="auto"/>
            <w:noWrap/>
            <w:vAlign w:val="center"/>
          </w:tcPr>
          <w:p w14:paraId="0CD14F4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2.72</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4DA534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162F72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331750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5B6447C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10.4</w:t>
            </w:r>
          </w:p>
        </w:tc>
        <w:tc>
          <w:tcPr>
            <w:tcW w:w="685" w:type="dxa"/>
            <w:tcBorders>
              <w:top w:val="nil"/>
              <w:left w:val="nil"/>
              <w:bottom w:val="single" w:sz="4" w:space="0" w:color="auto"/>
              <w:right w:val="single" w:sz="4" w:space="0" w:color="auto"/>
            </w:tcBorders>
            <w:shd w:val="clear" w:color="auto" w:fill="auto"/>
            <w:noWrap/>
            <w:vAlign w:val="center"/>
          </w:tcPr>
          <w:p w14:paraId="312308F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39.5</w:t>
            </w:r>
          </w:p>
        </w:tc>
        <w:tc>
          <w:tcPr>
            <w:tcW w:w="1315" w:type="dxa"/>
            <w:tcBorders>
              <w:top w:val="nil"/>
              <w:left w:val="nil"/>
              <w:bottom w:val="single" w:sz="4" w:space="0" w:color="auto"/>
              <w:right w:val="single" w:sz="4" w:space="0" w:color="auto"/>
            </w:tcBorders>
            <w:shd w:val="clear" w:color="auto" w:fill="auto"/>
            <w:noWrap/>
            <w:vAlign w:val="center"/>
          </w:tcPr>
          <w:p w14:paraId="281AE95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3.19</w:t>
            </w:r>
          </w:p>
        </w:tc>
        <w:tc>
          <w:tcPr>
            <w:tcW w:w="630" w:type="dxa"/>
            <w:tcBorders>
              <w:top w:val="nil"/>
              <w:left w:val="nil"/>
              <w:bottom w:val="single" w:sz="4" w:space="0" w:color="auto"/>
              <w:right w:val="single" w:sz="4" w:space="0" w:color="auto"/>
            </w:tcBorders>
            <w:shd w:val="clear" w:color="auto" w:fill="auto"/>
            <w:noWrap/>
            <w:vAlign w:val="center"/>
          </w:tcPr>
          <w:p w14:paraId="2B771FC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0.33</w:t>
            </w:r>
          </w:p>
        </w:tc>
        <w:tc>
          <w:tcPr>
            <w:tcW w:w="602" w:type="dxa"/>
            <w:tcBorders>
              <w:top w:val="nil"/>
              <w:left w:val="nil"/>
              <w:bottom w:val="single" w:sz="4" w:space="0" w:color="auto"/>
              <w:right w:val="single" w:sz="4" w:space="0" w:color="auto"/>
            </w:tcBorders>
            <w:shd w:val="clear" w:color="auto" w:fill="auto"/>
            <w:noWrap/>
            <w:vAlign w:val="center"/>
          </w:tcPr>
          <w:p w14:paraId="140BC9D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1.57</w:t>
            </w:r>
          </w:p>
        </w:tc>
        <w:tc>
          <w:tcPr>
            <w:tcW w:w="1609" w:type="dxa"/>
            <w:tcBorders>
              <w:top w:val="nil"/>
              <w:left w:val="nil"/>
              <w:bottom w:val="single" w:sz="4" w:space="0" w:color="auto"/>
              <w:right w:val="nil"/>
            </w:tcBorders>
            <w:shd w:val="clear" w:color="auto" w:fill="auto"/>
            <w:noWrap/>
            <w:vAlign w:val="center"/>
          </w:tcPr>
          <w:p w14:paraId="234B638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4.70</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E35CF6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17681C9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CAFED8E"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2439336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683</w:t>
            </w:r>
          </w:p>
        </w:tc>
        <w:tc>
          <w:tcPr>
            <w:tcW w:w="685" w:type="dxa"/>
            <w:tcBorders>
              <w:top w:val="nil"/>
              <w:left w:val="nil"/>
              <w:bottom w:val="single" w:sz="4" w:space="0" w:color="auto"/>
              <w:right w:val="single" w:sz="4" w:space="0" w:color="auto"/>
            </w:tcBorders>
            <w:shd w:val="clear" w:color="auto" w:fill="auto"/>
            <w:noWrap/>
            <w:vAlign w:val="center"/>
          </w:tcPr>
          <w:p w14:paraId="4175056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1.44</w:t>
            </w:r>
          </w:p>
        </w:tc>
        <w:tc>
          <w:tcPr>
            <w:tcW w:w="1315" w:type="dxa"/>
            <w:tcBorders>
              <w:top w:val="nil"/>
              <w:left w:val="nil"/>
              <w:bottom w:val="single" w:sz="4" w:space="0" w:color="auto"/>
              <w:right w:val="single" w:sz="4" w:space="0" w:color="auto"/>
            </w:tcBorders>
            <w:shd w:val="clear" w:color="auto" w:fill="auto"/>
            <w:noWrap/>
            <w:vAlign w:val="center"/>
          </w:tcPr>
          <w:p w14:paraId="415E03B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297</w:t>
            </w:r>
          </w:p>
        </w:tc>
        <w:tc>
          <w:tcPr>
            <w:tcW w:w="630" w:type="dxa"/>
            <w:tcBorders>
              <w:top w:val="nil"/>
              <w:left w:val="nil"/>
              <w:bottom w:val="single" w:sz="4" w:space="0" w:color="auto"/>
              <w:right w:val="single" w:sz="4" w:space="0" w:color="auto"/>
            </w:tcBorders>
            <w:shd w:val="clear" w:color="auto" w:fill="auto"/>
            <w:noWrap/>
            <w:vAlign w:val="center"/>
          </w:tcPr>
          <w:p w14:paraId="4EC214A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5.05</w:t>
            </w:r>
          </w:p>
        </w:tc>
        <w:tc>
          <w:tcPr>
            <w:tcW w:w="602" w:type="dxa"/>
            <w:tcBorders>
              <w:top w:val="nil"/>
              <w:left w:val="nil"/>
              <w:bottom w:val="single" w:sz="4" w:space="0" w:color="auto"/>
              <w:right w:val="single" w:sz="4" w:space="0" w:color="auto"/>
            </w:tcBorders>
            <w:shd w:val="clear" w:color="auto" w:fill="auto"/>
            <w:noWrap/>
            <w:vAlign w:val="center"/>
          </w:tcPr>
          <w:p w14:paraId="069FC80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6.30</w:t>
            </w:r>
          </w:p>
        </w:tc>
        <w:tc>
          <w:tcPr>
            <w:tcW w:w="1609" w:type="dxa"/>
            <w:tcBorders>
              <w:top w:val="nil"/>
              <w:left w:val="nil"/>
              <w:bottom w:val="single" w:sz="4" w:space="0" w:color="auto"/>
              <w:right w:val="nil"/>
            </w:tcBorders>
            <w:shd w:val="clear" w:color="auto" w:fill="auto"/>
            <w:noWrap/>
            <w:vAlign w:val="center"/>
          </w:tcPr>
          <w:p w14:paraId="3AC886B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39E4BE5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5DBDE1EB"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101D19FC"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477A7F3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471</w:t>
            </w:r>
          </w:p>
        </w:tc>
        <w:tc>
          <w:tcPr>
            <w:tcW w:w="685" w:type="dxa"/>
            <w:tcBorders>
              <w:top w:val="nil"/>
              <w:left w:val="nil"/>
              <w:bottom w:val="double" w:sz="6" w:space="0" w:color="auto"/>
              <w:right w:val="single" w:sz="4" w:space="0" w:color="auto"/>
            </w:tcBorders>
            <w:shd w:val="clear" w:color="auto" w:fill="auto"/>
            <w:noWrap/>
            <w:vAlign w:val="center"/>
          </w:tcPr>
          <w:p w14:paraId="416F09F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3.83</w:t>
            </w:r>
          </w:p>
        </w:tc>
        <w:tc>
          <w:tcPr>
            <w:tcW w:w="1315" w:type="dxa"/>
            <w:tcBorders>
              <w:top w:val="nil"/>
              <w:left w:val="nil"/>
              <w:bottom w:val="double" w:sz="6" w:space="0" w:color="auto"/>
              <w:right w:val="single" w:sz="4" w:space="0" w:color="auto"/>
            </w:tcBorders>
            <w:shd w:val="clear" w:color="auto" w:fill="auto"/>
            <w:noWrap/>
            <w:vAlign w:val="center"/>
          </w:tcPr>
          <w:p w14:paraId="5BDE304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332</w:t>
            </w:r>
          </w:p>
        </w:tc>
        <w:tc>
          <w:tcPr>
            <w:tcW w:w="630" w:type="dxa"/>
            <w:tcBorders>
              <w:top w:val="nil"/>
              <w:left w:val="nil"/>
              <w:bottom w:val="double" w:sz="6" w:space="0" w:color="auto"/>
              <w:right w:val="single" w:sz="4" w:space="0" w:color="auto"/>
            </w:tcBorders>
            <w:shd w:val="clear" w:color="auto" w:fill="auto"/>
            <w:noWrap/>
            <w:vAlign w:val="center"/>
          </w:tcPr>
          <w:p w14:paraId="75EF150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6.92</w:t>
            </w:r>
          </w:p>
        </w:tc>
        <w:tc>
          <w:tcPr>
            <w:tcW w:w="602" w:type="dxa"/>
            <w:tcBorders>
              <w:top w:val="nil"/>
              <w:left w:val="nil"/>
              <w:bottom w:val="double" w:sz="6" w:space="0" w:color="auto"/>
              <w:right w:val="single" w:sz="4" w:space="0" w:color="auto"/>
            </w:tcBorders>
            <w:shd w:val="clear" w:color="auto" w:fill="auto"/>
            <w:noWrap/>
            <w:vAlign w:val="center"/>
          </w:tcPr>
          <w:p w14:paraId="70072D7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4.90</w:t>
            </w:r>
          </w:p>
        </w:tc>
        <w:tc>
          <w:tcPr>
            <w:tcW w:w="1609" w:type="dxa"/>
            <w:tcBorders>
              <w:top w:val="nil"/>
              <w:left w:val="nil"/>
              <w:bottom w:val="double" w:sz="6" w:space="0" w:color="auto"/>
              <w:right w:val="nil"/>
            </w:tcBorders>
            <w:shd w:val="clear" w:color="auto" w:fill="auto"/>
            <w:noWrap/>
            <w:vAlign w:val="center"/>
          </w:tcPr>
          <w:p w14:paraId="5E694D8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101</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08D13A7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5890CEA9" w14:textId="3876DCF0" w:rsidR="001D2587" w:rsidRPr="000855B2" w:rsidRDefault="00095EA7" w:rsidP="008D1A83">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7</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Denmark,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BE3ADC" w:rsidRPr="000855B2" w14:paraId="446753DF"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4654FE83"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45B4CE9E"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Denmark</w:t>
            </w:r>
          </w:p>
        </w:tc>
      </w:tr>
      <w:tr w:rsidR="00BE3ADC" w:rsidRPr="000855B2" w14:paraId="75FF3C08"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4B096EFF" w14:textId="77777777" w:rsidR="00BE3ADC" w:rsidRPr="008D1A83" w:rsidRDefault="00BE3ADC" w:rsidP="0062782E">
            <w:pPr>
              <w:spacing w:line="240" w:lineRule="auto"/>
              <w:jc w:val="center"/>
              <w:rPr>
                <w:b/>
                <w:bCs/>
                <w:color w:val="000000"/>
                <w:sz w:val="16"/>
                <w:szCs w:val="16"/>
                <w:lang w:val="en-GB" w:eastAsia="el-GR" w:bidi="hi-IN"/>
              </w:rPr>
            </w:pPr>
          </w:p>
        </w:tc>
        <w:tc>
          <w:tcPr>
            <w:tcW w:w="602" w:type="dxa"/>
            <w:tcBorders>
              <w:top w:val="nil"/>
              <w:left w:val="nil"/>
              <w:bottom w:val="single" w:sz="12" w:space="0" w:color="auto"/>
              <w:right w:val="single" w:sz="4" w:space="0" w:color="auto"/>
            </w:tcBorders>
            <w:shd w:val="clear" w:color="auto" w:fill="auto"/>
            <w:noWrap/>
            <w:vAlign w:val="center"/>
          </w:tcPr>
          <w:p w14:paraId="43F4167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685" w:type="dxa"/>
            <w:tcBorders>
              <w:top w:val="nil"/>
              <w:left w:val="nil"/>
              <w:bottom w:val="single" w:sz="12" w:space="0" w:color="auto"/>
              <w:right w:val="single" w:sz="4" w:space="0" w:color="auto"/>
            </w:tcBorders>
            <w:shd w:val="clear" w:color="auto" w:fill="auto"/>
            <w:noWrap/>
            <w:vAlign w:val="center"/>
          </w:tcPr>
          <w:p w14:paraId="060D8C73"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315" w:type="dxa"/>
            <w:tcBorders>
              <w:top w:val="nil"/>
              <w:left w:val="nil"/>
              <w:bottom w:val="single" w:sz="12" w:space="0" w:color="auto"/>
              <w:right w:val="single" w:sz="4" w:space="0" w:color="auto"/>
            </w:tcBorders>
            <w:shd w:val="clear" w:color="auto" w:fill="auto"/>
            <w:noWrap/>
            <w:vAlign w:val="center"/>
          </w:tcPr>
          <w:p w14:paraId="50D1CF6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630" w:type="dxa"/>
            <w:tcBorders>
              <w:top w:val="nil"/>
              <w:left w:val="nil"/>
              <w:bottom w:val="single" w:sz="12" w:space="0" w:color="auto"/>
              <w:right w:val="single" w:sz="4" w:space="0" w:color="auto"/>
            </w:tcBorders>
            <w:shd w:val="clear" w:color="auto" w:fill="auto"/>
            <w:noWrap/>
            <w:vAlign w:val="center"/>
          </w:tcPr>
          <w:p w14:paraId="1C0D672D"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9</w:t>
            </w:r>
          </w:p>
        </w:tc>
        <w:tc>
          <w:tcPr>
            <w:tcW w:w="602" w:type="dxa"/>
            <w:tcBorders>
              <w:top w:val="nil"/>
              <w:left w:val="nil"/>
              <w:bottom w:val="single" w:sz="12" w:space="0" w:color="auto"/>
              <w:right w:val="single" w:sz="4" w:space="0" w:color="auto"/>
            </w:tcBorders>
            <w:shd w:val="clear" w:color="auto" w:fill="auto"/>
            <w:noWrap/>
            <w:vAlign w:val="center"/>
          </w:tcPr>
          <w:p w14:paraId="493BDFE5"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609" w:type="dxa"/>
            <w:tcBorders>
              <w:top w:val="nil"/>
              <w:left w:val="nil"/>
              <w:bottom w:val="single" w:sz="12" w:space="0" w:color="auto"/>
              <w:right w:val="nil"/>
            </w:tcBorders>
            <w:shd w:val="clear" w:color="auto" w:fill="auto"/>
            <w:vAlign w:val="center"/>
          </w:tcPr>
          <w:p w14:paraId="19093706"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277" w:type="dxa"/>
            <w:tcBorders>
              <w:top w:val="nil"/>
              <w:left w:val="single" w:sz="4" w:space="0" w:color="auto"/>
              <w:bottom w:val="single" w:sz="12" w:space="0" w:color="auto"/>
              <w:right w:val="double" w:sz="6" w:space="0" w:color="auto"/>
            </w:tcBorders>
            <w:shd w:val="clear" w:color="auto" w:fill="auto"/>
            <w:vAlign w:val="center"/>
          </w:tcPr>
          <w:p w14:paraId="1190AB10" w14:textId="77777777" w:rsidR="00BE3ADC" w:rsidRPr="008D1A83" w:rsidRDefault="00BE3ADC"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BE3ADC" w:rsidRPr="000855B2" w14:paraId="72C4B0A7"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5BAEFA16"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2BD0F8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92.3</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0A08CF3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9.18</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0F01199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10.47</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383E7AD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0.87</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4FFB2F3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609" w:type="dxa"/>
            <w:tcBorders>
              <w:top w:val="single" w:sz="12" w:space="0" w:color="auto"/>
              <w:left w:val="nil"/>
              <w:bottom w:val="single" w:sz="4" w:space="0" w:color="auto"/>
              <w:right w:val="nil"/>
            </w:tcBorders>
            <w:shd w:val="clear" w:color="auto" w:fill="auto"/>
            <w:noWrap/>
            <w:vAlign w:val="center"/>
          </w:tcPr>
          <w:p w14:paraId="724E67A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9.44</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4EA7CD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08C14ED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EB9E15D"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3C079FC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4.43</w:t>
            </w:r>
          </w:p>
        </w:tc>
        <w:tc>
          <w:tcPr>
            <w:tcW w:w="685" w:type="dxa"/>
            <w:tcBorders>
              <w:top w:val="nil"/>
              <w:left w:val="nil"/>
              <w:bottom w:val="single" w:sz="4" w:space="0" w:color="auto"/>
              <w:right w:val="single" w:sz="4" w:space="0" w:color="auto"/>
            </w:tcBorders>
            <w:shd w:val="clear" w:color="auto" w:fill="auto"/>
            <w:noWrap/>
            <w:vAlign w:val="center"/>
          </w:tcPr>
          <w:p w14:paraId="0B8A4E6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12.8</w:t>
            </w:r>
          </w:p>
        </w:tc>
        <w:tc>
          <w:tcPr>
            <w:tcW w:w="1315" w:type="dxa"/>
            <w:tcBorders>
              <w:top w:val="nil"/>
              <w:left w:val="nil"/>
              <w:bottom w:val="single" w:sz="4" w:space="0" w:color="auto"/>
              <w:right w:val="single" w:sz="4" w:space="0" w:color="auto"/>
            </w:tcBorders>
            <w:shd w:val="clear" w:color="auto" w:fill="auto"/>
            <w:noWrap/>
            <w:vAlign w:val="center"/>
          </w:tcPr>
          <w:p w14:paraId="53EF3BA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0.77</w:t>
            </w:r>
          </w:p>
        </w:tc>
        <w:tc>
          <w:tcPr>
            <w:tcW w:w="630" w:type="dxa"/>
            <w:tcBorders>
              <w:top w:val="nil"/>
              <w:left w:val="nil"/>
              <w:bottom w:val="single" w:sz="4" w:space="0" w:color="auto"/>
              <w:right w:val="single" w:sz="4" w:space="0" w:color="auto"/>
            </w:tcBorders>
            <w:shd w:val="clear" w:color="auto" w:fill="auto"/>
            <w:noWrap/>
            <w:vAlign w:val="center"/>
          </w:tcPr>
          <w:p w14:paraId="1BCF8AB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0.15</w:t>
            </w:r>
          </w:p>
        </w:tc>
        <w:tc>
          <w:tcPr>
            <w:tcW w:w="602" w:type="dxa"/>
            <w:tcBorders>
              <w:top w:val="nil"/>
              <w:left w:val="nil"/>
              <w:bottom w:val="single" w:sz="4" w:space="0" w:color="auto"/>
              <w:right w:val="single" w:sz="4" w:space="0" w:color="auto"/>
            </w:tcBorders>
            <w:shd w:val="clear" w:color="auto" w:fill="auto"/>
            <w:noWrap/>
            <w:vAlign w:val="center"/>
          </w:tcPr>
          <w:p w14:paraId="040A938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1.28</w:t>
            </w:r>
          </w:p>
        </w:tc>
        <w:tc>
          <w:tcPr>
            <w:tcW w:w="1609" w:type="dxa"/>
            <w:tcBorders>
              <w:top w:val="nil"/>
              <w:left w:val="nil"/>
              <w:bottom w:val="single" w:sz="4" w:space="0" w:color="auto"/>
              <w:right w:val="nil"/>
            </w:tcBorders>
            <w:shd w:val="clear" w:color="auto" w:fill="auto"/>
            <w:noWrap/>
            <w:vAlign w:val="center"/>
          </w:tcPr>
          <w:p w14:paraId="24C9BF11"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10.31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6AB3A4A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7DC2ECA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AFAB80A" w14:textId="77777777" w:rsidR="00BE3ADC"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BE3ADC"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7F73565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w:t>
            </w:r>
          </w:p>
        </w:tc>
        <w:tc>
          <w:tcPr>
            <w:tcW w:w="685" w:type="dxa"/>
            <w:tcBorders>
              <w:top w:val="nil"/>
              <w:left w:val="nil"/>
              <w:bottom w:val="single" w:sz="4" w:space="0" w:color="auto"/>
              <w:right w:val="single" w:sz="4" w:space="0" w:color="auto"/>
            </w:tcBorders>
            <w:shd w:val="clear" w:color="auto" w:fill="auto"/>
            <w:noWrap/>
            <w:vAlign w:val="center"/>
          </w:tcPr>
          <w:p w14:paraId="06C4011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4.3</w:t>
            </w:r>
          </w:p>
        </w:tc>
        <w:tc>
          <w:tcPr>
            <w:tcW w:w="1315" w:type="dxa"/>
            <w:tcBorders>
              <w:top w:val="nil"/>
              <w:left w:val="nil"/>
              <w:bottom w:val="single" w:sz="4" w:space="0" w:color="auto"/>
              <w:right w:val="single" w:sz="4" w:space="0" w:color="auto"/>
            </w:tcBorders>
            <w:shd w:val="clear" w:color="auto" w:fill="auto"/>
            <w:noWrap/>
            <w:vAlign w:val="center"/>
          </w:tcPr>
          <w:p w14:paraId="286A1C0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3.9</w:t>
            </w:r>
          </w:p>
        </w:tc>
        <w:tc>
          <w:tcPr>
            <w:tcW w:w="630" w:type="dxa"/>
            <w:tcBorders>
              <w:top w:val="nil"/>
              <w:left w:val="nil"/>
              <w:bottom w:val="single" w:sz="4" w:space="0" w:color="auto"/>
              <w:right w:val="single" w:sz="4" w:space="0" w:color="auto"/>
            </w:tcBorders>
            <w:shd w:val="clear" w:color="auto" w:fill="auto"/>
            <w:noWrap/>
            <w:vAlign w:val="center"/>
          </w:tcPr>
          <w:p w14:paraId="09C2287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0.46</w:t>
            </w:r>
          </w:p>
        </w:tc>
        <w:tc>
          <w:tcPr>
            <w:tcW w:w="602" w:type="dxa"/>
            <w:tcBorders>
              <w:top w:val="nil"/>
              <w:left w:val="nil"/>
              <w:bottom w:val="single" w:sz="4" w:space="0" w:color="auto"/>
              <w:right w:val="single" w:sz="4" w:space="0" w:color="auto"/>
            </w:tcBorders>
            <w:shd w:val="clear" w:color="auto" w:fill="auto"/>
            <w:noWrap/>
            <w:vAlign w:val="center"/>
          </w:tcPr>
          <w:p w14:paraId="7898051F"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7B095B9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5.79</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310A935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32DF8C5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9FCEB01"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36D04B6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6.39</w:t>
            </w:r>
          </w:p>
        </w:tc>
        <w:tc>
          <w:tcPr>
            <w:tcW w:w="685" w:type="dxa"/>
            <w:tcBorders>
              <w:top w:val="nil"/>
              <w:left w:val="nil"/>
              <w:bottom w:val="single" w:sz="4" w:space="0" w:color="auto"/>
              <w:right w:val="single" w:sz="4" w:space="0" w:color="auto"/>
            </w:tcBorders>
            <w:shd w:val="clear" w:color="auto" w:fill="auto"/>
            <w:noWrap/>
            <w:vAlign w:val="center"/>
          </w:tcPr>
          <w:p w14:paraId="6FEA41B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15.0</w:t>
            </w:r>
          </w:p>
        </w:tc>
        <w:tc>
          <w:tcPr>
            <w:tcW w:w="1315" w:type="dxa"/>
            <w:tcBorders>
              <w:top w:val="nil"/>
              <w:left w:val="nil"/>
              <w:bottom w:val="single" w:sz="4" w:space="0" w:color="auto"/>
              <w:right w:val="single" w:sz="4" w:space="0" w:color="auto"/>
            </w:tcBorders>
            <w:shd w:val="clear" w:color="auto" w:fill="auto"/>
            <w:noWrap/>
            <w:vAlign w:val="center"/>
          </w:tcPr>
          <w:p w14:paraId="08E77D9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630" w:type="dxa"/>
            <w:tcBorders>
              <w:top w:val="nil"/>
              <w:left w:val="nil"/>
              <w:bottom w:val="single" w:sz="4" w:space="0" w:color="auto"/>
              <w:right w:val="single" w:sz="4" w:space="0" w:color="auto"/>
            </w:tcBorders>
            <w:shd w:val="clear" w:color="auto" w:fill="auto"/>
            <w:noWrap/>
            <w:vAlign w:val="center"/>
          </w:tcPr>
          <w:p w14:paraId="33C90229"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0.09</w:t>
            </w:r>
          </w:p>
        </w:tc>
        <w:tc>
          <w:tcPr>
            <w:tcW w:w="602" w:type="dxa"/>
            <w:tcBorders>
              <w:top w:val="nil"/>
              <w:left w:val="nil"/>
              <w:bottom w:val="single" w:sz="4" w:space="0" w:color="auto"/>
              <w:right w:val="single" w:sz="4" w:space="0" w:color="auto"/>
            </w:tcBorders>
            <w:shd w:val="clear" w:color="auto" w:fill="auto"/>
            <w:noWrap/>
            <w:vAlign w:val="center"/>
          </w:tcPr>
          <w:p w14:paraId="4164BA9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1.35</w:t>
            </w:r>
          </w:p>
        </w:tc>
        <w:tc>
          <w:tcPr>
            <w:tcW w:w="1609" w:type="dxa"/>
            <w:tcBorders>
              <w:top w:val="nil"/>
              <w:left w:val="nil"/>
              <w:bottom w:val="single" w:sz="4" w:space="0" w:color="auto"/>
              <w:right w:val="nil"/>
            </w:tcBorders>
            <w:shd w:val="clear" w:color="auto" w:fill="auto"/>
            <w:noWrap/>
            <w:vAlign w:val="center"/>
          </w:tcPr>
          <w:p w14:paraId="5057B2B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7.48</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F70BBC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3EEBA62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517CC68"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3D0993B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6.93</w:t>
            </w:r>
          </w:p>
        </w:tc>
        <w:tc>
          <w:tcPr>
            <w:tcW w:w="685" w:type="dxa"/>
            <w:tcBorders>
              <w:top w:val="nil"/>
              <w:left w:val="nil"/>
              <w:bottom w:val="single" w:sz="4" w:space="0" w:color="auto"/>
              <w:right w:val="single" w:sz="4" w:space="0" w:color="auto"/>
            </w:tcBorders>
            <w:shd w:val="clear" w:color="auto" w:fill="auto"/>
            <w:noWrap/>
            <w:vAlign w:val="center"/>
          </w:tcPr>
          <w:p w14:paraId="3374967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32.5</w:t>
            </w:r>
          </w:p>
        </w:tc>
        <w:tc>
          <w:tcPr>
            <w:tcW w:w="1315" w:type="dxa"/>
            <w:tcBorders>
              <w:top w:val="nil"/>
              <w:left w:val="nil"/>
              <w:bottom w:val="single" w:sz="4" w:space="0" w:color="auto"/>
              <w:right w:val="single" w:sz="4" w:space="0" w:color="auto"/>
            </w:tcBorders>
            <w:shd w:val="clear" w:color="auto" w:fill="auto"/>
            <w:noWrap/>
            <w:vAlign w:val="center"/>
          </w:tcPr>
          <w:p w14:paraId="1ABD3BE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1.48</w:t>
            </w:r>
          </w:p>
        </w:tc>
        <w:tc>
          <w:tcPr>
            <w:tcW w:w="630" w:type="dxa"/>
            <w:tcBorders>
              <w:top w:val="nil"/>
              <w:left w:val="nil"/>
              <w:bottom w:val="single" w:sz="4" w:space="0" w:color="auto"/>
              <w:right w:val="single" w:sz="4" w:space="0" w:color="auto"/>
            </w:tcBorders>
            <w:shd w:val="clear" w:color="auto" w:fill="auto"/>
            <w:noWrap/>
            <w:vAlign w:val="center"/>
          </w:tcPr>
          <w:p w14:paraId="68B0039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0.21</w:t>
            </w:r>
          </w:p>
        </w:tc>
        <w:tc>
          <w:tcPr>
            <w:tcW w:w="602" w:type="dxa"/>
            <w:tcBorders>
              <w:top w:val="nil"/>
              <w:left w:val="nil"/>
              <w:bottom w:val="single" w:sz="4" w:space="0" w:color="auto"/>
              <w:right w:val="single" w:sz="4" w:space="0" w:color="auto"/>
            </w:tcBorders>
            <w:shd w:val="clear" w:color="auto" w:fill="auto"/>
            <w:noWrap/>
            <w:vAlign w:val="center"/>
          </w:tcPr>
          <w:p w14:paraId="4387205C"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0.78</w:t>
            </w:r>
          </w:p>
        </w:tc>
        <w:tc>
          <w:tcPr>
            <w:tcW w:w="1609" w:type="dxa"/>
            <w:tcBorders>
              <w:top w:val="nil"/>
              <w:left w:val="nil"/>
              <w:bottom w:val="single" w:sz="4" w:space="0" w:color="auto"/>
              <w:right w:val="nil"/>
            </w:tcBorders>
            <w:shd w:val="clear" w:color="auto" w:fill="auto"/>
            <w:noWrap/>
            <w:vAlign w:val="center"/>
          </w:tcPr>
          <w:p w14:paraId="31F1351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2.16</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0D8EEB7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68516C3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151AD95"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657D2CA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8.82</w:t>
            </w:r>
          </w:p>
        </w:tc>
        <w:tc>
          <w:tcPr>
            <w:tcW w:w="685" w:type="dxa"/>
            <w:tcBorders>
              <w:top w:val="nil"/>
              <w:left w:val="nil"/>
              <w:bottom w:val="single" w:sz="4" w:space="0" w:color="auto"/>
              <w:right w:val="single" w:sz="4" w:space="0" w:color="auto"/>
            </w:tcBorders>
            <w:shd w:val="clear" w:color="auto" w:fill="auto"/>
            <w:noWrap/>
            <w:vAlign w:val="center"/>
          </w:tcPr>
          <w:p w14:paraId="0E2708D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36.2</w:t>
            </w:r>
          </w:p>
        </w:tc>
        <w:tc>
          <w:tcPr>
            <w:tcW w:w="1315" w:type="dxa"/>
            <w:tcBorders>
              <w:top w:val="nil"/>
              <w:left w:val="nil"/>
              <w:bottom w:val="single" w:sz="4" w:space="0" w:color="auto"/>
              <w:right w:val="single" w:sz="4" w:space="0" w:color="auto"/>
            </w:tcBorders>
            <w:shd w:val="clear" w:color="auto" w:fill="auto"/>
            <w:noWrap/>
            <w:vAlign w:val="center"/>
          </w:tcPr>
          <w:p w14:paraId="0A8BEC5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2.34</w:t>
            </w:r>
          </w:p>
        </w:tc>
        <w:tc>
          <w:tcPr>
            <w:tcW w:w="630" w:type="dxa"/>
            <w:tcBorders>
              <w:top w:val="nil"/>
              <w:left w:val="nil"/>
              <w:bottom w:val="single" w:sz="4" w:space="0" w:color="auto"/>
              <w:right w:val="single" w:sz="4" w:space="0" w:color="auto"/>
            </w:tcBorders>
            <w:shd w:val="clear" w:color="auto" w:fill="auto"/>
            <w:noWrap/>
            <w:vAlign w:val="center"/>
          </w:tcPr>
          <w:p w14:paraId="34F6883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0.27</w:t>
            </w:r>
          </w:p>
        </w:tc>
        <w:tc>
          <w:tcPr>
            <w:tcW w:w="602" w:type="dxa"/>
            <w:tcBorders>
              <w:top w:val="nil"/>
              <w:left w:val="nil"/>
              <w:bottom w:val="single" w:sz="4" w:space="0" w:color="auto"/>
              <w:right w:val="single" w:sz="4" w:space="0" w:color="auto"/>
            </w:tcBorders>
            <w:shd w:val="clear" w:color="auto" w:fill="auto"/>
            <w:noWrap/>
            <w:vAlign w:val="center"/>
          </w:tcPr>
          <w:p w14:paraId="70D4922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1.14</w:t>
            </w:r>
          </w:p>
        </w:tc>
        <w:tc>
          <w:tcPr>
            <w:tcW w:w="1609" w:type="dxa"/>
            <w:tcBorders>
              <w:top w:val="nil"/>
              <w:left w:val="nil"/>
              <w:bottom w:val="single" w:sz="4" w:space="0" w:color="auto"/>
              <w:right w:val="nil"/>
            </w:tcBorders>
            <w:shd w:val="clear" w:color="auto" w:fill="auto"/>
            <w:noWrap/>
            <w:vAlign w:val="center"/>
          </w:tcPr>
          <w:p w14:paraId="25F8AD47"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4.57</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01C4A0B"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BE3ADC" w:rsidRPr="000855B2" w14:paraId="22FC306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6B2AE71"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lastRenderedPageBreak/>
              <w:t>Mopeds</w:t>
            </w:r>
          </w:p>
        </w:tc>
        <w:tc>
          <w:tcPr>
            <w:tcW w:w="602" w:type="dxa"/>
            <w:tcBorders>
              <w:top w:val="nil"/>
              <w:left w:val="nil"/>
              <w:bottom w:val="single" w:sz="4" w:space="0" w:color="auto"/>
              <w:right w:val="single" w:sz="4" w:space="0" w:color="auto"/>
            </w:tcBorders>
            <w:shd w:val="clear" w:color="auto" w:fill="auto"/>
            <w:noWrap/>
            <w:vAlign w:val="center"/>
          </w:tcPr>
          <w:p w14:paraId="5FDADAB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575</w:t>
            </w:r>
          </w:p>
        </w:tc>
        <w:tc>
          <w:tcPr>
            <w:tcW w:w="685" w:type="dxa"/>
            <w:tcBorders>
              <w:top w:val="nil"/>
              <w:left w:val="nil"/>
              <w:bottom w:val="single" w:sz="4" w:space="0" w:color="auto"/>
              <w:right w:val="single" w:sz="4" w:space="0" w:color="auto"/>
            </w:tcBorders>
            <w:shd w:val="clear" w:color="auto" w:fill="auto"/>
            <w:noWrap/>
            <w:vAlign w:val="center"/>
          </w:tcPr>
          <w:p w14:paraId="6A04E0F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2.42</w:t>
            </w:r>
          </w:p>
        </w:tc>
        <w:tc>
          <w:tcPr>
            <w:tcW w:w="1315" w:type="dxa"/>
            <w:tcBorders>
              <w:top w:val="nil"/>
              <w:left w:val="nil"/>
              <w:bottom w:val="single" w:sz="4" w:space="0" w:color="auto"/>
              <w:right w:val="single" w:sz="4" w:space="0" w:color="auto"/>
            </w:tcBorders>
            <w:shd w:val="clear" w:color="auto" w:fill="auto"/>
            <w:noWrap/>
            <w:vAlign w:val="center"/>
          </w:tcPr>
          <w:p w14:paraId="583738B3"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279</w:t>
            </w:r>
          </w:p>
        </w:tc>
        <w:tc>
          <w:tcPr>
            <w:tcW w:w="630" w:type="dxa"/>
            <w:tcBorders>
              <w:top w:val="nil"/>
              <w:left w:val="nil"/>
              <w:bottom w:val="single" w:sz="4" w:space="0" w:color="auto"/>
              <w:right w:val="single" w:sz="4" w:space="0" w:color="auto"/>
            </w:tcBorders>
            <w:shd w:val="clear" w:color="auto" w:fill="auto"/>
            <w:noWrap/>
            <w:vAlign w:val="center"/>
          </w:tcPr>
          <w:p w14:paraId="5987041E"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4.71</w:t>
            </w:r>
          </w:p>
        </w:tc>
        <w:tc>
          <w:tcPr>
            <w:tcW w:w="602" w:type="dxa"/>
            <w:tcBorders>
              <w:top w:val="nil"/>
              <w:left w:val="nil"/>
              <w:bottom w:val="single" w:sz="4" w:space="0" w:color="auto"/>
              <w:right w:val="single" w:sz="4" w:space="0" w:color="auto"/>
            </w:tcBorders>
            <w:shd w:val="clear" w:color="auto" w:fill="auto"/>
            <w:noWrap/>
            <w:vAlign w:val="center"/>
          </w:tcPr>
          <w:p w14:paraId="2BB5CB9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5.15</w:t>
            </w:r>
          </w:p>
        </w:tc>
        <w:tc>
          <w:tcPr>
            <w:tcW w:w="1609" w:type="dxa"/>
            <w:tcBorders>
              <w:top w:val="nil"/>
              <w:left w:val="nil"/>
              <w:bottom w:val="single" w:sz="4" w:space="0" w:color="auto"/>
              <w:right w:val="nil"/>
            </w:tcBorders>
            <w:shd w:val="clear" w:color="auto" w:fill="auto"/>
            <w:noWrap/>
            <w:vAlign w:val="center"/>
          </w:tcPr>
          <w:p w14:paraId="78512245"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126</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B9CA1E8"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BE3ADC" w:rsidRPr="000855B2" w14:paraId="2A5EA933"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3FD9A135" w14:textId="77777777" w:rsidR="00BE3ADC" w:rsidRPr="008D1A83" w:rsidRDefault="00BE3ADC"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1B0A342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404</w:t>
            </w:r>
          </w:p>
        </w:tc>
        <w:tc>
          <w:tcPr>
            <w:tcW w:w="685" w:type="dxa"/>
            <w:tcBorders>
              <w:top w:val="nil"/>
              <w:left w:val="nil"/>
              <w:bottom w:val="double" w:sz="6" w:space="0" w:color="auto"/>
              <w:right w:val="single" w:sz="4" w:space="0" w:color="auto"/>
            </w:tcBorders>
            <w:shd w:val="clear" w:color="auto" w:fill="auto"/>
            <w:noWrap/>
            <w:vAlign w:val="center"/>
          </w:tcPr>
          <w:p w14:paraId="717FF4CA"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7.62</w:t>
            </w:r>
          </w:p>
        </w:tc>
        <w:tc>
          <w:tcPr>
            <w:tcW w:w="1315" w:type="dxa"/>
            <w:tcBorders>
              <w:top w:val="nil"/>
              <w:left w:val="nil"/>
              <w:bottom w:val="double" w:sz="6" w:space="0" w:color="auto"/>
              <w:right w:val="single" w:sz="4" w:space="0" w:color="auto"/>
            </w:tcBorders>
            <w:shd w:val="clear" w:color="auto" w:fill="auto"/>
            <w:noWrap/>
            <w:vAlign w:val="center"/>
          </w:tcPr>
          <w:p w14:paraId="54DED8CD"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83.0</w:t>
            </w:r>
          </w:p>
        </w:tc>
        <w:tc>
          <w:tcPr>
            <w:tcW w:w="630" w:type="dxa"/>
            <w:tcBorders>
              <w:top w:val="nil"/>
              <w:left w:val="nil"/>
              <w:bottom w:val="double" w:sz="6" w:space="0" w:color="auto"/>
              <w:right w:val="single" w:sz="4" w:space="0" w:color="auto"/>
            </w:tcBorders>
            <w:shd w:val="clear" w:color="auto" w:fill="auto"/>
            <w:noWrap/>
            <w:vAlign w:val="center"/>
          </w:tcPr>
          <w:p w14:paraId="04300E36"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4.98</w:t>
            </w:r>
          </w:p>
        </w:tc>
        <w:tc>
          <w:tcPr>
            <w:tcW w:w="602" w:type="dxa"/>
            <w:tcBorders>
              <w:top w:val="nil"/>
              <w:left w:val="nil"/>
              <w:bottom w:val="double" w:sz="6" w:space="0" w:color="auto"/>
              <w:right w:val="single" w:sz="4" w:space="0" w:color="auto"/>
            </w:tcBorders>
            <w:shd w:val="clear" w:color="auto" w:fill="auto"/>
            <w:noWrap/>
            <w:vAlign w:val="center"/>
          </w:tcPr>
          <w:p w14:paraId="429DEA02"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w:t>
            </w:r>
          </w:p>
        </w:tc>
        <w:tc>
          <w:tcPr>
            <w:tcW w:w="1609" w:type="dxa"/>
            <w:tcBorders>
              <w:top w:val="nil"/>
              <w:left w:val="nil"/>
              <w:bottom w:val="double" w:sz="6" w:space="0" w:color="auto"/>
              <w:right w:val="nil"/>
            </w:tcBorders>
            <w:shd w:val="clear" w:color="auto" w:fill="auto"/>
            <w:noWrap/>
            <w:vAlign w:val="center"/>
          </w:tcPr>
          <w:p w14:paraId="3F273800"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31.0</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5E9C39B4" w14:textId="77777777" w:rsidR="00BE3ADC" w:rsidRPr="008D1A83" w:rsidRDefault="00BE3ADC"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0C8DD835" w14:textId="05539C27" w:rsidR="007A37FE" w:rsidRPr="008D1A83" w:rsidRDefault="007A37FE" w:rsidP="008D1A83">
      <w:pPr>
        <w:pStyle w:val="Caption"/>
      </w:pPr>
      <w:r w:rsidRPr="008D1A83">
        <w:t>Table </w:t>
      </w:r>
      <w:r w:rsidR="00B642C6" w:rsidRPr="008D1A83">
        <w:t>A1</w:t>
      </w:r>
      <w:r w:rsidR="0071699C" w:rsidRPr="008D1A83">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8</w:t>
      </w:r>
      <w:r w:rsidR="00FB454C">
        <w:rPr>
          <w:noProof/>
        </w:rPr>
        <w:fldChar w:fldCharType="end"/>
      </w:r>
      <w:r w:rsidRPr="008D1A83">
        <w:t>: Bulk emission factors (g/kg fuel) (for CO2 kg/kg fuel) for Estonia, year 2005.</w:t>
      </w:r>
    </w:p>
    <w:tbl>
      <w:tblPr>
        <w:tblW w:w="7968" w:type="dxa"/>
        <w:tblInd w:w="108" w:type="dxa"/>
        <w:tblLook w:val="0000" w:firstRow="0" w:lastRow="0" w:firstColumn="0" w:lastColumn="0" w:noHBand="0" w:noVBand="0"/>
      </w:tblPr>
      <w:tblGrid>
        <w:gridCol w:w="1248"/>
        <w:gridCol w:w="733"/>
        <w:gridCol w:w="733"/>
        <w:gridCol w:w="1254"/>
        <w:gridCol w:w="706"/>
        <w:gridCol w:w="574"/>
        <w:gridCol w:w="1526"/>
        <w:gridCol w:w="1194"/>
      </w:tblGrid>
      <w:tr w:rsidR="008B66F9" w:rsidRPr="000855B2" w14:paraId="51A36E39"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38AC1217"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3C3ED5F8"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Estonia</w:t>
            </w:r>
          </w:p>
        </w:tc>
      </w:tr>
      <w:tr w:rsidR="008B66F9" w:rsidRPr="000855B2" w14:paraId="2DD09054"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5C86677" w14:textId="77777777" w:rsidR="008B66F9" w:rsidRPr="008D1A83" w:rsidRDefault="008B66F9" w:rsidP="0062782E">
            <w:pPr>
              <w:spacing w:line="240" w:lineRule="auto"/>
              <w:jc w:val="center"/>
              <w:rPr>
                <w:b/>
                <w:bCs/>
                <w:color w:val="000000"/>
                <w:sz w:val="16"/>
                <w:szCs w:val="16"/>
                <w:lang w:val="en-GB" w:eastAsia="el-GR" w:bidi="hi-IN"/>
              </w:rPr>
            </w:pPr>
          </w:p>
        </w:tc>
        <w:tc>
          <w:tcPr>
            <w:tcW w:w="733" w:type="dxa"/>
            <w:tcBorders>
              <w:top w:val="nil"/>
              <w:left w:val="nil"/>
              <w:bottom w:val="single" w:sz="12" w:space="0" w:color="auto"/>
              <w:right w:val="single" w:sz="4" w:space="0" w:color="auto"/>
            </w:tcBorders>
            <w:shd w:val="clear" w:color="auto" w:fill="auto"/>
            <w:noWrap/>
            <w:vAlign w:val="center"/>
          </w:tcPr>
          <w:p w14:paraId="740F89F7"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p>
        </w:tc>
        <w:tc>
          <w:tcPr>
            <w:tcW w:w="733" w:type="dxa"/>
            <w:tcBorders>
              <w:top w:val="nil"/>
              <w:left w:val="nil"/>
              <w:bottom w:val="single" w:sz="12" w:space="0" w:color="auto"/>
              <w:right w:val="single" w:sz="4" w:space="0" w:color="auto"/>
            </w:tcBorders>
            <w:shd w:val="clear" w:color="auto" w:fill="auto"/>
            <w:noWrap/>
            <w:vAlign w:val="center"/>
          </w:tcPr>
          <w:p w14:paraId="132CC56A"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NOx</w:t>
            </w:r>
          </w:p>
        </w:tc>
        <w:tc>
          <w:tcPr>
            <w:tcW w:w="1254" w:type="dxa"/>
            <w:tcBorders>
              <w:top w:val="nil"/>
              <w:left w:val="nil"/>
              <w:bottom w:val="single" w:sz="12" w:space="0" w:color="auto"/>
              <w:right w:val="single" w:sz="4" w:space="0" w:color="auto"/>
            </w:tcBorders>
            <w:shd w:val="clear" w:color="auto" w:fill="auto"/>
            <w:noWrap/>
            <w:vAlign w:val="center"/>
          </w:tcPr>
          <w:p w14:paraId="379E3093"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NMVOC</w:t>
            </w:r>
          </w:p>
        </w:tc>
        <w:tc>
          <w:tcPr>
            <w:tcW w:w="706" w:type="dxa"/>
            <w:tcBorders>
              <w:top w:val="nil"/>
              <w:left w:val="nil"/>
              <w:bottom w:val="single" w:sz="12" w:space="0" w:color="auto"/>
              <w:right w:val="single" w:sz="4" w:space="0" w:color="auto"/>
            </w:tcBorders>
            <w:shd w:val="clear" w:color="auto" w:fill="auto"/>
            <w:noWrap/>
            <w:vAlign w:val="center"/>
          </w:tcPr>
          <w:p w14:paraId="4ABA52AA"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CH</w:t>
            </w:r>
            <w:r w:rsidRPr="008D1A83">
              <w:rPr>
                <w:b/>
                <w:bCs/>
                <w:color w:val="000000"/>
                <w:sz w:val="16"/>
                <w:szCs w:val="16"/>
                <w:vertAlign w:val="subscript"/>
                <w:lang w:val="en-GB" w:eastAsia="el-GR" w:bidi="hi-IN"/>
              </w:rPr>
              <w:t>10</w:t>
            </w:r>
          </w:p>
        </w:tc>
        <w:tc>
          <w:tcPr>
            <w:tcW w:w="574" w:type="dxa"/>
            <w:tcBorders>
              <w:top w:val="nil"/>
              <w:left w:val="nil"/>
              <w:bottom w:val="single" w:sz="12" w:space="0" w:color="auto"/>
              <w:right w:val="single" w:sz="4" w:space="0" w:color="auto"/>
            </w:tcBorders>
            <w:shd w:val="clear" w:color="auto" w:fill="auto"/>
            <w:noWrap/>
            <w:vAlign w:val="center"/>
          </w:tcPr>
          <w:p w14:paraId="690226BC"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PM</w:t>
            </w:r>
          </w:p>
        </w:tc>
        <w:tc>
          <w:tcPr>
            <w:tcW w:w="1526" w:type="dxa"/>
            <w:tcBorders>
              <w:top w:val="nil"/>
              <w:left w:val="nil"/>
              <w:bottom w:val="single" w:sz="12" w:space="0" w:color="auto"/>
              <w:right w:val="nil"/>
            </w:tcBorders>
            <w:shd w:val="clear" w:color="auto" w:fill="auto"/>
            <w:vAlign w:val="center"/>
          </w:tcPr>
          <w:p w14:paraId="1294F87B"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t xml:space="preserve"> from lubricants</w:t>
            </w:r>
            <w:r w:rsidRPr="008D1A83">
              <w:rPr>
                <w:b/>
                <w:bCs/>
                <w:color w:val="000000"/>
                <w:sz w:val="16"/>
                <w:szCs w:val="16"/>
                <w:lang w:val="en-GB" w:eastAsia="el-GR" w:bidi="hi-IN"/>
              </w:rPr>
              <w:br/>
              <w:t>g/kg fuel</w:t>
            </w:r>
          </w:p>
        </w:tc>
        <w:tc>
          <w:tcPr>
            <w:tcW w:w="1194" w:type="dxa"/>
            <w:tcBorders>
              <w:top w:val="nil"/>
              <w:left w:val="single" w:sz="4" w:space="0" w:color="auto"/>
              <w:bottom w:val="single" w:sz="12" w:space="0" w:color="auto"/>
              <w:right w:val="double" w:sz="6" w:space="0" w:color="auto"/>
            </w:tcBorders>
            <w:shd w:val="clear" w:color="auto" w:fill="auto"/>
            <w:vAlign w:val="center"/>
          </w:tcPr>
          <w:p w14:paraId="780D35A9" w14:textId="77777777" w:rsidR="008B66F9" w:rsidRPr="008D1A83" w:rsidRDefault="008B66F9" w:rsidP="0062782E">
            <w:pPr>
              <w:spacing w:line="240" w:lineRule="auto"/>
              <w:jc w:val="center"/>
              <w:rPr>
                <w:b/>
                <w:bCs/>
                <w:color w:val="000000"/>
                <w:sz w:val="16"/>
                <w:szCs w:val="16"/>
                <w:lang w:val="en-GB" w:eastAsia="el-GR" w:bidi="hi-IN"/>
              </w:rPr>
            </w:pPr>
            <w:r w:rsidRPr="008D1A83">
              <w:rPr>
                <w:b/>
                <w:bCs/>
                <w:color w:val="000000"/>
                <w:sz w:val="16"/>
                <w:szCs w:val="16"/>
                <w:lang w:val="en-GB" w:eastAsia="el-GR" w:bidi="hi-IN"/>
              </w:rPr>
              <w:t>CO</w:t>
            </w:r>
            <w:r w:rsidRPr="008D1A83">
              <w:rPr>
                <w:b/>
                <w:bCs/>
                <w:color w:val="000000"/>
                <w:sz w:val="16"/>
                <w:szCs w:val="16"/>
                <w:vertAlign w:val="subscript"/>
                <w:lang w:val="en-GB" w:eastAsia="el-GR" w:bidi="hi-IN"/>
              </w:rPr>
              <w:t>2</w:t>
            </w:r>
            <w:r w:rsidRPr="008D1A83">
              <w:rPr>
                <w:b/>
                <w:bCs/>
                <w:color w:val="000000"/>
                <w:sz w:val="16"/>
                <w:szCs w:val="16"/>
                <w:lang w:val="en-GB" w:eastAsia="el-GR" w:bidi="hi-IN"/>
              </w:rPr>
              <w:br/>
              <w:t>kg/kg fuel</w:t>
            </w:r>
          </w:p>
        </w:tc>
      </w:tr>
      <w:tr w:rsidR="008B66F9" w:rsidRPr="000855B2" w14:paraId="004DFFE2"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53DAAC7" w14:textId="77777777" w:rsidR="008B66F9"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8D1A83">
              <w:rPr>
                <w:color w:val="000000"/>
                <w:sz w:val="16"/>
                <w:szCs w:val="16"/>
                <w:lang w:val="en-GB" w:eastAsia="el-GR" w:bidi="hi-IN"/>
              </w:rPr>
              <w:t xml:space="preserve"> PC</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19CD59F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132.9</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7601A2CF"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20.07</w:t>
            </w:r>
          </w:p>
        </w:tc>
        <w:tc>
          <w:tcPr>
            <w:tcW w:w="1254" w:type="dxa"/>
            <w:tcBorders>
              <w:top w:val="single" w:sz="12" w:space="0" w:color="auto"/>
              <w:left w:val="nil"/>
              <w:bottom w:val="single" w:sz="4" w:space="0" w:color="auto"/>
              <w:right w:val="single" w:sz="4" w:space="0" w:color="auto"/>
            </w:tcBorders>
            <w:shd w:val="clear" w:color="auto" w:fill="auto"/>
            <w:noWrap/>
            <w:vAlign w:val="center"/>
          </w:tcPr>
          <w:p w14:paraId="37CFDAF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16.05</w:t>
            </w:r>
          </w:p>
        </w:tc>
        <w:tc>
          <w:tcPr>
            <w:tcW w:w="706" w:type="dxa"/>
            <w:tcBorders>
              <w:top w:val="single" w:sz="12" w:space="0" w:color="auto"/>
              <w:left w:val="nil"/>
              <w:bottom w:val="single" w:sz="4" w:space="0" w:color="auto"/>
              <w:right w:val="single" w:sz="4" w:space="0" w:color="auto"/>
            </w:tcBorders>
            <w:shd w:val="clear" w:color="auto" w:fill="auto"/>
            <w:noWrap/>
            <w:vAlign w:val="center"/>
          </w:tcPr>
          <w:p w14:paraId="3C10ABB8"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1.38</w:t>
            </w:r>
          </w:p>
        </w:tc>
        <w:tc>
          <w:tcPr>
            <w:tcW w:w="574" w:type="dxa"/>
            <w:tcBorders>
              <w:top w:val="single" w:sz="12" w:space="0" w:color="auto"/>
              <w:left w:val="nil"/>
              <w:bottom w:val="single" w:sz="4" w:space="0" w:color="auto"/>
              <w:right w:val="single" w:sz="4" w:space="0" w:color="auto"/>
            </w:tcBorders>
            <w:shd w:val="clear" w:color="auto" w:fill="auto"/>
            <w:noWrap/>
            <w:vAlign w:val="center"/>
          </w:tcPr>
          <w:p w14:paraId="66989832"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0.03</w:t>
            </w:r>
          </w:p>
        </w:tc>
        <w:tc>
          <w:tcPr>
            <w:tcW w:w="1526" w:type="dxa"/>
            <w:tcBorders>
              <w:top w:val="single" w:sz="12" w:space="0" w:color="auto"/>
              <w:left w:val="nil"/>
              <w:bottom w:val="single" w:sz="4" w:space="0" w:color="auto"/>
              <w:right w:val="nil"/>
            </w:tcBorders>
            <w:shd w:val="clear" w:color="auto" w:fill="auto"/>
            <w:noWrap/>
            <w:vAlign w:val="center"/>
          </w:tcPr>
          <w:p w14:paraId="071394A7"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9.44</w:t>
            </w:r>
          </w:p>
        </w:tc>
        <w:tc>
          <w:tcPr>
            <w:tcW w:w="1194"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153A800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8B66F9" w:rsidRPr="000855B2" w14:paraId="1A8DAD1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B5E4031"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Diesel PC</w:t>
            </w:r>
          </w:p>
        </w:tc>
        <w:tc>
          <w:tcPr>
            <w:tcW w:w="733" w:type="dxa"/>
            <w:tcBorders>
              <w:top w:val="nil"/>
              <w:left w:val="nil"/>
              <w:bottom w:val="single" w:sz="4" w:space="0" w:color="auto"/>
              <w:right w:val="single" w:sz="4" w:space="0" w:color="auto"/>
            </w:tcBorders>
            <w:shd w:val="clear" w:color="auto" w:fill="auto"/>
            <w:noWrap/>
            <w:vAlign w:val="center"/>
          </w:tcPr>
          <w:p w14:paraId="79D16F6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5.51</w:t>
            </w:r>
          </w:p>
        </w:tc>
        <w:tc>
          <w:tcPr>
            <w:tcW w:w="733" w:type="dxa"/>
            <w:tcBorders>
              <w:top w:val="nil"/>
              <w:left w:val="nil"/>
              <w:bottom w:val="single" w:sz="4" w:space="0" w:color="auto"/>
              <w:right w:val="single" w:sz="4" w:space="0" w:color="auto"/>
            </w:tcBorders>
            <w:shd w:val="clear" w:color="auto" w:fill="auto"/>
            <w:noWrap/>
            <w:vAlign w:val="center"/>
          </w:tcPr>
          <w:p w14:paraId="72AB4483"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12.5</w:t>
            </w:r>
          </w:p>
        </w:tc>
        <w:tc>
          <w:tcPr>
            <w:tcW w:w="1254" w:type="dxa"/>
            <w:tcBorders>
              <w:top w:val="nil"/>
              <w:left w:val="nil"/>
              <w:bottom w:val="single" w:sz="4" w:space="0" w:color="auto"/>
              <w:right w:val="single" w:sz="4" w:space="0" w:color="auto"/>
            </w:tcBorders>
            <w:shd w:val="clear" w:color="auto" w:fill="auto"/>
            <w:noWrap/>
            <w:vAlign w:val="center"/>
          </w:tcPr>
          <w:p w14:paraId="2F705917"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1.32</w:t>
            </w:r>
          </w:p>
        </w:tc>
        <w:tc>
          <w:tcPr>
            <w:tcW w:w="706" w:type="dxa"/>
            <w:tcBorders>
              <w:top w:val="nil"/>
              <w:left w:val="nil"/>
              <w:bottom w:val="single" w:sz="4" w:space="0" w:color="auto"/>
              <w:right w:val="single" w:sz="4" w:space="0" w:color="auto"/>
            </w:tcBorders>
            <w:shd w:val="clear" w:color="auto" w:fill="auto"/>
            <w:noWrap/>
            <w:vAlign w:val="center"/>
          </w:tcPr>
          <w:p w14:paraId="041698C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0.22</w:t>
            </w:r>
          </w:p>
        </w:tc>
        <w:tc>
          <w:tcPr>
            <w:tcW w:w="574" w:type="dxa"/>
            <w:tcBorders>
              <w:top w:val="nil"/>
              <w:left w:val="nil"/>
              <w:bottom w:val="single" w:sz="4" w:space="0" w:color="auto"/>
              <w:right w:val="single" w:sz="4" w:space="0" w:color="auto"/>
            </w:tcBorders>
            <w:shd w:val="clear" w:color="auto" w:fill="auto"/>
            <w:noWrap/>
            <w:vAlign w:val="center"/>
          </w:tcPr>
          <w:p w14:paraId="71F0DB5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2.07</w:t>
            </w:r>
          </w:p>
        </w:tc>
        <w:tc>
          <w:tcPr>
            <w:tcW w:w="1526" w:type="dxa"/>
            <w:tcBorders>
              <w:top w:val="nil"/>
              <w:left w:val="nil"/>
              <w:bottom w:val="single" w:sz="4" w:space="0" w:color="auto"/>
              <w:right w:val="nil"/>
            </w:tcBorders>
            <w:shd w:val="clear" w:color="auto" w:fill="auto"/>
            <w:noWrap/>
            <w:vAlign w:val="center"/>
          </w:tcPr>
          <w:p w14:paraId="401AB36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10.05</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5B605AF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353B8DC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8350CAA" w14:textId="77777777" w:rsidR="008B66F9" w:rsidRPr="008D1A83"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8D1A83">
              <w:rPr>
                <w:color w:val="000000"/>
                <w:sz w:val="16"/>
                <w:szCs w:val="16"/>
                <w:lang w:val="en-GB" w:eastAsia="el-GR" w:bidi="hi-IN"/>
              </w:rPr>
              <w:t xml:space="preserve"> </w:t>
            </w:r>
            <w:r w:rsidR="00757EE1" w:rsidRPr="008D1A83">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3633A508"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164</w:t>
            </w:r>
          </w:p>
        </w:tc>
        <w:tc>
          <w:tcPr>
            <w:tcW w:w="733" w:type="dxa"/>
            <w:tcBorders>
              <w:top w:val="nil"/>
              <w:left w:val="nil"/>
              <w:bottom w:val="single" w:sz="4" w:space="0" w:color="auto"/>
              <w:right w:val="single" w:sz="4" w:space="0" w:color="auto"/>
            </w:tcBorders>
            <w:shd w:val="clear" w:color="auto" w:fill="auto"/>
            <w:noWrap/>
            <w:vAlign w:val="center"/>
          </w:tcPr>
          <w:p w14:paraId="764F047C"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18.8</w:t>
            </w:r>
          </w:p>
        </w:tc>
        <w:tc>
          <w:tcPr>
            <w:tcW w:w="1254" w:type="dxa"/>
            <w:tcBorders>
              <w:top w:val="nil"/>
              <w:left w:val="nil"/>
              <w:bottom w:val="single" w:sz="4" w:space="0" w:color="auto"/>
              <w:right w:val="single" w:sz="4" w:space="0" w:color="auto"/>
            </w:tcBorders>
            <w:shd w:val="clear" w:color="auto" w:fill="auto"/>
            <w:noWrap/>
            <w:vAlign w:val="center"/>
          </w:tcPr>
          <w:p w14:paraId="506C0E6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11.7</w:t>
            </w:r>
          </w:p>
        </w:tc>
        <w:tc>
          <w:tcPr>
            <w:tcW w:w="706" w:type="dxa"/>
            <w:tcBorders>
              <w:top w:val="nil"/>
              <w:left w:val="nil"/>
              <w:bottom w:val="single" w:sz="4" w:space="0" w:color="auto"/>
              <w:right w:val="single" w:sz="4" w:space="0" w:color="auto"/>
            </w:tcBorders>
            <w:shd w:val="clear" w:color="auto" w:fill="auto"/>
            <w:noWrap/>
            <w:vAlign w:val="center"/>
          </w:tcPr>
          <w:p w14:paraId="5C7204FF"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1.09</w:t>
            </w:r>
          </w:p>
        </w:tc>
        <w:tc>
          <w:tcPr>
            <w:tcW w:w="574" w:type="dxa"/>
            <w:tcBorders>
              <w:top w:val="nil"/>
              <w:left w:val="nil"/>
              <w:bottom w:val="single" w:sz="4" w:space="0" w:color="auto"/>
              <w:right w:val="single" w:sz="4" w:space="0" w:color="auto"/>
            </w:tcBorders>
            <w:shd w:val="clear" w:color="auto" w:fill="auto"/>
            <w:noWrap/>
            <w:vAlign w:val="center"/>
          </w:tcPr>
          <w:p w14:paraId="1D369A9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0.02</w:t>
            </w:r>
          </w:p>
        </w:tc>
        <w:tc>
          <w:tcPr>
            <w:tcW w:w="1526" w:type="dxa"/>
            <w:tcBorders>
              <w:top w:val="nil"/>
              <w:left w:val="nil"/>
              <w:bottom w:val="single" w:sz="4" w:space="0" w:color="auto"/>
              <w:right w:val="nil"/>
            </w:tcBorders>
            <w:shd w:val="clear" w:color="auto" w:fill="auto"/>
            <w:noWrap/>
            <w:vAlign w:val="center"/>
          </w:tcPr>
          <w:p w14:paraId="52D507D7"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6.99</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519AA868"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r w:rsidR="008B66F9" w:rsidRPr="000855B2" w14:paraId="3367920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8BBBA27"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 xml:space="preserve">Diesel </w:t>
            </w:r>
            <w:r w:rsidR="00757EE1" w:rsidRPr="008D1A83">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64E14B59"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8.90</w:t>
            </w:r>
          </w:p>
        </w:tc>
        <w:tc>
          <w:tcPr>
            <w:tcW w:w="733" w:type="dxa"/>
            <w:tcBorders>
              <w:top w:val="nil"/>
              <w:left w:val="nil"/>
              <w:bottom w:val="single" w:sz="4" w:space="0" w:color="auto"/>
              <w:right w:val="single" w:sz="4" w:space="0" w:color="auto"/>
            </w:tcBorders>
            <w:shd w:val="clear" w:color="auto" w:fill="auto"/>
            <w:noWrap/>
            <w:vAlign w:val="center"/>
          </w:tcPr>
          <w:p w14:paraId="321485BA"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15.0</w:t>
            </w:r>
          </w:p>
        </w:tc>
        <w:tc>
          <w:tcPr>
            <w:tcW w:w="1254" w:type="dxa"/>
            <w:tcBorders>
              <w:top w:val="nil"/>
              <w:left w:val="nil"/>
              <w:bottom w:val="single" w:sz="4" w:space="0" w:color="auto"/>
              <w:right w:val="single" w:sz="4" w:space="0" w:color="auto"/>
            </w:tcBorders>
            <w:shd w:val="clear" w:color="auto" w:fill="auto"/>
            <w:noWrap/>
            <w:vAlign w:val="center"/>
          </w:tcPr>
          <w:p w14:paraId="585AF5BA"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1.75</w:t>
            </w:r>
          </w:p>
        </w:tc>
        <w:tc>
          <w:tcPr>
            <w:tcW w:w="706" w:type="dxa"/>
            <w:tcBorders>
              <w:top w:val="nil"/>
              <w:left w:val="nil"/>
              <w:bottom w:val="single" w:sz="4" w:space="0" w:color="auto"/>
              <w:right w:val="single" w:sz="4" w:space="0" w:color="auto"/>
            </w:tcBorders>
            <w:shd w:val="clear" w:color="auto" w:fill="auto"/>
            <w:noWrap/>
            <w:vAlign w:val="center"/>
          </w:tcPr>
          <w:p w14:paraId="3491D383"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0.14</w:t>
            </w:r>
          </w:p>
        </w:tc>
        <w:tc>
          <w:tcPr>
            <w:tcW w:w="574" w:type="dxa"/>
            <w:tcBorders>
              <w:top w:val="nil"/>
              <w:left w:val="nil"/>
              <w:bottom w:val="single" w:sz="4" w:space="0" w:color="auto"/>
              <w:right w:val="single" w:sz="4" w:space="0" w:color="auto"/>
            </w:tcBorders>
            <w:shd w:val="clear" w:color="auto" w:fill="auto"/>
            <w:noWrap/>
            <w:vAlign w:val="center"/>
          </w:tcPr>
          <w:p w14:paraId="596C147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2.27</w:t>
            </w:r>
          </w:p>
        </w:tc>
        <w:tc>
          <w:tcPr>
            <w:tcW w:w="1526" w:type="dxa"/>
            <w:tcBorders>
              <w:top w:val="nil"/>
              <w:left w:val="nil"/>
              <w:bottom w:val="single" w:sz="4" w:space="0" w:color="auto"/>
              <w:right w:val="nil"/>
            </w:tcBorders>
            <w:shd w:val="clear" w:color="auto" w:fill="auto"/>
            <w:noWrap/>
            <w:vAlign w:val="center"/>
          </w:tcPr>
          <w:p w14:paraId="225AFFB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6.98</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180FDB9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2DA82D5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75A31DF"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Diesel HDV</w:t>
            </w:r>
          </w:p>
        </w:tc>
        <w:tc>
          <w:tcPr>
            <w:tcW w:w="733" w:type="dxa"/>
            <w:tcBorders>
              <w:top w:val="nil"/>
              <w:left w:val="nil"/>
              <w:bottom w:val="single" w:sz="4" w:space="0" w:color="auto"/>
              <w:right w:val="single" w:sz="4" w:space="0" w:color="auto"/>
            </w:tcBorders>
            <w:shd w:val="clear" w:color="auto" w:fill="auto"/>
            <w:noWrap/>
            <w:vAlign w:val="center"/>
          </w:tcPr>
          <w:p w14:paraId="4A38003E"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7.69</w:t>
            </w:r>
          </w:p>
        </w:tc>
        <w:tc>
          <w:tcPr>
            <w:tcW w:w="733" w:type="dxa"/>
            <w:tcBorders>
              <w:top w:val="nil"/>
              <w:left w:val="nil"/>
              <w:bottom w:val="single" w:sz="4" w:space="0" w:color="auto"/>
              <w:right w:val="single" w:sz="4" w:space="0" w:color="auto"/>
            </w:tcBorders>
            <w:shd w:val="clear" w:color="auto" w:fill="auto"/>
            <w:noWrap/>
            <w:vAlign w:val="center"/>
          </w:tcPr>
          <w:p w14:paraId="616E2842"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36.9</w:t>
            </w:r>
          </w:p>
        </w:tc>
        <w:tc>
          <w:tcPr>
            <w:tcW w:w="1254" w:type="dxa"/>
            <w:tcBorders>
              <w:top w:val="nil"/>
              <w:left w:val="nil"/>
              <w:bottom w:val="single" w:sz="4" w:space="0" w:color="auto"/>
              <w:right w:val="single" w:sz="4" w:space="0" w:color="auto"/>
            </w:tcBorders>
            <w:shd w:val="clear" w:color="auto" w:fill="auto"/>
            <w:noWrap/>
            <w:vAlign w:val="center"/>
          </w:tcPr>
          <w:p w14:paraId="5A0B4EB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2.16</w:t>
            </w:r>
          </w:p>
        </w:tc>
        <w:tc>
          <w:tcPr>
            <w:tcW w:w="706" w:type="dxa"/>
            <w:tcBorders>
              <w:top w:val="nil"/>
              <w:left w:val="nil"/>
              <w:bottom w:val="single" w:sz="4" w:space="0" w:color="auto"/>
              <w:right w:val="single" w:sz="4" w:space="0" w:color="auto"/>
            </w:tcBorders>
            <w:shd w:val="clear" w:color="auto" w:fill="auto"/>
            <w:noWrap/>
            <w:vAlign w:val="center"/>
          </w:tcPr>
          <w:p w14:paraId="7ED8453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0.29</w:t>
            </w:r>
          </w:p>
        </w:tc>
        <w:tc>
          <w:tcPr>
            <w:tcW w:w="574" w:type="dxa"/>
            <w:tcBorders>
              <w:top w:val="nil"/>
              <w:left w:val="nil"/>
              <w:bottom w:val="single" w:sz="4" w:space="0" w:color="auto"/>
              <w:right w:val="single" w:sz="4" w:space="0" w:color="auto"/>
            </w:tcBorders>
            <w:shd w:val="clear" w:color="auto" w:fill="auto"/>
            <w:noWrap/>
            <w:vAlign w:val="center"/>
          </w:tcPr>
          <w:p w14:paraId="49E3E3F6"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1.10</w:t>
            </w:r>
          </w:p>
        </w:tc>
        <w:tc>
          <w:tcPr>
            <w:tcW w:w="1526" w:type="dxa"/>
            <w:tcBorders>
              <w:top w:val="nil"/>
              <w:left w:val="nil"/>
              <w:bottom w:val="single" w:sz="4" w:space="0" w:color="auto"/>
              <w:right w:val="nil"/>
            </w:tcBorders>
            <w:shd w:val="clear" w:color="auto" w:fill="auto"/>
            <w:noWrap/>
            <w:vAlign w:val="center"/>
          </w:tcPr>
          <w:p w14:paraId="46AD28D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2.63</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7C03823C"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45F20A4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7E0FC1D"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Buses</w:t>
            </w:r>
          </w:p>
        </w:tc>
        <w:tc>
          <w:tcPr>
            <w:tcW w:w="733" w:type="dxa"/>
            <w:tcBorders>
              <w:top w:val="nil"/>
              <w:left w:val="nil"/>
              <w:bottom w:val="single" w:sz="4" w:space="0" w:color="auto"/>
              <w:right w:val="single" w:sz="4" w:space="0" w:color="auto"/>
            </w:tcBorders>
            <w:shd w:val="clear" w:color="auto" w:fill="auto"/>
            <w:noWrap/>
            <w:vAlign w:val="center"/>
          </w:tcPr>
          <w:p w14:paraId="7D34A844"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9.16</w:t>
            </w:r>
          </w:p>
        </w:tc>
        <w:tc>
          <w:tcPr>
            <w:tcW w:w="733" w:type="dxa"/>
            <w:tcBorders>
              <w:top w:val="nil"/>
              <w:left w:val="nil"/>
              <w:bottom w:val="single" w:sz="4" w:space="0" w:color="auto"/>
              <w:right w:val="single" w:sz="4" w:space="0" w:color="auto"/>
            </w:tcBorders>
            <w:shd w:val="clear" w:color="auto" w:fill="auto"/>
            <w:noWrap/>
            <w:vAlign w:val="center"/>
          </w:tcPr>
          <w:p w14:paraId="682840B2"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38.2</w:t>
            </w:r>
          </w:p>
        </w:tc>
        <w:tc>
          <w:tcPr>
            <w:tcW w:w="1254" w:type="dxa"/>
            <w:tcBorders>
              <w:top w:val="nil"/>
              <w:left w:val="nil"/>
              <w:bottom w:val="single" w:sz="4" w:space="0" w:color="auto"/>
              <w:right w:val="single" w:sz="4" w:space="0" w:color="auto"/>
            </w:tcBorders>
            <w:shd w:val="clear" w:color="auto" w:fill="auto"/>
            <w:noWrap/>
            <w:vAlign w:val="center"/>
          </w:tcPr>
          <w:p w14:paraId="6B46E093"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2.64</w:t>
            </w:r>
          </w:p>
        </w:tc>
        <w:tc>
          <w:tcPr>
            <w:tcW w:w="706" w:type="dxa"/>
            <w:tcBorders>
              <w:top w:val="nil"/>
              <w:left w:val="nil"/>
              <w:bottom w:val="single" w:sz="4" w:space="0" w:color="auto"/>
              <w:right w:val="single" w:sz="4" w:space="0" w:color="auto"/>
            </w:tcBorders>
            <w:shd w:val="clear" w:color="auto" w:fill="auto"/>
            <w:noWrap/>
            <w:vAlign w:val="center"/>
          </w:tcPr>
          <w:p w14:paraId="19226788"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0.39</w:t>
            </w:r>
          </w:p>
        </w:tc>
        <w:tc>
          <w:tcPr>
            <w:tcW w:w="574" w:type="dxa"/>
            <w:tcBorders>
              <w:top w:val="nil"/>
              <w:left w:val="nil"/>
              <w:bottom w:val="single" w:sz="4" w:space="0" w:color="auto"/>
              <w:right w:val="single" w:sz="4" w:space="0" w:color="auto"/>
            </w:tcBorders>
            <w:shd w:val="clear" w:color="auto" w:fill="auto"/>
            <w:noWrap/>
            <w:vAlign w:val="center"/>
          </w:tcPr>
          <w:p w14:paraId="57EA9742"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1.46</w:t>
            </w:r>
          </w:p>
        </w:tc>
        <w:tc>
          <w:tcPr>
            <w:tcW w:w="1526" w:type="dxa"/>
            <w:tcBorders>
              <w:top w:val="nil"/>
              <w:left w:val="nil"/>
              <w:bottom w:val="single" w:sz="4" w:space="0" w:color="auto"/>
              <w:right w:val="nil"/>
            </w:tcBorders>
            <w:shd w:val="clear" w:color="auto" w:fill="auto"/>
            <w:noWrap/>
            <w:vAlign w:val="center"/>
          </w:tcPr>
          <w:p w14:paraId="5DB9AA6C"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3.22</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36CBDD35"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3.17</w:t>
            </w:r>
          </w:p>
        </w:tc>
      </w:tr>
      <w:tr w:rsidR="008B66F9" w:rsidRPr="000855B2" w14:paraId="595F63C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1811F54"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Mopeds</w:t>
            </w:r>
          </w:p>
        </w:tc>
        <w:tc>
          <w:tcPr>
            <w:tcW w:w="733" w:type="dxa"/>
            <w:tcBorders>
              <w:top w:val="nil"/>
              <w:left w:val="nil"/>
              <w:bottom w:val="single" w:sz="4" w:space="0" w:color="auto"/>
              <w:right w:val="single" w:sz="4" w:space="0" w:color="auto"/>
            </w:tcBorders>
            <w:shd w:val="clear" w:color="auto" w:fill="auto"/>
            <w:noWrap/>
            <w:vAlign w:val="center"/>
          </w:tcPr>
          <w:p w14:paraId="019BDC0B" w14:textId="77777777" w:rsidR="008B66F9" w:rsidRPr="008D1A83" w:rsidRDefault="008B66F9" w:rsidP="0062782E">
            <w:pPr>
              <w:spacing w:line="240" w:lineRule="auto"/>
              <w:jc w:val="center"/>
              <w:rPr>
                <w:color w:val="000000"/>
                <w:sz w:val="16"/>
                <w:szCs w:val="16"/>
                <w:lang w:val="en-GB" w:eastAsia="el-GR" w:bidi="hi-IN"/>
              </w:rPr>
            </w:pPr>
          </w:p>
        </w:tc>
        <w:tc>
          <w:tcPr>
            <w:tcW w:w="733" w:type="dxa"/>
            <w:tcBorders>
              <w:top w:val="nil"/>
              <w:left w:val="nil"/>
              <w:bottom w:val="single" w:sz="4" w:space="0" w:color="auto"/>
              <w:right w:val="single" w:sz="4" w:space="0" w:color="auto"/>
            </w:tcBorders>
            <w:shd w:val="clear" w:color="auto" w:fill="auto"/>
            <w:noWrap/>
            <w:vAlign w:val="center"/>
          </w:tcPr>
          <w:p w14:paraId="535555A8" w14:textId="77777777" w:rsidR="008B66F9" w:rsidRPr="008D1A83" w:rsidRDefault="008B66F9" w:rsidP="0062782E">
            <w:pPr>
              <w:spacing w:line="240" w:lineRule="auto"/>
              <w:jc w:val="center"/>
              <w:rPr>
                <w:color w:val="000000"/>
                <w:sz w:val="16"/>
                <w:szCs w:val="16"/>
                <w:lang w:val="en-GB" w:eastAsia="el-GR" w:bidi="hi-IN"/>
              </w:rPr>
            </w:pPr>
          </w:p>
        </w:tc>
        <w:tc>
          <w:tcPr>
            <w:tcW w:w="1254" w:type="dxa"/>
            <w:tcBorders>
              <w:top w:val="nil"/>
              <w:left w:val="nil"/>
              <w:bottom w:val="single" w:sz="4" w:space="0" w:color="auto"/>
              <w:right w:val="single" w:sz="4" w:space="0" w:color="auto"/>
            </w:tcBorders>
            <w:shd w:val="clear" w:color="auto" w:fill="auto"/>
            <w:noWrap/>
            <w:vAlign w:val="center"/>
          </w:tcPr>
          <w:p w14:paraId="0BC3E8B3" w14:textId="77777777" w:rsidR="008B66F9" w:rsidRPr="008D1A83" w:rsidRDefault="008B66F9" w:rsidP="0062782E">
            <w:pPr>
              <w:spacing w:line="240" w:lineRule="auto"/>
              <w:jc w:val="center"/>
              <w:rPr>
                <w:color w:val="000000"/>
                <w:sz w:val="16"/>
                <w:szCs w:val="16"/>
                <w:lang w:val="en-GB" w:eastAsia="el-GR" w:bidi="hi-IN"/>
              </w:rPr>
            </w:pPr>
          </w:p>
        </w:tc>
        <w:tc>
          <w:tcPr>
            <w:tcW w:w="706" w:type="dxa"/>
            <w:tcBorders>
              <w:top w:val="nil"/>
              <w:left w:val="nil"/>
              <w:bottom w:val="single" w:sz="4" w:space="0" w:color="auto"/>
              <w:right w:val="single" w:sz="4" w:space="0" w:color="auto"/>
            </w:tcBorders>
            <w:shd w:val="clear" w:color="auto" w:fill="auto"/>
            <w:noWrap/>
            <w:vAlign w:val="center"/>
          </w:tcPr>
          <w:p w14:paraId="75C2D1B9" w14:textId="77777777" w:rsidR="008B66F9" w:rsidRPr="008D1A83" w:rsidRDefault="008B66F9" w:rsidP="0062782E">
            <w:pPr>
              <w:spacing w:line="240" w:lineRule="auto"/>
              <w:jc w:val="center"/>
              <w:rPr>
                <w:color w:val="000000"/>
                <w:sz w:val="16"/>
                <w:szCs w:val="16"/>
                <w:lang w:val="en-GB" w:eastAsia="el-GR" w:bidi="hi-IN"/>
              </w:rPr>
            </w:pPr>
          </w:p>
        </w:tc>
        <w:tc>
          <w:tcPr>
            <w:tcW w:w="574" w:type="dxa"/>
            <w:tcBorders>
              <w:top w:val="nil"/>
              <w:left w:val="nil"/>
              <w:bottom w:val="single" w:sz="4" w:space="0" w:color="auto"/>
              <w:right w:val="single" w:sz="4" w:space="0" w:color="auto"/>
            </w:tcBorders>
            <w:shd w:val="clear" w:color="auto" w:fill="auto"/>
            <w:noWrap/>
            <w:vAlign w:val="center"/>
          </w:tcPr>
          <w:p w14:paraId="4DF496F9" w14:textId="77777777" w:rsidR="008B66F9" w:rsidRPr="008D1A83" w:rsidRDefault="008B66F9" w:rsidP="0062782E">
            <w:pPr>
              <w:spacing w:line="240" w:lineRule="auto"/>
              <w:jc w:val="center"/>
              <w:rPr>
                <w:color w:val="000000"/>
                <w:sz w:val="16"/>
                <w:szCs w:val="16"/>
                <w:lang w:val="en-GB" w:eastAsia="el-GR" w:bidi="hi-IN"/>
              </w:rPr>
            </w:pPr>
          </w:p>
        </w:tc>
        <w:tc>
          <w:tcPr>
            <w:tcW w:w="1526" w:type="dxa"/>
            <w:tcBorders>
              <w:top w:val="nil"/>
              <w:left w:val="nil"/>
              <w:bottom w:val="single" w:sz="4" w:space="0" w:color="auto"/>
              <w:right w:val="nil"/>
            </w:tcBorders>
            <w:shd w:val="clear" w:color="auto" w:fill="auto"/>
            <w:noWrap/>
            <w:vAlign w:val="center"/>
          </w:tcPr>
          <w:p w14:paraId="3B50B688" w14:textId="77777777" w:rsidR="008B66F9" w:rsidRPr="008D1A83" w:rsidRDefault="008B66F9" w:rsidP="0062782E">
            <w:pPr>
              <w:spacing w:line="240" w:lineRule="auto"/>
              <w:jc w:val="center"/>
              <w:rPr>
                <w:color w:val="000000"/>
                <w:sz w:val="16"/>
                <w:szCs w:val="16"/>
                <w:lang w:val="en-GB" w:eastAsia="el-GR" w:bidi="hi-IN"/>
              </w:rPr>
            </w:pP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227764B6" w14:textId="77777777" w:rsidR="008B66F9" w:rsidRPr="008D1A83" w:rsidRDefault="008B66F9" w:rsidP="0062782E">
            <w:pPr>
              <w:spacing w:line="240" w:lineRule="auto"/>
              <w:jc w:val="center"/>
              <w:rPr>
                <w:color w:val="000000"/>
                <w:sz w:val="16"/>
                <w:szCs w:val="16"/>
                <w:lang w:val="en-GB" w:eastAsia="el-GR" w:bidi="hi-IN"/>
              </w:rPr>
            </w:pPr>
          </w:p>
        </w:tc>
      </w:tr>
      <w:tr w:rsidR="008B66F9" w:rsidRPr="000855B2" w14:paraId="4406BBFC"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3B836B9C" w14:textId="77777777" w:rsidR="008B66F9" w:rsidRPr="008D1A83" w:rsidRDefault="008B66F9" w:rsidP="0062782E">
            <w:pPr>
              <w:spacing w:line="240" w:lineRule="auto"/>
              <w:rPr>
                <w:color w:val="000000"/>
                <w:sz w:val="16"/>
                <w:szCs w:val="16"/>
                <w:lang w:val="en-GB" w:eastAsia="el-GR" w:bidi="hi-IN"/>
              </w:rPr>
            </w:pPr>
            <w:r w:rsidRPr="008D1A83">
              <w:rPr>
                <w:color w:val="000000"/>
                <w:sz w:val="16"/>
                <w:szCs w:val="16"/>
                <w:lang w:val="en-GB" w:eastAsia="el-GR" w:bidi="hi-IN"/>
              </w:rPr>
              <w:t>Motorcycles</w:t>
            </w:r>
          </w:p>
        </w:tc>
        <w:tc>
          <w:tcPr>
            <w:tcW w:w="733" w:type="dxa"/>
            <w:tcBorders>
              <w:top w:val="nil"/>
              <w:left w:val="nil"/>
              <w:bottom w:val="double" w:sz="6" w:space="0" w:color="auto"/>
              <w:right w:val="single" w:sz="4" w:space="0" w:color="auto"/>
            </w:tcBorders>
            <w:shd w:val="clear" w:color="auto" w:fill="auto"/>
            <w:noWrap/>
            <w:vAlign w:val="center"/>
          </w:tcPr>
          <w:p w14:paraId="3BC420D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665</w:t>
            </w:r>
          </w:p>
        </w:tc>
        <w:tc>
          <w:tcPr>
            <w:tcW w:w="733" w:type="dxa"/>
            <w:tcBorders>
              <w:top w:val="nil"/>
              <w:left w:val="nil"/>
              <w:bottom w:val="double" w:sz="6" w:space="0" w:color="auto"/>
              <w:right w:val="single" w:sz="4" w:space="0" w:color="auto"/>
            </w:tcBorders>
            <w:shd w:val="clear" w:color="auto" w:fill="auto"/>
            <w:noWrap/>
            <w:vAlign w:val="center"/>
          </w:tcPr>
          <w:p w14:paraId="6E2D3B96"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8.88</w:t>
            </w:r>
          </w:p>
        </w:tc>
        <w:tc>
          <w:tcPr>
            <w:tcW w:w="1254" w:type="dxa"/>
            <w:tcBorders>
              <w:top w:val="nil"/>
              <w:left w:val="nil"/>
              <w:bottom w:val="double" w:sz="6" w:space="0" w:color="auto"/>
              <w:right w:val="single" w:sz="4" w:space="0" w:color="auto"/>
            </w:tcBorders>
            <w:shd w:val="clear" w:color="auto" w:fill="auto"/>
            <w:noWrap/>
            <w:vAlign w:val="center"/>
          </w:tcPr>
          <w:p w14:paraId="5853D503"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30.0</w:t>
            </w:r>
          </w:p>
        </w:tc>
        <w:tc>
          <w:tcPr>
            <w:tcW w:w="706" w:type="dxa"/>
            <w:tcBorders>
              <w:top w:val="nil"/>
              <w:left w:val="nil"/>
              <w:bottom w:val="double" w:sz="6" w:space="0" w:color="auto"/>
              <w:right w:val="single" w:sz="4" w:space="0" w:color="auto"/>
            </w:tcBorders>
            <w:shd w:val="clear" w:color="auto" w:fill="auto"/>
            <w:noWrap/>
            <w:vAlign w:val="center"/>
          </w:tcPr>
          <w:p w14:paraId="231FC71B"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6.10</w:t>
            </w:r>
          </w:p>
        </w:tc>
        <w:tc>
          <w:tcPr>
            <w:tcW w:w="574" w:type="dxa"/>
            <w:tcBorders>
              <w:top w:val="nil"/>
              <w:left w:val="nil"/>
              <w:bottom w:val="double" w:sz="6" w:space="0" w:color="auto"/>
              <w:right w:val="single" w:sz="4" w:space="0" w:color="auto"/>
            </w:tcBorders>
            <w:shd w:val="clear" w:color="auto" w:fill="auto"/>
            <w:noWrap/>
            <w:vAlign w:val="center"/>
          </w:tcPr>
          <w:p w14:paraId="152629AF"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0.64</w:t>
            </w:r>
          </w:p>
        </w:tc>
        <w:tc>
          <w:tcPr>
            <w:tcW w:w="1526" w:type="dxa"/>
            <w:tcBorders>
              <w:top w:val="nil"/>
              <w:left w:val="nil"/>
              <w:bottom w:val="double" w:sz="6" w:space="0" w:color="auto"/>
              <w:right w:val="nil"/>
            </w:tcBorders>
            <w:shd w:val="clear" w:color="auto" w:fill="auto"/>
            <w:noWrap/>
            <w:vAlign w:val="center"/>
          </w:tcPr>
          <w:p w14:paraId="7419CE00"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12.5</w:t>
            </w:r>
          </w:p>
        </w:tc>
        <w:tc>
          <w:tcPr>
            <w:tcW w:w="1194" w:type="dxa"/>
            <w:tcBorders>
              <w:top w:val="nil"/>
              <w:left w:val="single" w:sz="4" w:space="0" w:color="auto"/>
              <w:bottom w:val="double" w:sz="6" w:space="0" w:color="auto"/>
              <w:right w:val="double" w:sz="6" w:space="0" w:color="auto"/>
            </w:tcBorders>
            <w:shd w:val="clear" w:color="auto" w:fill="auto"/>
            <w:noWrap/>
            <w:vAlign w:val="center"/>
          </w:tcPr>
          <w:p w14:paraId="1D00D561" w14:textId="77777777" w:rsidR="008B66F9" w:rsidRPr="008D1A83" w:rsidRDefault="008B66F9" w:rsidP="0062782E">
            <w:pPr>
              <w:spacing w:line="240" w:lineRule="auto"/>
              <w:jc w:val="center"/>
              <w:rPr>
                <w:color w:val="000000"/>
                <w:sz w:val="16"/>
                <w:szCs w:val="16"/>
                <w:lang w:val="en-GB" w:eastAsia="el-GR" w:bidi="hi-IN"/>
              </w:rPr>
            </w:pPr>
            <w:r w:rsidRPr="008D1A83">
              <w:rPr>
                <w:color w:val="000000"/>
                <w:sz w:val="16"/>
                <w:szCs w:val="16"/>
                <w:lang w:val="en-GB" w:eastAsia="el-GR" w:bidi="hi-IN"/>
              </w:rPr>
              <w:t>3.16</w:t>
            </w:r>
          </w:p>
        </w:tc>
      </w:tr>
    </w:tbl>
    <w:p w14:paraId="516692E7" w14:textId="508B1FE3" w:rsidR="001D2587" w:rsidRPr="000855B2" w:rsidRDefault="00095EA7" w:rsidP="008D1A83">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9</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Finland,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8B66F9" w:rsidRPr="000855B2" w14:paraId="0363932E"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671E9862"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1BC8DA18"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Finland</w:t>
            </w:r>
          </w:p>
        </w:tc>
      </w:tr>
      <w:tr w:rsidR="008B66F9" w:rsidRPr="000855B2" w14:paraId="54AE4834"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E11F1A1" w14:textId="77777777" w:rsidR="008B66F9" w:rsidRPr="00A86EF2" w:rsidRDefault="008B66F9"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316F5D85"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18637B5B"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3B8002D6"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8F9AF19"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12</w:t>
            </w:r>
          </w:p>
        </w:tc>
        <w:tc>
          <w:tcPr>
            <w:tcW w:w="593" w:type="dxa"/>
            <w:tcBorders>
              <w:top w:val="nil"/>
              <w:left w:val="nil"/>
              <w:bottom w:val="single" w:sz="12" w:space="0" w:color="auto"/>
              <w:right w:val="single" w:sz="4" w:space="0" w:color="auto"/>
            </w:tcBorders>
            <w:shd w:val="clear" w:color="auto" w:fill="auto"/>
            <w:noWrap/>
            <w:vAlign w:val="center"/>
          </w:tcPr>
          <w:p w14:paraId="5DBF2660"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093017FB"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1514A944" w14:textId="77777777" w:rsidR="008B66F9" w:rsidRPr="00A86EF2" w:rsidRDefault="008B66F9"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8B66F9" w:rsidRPr="000855B2" w14:paraId="5FCD6058"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D14DD11" w14:textId="77777777" w:rsidR="008B66F9"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4719769"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74CA86D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18A49F75"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13.3</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7E8616F4"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0.97</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92B8B78"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16926C1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8.50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0A4A4F35"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8B66F9" w:rsidRPr="000855B2" w14:paraId="317F0DA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4F603BB"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4CFA0F2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4.45</w:t>
            </w:r>
          </w:p>
        </w:tc>
        <w:tc>
          <w:tcPr>
            <w:tcW w:w="675" w:type="dxa"/>
            <w:tcBorders>
              <w:top w:val="nil"/>
              <w:left w:val="nil"/>
              <w:bottom w:val="single" w:sz="4" w:space="0" w:color="auto"/>
              <w:right w:val="single" w:sz="4" w:space="0" w:color="auto"/>
            </w:tcBorders>
            <w:shd w:val="clear" w:color="auto" w:fill="auto"/>
            <w:noWrap/>
            <w:vAlign w:val="center"/>
          </w:tcPr>
          <w:p w14:paraId="3023119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296" w:type="dxa"/>
            <w:tcBorders>
              <w:top w:val="nil"/>
              <w:left w:val="nil"/>
              <w:bottom w:val="single" w:sz="4" w:space="0" w:color="auto"/>
              <w:right w:val="single" w:sz="4" w:space="0" w:color="auto"/>
            </w:tcBorders>
            <w:shd w:val="clear" w:color="auto" w:fill="auto"/>
            <w:noWrap/>
            <w:vAlign w:val="center"/>
          </w:tcPr>
          <w:p w14:paraId="4C65EAC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730" w:type="dxa"/>
            <w:tcBorders>
              <w:top w:val="nil"/>
              <w:left w:val="nil"/>
              <w:bottom w:val="single" w:sz="4" w:space="0" w:color="auto"/>
              <w:right w:val="single" w:sz="4" w:space="0" w:color="auto"/>
            </w:tcBorders>
            <w:shd w:val="clear" w:color="auto" w:fill="auto"/>
            <w:noWrap/>
            <w:vAlign w:val="center"/>
          </w:tcPr>
          <w:p w14:paraId="7CED8F5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40A1DB45"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1583" w:type="dxa"/>
            <w:tcBorders>
              <w:top w:val="nil"/>
              <w:left w:val="nil"/>
              <w:bottom w:val="single" w:sz="4" w:space="0" w:color="auto"/>
              <w:right w:val="nil"/>
            </w:tcBorders>
            <w:shd w:val="clear" w:color="auto" w:fill="auto"/>
            <w:noWrap/>
            <w:vAlign w:val="center"/>
          </w:tcPr>
          <w:p w14:paraId="1C65C2E8"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8.63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6F2F3C9"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7771A01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23BC33D" w14:textId="77777777" w:rsidR="008B66F9"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8B66F9"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9BDF9D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675" w:type="dxa"/>
            <w:tcBorders>
              <w:top w:val="nil"/>
              <w:left w:val="nil"/>
              <w:bottom w:val="single" w:sz="4" w:space="0" w:color="auto"/>
              <w:right w:val="single" w:sz="4" w:space="0" w:color="auto"/>
            </w:tcBorders>
            <w:shd w:val="clear" w:color="auto" w:fill="auto"/>
            <w:noWrap/>
            <w:vAlign w:val="center"/>
          </w:tcPr>
          <w:p w14:paraId="0827731F"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9.8</w:t>
            </w:r>
          </w:p>
        </w:tc>
        <w:tc>
          <w:tcPr>
            <w:tcW w:w="1296" w:type="dxa"/>
            <w:tcBorders>
              <w:top w:val="nil"/>
              <w:left w:val="nil"/>
              <w:bottom w:val="single" w:sz="4" w:space="0" w:color="auto"/>
              <w:right w:val="single" w:sz="4" w:space="0" w:color="auto"/>
            </w:tcBorders>
            <w:shd w:val="clear" w:color="auto" w:fill="auto"/>
            <w:noWrap/>
            <w:vAlign w:val="center"/>
          </w:tcPr>
          <w:p w14:paraId="6C782C06"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10.6</w:t>
            </w:r>
          </w:p>
        </w:tc>
        <w:tc>
          <w:tcPr>
            <w:tcW w:w="730" w:type="dxa"/>
            <w:tcBorders>
              <w:top w:val="nil"/>
              <w:left w:val="nil"/>
              <w:bottom w:val="single" w:sz="4" w:space="0" w:color="auto"/>
              <w:right w:val="single" w:sz="4" w:space="0" w:color="auto"/>
            </w:tcBorders>
            <w:shd w:val="clear" w:color="auto" w:fill="auto"/>
            <w:noWrap/>
            <w:vAlign w:val="center"/>
          </w:tcPr>
          <w:p w14:paraId="593DD21F"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0.68</w:t>
            </w:r>
          </w:p>
        </w:tc>
        <w:tc>
          <w:tcPr>
            <w:tcW w:w="593" w:type="dxa"/>
            <w:tcBorders>
              <w:top w:val="nil"/>
              <w:left w:val="nil"/>
              <w:bottom w:val="single" w:sz="4" w:space="0" w:color="auto"/>
              <w:right w:val="single" w:sz="4" w:space="0" w:color="auto"/>
            </w:tcBorders>
            <w:shd w:val="clear" w:color="auto" w:fill="auto"/>
            <w:noWrap/>
            <w:vAlign w:val="center"/>
          </w:tcPr>
          <w:p w14:paraId="33B2D77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6F01A349"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5.57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CE20F4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8B66F9" w:rsidRPr="000855B2" w14:paraId="7706945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D1859A4"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0A33D20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9.18</w:t>
            </w:r>
          </w:p>
        </w:tc>
        <w:tc>
          <w:tcPr>
            <w:tcW w:w="675" w:type="dxa"/>
            <w:tcBorders>
              <w:top w:val="nil"/>
              <w:left w:val="nil"/>
              <w:bottom w:val="single" w:sz="4" w:space="0" w:color="auto"/>
              <w:right w:val="single" w:sz="4" w:space="0" w:color="auto"/>
            </w:tcBorders>
            <w:shd w:val="clear" w:color="auto" w:fill="auto"/>
            <w:noWrap/>
            <w:vAlign w:val="center"/>
          </w:tcPr>
          <w:p w14:paraId="010C39A6"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1296" w:type="dxa"/>
            <w:tcBorders>
              <w:top w:val="nil"/>
              <w:left w:val="nil"/>
              <w:bottom w:val="single" w:sz="4" w:space="0" w:color="auto"/>
              <w:right w:val="single" w:sz="4" w:space="0" w:color="auto"/>
            </w:tcBorders>
            <w:shd w:val="clear" w:color="auto" w:fill="auto"/>
            <w:noWrap/>
            <w:vAlign w:val="center"/>
          </w:tcPr>
          <w:p w14:paraId="4D0C3B25"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1.70</w:t>
            </w:r>
          </w:p>
        </w:tc>
        <w:tc>
          <w:tcPr>
            <w:tcW w:w="730" w:type="dxa"/>
            <w:tcBorders>
              <w:top w:val="nil"/>
              <w:left w:val="nil"/>
              <w:bottom w:val="single" w:sz="4" w:space="0" w:color="auto"/>
              <w:right w:val="single" w:sz="4" w:space="0" w:color="auto"/>
            </w:tcBorders>
            <w:shd w:val="clear" w:color="auto" w:fill="auto"/>
            <w:noWrap/>
            <w:vAlign w:val="center"/>
          </w:tcPr>
          <w:p w14:paraId="6945C9D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0.12</w:t>
            </w:r>
          </w:p>
        </w:tc>
        <w:tc>
          <w:tcPr>
            <w:tcW w:w="593" w:type="dxa"/>
            <w:tcBorders>
              <w:top w:val="nil"/>
              <w:left w:val="nil"/>
              <w:bottom w:val="single" w:sz="4" w:space="0" w:color="auto"/>
              <w:right w:val="single" w:sz="4" w:space="0" w:color="auto"/>
            </w:tcBorders>
            <w:shd w:val="clear" w:color="auto" w:fill="auto"/>
            <w:noWrap/>
            <w:vAlign w:val="center"/>
          </w:tcPr>
          <w:p w14:paraId="355E1D45"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2.34</w:t>
            </w:r>
          </w:p>
        </w:tc>
        <w:tc>
          <w:tcPr>
            <w:tcW w:w="1583" w:type="dxa"/>
            <w:tcBorders>
              <w:top w:val="nil"/>
              <w:left w:val="nil"/>
              <w:bottom w:val="single" w:sz="4" w:space="0" w:color="auto"/>
              <w:right w:val="nil"/>
            </w:tcBorders>
            <w:shd w:val="clear" w:color="auto" w:fill="auto"/>
            <w:noWrap/>
            <w:vAlign w:val="center"/>
          </w:tcPr>
          <w:p w14:paraId="7695AED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6.66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7605E17"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4561198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2767EDD"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6EDBE6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8.81</w:t>
            </w:r>
          </w:p>
        </w:tc>
        <w:tc>
          <w:tcPr>
            <w:tcW w:w="675" w:type="dxa"/>
            <w:tcBorders>
              <w:top w:val="nil"/>
              <w:left w:val="nil"/>
              <w:bottom w:val="single" w:sz="4" w:space="0" w:color="auto"/>
              <w:right w:val="single" w:sz="4" w:space="0" w:color="auto"/>
            </w:tcBorders>
            <w:shd w:val="clear" w:color="auto" w:fill="auto"/>
            <w:noWrap/>
            <w:vAlign w:val="center"/>
          </w:tcPr>
          <w:p w14:paraId="09AF22C8"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35.1</w:t>
            </w:r>
          </w:p>
        </w:tc>
        <w:tc>
          <w:tcPr>
            <w:tcW w:w="1296" w:type="dxa"/>
            <w:tcBorders>
              <w:top w:val="nil"/>
              <w:left w:val="nil"/>
              <w:bottom w:val="single" w:sz="4" w:space="0" w:color="auto"/>
              <w:right w:val="single" w:sz="4" w:space="0" w:color="auto"/>
            </w:tcBorders>
            <w:shd w:val="clear" w:color="auto" w:fill="auto"/>
            <w:noWrap/>
            <w:vAlign w:val="center"/>
          </w:tcPr>
          <w:p w14:paraId="1ED61B9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2.33</w:t>
            </w:r>
          </w:p>
        </w:tc>
        <w:tc>
          <w:tcPr>
            <w:tcW w:w="730" w:type="dxa"/>
            <w:tcBorders>
              <w:top w:val="nil"/>
              <w:left w:val="nil"/>
              <w:bottom w:val="single" w:sz="4" w:space="0" w:color="auto"/>
              <w:right w:val="single" w:sz="4" w:space="0" w:color="auto"/>
            </w:tcBorders>
            <w:shd w:val="clear" w:color="auto" w:fill="auto"/>
            <w:noWrap/>
            <w:vAlign w:val="center"/>
          </w:tcPr>
          <w:p w14:paraId="16EC330A"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0.18</w:t>
            </w:r>
          </w:p>
        </w:tc>
        <w:tc>
          <w:tcPr>
            <w:tcW w:w="593" w:type="dxa"/>
            <w:tcBorders>
              <w:top w:val="nil"/>
              <w:left w:val="nil"/>
              <w:bottom w:val="single" w:sz="4" w:space="0" w:color="auto"/>
              <w:right w:val="single" w:sz="4" w:space="0" w:color="auto"/>
            </w:tcBorders>
            <w:shd w:val="clear" w:color="auto" w:fill="auto"/>
            <w:noWrap/>
            <w:vAlign w:val="center"/>
          </w:tcPr>
          <w:p w14:paraId="7E6EC44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583" w:type="dxa"/>
            <w:tcBorders>
              <w:top w:val="nil"/>
              <w:left w:val="nil"/>
              <w:bottom w:val="single" w:sz="4" w:space="0" w:color="auto"/>
              <w:right w:val="nil"/>
            </w:tcBorders>
            <w:shd w:val="clear" w:color="auto" w:fill="auto"/>
            <w:noWrap/>
            <w:vAlign w:val="center"/>
          </w:tcPr>
          <w:p w14:paraId="7A6D844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1.67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6779A2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33B7627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91DA165"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40C5668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8.98</w:t>
            </w:r>
          </w:p>
        </w:tc>
        <w:tc>
          <w:tcPr>
            <w:tcW w:w="675" w:type="dxa"/>
            <w:tcBorders>
              <w:top w:val="nil"/>
              <w:left w:val="nil"/>
              <w:bottom w:val="single" w:sz="4" w:space="0" w:color="auto"/>
              <w:right w:val="single" w:sz="4" w:space="0" w:color="auto"/>
            </w:tcBorders>
            <w:shd w:val="clear" w:color="auto" w:fill="auto"/>
            <w:noWrap/>
            <w:vAlign w:val="center"/>
          </w:tcPr>
          <w:p w14:paraId="6FFA08E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34.7</w:t>
            </w:r>
          </w:p>
        </w:tc>
        <w:tc>
          <w:tcPr>
            <w:tcW w:w="1296" w:type="dxa"/>
            <w:tcBorders>
              <w:top w:val="nil"/>
              <w:left w:val="nil"/>
              <w:bottom w:val="single" w:sz="4" w:space="0" w:color="auto"/>
              <w:right w:val="single" w:sz="4" w:space="0" w:color="auto"/>
            </w:tcBorders>
            <w:shd w:val="clear" w:color="auto" w:fill="auto"/>
            <w:noWrap/>
            <w:vAlign w:val="center"/>
          </w:tcPr>
          <w:p w14:paraId="6635506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2.54</w:t>
            </w:r>
          </w:p>
        </w:tc>
        <w:tc>
          <w:tcPr>
            <w:tcW w:w="730" w:type="dxa"/>
            <w:tcBorders>
              <w:top w:val="nil"/>
              <w:left w:val="nil"/>
              <w:bottom w:val="single" w:sz="4" w:space="0" w:color="auto"/>
              <w:right w:val="single" w:sz="4" w:space="0" w:color="auto"/>
            </w:tcBorders>
            <w:shd w:val="clear" w:color="auto" w:fill="auto"/>
            <w:noWrap/>
            <w:vAlign w:val="center"/>
          </w:tcPr>
          <w:p w14:paraId="265B47D5"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0.34</w:t>
            </w:r>
          </w:p>
        </w:tc>
        <w:tc>
          <w:tcPr>
            <w:tcW w:w="593" w:type="dxa"/>
            <w:tcBorders>
              <w:top w:val="nil"/>
              <w:left w:val="nil"/>
              <w:bottom w:val="single" w:sz="4" w:space="0" w:color="auto"/>
              <w:right w:val="single" w:sz="4" w:space="0" w:color="auto"/>
            </w:tcBorders>
            <w:shd w:val="clear" w:color="auto" w:fill="auto"/>
            <w:noWrap/>
            <w:vAlign w:val="center"/>
          </w:tcPr>
          <w:p w14:paraId="16DF6EE1"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1583" w:type="dxa"/>
            <w:tcBorders>
              <w:top w:val="nil"/>
              <w:left w:val="nil"/>
              <w:bottom w:val="single" w:sz="4" w:space="0" w:color="auto"/>
              <w:right w:val="nil"/>
            </w:tcBorders>
            <w:shd w:val="clear" w:color="auto" w:fill="auto"/>
            <w:noWrap/>
            <w:vAlign w:val="center"/>
          </w:tcPr>
          <w:p w14:paraId="14AD5F9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3.72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A380F7F"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8B66F9" w:rsidRPr="000855B2" w14:paraId="0BE1086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D493537"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1C8B4B7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606</w:t>
            </w:r>
          </w:p>
        </w:tc>
        <w:tc>
          <w:tcPr>
            <w:tcW w:w="675" w:type="dxa"/>
            <w:tcBorders>
              <w:top w:val="nil"/>
              <w:left w:val="nil"/>
              <w:bottom w:val="single" w:sz="4" w:space="0" w:color="auto"/>
              <w:right w:val="single" w:sz="4" w:space="0" w:color="auto"/>
            </w:tcBorders>
            <w:shd w:val="clear" w:color="auto" w:fill="auto"/>
            <w:noWrap/>
            <w:vAlign w:val="center"/>
          </w:tcPr>
          <w:p w14:paraId="26DB98F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3.03</w:t>
            </w:r>
          </w:p>
        </w:tc>
        <w:tc>
          <w:tcPr>
            <w:tcW w:w="1296" w:type="dxa"/>
            <w:tcBorders>
              <w:top w:val="nil"/>
              <w:left w:val="nil"/>
              <w:bottom w:val="single" w:sz="4" w:space="0" w:color="auto"/>
              <w:right w:val="single" w:sz="4" w:space="0" w:color="auto"/>
            </w:tcBorders>
            <w:shd w:val="clear" w:color="auto" w:fill="auto"/>
            <w:noWrap/>
            <w:vAlign w:val="center"/>
          </w:tcPr>
          <w:p w14:paraId="5188B338"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257</w:t>
            </w:r>
          </w:p>
        </w:tc>
        <w:tc>
          <w:tcPr>
            <w:tcW w:w="730" w:type="dxa"/>
            <w:tcBorders>
              <w:top w:val="nil"/>
              <w:left w:val="nil"/>
              <w:bottom w:val="single" w:sz="4" w:space="0" w:color="auto"/>
              <w:right w:val="single" w:sz="4" w:space="0" w:color="auto"/>
            </w:tcBorders>
            <w:shd w:val="clear" w:color="auto" w:fill="auto"/>
            <w:noWrap/>
            <w:vAlign w:val="center"/>
          </w:tcPr>
          <w:p w14:paraId="0450439D"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4.36</w:t>
            </w:r>
          </w:p>
        </w:tc>
        <w:tc>
          <w:tcPr>
            <w:tcW w:w="593" w:type="dxa"/>
            <w:tcBorders>
              <w:top w:val="nil"/>
              <w:left w:val="nil"/>
              <w:bottom w:val="single" w:sz="4" w:space="0" w:color="auto"/>
              <w:right w:val="single" w:sz="4" w:space="0" w:color="auto"/>
            </w:tcBorders>
            <w:shd w:val="clear" w:color="auto" w:fill="auto"/>
            <w:noWrap/>
            <w:vAlign w:val="center"/>
          </w:tcPr>
          <w:p w14:paraId="163E9077"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4.88</w:t>
            </w:r>
          </w:p>
        </w:tc>
        <w:tc>
          <w:tcPr>
            <w:tcW w:w="1583" w:type="dxa"/>
            <w:tcBorders>
              <w:top w:val="nil"/>
              <w:left w:val="nil"/>
              <w:bottom w:val="single" w:sz="4" w:space="0" w:color="auto"/>
              <w:right w:val="nil"/>
            </w:tcBorders>
            <w:shd w:val="clear" w:color="auto" w:fill="auto"/>
            <w:noWrap/>
            <w:vAlign w:val="center"/>
          </w:tcPr>
          <w:p w14:paraId="7938E212"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645B94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8B66F9" w:rsidRPr="000855B2" w14:paraId="7DC2DD03"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30BE85A" w14:textId="77777777" w:rsidR="008B66F9" w:rsidRPr="00A86EF2" w:rsidRDefault="008B66F9"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0ADDA07C"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675" w:type="dxa"/>
            <w:tcBorders>
              <w:top w:val="nil"/>
              <w:left w:val="nil"/>
              <w:bottom w:val="double" w:sz="6" w:space="0" w:color="auto"/>
              <w:right w:val="single" w:sz="4" w:space="0" w:color="auto"/>
            </w:tcBorders>
            <w:shd w:val="clear" w:color="auto" w:fill="auto"/>
            <w:noWrap/>
            <w:vAlign w:val="center"/>
          </w:tcPr>
          <w:p w14:paraId="73627C1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7.82</w:t>
            </w:r>
          </w:p>
        </w:tc>
        <w:tc>
          <w:tcPr>
            <w:tcW w:w="1296" w:type="dxa"/>
            <w:tcBorders>
              <w:top w:val="nil"/>
              <w:left w:val="nil"/>
              <w:bottom w:val="double" w:sz="6" w:space="0" w:color="auto"/>
              <w:right w:val="single" w:sz="4" w:space="0" w:color="auto"/>
            </w:tcBorders>
            <w:shd w:val="clear" w:color="auto" w:fill="auto"/>
            <w:noWrap/>
            <w:vAlign w:val="center"/>
          </w:tcPr>
          <w:p w14:paraId="243EEC99"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75.3</w:t>
            </w:r>
          </w:p>
        </w:tc>
        <w:tc>
          <w:tcPr>
            <w:tcW w:w="730" w:type="dxa"/>
            <w:tcBorders>
              <w:top w:val="nil"/>
              <w:left w:val="nil"/>
              <w:bottom w:val="double" w:sz="6" w:space="0" w:color="auto"/>
              <w:right w:val="single" w:sz="4" w:space="0" w:color="auto"/>
            </w:tcBorders>
            <w:shd w:val="clear" w:color="auto" w:fill="auto"/>
            <w:noWrap/>
            <w:vAlign w:val="center"/>
          </w:tcPr>
          <w:p w14:paraId="1D0781A0"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4.74</w:t>
            </w:r>
          </w:p>
        </w:tc>
        <w:tc>
          <w:tcPr>
            <w:tcW w:w="593" w:type="dxa"/>
            <w:tcBorders>
              <w:top w:val="nil"/>
              <w:left w:val="nil"/>
              <w:bottom w:val="double" w:sz="6" w:space="0" w:color="auto"/>
              <w:right w:val="single" w:sz="4" w:space="0" w:color="auto"/>
            </w:tcBorders>
            <w:shd w:val="clear" w:color="auto" w:fill="auto"/>
            <w:noWrap/>
            <w:vAlign w:val="center"/>
          </w:tcPr>
          <w:p w14:paraId="44049B03"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583" w:type="dxa"/>
            <w:tcBorders>
              <w:top w:val="nil"/>
              <w:left w:val="nil"/>
              <w:bottom w:val="double" w:sz="6" w:space="0" w:color="auto"/>
              <w:right w:val="nil"/>
            </w:tcBorders>
            <w:shd w:val="clear" w:color="auto" w:fill="auto"/>
            <w:noWrap/>
            <w:vAlign w:val="center"/>
          </w:tcPr>
          <w:p w14:paraId="7FBB8B4B"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33.8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58DBA7D8" w14:textId="77777777" w:rsidR="008B66F9" w:rsidRPr="00A86EF2" w:rsidRDefault="008B66F9"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7A5AA3C" w14:textId="101C893E"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10</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France, year 2005.</w:t>
      </w:r>
    </w:p>
    <w:tbl>
      <w:tblPr>
        <w:tblW w:w="7968" w:type="dxa"/>
        <w:tblInd w:w="108" w:type="dxa"/>
        <w:tblLook w:val="0000" w:firstRow="0" w:lastRow="0" w:firstColumn="0" w:lastColumn="0" w:noHBand="0" w:noVBand="0"/>
      </w:tblPr>
      <w:tblGrid>
        <w:gridCol w:w="1248"/>
        <w:gridCol w:w="587"/>
        <w:gridCol w:w="749"/>
        <w:gridCol w:w="1281"/>
        <w:gridCol w:w="722"/>
        <w:gridCol w:w="587"/>
        <w:gridCol w:w="1563"/>
        <w:gridCol w:w="1231"/>
      </w:tblGrid>
      <w:tr w:rsidR="00E92FB8" w:rsidRPr="000855B2" w14:paraId="5F0AD3FA"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69809A3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05A9D2DB"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France</w:t>
            </w:r>
          </w:p>
        </w:tc>
      </w:tr>
      <w:tr w:rsidR="00E92FB8" w:rsidRPr="000855B2" w14:paraId="7B3DDDEF"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3D731568" w14:textId="77777777" w:rsidR="00E92FB8" w:rsidRPr="00A86EF2" w:rsidRDefault="00E92FB8" w:rsidP="0062782E">
            <w:pPr>
              <w:spacing w:line="240" w:lineRule="auto"/>
              <w:jc w:val="center"/>
              <w:rPr>
                <w:b/>
                <w:bCs/>
                <w:color w:val="000000"/>
                <w:sz w:val="16"/>
                <w:szCs w:val="16"/>
                <w:lang w:val="en-GB" w:eastAsia="el-GR" w:bidi="hi-IN"/>
              </w:rPr>
            </w:pPr>
          </w:p>
        </w:tc>
        <w:tc>
          <w:tcPr>
            <w:tcW w:w="587" w:type="dxa"/>
            <w:tcBorders>
              <w:top w:val="nil"/>
              <w:left w:val="nil"/>
              <w:bottom w:val="single" w:sz="12" w:space="0" w:color="auto"/>
              <w:right w:val="single" w:sz="4" w:space="0" w:color="auto"/>
            </w:tcBorders>
            <w:shd w:val="clear" w:color="auto" w:fill="auto"/>
            <w:noWrap/>
            <w:vAlign w:val="center"/>
          </w:tcPr>
          <w:p w14:paraId="03090CBA"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49" w:type="dxa"/>
            <w:tcBorders>
              <w:top w:val="nil"/>
              <w:left w:val="nil"/>
              <w:bottom w:val="single" w:sz="12" w:space="0" w:color="auto"/>
              <w:right w:val="single" w:sz="4" w:space="0" w:color="auto"/>
            </w:tcBorders>
            <w:shd w:val="clear" w:color="auto" w:fill="auto"/>
            <w:noWrap/>
            <w:vAlign w:val="center"/>
          </w:tcPr>
          <w:p w14:paraId="0D39FC2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81" w:type="dxa"/>
            <w:tcBorders>
              <w:top w:val="nil"/>
              <w:left w:val="nil"/>
              <w:bottom w:val="single" w:sz="12" w:space="0" w:color="auto"/>
              <w:right w:val="single" w:sz="4" w:space="0" w:color="auto"/>
            </w:tcBorders>
            <w:shd w:val="clear" w:color="auto" w:fill="auto"/>
            <w:noWrap/>
            <w:vAlign w:val="center"/>
          </w:tcPr>
          <w:p w14:paraId="048B7A6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22" w:type="dxa"/>
            <w:tcBorders>
              <w:top w:val="nil"/>
              <w:left w:val="nil"/>
              <w:bottom w:val="single" w:sz="12" w:space="0" w:color="auto"/>
              <w:right w:val="single" w:sz="4" w:space="0" w:color="auto"/>
            </w:tcBorders>
            <w:shd w:val="clear" w:color="auto" w:fill="auto"/>
            <w:noWrap/>
            <w:vAlign w:val="center"/>
          </w:tcPr>
          <w:p w14:paraId="75E3932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13</w:t>
            </w:r>
          </w:p>
        </w:tc>
        <w:tc>
          <w:tcPr>
            <w:tcW w:w="587" w:type="dxa"/>
            <w:tcBorders>
              <w:top w:val="nil"/>
              <w:left w:val="nil"/>
              <w:bottom w:val="single" w:sz="12" w:space="0" w:color="auto"/>
              <w:right w:val="single" w:sz="4" w:space="0" w:color="auto"/>
            </w:tcBorders>
            <w:shd w:val="clear" w:color="auto" w:fill="auto"/>
            <w:noWrap/>
            <w:vAlign w:val="center"/>
          </w:tcPr>
          <w:p w14:paraId="369136A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63" w:type="dxa"/>
            <w:tcBorders>
              <w:top w:val="nil"/>
              <w:left w:val="nil"/>
              <w:bottom w:val="single" w:sz="12" w:space="0" w:color="auto"/>
              <w:right w:val="nil"/>
            </w:tcBorders>
            <w:shd w:val="clear" w:color="auto" w:fill="auto"/>
            <w:vAlign w:val="center"/>
          </w:tcPr>
          <w:p w14:paraId="7BE9B45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31" w:type="dxa"/>
            <w:tcBorders>
              <w:top w:val="nil"/>
              <w:left w:val="single" w:sz="4" w:space="0" w:color="auto"/>
              <w:bottom w:val="single" w:sz="12" w:space="0" w:color="auto"/>
              <w:right w:val="double" w:sz="6" w:space="0" w:color="auto"/>
            </w:tcBorders>
            <w:shd w:val="clear" w:color="auto" w:fill="auto"/>
            <w:vAlign w:val="center"/>
          </w:tcPr>
          <w:p w14:paraId="4FB8AFD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494079FF"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F780114"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09CE1B6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85.5</w:t>
            </w:r>
          </w:p>
        </w:tc>
        <w:tc>
          <w:tcPr>
            <w:tcW w:w="749" w:type="dxa"/>
            <w:tcBorders>
              <w:top w:val="single" w:sz="12" w:space="0" w:color="auto"/>
              <w:left w:val="nil"/>
              <w:bottom w:val="single" w:sz="4" w:space="0" w:color="auto"/>
              <w:right w:val="single" w:sz="4" w:space="0" w:color="auto"/>
            </w:tcBorders>
            <w:shd w:val="clear" w:color="auto" w:fill="auto"/>
            <w:noWrap/>
            <w:vAlign w:val="center"/>
          </w:tcPr>
          <w:p w14:paraId="42FF298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10.43</w:t>
            </w:r>
          </w:p>
        </w:tc>
        <w:tc>
          <w:tcPr>
            <w:tcW w:w="1281" w:type="dxa"/>
            <w:tcBorders>
              <w:top w:val="single" w:sz="12" w:space="0" w:color="auto"/>
              <w:left w:val="nil"/>
              <w:bottom w:val="single" w:sz="4" w:space="0" w:color="auto"/>
              <w:right w:val="single" w:sz="4" w:space="0" w:color="auto"/>
            </w:tcBorders>
            <w:shd w:val="clear" w:color="auto" w:fill="auto"/>
            <w:noWrap/>
            <w:vAlign w:val="center"/>
          </w:tcPr>
          <w:p w14:paraId="51E8B5F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11.11</w:t>
            </w:r>
          </w:p>
        </w:tc>
        <w:tc>
          <w:tcPr>
            <w:tcW w:w="722" w:type="dxa"/>
            <w:tcBorders>
              <w:top w:val="single" w:sz="12" w:space="0" w:color="auto"/>
              <w:left w:val="nil"/>
              <w:bottom w:val="single" w:sz="4" w:space="0" w:color="auto"/>
              <w:right w:val="single" w:sz="4" w:space="0" w:color="auto"/>
            </w:tcBorders>
            <w:shd w:val="clear" w:color="auto" w:fill="auto"/>
            <w:noWrap/>
            <w:vAlign w:val="center"/>
          </w:tcPr>
          <w:p w14:paraId="679AD9F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0.93</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3AA7D86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63" w:type="dxa"/>
            <w:tcBorders>
              <w:top w:val="single" w:sz="12" w:space="0" w:color="auto"/>
              <w:left w:val="nil"/>
              <w:bottom w:val="single" w:sz="4" w:space="0" w:color="auto"/>
              <w:right w:val="nil"/>
            </w:tcBorders>
            <w:shd w:val="clear" w:color="auto" w:fill="auto"/>
            <w:noWrap/>
            <w:vAlign w:val="center"/>
          </w:tcPr>
          <w:p w14:paraId="5424D54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9.71</w:t>
            </w:r>
          </w:p>
        </w:tc>
        <w:tc>
          <w:tcPr>
            <w:tcW w:w="123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41809E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3D0946B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9950361"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87" w:type="dxa"/>
            <w:tcBorders>
              <w:top w:val="nil"/>
              <w:left w:val="nil"/>
              <w:bottom w:val="single" w:sz="4" w:space="0" w:color="auto"/>
              <w:right w:val="single" w:sz="4" w:space="0" w:color="auto"/>
            </w:tcBorders>
            <w:shd w:val="clear" w:color="auto" w:fill="auto"/>
            <w:noWrap/>
            <w:vAlign w:val="center"/>
          </w:tcPr>
          <w:p w14:paraId="74AF6E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3.68</w:t>
            </w:r>
          </w:p>
        </w:tc>
        <w:tc>
          <w:tcPr>
            <w:tcW w:w="749" w:type="dxa"/>
            <w:tcBorders>
              <w:top w:val="nil"/>
              <w:left w:val="nil"/>
              <w:bottom w:val="single" w:sz="4" w:space="0" w:color="auto"/>
              <w:right w:val="single" w:sz="4" w:space="0" w:color="auto"/>
            </w:tcBorders>
            <w:shd w:val="clear" w:color="auto" w:fill="auto"/>
            <w:noWrap/>
            <w:vAlign w:val="center"/>
          </w:tcPr>
          <w:p w14:paraId="093356B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1281" w:type="dxa"/>
            <w:tcBorders>
              <w:top w:val="nil"/>
              <w:left w:val="nil"/>
              <w:bottom w:val="single" w:sz="4" w:space="0" w:color="auto"/>
              <w:right w:val="single" w:sz="4" w:space="0" w:color="auto"/>
            </w:tcBorders>
            <w:shd w:val="clear" w:color="auto" w:fill="auto"/>
            <w:noWrap/>
            <w:vAlign w:val="center"/>
          </w:tcPr>
          <w:p w14:paraId="1192E16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722" w:type="dxa"/>
            <w:tcBorders>
              <w:top w:val="nil"/>
              <w:left w:val="nil"/>
              <w:bottom w:val="single" w:sz="4" w:space="0" w:color="auto"/>
              <w:right w:val="single" w:sz="4" w:space="0" w:color="auto"/>
            </w:tcBorders>
            <w:shd w:val="clear" w:color="auto" w:fill="auto"/>
            <w:noWrap/>
            <w:vAlign w:val="center"/>
          </w:tcPr>
          <w:p w14:paraId="4ADD2ED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0.10</w:t>
            </w:r>
          </w:p>
        </w:tc>
        <w:tc>
          <w:tcPr>
            <w:tcW w:w="587" w:type="dxa"/>
            <w:tcBorders>
              <w:top w:val="nil"/>
              <w:left w:val="nil"/>
              <w:bottom w:val="single" w:sz="4" w:space="0" w:color="auto"/>
              <w:right w:val="single" w:sz="4" w:space="0" w:color="auto"/>
            </w:tcBorders>
            <w:shd w:val="clear" w:color="auto" w:fill="auto"/>
            <w:noWrap/>
            <w:vAlign w:val="center"/>
          </w:tcPr>
          <w:p w14:paraId="225AB77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1.15</w:t>
            </w:r>
          </w:p>
        </w:tc>
        <w:tc>
          <w:tcPr>
            <w:tcW w:w="1563" w:type="dxa"/>
            <w:tcBorders>
              <w:top w:val="nil"/>
              <w:left w:val="nil"/>
              <w:bottom w:val="single" w:sz="4" w:space="0" w:color="auto"/>
              <w:right w:val="nil"/>
            </w:tcBorders>
            <w:shd w:val="clear" w:color="auto" w:fill="auto"/>
            <w:noWrap/>
            <w:vAlign w:val="center"/>
          </w:tcPr>
          <w:p w14:paraId="0D3CFD0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8.94</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77C433E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502B17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7EAD417"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87" w:type="dxa"/>
            <w:tcBorders>
              <w:top w:val="nil"/>
              <w:left w:val="nil"/>
              <w:bottom w:val="single" w:sz="4" w:space="0" w:color="auto"/>
              <w:right w:val="single" w:sz="4" w:space="0" w:color="auto"/>
            </w:tcBorders>
            <w:shd w:val="clear" w:color="auto" w:fill="auto"/>
            <w:noWrap/>
            <w:vAlign w:val="center"/>
          </w:tcPr>
          <w:p w14:paraId="76D748A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749" w:type="dxa"/>
            <w:tcBorders>
              <w:top w:val="nil"/>
              <w:left w:val="nil"/>
              <w:bottom w:val="single" w:sz="4" w:space="0" w:color="auto"/>
              <w:right w:val="single" w:sz="4" w:space="0" w:color="auto"/>
            </w:tcBorders>
            <w:shd w:val="clear" w:color="auto" w:fill="auto"/>
            <w:noWrap/>
            <w:vAlign w:val="center"/>
          </w:tcPr>
          <w:p w14:paraId="3C0A0CE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281" w:type="dxa"/>
            <w:tcBorders>
              <w:top w:val="nil"/>
              <w:left w:val="nil"/>
              <w:bottom w:val="single" w:sz="4" w:space="0" w:color="auto"/>
              <w:right w:val="single" w:sz="4" w:space="0" w:color="auto"/>
            </w:tcBorders>
            <w:shd w:val="clear" w:color="auto" w:fill="auto"/>
            <w:noWrap/>
            <w:vAlign w:val="center"/>
          </w:tcPr>
          <w:p w14:paraId="689DA73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12.7</w:t>
            </w:r>
          </w:p>
        </w:tc>
        <w:tc>
          <w:tcPr>
            <w:tcW w:w="722" w:type="dxa"/>
            <w:tcBorders>
              <w:top w:val="nil"/>
              <w:left w:val="nil"/>
              <w:bottom w:val="single" w:sz="4" w:space="0" w:color="auto"/>
              <w:right w:val="single" w:sz="4" w:space="0" w:color="auto"/>
            </w:tcBorders>
            <w:shd w:val="clear" w:color="auto" w:fill="auto"/>
            <w:noWrap/>
            <w:vAlign w:val="center"/>
          </w:tcPr>
          <w:p w14:paraId="032617F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0.77</w:t>
            </w:r>
          </w:p>
        </w:tc>
        <w:tc>
          <w:tcPr>
            <w:tcW w:w="587" w:type="dxa"/>
            <w:tcBorders>
              <w:top w:val="nil"/>
              <w:left w:val="nil"/>
              <w:bottom w:val="single" w:sz="4" w:space="0" w:color="auto"/>
              <w:right w:val="single" w:sz="4" w:space="0" w:color="auto"/>
            </w:tcBorders>
            <w:shd w:val="clear" w:color="auto" w:fill="auto"/>
            <w:noWrap/>
            <w:vAlign w:val="center"/>
          </w:tcPr>
          <w:p w14:paraId="6772572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63" w:type="dxa"/>
            <w:tcBorders>
              <w:top w:val="nil"/>
              <w:left w:val="nil"/>
              <w:bottom w:val="single" w:sz="4" w:space="0" w:color="auto"/>
              <w:right w:val="nil"/>
            </w:tcBorders>
            <w:shd w:val="clear" w:color="auto" w:fill="auto"/>
            <w:noWrap/>
            <w:vAlign w:val="center"/>
          </w:tcPr>
          <w:p w14:paraId="2885D5F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6.27</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316D9BE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631C91C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35F76E0"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87" w:type="dxa"/>
            <w:tcBorders>
              <w:top w:val="nil"/>
              <w:left w:val="nil"/>
              <w:bottom w:val="single" w:sz="4" w:space="0" w:color="auto"/>
              <w:right w:val="single" w:sz="4" w:space="0" w:color="auto"/>
            </w:tcBorders>
            <w:shd w:val="clear" w:color="auto" w:fill="auto"/>
            <w:noWrap/>
            <w:vAlign w:val="center"/>
          </w:tcPr>
          <w:p w14:paraId="60605C3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6.96</w:t>
            </w:r>
          </w:p>
        </w:tc>
        <w:tc>
          <w:tcPr>
            <w:tcW w:w="749" w:type="dxa"/>
            <w:tcBorders>
              <w:top w:val="nil"/>
              <w:left w:val="nil"/>
              <w:bottom w:val="single" w:sz="4" w:space="0" w:color="auto"/>
              <w:right w:val="single" w:sz="4" w:space="0" w:color="auto"/>
            </w:tcBorders>
            <w:shd w:val="clear" w:color="auto" w:fill="auto"/>
            <w:noWrap/>
            <w:vAlign w:val="center"/>
          </w:tcPr>
          <w:p w14:paraId="6BBFB3C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14.5</w:t>
            </w:r>
          </w:p>
        </w:tc>
        <w:tc>
          <w:tcPr>
            <w:tcW w:w="1281" w:type="dxa"/>
            <w:tcBorders>
              <w:top w:val="nil"/>
              <w:left w:val="nil"/>
              <w:bottom w:val="single" w:sz="4" w:space="0" w:color="auto"/>
              <w:right w:val="single" w:sz="4" w:space="0" w:color="auto"/>
            </w:tcBorders>
            <w:shd w:val="clear" w:color="auto" w:fill="auto"/>
            <w:noWrap/>
            <w:vAlign w:val="center"/>
          </w:tcPr>
          <w:p w14:paraId="3461B44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722" w:type="dxa"/>
            <w:tcBorders>
              <w:top w:val="nil"/>
              <w:left w:val="nil"/>
              <w:bottom w:val="single" w:sz="4" w:space="0" w:color="auto"/>
              <w:right w:val="single" w:sz="4" w:space="0" w:color="auto"/>
            </w:tcBorders>
            <w:shd w:val="clear" w:color="auto" w:fill="auto"/>
            <w:noWrap/>
            <w:vAlign w:val="center"/>
          </w:tcPr>
          <w:p w14:paraId="234E354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87" w:type="dxa"/>
            <w:tcBorders>
              <w:top w:val="nil"/>
              <w:left w:val="nil"/>
              <w:bottom w:val="single" w:sz="4" w:space="0" w:color="auto"/>
              <w:right w:val="single" w:sz="4" w:space="0" w:color="auto"/>
            </w:tcBorders>
            <w:shd w:val="clear" w:color="auto" w:fill="auto"/>
            <w:noWrap/>
            <w:vAlign w:val="center"/>
          </w:tcPr>
          <w:p w14:paraId="0A5DC53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1563" w:type="dxa"/>
            <w:tcBorders>
              <w:top w:val="nil"/>
              <w:left w:val="nil"/>
              <w:bottom w:val="single" w:sz="4" w:space="0" w:color="auto"/>
              <w:right w:val="nil"/>
            </w:tcBorders>
            <w:shd w:val="clear" w:color="auto" w:fill="auto"/>
            <w:noWrap/>
            <w:vAlign w:val="center"/>
          </w:tcPr>
          <w:p w14:paraId="4A62ED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6.62</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502CD6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639746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A107B91"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87" w:type="dxa"/>
            <w:tcBorders>
              <w:top w:val="nil"/>
              <w:left w:val="nil"/>
              <w:bottom w:val="single" w:sz="4" w:space="0" w:color="auto"/>
              <w:right w:val="single" w:sz="4" w:space="0" w:color="auto"/>
            </w:tcBorders>
            <w:shd w:val="clear" w:color="auto" w:fill="auto"/>
            <w:noWrap/>
            <w:vAlign w:val="center"/>
          </w:tcPr>
          <w:p w14:paraId="45615D7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7.21</w:t>
            </w:r>
          </w:p>
        </w:tc>
        <w:tc>
          <w:tcPr>
            <w:tcW w:w="749" w:type="dxa"/>
            <w:tcBorders>
              <w:top w:val="nil"/>
              <w:left w:val="nil"/>
              <w:bottom w:val="single" w:sz="4" w:space="0" w:color="auto"/>
              <w:right w:val="single" w:sz="4" w:space="0" w:color="auto"/>
            </w:tcBorders>
            <w:shd w:val="clear" w:color="auto" w:fill="auto"/>
            <w:noWrap/>
            <w:vAlign w:val="center"/>
          </w:tcPr>
          <w:p w14:paraId="434A83E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32.2</w:t>
            </w:r>
          </w:p>
        </w:tc>
        <w:tc>
          <w:tcPr>
            <w:tcW w:w="1281" w:type="dxa"/>
            <w:tcBorders>
              <w:top w:val="nil"/>
              <w:left w:val="nil"/>
              <w:bottom w:val="single" w:sz="4" w:space="0" w:color="auto"/>
              <w:right w:val="single" w:sz="4" w:space="0" w:color="auto"/>
            </w:tcBorders>
            <w:shd w:val="clear" w:color="auto" w:fill="auto"/>
            <w:noWrap/>
            <w:vAlign w:val="center"/>
          </w:tcPr>
          <w:p w14:paraId="1CB221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1.66</w:t>
            </w:r>
          </w:p>
        </w:tc>
        <w:tc>
          <w:tcPr>
            <w:tcW w:w="722" w:type="dxa"/>
            <w:tcBorders>
              <w:top w:val="nil"/>
              <w:left w:val="nil"/>
              <w:bottom w:val="single" w:sz="4" w:space="0" w:color="auto"/>
              <w:right w:val="single" w:sz="4" w:space="0" w:color="auto"/>
            </w:tcBorders>
            <w:shd w:val="clear" w:color="auto" w:fill="auto"/>
            <w:noWrap/>
            <w:vAlign w:val="center"/>
          </w:tcPr>
          <w:p w14:paraId="78C313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87" w:type="dxa"/>
            <w:tcBorders>
              <w:top w:val="nil"/>
              <w:left w:val="nil"/>
              <w:bottom w:val="single" w:sz="4" w:space="0" w:color="auto"/>
              <w:right w:val="single" w:sz="4" w:space="0" w:color="auto"/>
            </w:tcBorders>
            <w:shd w:val="clear" w:color="auto" w:fill="auto"/>
            <w:noWrap/>
            <w:vAlign w:val="center"/>
          </w:tcPr>
          <w:p w14:paraId="6EC99F2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0.79</w:t>
            </w:r>
          </w:p>
        </w:tc>
        <w:tc>
          <w:tcPr>
            <w:tcW w:w="1563" w:type="dxa"/>
            <w:tcBorders>
              <w:top w:val="nil"/>
              <w:left w:val="nil"/>
              <w:bottom w:val="single" w:sz="4" w:space="0" w:color="auto"/>
              <w:right w:val="nil"/>
            </w:tcBorders>
            <w:shd w:val="clear" w:color="auto" w:fill="auto"/>
            <w:noWrap/>
            <w:vAlign w:val="center"/>
          </w:tcPr>
          <w:p w14:paraId="47EAD3E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2.15</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16D075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21C7C0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532EA94"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87" w:type="dxa"/>
            <w:tcBorders>
              <w:top w:val="nil"/>
              <w:left w:val="nil"/>
              <w:bottom w:val="single" w:sz="4" w:space="0" w:color="auto"/>
              <w:right w:val="single" w:sz="4" w:space="0" w:color="auto"/>
            </w:tcBorders>
            <w:shd w:val="clear" w:color="auto" w:fill="auto"/>
            <w:noWrap/>
            <w:vAlign w:val="center"/>
          </w:tcPr>
          <w:p w14:paraId="3D5E303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9.81</w:t>
            </w:r>
          </w:p>
        </w:tc>
        <w:tc>
          <w:tcPr>
            <w:tcW w:w="749" w:type="dxa"/>
            <w:tcBorders>
              <w:top w:val="nil"/>
              <w:left w:val="nil"/>
              <w:bottom w:val="single" w:sz="4" w:space="0" w:color="auto"/>
              <w:right w:val="single" w:sz="4" w:space="0" w:color="auto"/>
            </w:tcBorders>
            <w:shd w:val="clear" w:color="auto" w:fill="auto"/>
            <w:noWrap/>
            <w:vAlign w:val="center"/>
          </w:tcPr>
          <w:p w14:paraId="616BAE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34.3</w:t>
            </w:r>
          </w:p>
        </w:tc>
        <w:tc>
          <w:tcPr>
            <w:tcW w:w="1281" w:type="dxa"/>
            <w:tcBorders>
              <w:top w:val="nil"/>
              <w:left w:val="nil"/>
              <w:bottom w:val="single" w:sz="4" w:space="0" w:color="auto"/>
              <w:right w:val="single" w:sz="4" w:space="0" w:color="auto"/>
            </w:tcBorders>
            <w:shd w:val="clear" w:color="auto" w:fill="auto"/>
            <w:noWrap/>
            <w:vAlign w:val="center"/>
          </w:tcPr>
          <w:p w14:paraId="7B134C0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2.75</w:t>
            </w:r>
          </w:p>
        </w:tc>
        <w:tc>
          <w:tcPr>
            <w:tcW w:w="722" w:type="dxa"/>
            <w:tcBorders>
              <w:top w:val="nil"/>
              <w:left w:val="nil"/>
              <w:bottom w:val="single" w:sz="4" w:space="0" w:color="auto"/>
              <w:right w:val="single" w:sz="4" w:space="0" w:color="auto"/>
            </w:tcBorders>
            <w:shd w:val="clear" w:color="auto" w:fill="auto"/>
            <w:noWrap/>
            <w:vAlign w:val="center"/>
          </w:tcPr>
          <w:p w14:paraId="2E57AFD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0.32</w:t>
            </w:r>
          </w:p>
        </w:tc>
        <w:tc>
          <w:tcPr>
            <w:tcW w:w="587" w:type="dxa"/>
            <w:tcBorders>
              <w:top w:val="nil"/>
              <w:left w:val="nil"/>
              <w:bottom w:val="single" w:sz="4" w:space="0" w:color="auto"/>
              <w:right w:val="single" w:sz="4" w:space="0" w:color="auto"/>
            </w:tcBorders>
            <w:shd w:val="clear" w:color="auto" w:fill="auto"/>
            <w:noWrap/>
            <w:vAlign w:val="center"/>
          </w:tcPr>
          <w:p w14:paraId="750166C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1563" w:type="dxa"/>
            <w:tcBorders>
              <w:top w:val="nil"/>
              <w:left w:val="nil"/>
              <w:bottom w:val="single" w:sz="4" w:space="0" w:color="auto"/>
              <w:right w:val="nil"/>
            </w:tcBorders>
            <w:shd w:val="clear" w:color="auto" w:fill="auto"/>
            <w:noWrap/>
            <w:vAlign w:val="center"/>
          </w:tcPr>
          <w:p w14:paraId="51CFD4E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4.28</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2D2867A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316BF98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9CF1201"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87" w:type="dxa"/>
            <w:tcBorders>
              <w:top w:val="nil"/>
              <w:left w:val="nil"/>
              <w:bottom w:val="single" w:sz="4" w:space="0" w:color="auto"/>
              <w:right w:val="single" w:sz="4" w:space="0" w:color="auto"/>
            </w:tcBorders>
            <w:shd w:val="clear" w:color="auto" w:fill="auto"/>
            <w:noWrap/>
            <w:vAlign w:val="center"/>
          </w:tcPr>
          <w:p w14:paraId="37F274B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579</w:t>
            </w:r>
          </w:p>
        </w:tc>
        <w:tc>
          <w:tcPr>
            <w:tcW w:w="749" w:type="dxa"/>
            <w:tcBorders>
              <w:top w:val="nil"/>
              <w:left w:val="nil"/>
              <w:bottom w:val="single" w:sz="4" w:space="0" w:color="auto"/>
              <w:right w:val="single" w:sz="4" w:space="0" w:color="auto"/>
            </w:tcBorders>
            <w:shd w:val="clear" w:color="auto" w:fill="auto"/>
            <w:noWrap/>
            <w:vAlign w:val="center"/>
          </w:tcPr>
          <w:p w14:paraId="6B73DAA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1281" w:type="dxa"/>
            <w:tcBorders>
              <w:top w:val="nil"/>
              <w:left w:val="nil"/>
              <w:bottom w:val="single" w:sz="4" w:space="0" w:color="auto"/>
              <w:right w:val="single" w:sz="4" w:space="0" w:color="auto"/>
            </w:tcBorders>
            <w:shd w:val="clear" w:color="auto" w:fill="auto"/>
            <w:noWrap/>
            <w:vAlign w:val="center"/>
          </w:tcPr>
          <w:p w14:paraId="5699356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292</w:t>
            </w:r>
          </w:p>
        </w:tc>
        <w:tc>
          <w:tcPr>
            <w:tcW w:w="722" w:type="dxa"/>
            <w:tcBorders>
              <w:top w:val="nil"/>
              <w:left w:val="nil"/>
              <w:bottom w:val="single" w:sz="4" w:space="0" w:color="auto"/>
              <w:right w:val="single" w:sz="4" w:space="0" w:color="auto"/>
            </w:tcBorders>
            <w:shd w:val="clear" w:color="auto" w:fill="auto"/>
            <w:noWrap/>
            <w:vAlign w:val="center"/>
          </w:tcPr>
          <w:p w14:paraId="4EA1A0E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4.90</w:t>
            </w:r>
          </w:p>
        </w:tc>
        <w:tc>
          <w:tcPr>
            <w:tcW w:w="587" w:type="dxa"/>
            <w:tcBorders>
              <w:top w:val="nil"/>
              <w:left w:val="nil"/>
              <w:bottom w:val="single" w:sz="4" w:space="0" w:color="auto"/>
              <w:right w:val="single" w:sz="4" w:space="0" w:color="auto"/>
            </w:tcBorders>
            <w:shd w:val="clear" w:color="auto" w:fill="auto"/>
            <w:noWrap/>
            <w:vAlign w:val="center"/>
          </w:tcPr>
          <w:p w14:paraId="29A7AA5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5.17</w:t>
            </w:r>
          </w:p>
        </w:tc>
        <w:tc>
          <w:tcPr>
            <w:tcW w:w="1563" w:type="dxa"/>
            <w:tcBorders>
              <w:top w:val="nil"/>
              <w:left w:val="nil"/>
              <w:bottom w:val="single" w:sz="4" w:space="0" w:color="auto"/>
              <w:right w:val="nil"/>
            </w:tcBorders>
            <w:shd w:val="clear" w:color="auto" w:fill="auto"/>
            <w:noWrap/>
            <w:vAlign w:val="center"/>
          </w:tcPr>
          <w:p w14:paraId="203FC52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231" w:type="dxa"/>
            <w:tcBorders>
              <w:top w:val="nil"/>
              <w:left w:val="single" w:sz="4" w:space="0" w:color="auto"/>
              <w:bottom w:val="single" w:sz="4" w:space="0" w:color="auto"/>
              <w:right w:val="double" w:sz="6" w:space="0" w:color="auto"/>
            </w:tcBorders>
            <w:shd w:val="clear" w:color="auto" w:fill="auto"/>
            <w:noWrap/>
            <w:vAlign w:val="center"/>
          </w:tcPr>
          <w:p w14:paraId="497BE77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5540D523"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16509174"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87" w:type="dxa"/>
            <w:tcBorders>
              <w:top w:val="nil"/>
              <w:left w:val="nil"/>
              <w:bottom w:val="double" w:sz="6" w:space="0" w:color="auto"/>
              <w:right w:val="single" w:sz="4" w:space="0" w:color="auto"/>
            </w:tcBorders>
            <w:shd w:val="clear" w:color="auto" w:fill="auto"/>
            <w:noWrap/>
            <w:vAlign w:val="center"/>
          </w:tcPr>
          <w:p w14:paraId="2BE8C7B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411</w:t>
            </w:r>
          </w:p>
        </w:tc>
        <w:tc>
          <w:tcPr>
            <w:tcW w:w="749" w:type="dxa"/>
            <w:tcBorders>
              <w:top w:val="nil"/>
              <w:left w:val="nil"/>
              <w:bottom w:val="double" w:sz="6" w:space="0" w:color="auto"/>
              <w:right w:val="single" w:sz="4" w:space="0" w:color="auto"/>
            </w:tcBorders>
            <w:shd w:val="clear" w:color="auto" w:fill="auto"/>
            <w:noWrap/>
            <w:vAlign w:val="center"/>
          </w:tcPr>
          <w:p w14:paraId="1C42704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9.43</w:t>
            </w:r>
          </w:p>
        </w:tc>
        <w:tc>
          <w:tcPr>
            <w:tcW w:w="1281" w:type="dxa"/>
            <w:tcBorders>
              <w:top w:val="nil"/>
              <w:left w:val="nil"/>
              <w:bottom w:val="double" w:sz="6" w:space="0" w:color="auto"/>
              <w:right w:val="single" w:sz="4" w:space="0" w:color="auto"/>
            </w:tcBorders>
            <w:shd w:val="clear" w:color="auto" w:fill="auto"/>
            <w:noWrap/>
            <w:vAlign w:val="center"/>
          </w:tcPr>
          <w:p w14:paraId="3BDA217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85.7</w:t>
            </w:r>
          </w:p>
        </w:tc>
        <w:tc>
          <w:tcPr>
            <w:tcW w:w="722" w:type="dxa"/>
            <w:tcBorders>
              <w:top w:val="nil"/>
              <w:left w:val="nil"/>
              <w:bottom w:val="double" w:sz="6" w:space="0" w:color="auto"/>
              <w:right w:val="single" w:sz="4" w:space="0" w:color="auto"/>
            </w:tcBorders>
            <w:shd w:val="clear" w:color="auto" w:fill="auto"/>
            <w:noWrap/>
            <w:vAlign w:val="center"/>
          </w:tcPr>
          <w:p w14:paraId="3A43C67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4.62</w:t>
            </w:r>
          </w:p>
        </w:tc>
        <w:tc>
          <w:tcPr>
            <w:tcW w:w="587" w:type="dxa"/>
            <w:tcBorders>
              <w:top w:val="nil"/>
              <w:left w:val="nil"/>
              <w:bottom w:val="double" w:sz="6" w:space="0" w:color="auto"/>
              <w:right w:val="single" w:sz="4" w:space="0" w:color="auto"/>
            </w:tcBorders>
            <w:shd w:val="clear" w:color="auto" w:fill="auto"/>
            <w:noWrap/>
            <w:vAlign w:val="center"/>
          </w:tcPr>
          <w:p w14:paraId="5521F8C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563" w:type="dxa"/>
            <w:tcBorders>
              <w:top w:val="nil"/>
              <w:left w:val="nil"/>
              <w:bottom w:val="double" w:sz="6" w:space="0" w:color="auto"/>
              <w:right w:val="nil"/>
            </w:tcBorders>
            <w:shd w:val="clear" w:color="auto" w:fill="auto"/>
            <w:noWrap/>
            <w:vAlign w:val="center"/>
          </w:tcPr>
          <w:p w14:paraId="1351EEE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31.5</w:t>
            </w:r>
          </w:p>
        </w:tc>
        <w:tc>
          <w:tcPr>
            <w:tcW w:w="1231" w:type="dxa"/>
            <w:tcBorders>
              <w:top w:val="nil"/>
              <w:left w:val="single" w:sz="4" w:space="0" w:color="auto"/>
              <w:bottom w:val="double" w:sz="6" w:space="0" w:color="auto"/>
              <w:right w:val="double" w:sz="6" w:space="0" w:color="auto"/>
            </w:tcBorders>
            <w:shd w:val="clear" w:color="auto" w:fill="auto"/>
            <w:noWrap/>
            <w:vAlign w:val="center"/>
          </w:tcPr>
          <w:p w14:paraId="4947742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33D840C" w14:textId="11F8C4D8"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11</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Germany, year 2005.</w:t>
      </w:r>
    </w:p>
    <w:tbl>
      <w:tblPr>
        <w:tblW w:w="7968" w:type="dxa"/>
        <w:tblInd w:w="108" w:type="dxa"/>
        <w:tblLook w:val="0000" w:firstRow="0" w:lastRow="0" w:firstColumn="0" w:lastColumn="0" w:noHBand="0" w:noVBand="0"/>
      </w:tblPr>
      <w:tblGrid>
        <w:gridCol w:w="1248"/>
        <w:gridCol w:w="602"/>
        <w:gridCol w:w="685"/>
        <w:gridCol w:w="1315"/>
        <w:gridCol w:w="630"/>
        <w:gridCol w:w="602"/>
        <w:gridCol w:w="1609"/>
        <w:gridCol w:w="1277"/>
      </w:tblGrid>
      <w:tr w:rsidR="00E92FB8" w:rsidRPr="000855B2" w14:paraId="031D67C4"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9FF7C2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394ABC0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Germany</w:t>
            </w:r>
          </w:p>
        </w:tc>
      </w:tr>
      <w:tr w:rsidR="00E92FB8" w:rsidRPr="000855B2" w14:paraId="2C8284EB" w14:textId="77777777" w:rsidTr="0062782E">
        <w:trPr>
          <w:trHeight w:val="765"/>
        </w:trPr>
        <w:tc>
          <w:tcPr>
            <w:tcW w:w="1248" w:type="dxa"/>
            <w:vMerge/>
            <w:tcBorders>
              <w:top w:val="double" w:sz="6" w:space="0" w:color="auto"/>
              <w:left w:val="double" w:sz="6" w:space="0" w:color="auto"/>
              <w:bottom w:val="single" w:sz="8" w:space="0" w:color="000000"/>
              <w:right w:val="single" w:sz="4" w:space="0" w:color="auto"/>
            </w:tcBorders>
            <w:shd w:val="clear" w:color="auto" w:fill="auto"/>
            <w:vAlign w:val="center"/>
          </w:tcPr>
          <w:p w14:paraId="1A22754A" w14:textId="77777777" w:rsidR="00E92FB8" w:rsidRPr="00A86EF2" w:rsidRDefault="00E92FB8" w:rsidP="0062782E">
            <w:pPr>
              <w:spacing w:line="240" w:lineRule="auto"/>
              <w:jc w:val="center"/>
              <w:rPr>
                <w:b/>
                <w:bCs/>
                <w:color w:val="000000"/>
                <w:sz w:val="16"/>
                <w:szCs w:val="16"/>
                <w:lang w:val="en-GB" w:eastAsia="el-GR" w:bidi="hi-IN"/>
              </w:rPr>
            </w:pPr>
          </w:p>
        </w:tc>
        <w:tc>
          <w:tcPr>
            <w:tcW w:w="602" w:type="dxa"/>
            <w:tcBorders>
              <w:top w:val="nil"/>
              <w:left w:val="nil"/>
              <w:bottom w:val="single" w:sz="8" w:space="0" w:color="auto"/>
              <w:right w:val="single" w:sz="4" w:space="0" w:color="auto"/>
            </w:tcBorders>
            <w:shd w:val="clear" w:color="auto" w:fill="auto"/>
            <w:noWrap/>
            <w:vAlign w:val="center"/>
          </w:tcPr>
          <w:p w14:paraId="36FA5C5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85" w:type="dxa"/>
            <w:tcBorders>
              <w:top w:val="nil"/>
              <w:left w:val="nil"/>
              <w:bottom w:val="single" w:sz="8" w:space="0" w:color="auto"/>
              <w:right w:val="single" w:sz="4" w:space="0" w:color="auto"/>
            </w:tcBorders>
            <w:shd w:val="clear" w:color="auto" w:fill="auto"/>
            <w:noWrap/>
            <w:vAlign w:val="center"/>
          </w:tcPr>
          <w:p w14:paraId="3DB673B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315" w:type="dxa"/>
            <w:tcBorders>
              <w:top w:val="nil"/>
              <w:left w:val="nil"/>
              <w:bottom w:val="single" w:sz="8" w:space="0" w:color="auto"/>
              <w:right w:val="single" w:sz="4" w:space="0" w:color="auto"/>
            </w:tcBorders>
            <w:shd w:val="clear" w:color="auto" w:fill="auto"/>
            <w:noWrap/>
            <w:vAlign w:val="center"/>
          </w:tcPr>
          <w:p w14:paraId="1B83019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630" w:type="dxa"/>
            <w:tcBorders>
              <w:top w:val="nil"/>
              <w:left w:val="nil"/>
              <w:bottom w:val="single" w:sz="8" w:space="0" w:color="auto"/>
              <w:right w:val="single" w:sz="4" w:space="0" w:color="auto"/>
            </w:tcBorders>
            <w:shd w:val="clear" w:color="auto" w:fill="auto"/>
            <w:noWrap/>
            <w:vAlign w:val="center"/>
          </w:tcPr>
          <w:p w14:paraId="0BE0AED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8</w:t>
            </w:r>
          </w:p>
        </w:tc>
        <w:tc>
          <w:tcPr>
            <w:tcW w:w="602" w:type="dxa"/>
            <w:tcBorders>
              <w:top w:val="nil"/>
              <w:left w:val="nil"/>
              <w:bottom w:val="single" w:sz="8" w:space="0" w:color="auto"/>
              <w:right w:val="single" w:sz="4" w:space="0" w:color="auto"/>
            </w:tcBorders>
            <w:shd w:val="clear" w:color="auto" w:fill="auto"/>
            <w:noWrap/>
            <w:vAlign w:val="center"/>
          </w:tcPr>
          <w:p w14:paraId="45A0FFD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609" w:type="dxa"/>
            <w:tcBorders>
              <w:top w:val="nil"/>
              <w:left w:val="nil"/>
              <w:bottom w:val="single" w:sz="8" w:space="0" w:color="auto"/>
              <w:right w:val="nil"/>
            </w:tcBorders>
            <w:shd w:val="clear" w:color="auto" w:fill="auto"/>
            <w:vAlign w:val="center"/>
          </w:tcPr>
          <w:p w14:paraId="4C82E33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77" w:type="dxa"/>
            <w:tcBorders>
              <w:top w:val="nil"/>
              <w:left w:val="single" w:sz="4" w:space="0" w:color="auto"/>
              <w:bottom w:val="single" w:sz="8" w:space="0" w:color="auto"/>
              <w:right w:val="double" w:sz="6" w:space="0" w:color="auto"/>
            </w:tcBorders>
            <w:shd w:val="clear" w:color="auto" w:fill="auto"/>
            <w:vAlign w:val="center"/>
          </w:tcPr>
          <w:p w14:paraId="5453C39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7B5EF94A"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631ECC9"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6455A47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54.7</w:t>
            </w:r>
          </w:p>
        </w:tc>
        <w:tc>
          <w:tcPr>
            <w:tcW w:w="685" w:type="dxa"/>
            <w:tcBorders>
              <w:top w:val="single" w:sz="12" w:space="0" w:color="auto"/>
              <w:left w:val="nil"/>
              <w:bottom w:val="single" w:sz="4" w:space="0" w:color="auto"/>
              <w:right w:val="single" w:sz="4" w:space="0" w:color="auto"/>
            </w:tcBorders>
            <w:shd w:val="clear" w:color="auto" w:fill="auto"/>
            <w:noWrap/>
            <w:vAlign w:val="center"/>
          </w:tcPr>
          <w:p w14:paraId="4492A9E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5.73</w:t>
            </w:r>
          </w:p>
        </w:tc>
        <w:tc>
          <w:tcPr>
            <w:tcW w:w="1315" w:type="dxa"/>
            <w:tcBorders>
              <w:top w:val="single" w:sz="12" w:space="0" w:color="auto"/>
              <w:left w:val="nil"/>
              <w:bottom w:val="single" w:sz="4" w:space="0" w:color="auto"/>
              <w:right w:val="single" w:sz="4" w:space="0" w:color="auto"/>
            </w:tcBorders>
            <w:shd w:val="clear" w:color="auto" w:fill="auto"/>
            <w:noWrap/>
            <w:vAlign w:val="center"/>
          </w:tcPr>
          <w:p w14:paraId="498D638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6.38</w:t>
            </w:r>
          </w:p>
        </w:tc>
        <w:tc>
          <w:tcPr>
            <w:tcW w:w="630" w:type="dxa"/>
            <w:tcBorders>
              <w:top w:val="single" w:sz="12" w:space="0" w:color="auto"/>
              <w:left w:val="nil"/>
              <w:bottom w:val="single" w:sz="4" w:space="0" w:color="auto"/>
              <w:right w:val="single" w:sz="4" w:space="0" w:color="auto"/>
            </w:tcBorders>
            <w:shd w:val="clear" w:color="auto" w:fill="auto"/>
            <w:noWrap/>
            <w:vAlign w:val="center"/>
          </w:tcPr>
          <w:p w14:paraId="5031077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0.58</w:t>
            </w:r>
          </w:p>
        </w:tc>
        <w:tc>
          <w:tcPr>
            <w:tcW w:w="602" w:type="dxa"/>
            <w:tcBorders>
              <w:top w:val="single" w:sz="12" w:space="0" w:color="auto"/>
              <w:left w:val="nil"/>
              <w:bottom w:val="single" w:sz="4" w:space="0" w:color="auto"/>
              <w:right w:val="single" w:sz="4" w:space="0" w:color="auto"/>
            </w:tcBorders>
            <w:shd w:val="clear" w:color="auto" w:fill="auto"/>
            <w:noWrap/>
            <w:vAlign w:val="center"/>
          </w:tcPr>
          <w:p w14:paraId="03F93C8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609" w:type="dxa"/>
            <w:tcBorders>
              <w:top w:val="single" w:sz="12" w:space="0" w:color="auto"/>
              <w:left w:val="nil"/>
              <w:bottom w:val="single" w:sz="4" w:space="0" w:color="auto"/>
              <w:right w:val="nil"/>
            </w:tcBorders>
            <w:shd w:val="clear" w:color="auto" w:fill="auto"/>
            <w:noWrap/>
            <w:vAlign w:val="center"/>
          </w:tcPr>
          <w:p w14:paraId="0B92B82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7.83</w:t>
            </w:r>
          </w:p>
        </w:tc>
        <w:tc>
          <w:tcPr>
            <w:tcW w:w="1277"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16B00FE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4574AB1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58E8D10"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602" w:type="dxa"/>
            <w:tcBorders>
              <w:top w:val="nil"/>
              <w:left w:val="nil"/>
              <w:bottom w:val="single" w:sz="4" w:space="0" w:color="auto"/>
              <w:right w:val="single" w:sz="4" w:space="0" w:color="auto"/>
            </w:tcBorders>
            <w:shd w:val="clear" w:color="auto" w:fill="auto"/>
            <w:noWrap/>
            <w:vAlign w:val="center"/>
          </w:tcPr>
          <w:p w14:paraId="48C657F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2.34</w:t>
            </w:r>
          </w:p>
        </w:tc>
        <w:tc>
          <w:tcPr>
            <w:tcW w:w="685" w:type="dxa"/>
            <w:tcBorders>
              <w:top w:val="nil"/>
              <w:left w:val="nil"/>
              <w:bottom w:val="single" w:sz="4" w:space="0" w:color="auto"/>
              <w:right w:val="single" w:sz="4" w:space="0" w:color="auto"/>
            </w:tcBorders>
            <w:shd w:val="clear" w:color="auto" w:fill="auto"/>
            <w:noWrap/>
            <w:vAlign w:val="center"/>
          </w:tcPr>
          <w:p w14:paraId="7C2A28B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315" w:type="dxa"/>
            <w:tcBorders>
              <w:top w:val="nil"/>
              <w:left w:val="nil"/>
              <w:bottom w:val="single" w:sz="4" w:space="0" w:color="auto"/>
              <w:right w:val="single" w:sz="4" w:space="0" w:color="auto"/>
            </w:tcBorders>
            <w:shd w:val="clear" w:color="auto" w:fill="auto"/>
            <w:noWrap/>
            <w:vAlign w:val="center"/>
          </w:tcPr>
          <w:p w14:paraId="78693AA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0.63</w:t>
            </w:r>
          </w:p>
        </w:tc>
        <w:tc>
          <w:tcPr>
            <w:tcW w:w="630" w:type="dxa"/>
            <w:tcBorders>
              <w:top w:val="nil"/>
              <w:left w:val="nil"/>
              <w:bottom w:val="single" w:sz="4" w:space="0" w:color="auto"/>
              <w:right w:val="single" w:sz="4" w:space="0" w:color="auto"/>
            </w:tcBorders>
            <w:shd w:val="clear" w:color="auto" w:fill="auto"/>
            <w:noWrap/>
            <w:vAlign w:val="center"/>
          </w:tcPr>
          <w:p w14:paraId="77FC76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602" w:type="dxa"/>
            <w:tcBorders>
              <w:top w:val="nil"/>
              <w:left w:val="nil"/>
              <w:bottom w:val="single" w:sz="4" w:space="0" w:color="auto"/>
              <w:right w:val="single" w:sz="4" w:space="0" w:color="auto"/>
            </w:tcBorders>
            <w:shd w:val="clear" w:color="auto" w:fill="auto"/>
            <w:noWrap/>
            <w:vAlign w:val="center"/>
          </w:tcPr>
          <w:p w14:paraId="2B5C131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609" w:type="dxa"/>
            <w:tcBorders>
              <w:top w:val="nil"/>
              <w:left w:val="nil"/>
              <w:bottom w:val="single" w:sz="4" w:space="0" w:color="auto"/>
              <w:right w:val="nil"/>
            </w:tcBorders>
            <w:shd w:val="clear" w:color="auto" w:fill="auto"/>
            <w:noWrap/>
            <w:vAlign w:val="center"/>
          </w:tcPr>
          <w:p w14:paraId="0655A23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8.01</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E3DD72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F6CB02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7D49814"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21DB015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w:t>
            </w:r>
          </w:p>
        </w:tc>
        <w:tc>
          <w:tcPr>
            <w:tcW w:w="685" w:type="dxa"/>
            <w:tcBorders>
              <w:top w:val="nil"/>
              <w:left w:val="nil"/>
              <w:bottom w:val="single" w:sz="4" w:space="0" w:color="auto"/>
              <w:right w:val="single" w:sz="4" w:space="0" w:color="auto"/>
            </w:tcBorders>
            <w:shd w:val="clear" w:color="auto" w:fill="auto"/>
            <w:noWrap/>
            <w:vAlign w:val="center"/>
          </w:tcPr>
          <w:p w14:paraId="69D065A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w:t>
            </w:r>
          </w:p>
        </w:tc>
        <w:tc>
          <w:tcPr>
            <w:tcW w:w="1315" w:type="dxa"/>
            <w:tcBorders>
              <w:top w:val="nil"/>
              <w:left w:val="nil"/>
              <w:bottom w:val="single" w:sz="4" w:space="0" w:color="auto"/>
              <w:right w:val="single" w:sz="4" w:space="0" w:color="auto"/>
            </w:tcBorders>
            <w:shd w:val="clear" w:color="auto" w:fill="auto"/>
            <w:noWrap/>
            <w:vAlign w:val="center"/>
          </w:tcPr>
          <w:p w14:paraId="7AD80D0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5.8</w:t>
            </w:r>
          </w:p>
        </w:tc>
        <w:tc>
          <w:tcPr>
            <w:tcW w:w="630" w:type="dxa"/>
            <w:tcBorders>
              <w:top w:val="nil"/>
              <w:left w:val="nil"/>
              <w:bottom w:val="single" w:sz="4" w:space="0" w:color="auto"/>
              <w:right w:val="single" w:sz="4" w:space="0" w:color="auto"/>
            </w:tcBorders>
            <w:shd w:val="clear" w:color="auto" w:fill="auto"/>
            <w:noWrap/>
            <w:vAlign w:val="center"/>
          </w:tcPr>
          <w:p w14:paraId="4D78DE8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0.46</w:t>
            </w:r>
          </w:p>
        </w:tc>
        <w:tc>
          <w:tcPr>
            <w:tcW w:w="602" w:type="dxa"/>
            <w:tcBorders>
              <w:top w:val="nil"/>
              <w:left w:val="nil"/>
              <w:bottom w:val="single" w:sz="4" w:space="0" w:color="auto"/>
              <w:right w:val="single" w:sz="4" w:space="0" w:color="auto"/>
            </w:tcBorders>
            <w:shd w:val="clear" w:color="auto" w:fill="auto"/>
            <w:noWrap/>
            <w:vAlign w:val="center"/>
          </w:tcPr>
          <w:p w14:paraId="30FE776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609" w:type="dxa"/>
            <w:tcBorders>
              <w:top w:val="nil"/>
              <w:left w:val="nil"/>
              <w:bottom w:val="single" w:sz="4" w:space="0" w:color="auto"/>
              <w:right w:val="nil"/>
            </w:tcBorders>
            <w:shd w:val="clear" w:color="auto" w:fill="auto"/>
            <w:noWrap/>
            <w:vAlign w:val="center"/>
          </w:tcPr>
          <w:p w14:paraId="2D377C6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5.29</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44ABD73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53943A3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7AF7B9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602" w:type="dxa"/>
            <w:tcBorders>
              <w:top w:val="nil"/>
              <w:left w:val="nil"/>
              <w:bottom w:val="single" w:sz="4" w:space="0" w:color="auto"/>
              <w:right w:val="single" w:sz="4" w:space="0" w:color="auto"/>
            </w:tcBorders>
            <w:shd w:val="clear" w:color="auto" w:fill="auto"/>
            <w:noWrap/>
            <w:vAlign w:val="center"/>
          </w:tcPr>
          <w:p w14:paraId="022580D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7.57</w:t>
            </w:r>
          </w:p>
        </w:tc>
        <w:tc>
          <w:tcPr>
            <w:tcW w:w="685" w:type="dxa"/>
            <w:tcBorders>
              <w:top w:val="nil"/>
              <w:left w:val="nil"/>
              <w:bottom w:val="single" w:sz="4" w:space="0" w:color="auto"/>
              <w:right w:val="single" w:sz="4" w:space="0" w:color="auto"/>
            </w:tcBorders>
            <w:shd w:val="clear" w:color="auto" w:fill="auto"/>
            <w:noWrap/>
            <w:vAlign w:val="center"/>
          </w:tcPr>
          <w:p w14:paraId="73CC6CE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15.3</w:t>
            </w:r>
          </w:p>
        </w:tc>
        <w:tc>
          <w:tcPr>
            <w:tcW w:w="1315" w:type="dxa"/>
            <w:tcBorders>
              <w:top w:val="nil"/>
              <w:left w:val="nil"/>
              <w:bottom w:val="single" w:sz="4" w:space="0" w:color="auto"/>
              <w:right w:val="single" w:sz="4" w:space="0" w:color="auto"/>
            </w:tcBorders>
            <w:shd w:val="clear" w:color="auto" w:fill="auto"/>
            <w:noWrap/>
            <w:vAlign w:val="center"/>
          </w:tcPr>
          <w:p w14:paraId="047BC27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1.68</w:t>
            </w:r>
          </w:p>
        </w:tc>
        <w:tc>
          <w:tcPr>
            <w:tcW w:w="630" w:type="dxa"/>
            <w:tcBorders>
              <w:top w:val="nil"/>
              <w:left w:val="nil"/>
              <w:bottom w:val="single" w:sz="4" w:space="0" w:color="auto"/>
              <w:right w:val="single" w:sz="4" w:space="0" w:color="auto"/>
            </w:tcBorders>
            <w:shd w:val="clear" w:color="auto" w:fill="auto"/>
            <w:noWrap/>
            <w:vAlign w:val="center"/>
          </w:tcPr>
          <w:p w14:paraId="1AE08EF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0.10</w:t>
            </w:r>
          </w:p>
        </w:tc>
        <w:tc>
          <w:tcPr>
            <w:tcW w:w="602" w:type="dxa"/>
            <w:tcBorders>
              <w:top w:val="nil"/>
              <w:left w:val="nil"/>
              <w:bottom w:val="single" w:sz="4" w:space="0" w:color="auto"/>
              <w:right w:val="single" w:sz="4" w:space="0" w:color="auto"/>
            </w:tcBorders>
            <w:shd w:val="clear" w:color="auto" w:fill="auto"/>
            <w:noWrap/>
            <w:vAlign w:val="center"/>
          </w:tcPr>
          <w:p w14:paraId="33D9B95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1.62</w:t>
            </w:r>
          </w:p>
        </w:tc>
        <w:tc>
          <w:tcPr>
            <w:tcW w:w="1609" w:type="dxa"/>
            <w:tcBorders>
              <w:top w:val="nil"/>
              <w:left w:val="nil"/>
              <w:bottom w:val="single" w:sz="4" w:space="0" w:color="auto"/>
              <w:right w:val="nil"/>
            </w:tcBorders>
            <w:shd w:val="clear" w:color="auto" w:fill="auto"/>
            <w:noWrap/>
            <w:vAlign w:val="center"/>
          </w:tcPr>
          <w:p w14:paraId="42A7A14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33E42CB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0AA267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88AA36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602" w:type="dxa"/>
            <w:tcBorders>
              <w:top w:val="nil"/>
              <w:left w:val="nil"/>
              <w:bottom w:val="single" w:sz="4" w:space="0" w:color="auto"/>
              <w:right w:val="single" w:sz="4" w:space="0" w:color="auto"/>
            </w:tcBorders>
            <w:shd w:val="clear" w:color="auto" w:fill="auto"/>
            <w:noWrap/>
            <w:vAlign w:val="center"/>
          </w:tcPr>
          <w:p w14:paraId="79AC7D1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6.98</w:t>
            </w:r>
          </w:p>
        </w:tc>
        <w:tc>
          <w:tcPr>
            <w:tcW w:w="685" w:type="dxa"/>
            <w:tcBorders>
              <w:top w:val="nil"/>
              <w:left w:val="nil"/>
              <w:bottom w:val="single" w:sz="4" w:space="0" w:color="auto"/>
              <w:right w:val="single" w:sz="4" w:space="0" w:color="auto"/>
            </w:tcBorders>
            <w:shd w:val="clear" w:color="auto" w:fill="auto"/>
            <w:noWrap/>
            <w:vAlign w:val="center"/>
          </w:tcPr>
          <w:p w14:paraId="6946C16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32.9</w:t>
            </w:r>
          </w:p>
        </w:tc>
        <w:tc>
          <w:tcPr>
            <w:tcW w:w="1315" w:type="dxa"/>
            <w:tcBorders>
              <w:top w:val="nil"/>
              <w:left w:val="nil"/>
              <w:bottom w:val="single" w:sz="4" w:space="0" w:color="auto"/>
              <w:right w:val="single" w:sz="4" w:space="0" w:color="auto"/>
            </w:tcBorders>
            <w:shd w:val="clear" w:color="auto" w:fill="auto"/>
            <w:noWrap/>
            <w:vAlign w:val="center"/>
          </w:tcPr>
          <w:p w14:paraId="5A7575B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1.45</w:t>
            </w:r>
          </w:p>
        </w:tc>
        <w:tc>
          <w:tcPr>
            <w:tcW w:w="630" w:type="dxa"/>
            <w:tcBorders>
              <w:top w:val="nil"/>
              <w:left w:val="nil"/>
              <w:bottom w:val="single" w:sz="4" w:space="0" w:color="auto"/>
              <w:right w:val="single" w:sz="4" w:space="0" w:color="auto"/>
            </w:tcBorders>
            <w:shd w:val="clear" w:color="auto" w:fill="auto"/>
            <w:noWrap/>
            <w:vAlign w:val="center"/>
          </w:tcPr>
          <w:p w14:paraId="6732A2C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0.17</w:t>
            </w:r>
          </w:p>
        </w:tc>
        <w:tc>
          <w:tcPr>
            <w:tcW w:w="602" w:type="dxa"/>
            <w:tcBorders>
              <w:top w:val="nil"/>
              <w:left w:val="nil"/>
              <w:bottom w:val="single" w:sz="4" w:space="0" w:color="auto"/>
              <w:right w:val="single" w:sz="4" w:space="0" w:color="auto"/>
            </w:tcBorders>
            <w:shd w:val="clear" w:color="auto" w:fill="auto"/>
            <w:noWrap/>
            <w:vAlign w:val="center"/>
          </w:tcPr>
          <w:p w14:paraId="1C9BCBA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1609" w:type="dxa"/>
            <w:tcBorders>
              <w:top w:val="nil"/>
              <w:left w:val="nil"/>
              <w:bottom w:val="single" w:sz="4" w:space="0" w:color="auto"/>
              <w:right w:val="nil"/>
            </w:tcBorders>
            <w:shd w:val="clear" w:color="auto" w:fill="auto"/>
            <w:noWrap/>
            <w:vAlign w:val="center"/>
          </w:tcPr>
          <w:p w14:paraId="1FE1200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1A95D21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2AD436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A9134E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602" w:type="dxa"/>
            <w:tcBorders>
              <w:top w:val="nil"/>
              <w:left w:val="nil"/>
              <w:bottom w:val="single" w:sz="4" w:space="0" w:color="auto"/>
              <w:right w:val="single" w:sz="4" w:space="0" w:color="auto"/>
            </w:tcBorders>
            <w:shd w:val="clear" w:color="auto" w:fill="auto"/>
            <w:noWrap/>
            <w:vAlign w:val="center"/>
          </w:tcPr>
          <w:p w14:paraId="4FA6A3A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8.44</w:t>
            </w:r>
          </w:p>
        </w:tc>
        <w:tc>
          <w:tcPr>
            <w:tcW w:w="685" w:type="dxa"/>
            <w:tcBorders>
              <w:top w:val="nil"/>
              <w:left w:val="nil"/>
              <w:bottom w:val="single" w:sz="4" w:space="0" w:color="auto"/>
              <w:right w:val="single" w:sz="4" w:space="0" w:color="auto"/>
            </w:tcBorders>
            <w:shd w:val="clear" w:color="auto" w:fill="auto"/>
            <w:noWrap/>
            <w:vAlign w:val="center"/>
          </w:tcPr>
          <w:p w14:paraId="46E15C6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34.6</w:t>
            </w:r>
          </w:p>
        </w:tc>
        <w:tc>
          <w:tcPr>
            <w:tcW w:w="1315" w:type="dxa"/>
            <w:tcBorders>
              <w:top w:val="nil"/>
              <w:left w:val="nil"/>
              <w:bottom w:val="single" w:sz="4" w:space="0" w:color="auto"/>
              <w:right w:val="single" w:sz="4" w:space="0" w:color="auto"/>
            </w:tcBorders>
            <w:shd w:val="clear" w:color="auto" w:fill="auto"/>
            <w:noWrap/>
            <w:vAlign w:val="center"/>
          </w:tcPr>
          <w:p w14:paraId="4EA2C10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2.16</w:t>
            </w:r>
          </w:p>
        </w:tc>
        <w:tc>
          <w:tcPr>
            <w:tcW w:w="630" w:type="dxa"/>
            <w:tcBorders>
              <w:top w:val="nil"/>
              <w:left w:val="nil"/>
              <w:bottom w:val="single" w:sz="4" w:space="0" w:color="auto"/>
              <w:right w:val="single" w:sz="4" w:space="0" w:color="auto"/>
            </w:tcBorders>
            <w:shd w:val="clear" w:color="auto" w:fill="auto"/>
            <w:noWrap/>
            <w:vAlign w:val="center"/>
          </w:tcPr>
          <w:p w14:paraId="54D3C2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602" w:type="dxa"/>
            <w:tcBorders>
              <w:top w:val="nil"/>
              <w:left w:val="nil"/>
              <w:bottom w:val="single" w:sz="4" w:space="0" w:color="auto"/>
              <w:right w:val="single" w:sz="4" w:space="0" w:color="auto"/>
            </w:tcBorders>
            <w:shd w:val="clear" w:color="auto" w:fill="auto"/>
            <w:noWrap/>
            <w:vAlign w:val="center"/>
          </w:tcPr>
          <w:p w14:paraId="5AD388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0.99</w:t>
            </w:r>
          </w:p>
        </w:tc>
        <w:tc>
          <w:tcPr>
            <w:tcW w:w="1609" w:type="dxa"/>
            <w:tcBorders>
              <w:top w:val="nil"/>
              <w:left w:val="nil"/>
              <w:bottom w:val="single" w:sz="4" w:space="0" w:color="auto"/>
              <w:right w:val="nil"/>
            </w:tcBorders>
            <w:shd w:val="clear" w:color="auto" w:fill="auto"/>
            <w:noWrap/>
            <w:vAlign w:val="center"/>
          </w:tcPr>
          <w:p w14:paraId="002985B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3.57</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53FBEC8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10C44A0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C004254"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602" w:type="dxa"/>
            <w:tcBorders>
              <w:top w:val="nil"/>
              <w:left w:val="nil"/>
              <w:bottom w:val="single" w:sz="4" w:space="0" w:color="auto"/>
              <w:right w:val="single" w:sz="4" w:space="0" w:color="auto"/>
            </w:tcBorders>
            <w:shd w:val="clear" w:color="auto" w:fill="auto"/>
            <w:noWrap/>
            <w:vAlign w:val="center"/>
          </w:tcPr>
          <w:p w14:paraId="40FD5DE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561</w:t>
            </w:r>
          </w:p>
        </w:tc>
        <w:tc>
          <w:tcPr>
            <w:tcW w:w="685" w:type="dxa"/>
            <w:tcBorders>
              <w:top w:val="nil"/>
              <w:left w:val="nil"/>
              <w:bottom w:val="single" w:sz="4" w:space="0" w:color="auto"/>
              <w:right w:val="single" w:sz="4" w:space="0" w:color="auto"/>
            </w:tcBorders>
            <w:shd w:val="clear" w:color="auto" w:fill="auto"/>
            <w:noWrap/>
            <w:vAlign w:val="center"/>
          </w:tcPr>
          <w:p w14:paraId="5308E33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1.75</w:t>
            </w:r>
          </w:p>
        </w:tc>
        <w:tc>
          <w:tcPr>
            <w:tcW w:w="1315" w:type="dxa"/>
            <w:tcBorders>
              <w:top w:val="nil"/>
              <w:left w:val="nil"/>
              <w:bottom w:val="single" w:sz="4" w:space="0" w:color="auto"/>
              <w:right w:val="single" w:sz="4" w:space="0" w:color="auto"/>
            </w:tcBorders>
            <w:shd w:val="clear" w:color="auto" w:fill="auto"/>
            <w:noWrap/>
            <w:vAlign w:val="center"/>
          </w:tcPr>
          <w:p w14:paraId="17010BC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344</w:t>
            </w:r>
          </w:p>
        </w:tc>
        <w:tc>
          <w:tcPr>
            <w:tcW w:w="630" w:type="dxa"/>
            <w:tcBorders>
              <w:top w:val="nil"/>
              <w:left w:val="nil"/>
              <w:bottom w:val="single" w:sz="4" w:space="0" w:color="auto"/>
              <w:right w:val="single" w:sz="4" w:space="0" w:color="auto"/>
            </w:tcBorders>
            <w:shd w:val="clear" w:color="auto" w:fill="auto"/>
            <w:noWrap/>
            <w:vAlign w:val="center"/>
          </w:tcPr>
          <w:p w14:paraId="1E2D622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5.75</w:t>
            </w:r>
          </w:p>
        </w:tc>
        <w:tc>
          <w:tcPr>
            <w:tcW w:w="602" w:type="dxa"/>
            <w:tcBorders>
              <w:top w:val="nil"/>
              <w:left w:val="nil"/>
              <w:bottom w:val="single" w:sz="4" w:space="0" w:color="auto"/>
              <w:right w:val="single" w:sz="4" w:space="0" w:color="auto"/>
            </w:tcBorders>
            <w:shd w:val="clear" w:color="auto" w:fill="auto"/>
            <w:noWrap/>
            <w:vAlign w:val="center"/>
          </w:tcPr>
          <w:p w14:paraId="4E1B46F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5.62</w:t>
            </w:r>
          </w:p>
        </w:tc>
        <w:tc>
          <w:tcPr>
            <w:tcW w:w="1609" w:type="dxa"/>
            <w:tcBorders>
              <w:top w:val="nil"/>
              <w:left w:val="nil"/>
              <w:bottom w:val="single" w:sz="4" w:space="0" w:color="auto"/>
              <w:right w:val="nil"/>
            </w:tcBorders>
            <w:shd w:val="clear" w:color="auto" w:fill="auto"/>
            <w:noWrap/>
            <w:vAlign w:val="center"/>
          </w:tcPr>
          <w:p w14:paraId="077F231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1277" w:type="dxa"/>
            <w:tcBorders>
              <w:top w:val="nil"/>
              <w:left w:val="single" w:sz="4" w:space="0" w:color="auto"/>
              <w:bottom w:val="single" w:sz="4" w:space="0" w:color="auto"/>
              <w:right w:val="double" w:sz="6" w:space="0" w:color="auto"/>
            </w:tcBorders>
            <w:shd w:val="clear" w:color="auto" w:fill="auto"/>
            <w:noWrap/>
            <w:vAlign w:val="center"/>
          </w:tcPr>
          <w:p w14:paraId="3370FDC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11B87BB"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559CC9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602" w:type="dxa"/>
            <w:tcBorders>
              <w:top w:val="nil"/>
              <w:left w:val="nil"/>
              <w:bottom w:val="double" w:sz="6" w:space="0" w:color="auto"/>
              <w:right w:val="single" w:sz="4" w:space="0" w:color="auto"/>
            </w:tcBorders>
            <w:shd w:val="clear" w:color="auto" w:fill="auto"/>
            <w:noWrap/>
            <w:vAlign w:val="center"/>
          </w:tcPr>
          <w:p w14:paraId="710B481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462</w:t>
            </w:r>
          </w:p>
        </w:tc>
        <w:tc>
          <w:tcPr>
            <w:tcW w:w="685" w:type="dxa"/>
            <w:tcBorders>
              <w:top w:val="nil"/>
              <w:left w:val="nil"/>
              <w:bottom w:val="double" w:sz="6" w:space="0" w:color="auto"/>
              <w:right w:val="single" w:sz="4" w:space="0" w:color="auto"/>
            </w:tcBorders>
            <w:shd w:val="clear" w:color="auto" w:fill="auto"/>
            <w:noWrap/>
            <w:vAlign w:val="center"/>
          </w:tcPr>
          <w:p w14:paraId="58DACA1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6.60</w:t>
            </w:r>
          </w:p>
        </w:tc>
        <w:tc>
          <w:tcPr>
            <w:tcW w:w="1315" w:type="dxa"/>
            <w:tcBorders>
              <w:top w:val="nil"/>
              <w:left w:val="nil"/>
              <w:bottom w:val="double" w:sz="6" w:space="0" w:color="auto"/>
              <w:right w:val="single" w:sz="4" w:space="0" w:color="auto"/>
            </w:tcBorders>
            <w:shd w:val="clear" w:color="auto" w:fill="auto"/>
            <w:noWrap/>
            <w:vAlign w:val="center"/>
          </w:tcPr>
          <w:p w14:paraId="5C87C5D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92.6</w:t>
            </w:r>
          </w:p>
        </w:tc>
        <w:tc>
          <w:tcPr>
            <w:tcW w:w="630" w:type="dxa"/>
            <w:tcBorders>
              <w:top w:val="nil"/>
              <w:left w:val="nil"/>
              <w:bottom w:val="double" w:sz="6" w:space="0" w:color="auto"/>
              <w:right w:val="single" w:sz="4" w:space="0" w:color="auto"/>
            </w:tcBorders>
            <w:shd w:val="clear" w:color="auto" w:fill="auto"/>
            <w:noWrap/>
            <w:vAlign w:val="center"/>
          </w:tcPr>
          <w:p w14:paraId="5FBEDCF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5.06</w:t>
            </w:r>
          </w:p>
        </w:tc>
        <w:tc>
          <w:tcPr>
            <w:tcW w:w="602" w:type="dxa"/>
            <w:tcBorders>
              <w:top w:val="nil"/>
              <w:left w:val="nil"/>
              <w:bottom w:val="double" w:sz="6" w:space="0" w:color="auto"/>
              <w:right w:val="single" w:sz="4" w:space="0" w:color="auto"/>
            </w:tcBorders>
            <w:shd w:val="clear" w:color="auto" w:fill="auto"/>
            <w:noWrap/>
            <w:vAlign w:val="center"/>
          </w:tcPr>
          <w:p w14:paraId="382FF19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609" w:type="dxa"/>
            <w:tcBorders>
              <w:top w:val="nil"/>
              <w:left w:val="nil"/>
              <w:bottom w:val="double" w:sz="6" w:space="0" w:color="auto"/>
              <w:right w:val="nil"/>
            </w:tcBorders>
            <w:shd w:val="clear" w:color="auto" w:fill="auto"/>
            <w:noWrap/>
            <w:vAlign w:val="center"/>
          </w:tcPr>
          <w:p w14:paraId="2253B2A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26.2</w:t>
            </w:r>
          </w:p>
        </w:tc>
        <w:tc>
          <w:tcPr>
            <w:tcW w:w="1277" w:type="dxa"/>
            <w:tcBorders>
              <w:top w:val="nil"/>
              <w:left w:val="single" w:sz="4" w:space="0" w:color="auto"/>
              <w:bottom w:val="double" w:sz="6" w:space="0" w:color="auto"/>
              <w:right w:val="double" w:sz="6" w:space="0" w:color="auto"/>
            </w:tcBorders>
            <w:shd w:val="clear" w:color="auto" w:fill="auto"/>
            <w:noWrap/>
            <w:vAlign w:val="center"/>
          </w:tcPr>
          <w:p w14:paraId="7FF97C1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832DC16" w14:textId="4570BC58"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12</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Greece,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795B19B9"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123218F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26F3FDC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Greece</w:t>
            </w:r>
          </w:p>
        </w:tc>
      </w:tr>
      <w:tr w:rsidR="00E92FB8" w:rsidRPr="000855B2" w14:paraId="3C4F8046"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36F6C006"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33317CB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0C8A972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3BD68E9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129DAC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14</w:t>
            </w:r>
          </w:p>
        </w:tc>
        <w:tc>
          <w:tcPr>
            <w:tcW w:w="593" w:type="dxa"/>
            <w:tcBorders>
              <w:top w:val="nil"/>
              <w:left w:val="nil"/>
              <w:bottom w:val="single" w:sz="12" w:space="0" w:color="auto"/>
              <w:right w:val="single" w:sz="4" w:space="0" w:color="auto"/>
            </w:tcBorders>
            <w:shd w:val="clear" w:color="auto" w:fill="auto"/>
            <w:noWrap/>
            <w:vAlign w:val="center"/>
          </w:tcPr>
          <w:p w14:paraId="2DBAD18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7305A5B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AB491F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0527CBEF"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50F8E056"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6C3141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34E68FD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6.99</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0C2840A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10.53</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7F445C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0.75</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C9A5F5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4948912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8.30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7FF56B7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03F1DFA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2C7494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1253A84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5.03</w:t>
            </w:r>
          </w:p>
        </w:tc>
        <w:tc>
          <w:tcPr>
            <w:tcW w:w="675" w:type="dxa"/>
            <w:tcBorders>
              <w:top w:val="nil"/>
              <w:left w:val="nil"/>
              <w:bottom w:val="single" w:sz="4" w:space="0" w:color="auto"/>
              <w:right w:val="single" w:sz="4" w:space="0" w:color="auto"/>
            </w:tcBorders>
            <w:shd w:val="clear" w:color="auto" w:fill="auto"/>
            <w:noWrap/>
            <w:vAlign w:val="center"/>
          </w:tcPr>
          <w:p w14:paraId="2E6C549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12.2</w:t>
            </w:r>
          </w:p>
        </w:tc>
        <w:tc>
          <w:tcPr>
            <w:tcW w:w="1296" w:type="dxa"/>
            <w:tcBorders>
              <w:top w:val="nil"/>
              <w:left w:val="nil"/>
              <w:bottom w:val="single" w:sz="4" w:space="0" w:color="auto"/>
              <w:right w:val="single" w:sz="4" w:space="0" w:color="auto"/>
            </w:tcBorders>
            <w:shd w:val="clear" w:color="auto" w:fill="auto"/>
            <w:noWrap/>
            <w:vAlign w:val="center"/>
          </w:tcPr>
          <w:p w14:paraId="0CF5C45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730" w:type="dxa"/>
            <w:tcBorders>
              <w:top w:val="nil"/>
              <w:left w:val="nil"/>
              <w:bottom w:val="single" w:sz="4" w:space="0" w:color="auto"/>
              <w:right w:val="single" w:sz="4" w:space="0" w:color="auto"/>
            </w:tcBorders>
            <w:shd w:val="clear" w:color="auto" w:fill="auto"/>
            <w:noWrap/>
            <w:vAlign w:val="center"/>
          </w:tcPr>
          <w:p w14:paraId="4B79891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0.12</w:t>
            </w:r>
          </w:p>
        </w:tc>
        <w:tc>
          <w:tcPr>
            <w:tcW w:w="593" w:type="dxa"/>
            <w:tcBorders>
              <w:top w:val="nil"/>
              <w:left w:val="nil"/>
              <w:bottom w:val="single" w:sz="4" w:space="0" w:color="auto"/>
              <w:right w:val="single" w:sz="4" w:space="0" w:color="auto"/>
            </w:tcBorders>
            <w:shd w:val="clear" w:color="auto" w:fill="auto"/>
            <w:noWrap/>
            <w:vAlign w:val="center"/>
          </w:tcPr>
          <w:p w14:paraId="108CB7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0.92</w:t>
            </w:r>
          </w:p>
        </w:tc>
        <w:tc>
          <w:tcPr>
            <w:tcW w:w="1583" w:type="dxa"/>
            <w:tcBorders>
              <w:top w:val="nil"/>
              <w:left w:val="nil"/>
              <w:bottom w:val="single" w:sz="4" w:space="0" w:color="auto"/>
              <w:right w:val="nil"/>
            </w:tcBorders>
            <w:shd w:val="clear" w:color="auto" w:fill="auto"/>
            <w:noWrap/>
            <w:vAlign w:val="center"/>
          </w:tcPr>
          <w:p w14:paraId="0174372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8.42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2737F9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59207A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11EDAC5"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7BB991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214</w:t>
            </w:r>
          </w:p>
        </w:tc>
        <w:tc>
          <w:tcPr>
            <w:tcW w:w="675" w:type="dxa"/>
            <w:tcBorders>
              <w:top w:val="nil"/>
              <w:left w:val="nil"/>
              <w:bottom w:val="single" w:sz="4" w:space="0" w:color="auto"/>
              <w:right w:val="single" w:sz="4" w:space="0" w:color="auto"/>
            </w:tcBorders>
            <w:shd w:val="clear" w:color="auto" w:fill="auto"/>
            <w:noWrap/>
            <w:vAlign w:val="center"/>
          </w:tcPr>
          <w:p w14:paraId="02EE274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1296" w:type="dxa"/>
            <w:tcBorders>
              <w:top w:val="nil"/>
              <w:left w:val="nil"/>
              <w:bottom w:val="single" w:sz="4" w:space="0" w:color="auto"/>
              <w:right w:val="single" w:sz="4" w:space="0" w:color="auto"/>
            </w:tcBorders>
            <w:shd w:val="clear" w:color="auto" w:fill="auto"/>
            <w:noWrap/>
            <w:vAlign w:val="center"/>
          </w:tcPr>
          <w:p w14:paraId="0565DA0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26.1</w:t>
            </w:r>
          </w:p>
        </w:tc>
        <w:tc>
          <w:tcPr>
            <w:tcW w:w="730" w:type="dxa"/>
            <w:tcBorders>
              <w:top w:val="nil"/>
              <w:left w:val="nil"/>
              <w:bottom w:val="single" w:sz="4" w:space="0" w:color="auto"/>
              <w:right w:val="single" w:sz="4" w:space="0" w:color="auto"/>
            </w:tcBorders>
            <w:shd w:val="clear" w:color="auto" w:fill="auto"/>
            <w:noWrap/>
            <w:vAlign w:val="center"/>
          </w:tcPr>
          <w:p w14:paraId="2F696B4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w:t>
            </w:r>
          </w:p>
        </w:tc>
        <w:tc>
          <w:tcPr>
            <w:tcW w:w="593" w:type="dxa"/>
            <w:tcBorders>
              <w:top w:val="nil"/>
              <w:left w:val="nil"/>
              <w:bottom w:val="single" w:sz="4" w:space="0" w:color="auto"/>
              <w:right w:val="single" w:sz="4" w:space="0" w:color="auto"/>
            </w:tcBorders>
            <w:shd w:val="clear" w:color="auto" w:fill="auto"/>
            <w:noWrap/>
            <w:vAlign w:val="center"/>
          </w:tcPr>
          <w:p w14:paraId="7A463B0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7352A8B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51F1C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30EE8B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E3CF9F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44D960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8.54</w:t>
            </w:r>
          </w:p>
        </w:tc>
        <w:tc>
          <w:tcPr>
            <w:tcW w:w="675" w:type="dxa"/>
            <w:tcBorders>
              <w:top w:val="nil"/>
              <w:left w:val="nil"/>
              <w:bottom w:val="single" w:sz="4" w:space="0" w:color="auto"/>
              <w:right w:val="single" w:sz="4" w:space="0" w:color="auto"/>
            </w:tcBorders>
            <w:shd w:val="clear" w:color="auto" w:fill="auto"/>
            <w:noWrap/>
            <w:vAlign w:val="center"/>
          </w:tcPr>
          <w:p w14:paraId="0F82421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16.2</w:t>
            </w:r>
          </w:p>
        </w:tc>
        <w:tc>
          <w:tcPr>
            <w:tcW w:w="1296" w:type="dxa"/>
            <w:tcBorders>
              <w:top w:val="nil"/>
              <w:left w:val="nil"/>
              <w:bottom w:val="single" w:sz="4" w:space="0" w:color="auto"/>
              <w:right w:val="single" w:sz="4" w:space="0" w:color="auto"/>
            </w:tcBorders>
            <w:shd w:val="clear" w:color="auto" w:fill="auto"/>
            <w:noWrap/>
            <w:vAlign w:val="center"/>
          </w:tcPr>
          <w:p w14:paraId="132E769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1.38</w:t>
            </w:r>
          </w:p>
        </w:tc>
        <w:tc>
          <w:tcPr>
            <w:tcW w:w="730" w:type="dxa"/>
            <w:tcBorders>
              <w:top w:val="nil"/>
              <w:left w:val="nil"/>
              <w:bottom w:val="single" w:sz="4" w:space="0" w:color="auto"/>
              <w:right w:val="single" w:sz="4" w:space="0" w:color="auto"/>
            </w:tcBorders>
            <w:shd w:val="clear" w:color="auto" w:fill="auto"/>
            <w:noWrap/>
            <w:vAlign w:val="center"/>
          </w:tcPr>
          <w:p w14:paraId="7888AA4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nil"/>
              <w:left w:val="nil"/>
              <w:bottom w:val="single" w:sz="4" w:space="0" w:color="auto"/>
              <w:right w:val="single" w:sz="4" w:space="0" w:color="auto"/>
            </w:tcBorders>
            <w:shd w:val="clear" w:color="auto" w:fill="auto"/>
            <w:noWrap/>
            <w:vAlign w:val="center"/>
          </w:tcPr>
          <w:p w14:paraId="2DF9C98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1.73</w:t>
            </w:r>
          </w:p>
        </w:tc>
        <w:tc>
          <w:tcPr>
            <w:tcW w:w="1583" w:type="dxa"/>
            <w:tcBorders>
              <w:top w:val="nil"/>
              <w:left w:val="nil"/>
              <w:bottom w:val="single" w:sz="4" w:space="0" w:color="auto"/>
              <w:right w:val="nil"/>
            </w:tcBorders>
            <w:shd w:val="clear" w:color="auto" w:fill="auto"/>
            <w:noWrap/>
            <w:vAlign w:val="center"/>
          </w:tcPr>
          <w:p w14:paraId="62B40DA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6.57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07C13C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3A2CAE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E03B71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3F94913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8.49</w:t>
            </w:r>
          </w:p>
        </w:tc>
        <w:tc>
          <w:tcPr>
            <w:tcW w:w="675" w:type="dxa"/>
            <w:tcBorders>
              <w:top w:val="nil"/>
              <w:left w:val="nil"/>
              <w:bottom w:val="single" w:sz="4" w:space="0" w:color="auto"/>
              <w:right w:val="single" w:sz="4" w:space="0" w:color="auto"/>
            </w:tcBorders>
            <w:shd w:val="clear" w:color="auto" w:fill="auto"/>
            <w:noWrap/>
            <w:vAlign w:val="center"/>
          </w:tcPr>
          <w:p w14:paraId="41933E2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35.6</w:t>
            </w:r>
          </w:p>
        </w:tc>
        <w:tc>
          <w:tcPr>
            <w:tcW w:w="1296" w:type="dxa"/>
            <w:tcBorders>
              <w:top w:val="nil"/>
              <w:left w:val="nil"/>
              <w:bottom w:val="single" w:sz="4" w:space="0" w:color="auto"/>
              <w:right w:val="single" w:sz="4" w:space="0" w:color="auto"/>
            </w:tcBorders>
            <w:shd w:val="clear" w:color="auto" w:fill="auto"/>
            <w:noWrap/>
            <w:vAlign w:val="center"/>
          </w:tcPr>
          <w:p w14:paraId="48C506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2.80</w:t>
            </w:r>
          </w:p>
        </w:tc>
        <w:tc>
          <w:tcPr>
            <w:tcW w:w="730" w:type="dxa"/>
            <w:tcBorders>
              <w:top w:val="nil"/>
              <w:left w:val="nil"/>
              <w:bottom w:val="single" w:sz="4" w:space="0" w:color="auto"/>
              <w:right w:val="single" w:sz="4" w:space="0" w:color="auto"/>
            </w:tcBorders>
            <w:shd w:val="clear" w:color="auto" w:fill="auto"/>
            <w:noWrap/>
            <w:vAlign w:val="center"/>
          </w:tcPr>
          <w:p w14:paraId="4991D23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93" w:type="dxa"/>
            <w:tcBorders>
              <w:top w:val="nil"/>
              <w:left w:val="nil"/>
              <w:bottom w:val="single" w:sz="4" w:space="0" w:color="auto"/>
              <w:right w:val="single" w:sz="4" w:space="0" w:color="auto"/>
            </w:tcBorders>
            <w:shd w:val="clear" w:color="auto" w:fill="auto"/>
            <w:noWrap/>
            <w:vAlign w:val="center"/>
          </w:tcPr>
          <w:p w14:paraId="7A3B275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583" w:type="dxa"/>
            <w:tcBorders>
              <w:top w:val="nil"/>
              <w:left w:val="nil"/>
              <w:bottom w:val="single" w:sz="4" w:space="0" w:color="auto"/>
              <w:right w:val="nil"/>
            </w:tcBorders>
            <w:shd w:val="clear" w:color="auto" w:fill="auto"/>
            <w:noWrap/>
            <w:vAlign w:val="center"/>
          </w:tcPr>
          <w:p w14:paraId="4A60B20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A9BBCB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1535257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7501DBF"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379209F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8.32</w:t>
            </w:r>
          </w:p>
        </w:tc>
        <w:tc>
          <w:tcPr>
            <w:tcW w:w="675" w:type="dxa"/>
            <w:tcBorders>
              <w:top w:val="nil"/>
              <w:left w:val="nil"/>
              <w:bottom w:val="single" w:sz="4" w:space="0" w:color="auto"/>
              <w:right w:val="single" w:sz="4" w:space="0" w:color="auto"/>
            </w:tcBorders>
            <w:shd w:val="clear" w:color="auto" w:fill="auto"/>
            <w:noWrap/>
            <w:vAlign w:val="center"/>
          </w:tcPr>
          <w:p w14:paraId="78944F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34.2</w:t>
            </w:r>
          </w:p>
        </w:tc>
        <w:tc>
          <w:tcPr>
            <w:tcW w:w="1296" w:type="dxa"/>
            <w:tcBorders>
              <w:top w:val="nil"/>
              <w:left w:val="nil"/>
              <w:bottom w:val="single" w:sz="4" w:space="0" w:color="auto"/>
              <w:right w:val="single" w:sz="4" w:space="0" w:color="auto"/>
            </w:tcBorders>
            <w:shd w:val="clear" w:color="auto" w:fill="auto"/>
            <w:noWrap/>
            <w:vAlign w:val="center"/>
          </w:tcPr>
          <w:p w14:paraId="6CB7B92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730" w:type="dxa"/>
            <w:tcBorders>
              <w:top w:val="nil"/>
              <w:left w:val="nil"/>
              <w:bottom w:val="single" w:sz="4" w:space="0" w:color="auto"/>
              <w:right w:val="single" w:sz="4" w:space="0" w:color="auto"/>
            </w:tcBorders>
            <w:shd w:val="clear" w:color="auto" w:fill="auto"/>
            <w:noWrap/>
            <w:vAlign w:val="center"/>
          </w:tcPr>
          <w:p w14:paraId="5F46DB9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0.35</w:t>
            </w:r>
          </w:p>
        </w:tc>
        <w:tc>
          <w:tcPr>
            <w:tcW w:w="593" w:type="dxa"/>
            <w:tcBorders>
              <w:top w:val="nil"/>
              <w:left w:val="nil"/>
              <w:bottom w:val="single" w:sz="4" w:space="0" w:color="auto"/>
              <w:right w:val="single" w:sz="4" w:space="0" w:color="auto"/>
            </w:tcBorders>
            <w:shd w:val="clear" w:color="auto" w:fill="auto"/>
            <w:noWrap/>
            <w:vAlign w:val="center"/>
          </w:tcPr>
          <w:p w14:paraId="3C641D2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1583" w:type="dxa"/>
            <w:tcBorders>
              <w:top w:val="nil"/>
              <w:left w:val="nil"/>
              <w:bottom w:val="single" w:sz="4" w:space="0" w:color="auto"/>
              <w:right w:val="nil"/>
            </w:tcBorders>
            <w:shd w:val="clear" w:color="auto" w:fill="auto"/>
            <w:noWrap/>
            <w:vAlign w:val="center"/>
          </w:tcPr>
          <w:p w14:paraId="67BE67E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EA619B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2D1751E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2EA677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658F62D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450</w:t>
            </w:r>
          </w:p>
        </w:tc>
        <w:tc>
          <w:tcPr>
            <w:tcW w:w="675" w:type="dxa"/>
            <w:tcBorders>
              <w:top w:val="nil"/>
              <w:left w:val="nil"/>
              <w:bottom w:val="single" w:sz="4" w:space="0" w:color="auto"/>
              <w:right w:val="single" w:sz="4" w:space="0" w:color="auto"/>
            </w:tcBorders>
            <w:shd w:val="clear" w:color="auto" w:fill="auto"/>
            <w:noWrap/>
            <w:vAlign w:val="center"/>
          </w:tcPr>
          <w:p w14:paraId="48D0D2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1.80</w:t>
            </w:r>
          </w:p>
        </w:tc>
        <w:tc>
          <w:tcPr>
            <w:tcW w:w="1296" w:type="dxa"/>
            <w:tcBorders>
              <w:top w:val="nil"/>
              <w:left w:val="nil"/>
              <w:bottom w:val="single" w:sz="4" w:space="0" w:color="auto"/>
              <w:right w:val="single" w:sz="4" w:space="0" w:color="auto"/>
            </w:tcBorders>
            <w:shd w:val="clear" w:color="auto" w:fill="auto"/>
            <w:noWrap/>
            <w:vAlign w:val="center"/>
          </w:tcPr>
          <w:p w14:paraId="0E24F85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730" w:type="dxa"/>
            <w:tcBorders>
              <w:top w:val="nil"/>
              <w:left w:val="nil"/>
              <w:bottom w:val="single" w:sz="4" w:space="0" w:color="auto"/>
              <w:right w:val="single" w:sz="4" w:space="0" w:color="auto"/>
            </w:tcBorders>
            <w:shd w:val="clear" w:color="auto" w:fill="auto"/>
            <w:noWrap/>
            <w:vAlign w:val="center"/>
          </w:tcPr>
          <w:p w14:paraId="3B57CE3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4.92</w:t>
            </w:r>
          </w:p>
        </w:tc>
        <w:tc>
          <w:tcPr>
            <w:tcW w:w="593" w:type="dxa"/>
            <w:tcBorders>
              <w:top w:val="nil"/>
              <w:left w:val="nil"/>
              <w:bottom w:val="single" w:sz="4" w:space="0" w:color="auto"/>
              <w:right w:val="single" w:sz="4" w:space="0" w:color="auto"/>
            </w:tcBorders>
            <w:shd w:val="clear" w:color="auto" w:fill="auto"/>
            <w:noWrap/>
            <w:vAlign w:val="center"/>
          </w:tcPr>
          <w:p w14:paraId="328DE43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4.97</w:t>
            </w:r>
          </w:p>
        </w:tc>
        <w:tc>
          <w:tcPr>
            <w:tcW w:w="1583" w:type="dxa"/>
            <w:tcBorders>
              <w:top w:val="nil"/>
              <w:left w:val="nil"/>
              <w:bottom w:val="single" w:sz="4" w:space="0" w:color="auto"/>
              <w:right w:val="nil"/>
            </w:tcBorders>
            <w:shd w:val="clear" w:color="auto" w:fill="auto"/>
            <w:noWrap/>
            <w:vAlign w:val="center"/>
          </w:tcPr>
          <w:p w14:paraId="08784D6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A3EFA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41B3F1EF"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72AD9A0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08FBD91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500</w:t>
            </w:r>
          </w:p>
        </w:tc>
        <w:tc>
          <w:tcPr>
            <w:tcW w:w="675" w:type="dxa"/>
            <w:tcBorders>
              <w:top w:val="nil"/>
              <w:left w:val="nil"/>
              <w:bottom w:val="double" w:sz="6" w:space="0" w:color="auto"/>
              <w:right w:val="single" w:sz="4" w:space="0" w:color="auto"/>
            </w:tcBorders>
            <w:shd w:val="clear" w:color="auto" w:fill="auto"/>
            <w:noWrap/>
            <w:vAlign w:val="center"/>
          </w:tcPr>
          <w:p w14:paraId="40C3FE4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5.67</w:t>
            </w:r>
          </w:p>
        </w:tc>
        <w:tc>
          <w:tcPr>
            <w:tcW w:w="1296" w:type="dxa"/>
            <w:tcBorders>
              <w:top w:val="nil"/>
              <w:left w:val="nil"/>
              <w:bottom w:val="double" w:sz="6" w:space="0" w:color="auto"/>
              <w:right w:val="single" w:sz="4" w:space="0" w:color="auto"/>
            </w:tcBorders>
            <w:shd w:val="clear" w:color="auto" w:fill="auto"/>
            <w:noWrap/>
            <w:vAlign w:val="center"/>
          </w:tcPr>
          <w:p w14:paraId="39FEC91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130.5</w:t>
            </w:r>
          </w:p>
        </w:tc>
        <w:tc>
          <w:tcPr>
            <w:tcW w:w="730" w:type="dxa"/>
            <w:tcBorders>
              <w:top w:val="nil"/>
              <w:left w:val="nil"/>
              <w:bottom w:val="double" w:sz="6" w:space="0" w:color="auto"/>
              <w:right w:val="single" w:sz="4" w:space="0" w:color="auto"/>
            </w:tcBorders>
            <w:shd w:val="clear" w:color="auto" w:fill="auto"/>
            <w:noWrap/>
            <w:vAlign w:val="center"/>
          </w:tcPr>
          <w:p w14:paraId="7E75C61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5.78</w:t>
            </w:r>
          </w:p>
        </w:tc>
        <w:tc>
          <w:tcPr>
            <w:tcW w:w="593" w:type="dxa"/>
            <w:tcBorders>
              <w:top w:val="nil"/>
              <w:left w:val="nil"/>
              <w:bottom w:val="double" w:sz="6" w:space="0" w:color="auto"/>
              <w:right w:val="single" w:sz="4" w:space="0" w:color="auto"/>
            </w:tcBorders>
            <w:shd w:val="clear" w:color="auto" w:fill="auto"/>
            <w:noWrap/>
            <w:vAlign w:val="center"/>
          </w:tcPr>
          <w:p w14:paraId="073CF31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1.99</w:t>
            </w:r>
          </w:p>
        </w:tc>
        <w:tc>
          <w:tcPr>
            <w:tcW w:w="1583" w:type="dxa"/>
            <w:tcBorders>
              <w:top w:val="nil"/>
              <w:left w:val="nil"/>
              <w:bottom w:val="double" w:sz="6" w:space="0" w:color="auto"/>
              <w:right w:val="nil"/>
            </w:tcBorders>
            <w:shd w:val="clear" w:color="auto" w:fill="auto"/>
            <w:noWrap/>
            <w:vAlign w:val="center"/>
          </w:tcPr>
          <w:p w14:paraId="48467CB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37.7</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532B5DA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2F552EC0" w14:textId="79CC8FD4"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13</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Hungary,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26F8D9F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71EF35D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00F08A5E"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Hungary</w:t>
            </w:r>
          </w:p>
        </w:tc>
      </w:tr>
      <w:tr w:rsidR="00E92FB8" w:rsidRPr="000855B2" w14:paraId="52A0FEF7"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33CDC952"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78B11ACD"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3D5E220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5F4BFF7E"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0195714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28</w:t>
            </w:r>
          </w:p>
        </w:tc>
        <w:tc>
          <w:tcPr>
            <w:tcW w:w="593" w:type="dxa"/>
            <w:tcBorders>
              <w:top w:val="nil"/>
              <w:left w:val="nil"/>
              <w:bottom w:val="single" w:sz="12" w:space="0" w:color="auto"/>
              <w:right w:val="single" w:sz="4" w:space="0" w:color="auto"/>
            </w:tcBorders>
            <w:shd w:val="clear" w:color="auto" w:fill="auto"/>
            <w:noWrap/>
            <w:vAlign w:val="center"/>
          </w:tcPr>
          <w:p w14:paraId="5D273E8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4595BDEB"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1CA3CA9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F29E8B3"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5623555"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23A4AB1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7F434C9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53DE3D8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0FEA796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3140EBD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0.04</w:t>
            </w:r>
          </w:p>
        </w:tc>
        <w:tc>
          <w:tcPr>
            <w:tcW w:w="1583" w:type="dxa"/>
            <w:tcBorders>
              <w:top w:val="single" w:sz="12" w:space="0" w:color="auto"/>
              <w:left w:val="nil"/>
              <w:bottom w:val="single" w:sz="4" w:space="0" w:color="auto"/>
              <w:right w:val="nil"/>
            </w:tcBorders>
            <w:shd w:val="clear" w:color="auto" w:fill="auto"/>
            <w:noWrap/>
            <w:vAlign w:val="center"/>
          </w:tcPr>
          <w:p w14:paraId="22A5700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9.89</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FC68D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45CAC62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5D0F28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7BF59E5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6.60</w:t>
            </w:r>
          </w:p>
        </w:tc>
        <w:tc>
          <w:tcPr>
            <w:tcW w:w="675" w:type="dxa"/>
            <w:tcBorders>
              <w:top w:val="nil"/>
              <w:left w:val="nil"/>
              <w:bottom w:val="single" w:sz="4" w:space="0" w:color="auto"/>
              <w:right w:val="single" w:sz="4" w:space="0" w:color="auto"/>
            </w:tcBorders>
            <w:shd w:val="clear" w:color="auto" w:fill="auto"/>
            <w:noWrap/>
            <w:vAlign w:val="center"/>
          </w:tcPr>
          <w:p w14:paraId="18C7E29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11.9</w:t>
            </w:r>
          </w:p>
        </w:tc>
        <w:tc>
          <w:tcPr>
            <w:tcW w:w="1296" w:type="dxa"/>
            <w:tcBorders>
              <w:top w:val="nil"/>
              <w:left w:val="nil"/>
              <w:bottom w:val="single" w:sz="4" w:space="0" w:color="auto"/>
              <w:right w:val="single" w:sz="4" w:space="0" w:color="auto"/>
            </w:tcBorders>
            <w:shd w:val="clear" w:color="auto" w:fill="auto"/>
            <w:noWrap/>
            <w:vAlign w:val="center"/>
          </w:tcPr>
          <w:p w14:paraId="474BBDC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730" w:type="dxa"/>
            <w:tcBorders>
              <w:top w:val="nil"/>
              <w:left w:val="nil"/>
              <w:bottom w:val="single" w:sz="4" w:space="0" w:color="auto"/>
              <w:right w:val="single" w:sz="4" w:space="0" w:color="auto"/>
            </w:tcBorders>
            <w:shd w:val="clear" w:color="auto" w:fill="auto"/>
            <w:noWrap/>
            <w:vAlign w:val="center"/>
          </w:tcPr>
          <w:p w14:paraId="3FBD353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93" w:type="dxa"/>
            <w:tcBorders>
              <w:top w:val="nil"/>
              <w:left w:val="nil"/>
              <w:bottom w:val="single" w:sz="4" w:space="0" w:color="auto"/>
              <w:right w:val="single" w:sz="4" w:space="0" w:color="auto"/>
            </w:tcBorders>
            <w:shd w:val="clear" w:color="auto" w:fill="auto"/>
            <w:noWrap/>
            <w:vAlign w:val="center"/>
          </w:tcPr>
          <w:p w14:paraId="58B0683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1.98</w:t>
            </w:r>
          </w:p>
        </w:tc>
        <w:tc>
          <w:tcPr>
            <w:tcW w:w="1583" w:type="dxa"/>
            <w:tcBorders>
              <w:top w:val="nil"/>
              <w:left w:val="nil"/>
              <w:bottom w:val="single" w:sz="4" w:space="0" w:color="auto"/>
              <w:right w:val="nil"/>
            </w:tcBorders>
            <w:shd w:val="clear" w:color="auto" w:fill="auto"/>
            <w:noWrap/>
            <w:vAlign w:val="center"/>
          </w:tcPr>
          <w:p w14:paraId="029AAD8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10.21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30083B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38F93F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F1F89A6"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7F050D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205</w:t>
            </w:r>
          </w:p>
        </w:tc>
        <w:tc>
          <w:tcPr>
            <w:tcW w:w="675" w:type="dxa"/>
            <w:tcBorders>
              <w:top w:val="nil"/>
              <w:left w:val="nil"/>
              <w:bottom w:val="single" w:sz="4" w:space="0" w:color="auto"/>
              <w:right w:val="single" w:sz="4" w:space="0" w:color="auto"/>
            </w:tcBorders>
            <w:shd w:val="clear" w:color="auto" w:fill="auto"/>
            <w:noWrap/>
            <w:vAlign w:val="center"/>
          </w:tcPr>
          <w:p w14:paraId="695A100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24.7</w:t>
            </w:r>
          </w:p>
        </w:tc>
        <w:tc>
          <w:tcPr>
            <w:tcW w:w="1296" w:type="dxa"/>
            <w:tcBorders>
              <w:top w:val="nil"/>
              <w:left w:val="nil"/>
              <w:bottom w:val="single" w:sz="4" w:space="0" w:color="auto"/>
              <w:right w:val="single" w:sz="4" w:space="0" w:color="auto"/>
            </w:tcBorders>
            <w:shd w:val="clear" w:color="auto" w:fill="auto"/>
            <w:noWrap/>
            <w:vAlign w:val="center"/>
          </w:tcPr>
          <w:p w14:paraId="3F26117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23.6</w:t>
            </w:r>
          </w:p>
        </w:tc>
        <w:tc>
          <w:tcPr>
            <w:tcW w:w="730" w:type="dxa"/>
            <w:tcBorders>
              <w:top w:val="nil"/>
              <w:left w:val="nil"/>
              <w:bottom w:val="single" w:sz="4" w:space="0" w:color="auto"/>
              <w:right w:val="single" w:sz="4" w:space="0" w:color="auto"/>
            </w:tcBorders>
            <w:shd w:val="clear" w:color="auto" w:fill="auto"/>
            <w:noWrap/>
            <w:vAlign w:val="center"/>
          </w:tcPr>
          <w:p w14:paraId="327A020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1.42</w:t>
            </w:r>
          </w:p>
        </w:tc>
        <w:tc>
          <w:tcPr>
            <w:tcW w:w="593" w:type="dxa"/>
            <w:tcBorders>
              <w:top w:val="nil"/>
              <w:left w:val="nil"/>
              <w:bottom w:val="single" w:sz="4" w:space="0" w:color="auto"/>
              <w:right w:val="single" w:sz="4" w:space="0" w:color="auto"/>
            </w:tcBorders>
            <w:shd w:val="clear" w:color="auto" w:fill="auto"/>
            <w:noWrap/>
            <w:vAlign w:val="center"/>
          </w:tcPr>
          <w:p w14:paraId="0DAC14D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nil"/>
              <w:left w:val="nil"/>
              <w:bottom w:val="single" w:sz="4" w:space="0" w:color="auto"/>
              <w:right w:val="nil"/>
            </w:tcBorders>
            <w:shd w:val="clear" w:color="auto" w:fill="auto"/>
            <w:noWrap/>
            <w:vAlign w:val="center"/>
          </w:tcPr>
          <w:p w14:paraId="1DA9521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3BEA36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9BDE4A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62C33A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8C5C3F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9.22</w:t>
            </w:r>
          </w:p>
        </w:tc>
        <w:tc>
          <w:tcPr>
            <w:tcW w:w="675" w:type="dxa"/>
            <w:tcBorders>
              <w:top w:val="nil"/>
              <w:left w:val="nil"/>
              <w:bottom w:val="single" w:sz="4" w:space="0" w:color="auto"/>
              <w:right w:val="single" w:sz="4" w:space="0" w:color="auto"/>
            </w:tcBorders>
            <w:shd w:val="clear" w:color="auto" w:fill="auto"/>
            <w:noWrap/>
            <w:vAlign w:val="center"/>
          </w:tcPr>
          <w:p w14:paraId="75FAB2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16.8</w:t>
            </w:r>
          </w:p>
        </w:tc>
        <w:tc>
          <w:tcPr>
            <w:tcW w:w="1296" w:type="dxa"/>
            <w:tcBorders>
              <w:top w:val="nil"/>
              <w:left w:val="nil"/>
              <w:bottom w:val="single" w:sz="4" w:space="0" w:color="auto"/>
              <w:right w:val="single" w:sz="4" w:space="0" w:color="auto"/>
            </w:tcBorders>
            <w:shd w:val="clear" w:color="auto" w:fill="auto"/>
            <w:noWrap/>
            <w:vAlign w:val="center"/>
          </w:tcPr>
          <w:p w14:paraId="2D93D4A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1.73</w:t>
            </w:r>
          </w:p>
        </w:tc>
        <w:tc>
          <w:tcPr>
            <w:tcW w:w="730" w:type="dxa"/>
            <w:tcBorders>
              <w:top w:val="nil"/>
              <w:left w:val="nil"/>
              <w:bottom w:val="single" w:sz="4" w:space="0" w:color="auto"/>
              <w:right w:val="single" w:sz="4" w:space="0" w:color="auto"/>
            </w:tcBorders>
            <w:shd w:val="clear" w:color="auto" w:fill="auto"/>
            <w:noWrap/>
            <w:vAlign w:val="center"/>
          </w:tcPr>
          <w:p w14:paraId="1B50E6A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0.15</w:t>
            </w:r>
          </w:p>
        </w:tc>
        <w:tc>
          <w:tcPr>
            <w:tcW w:w="593" w:type="dxa"/>
            <w:tcBorders>
              <w:top w:val="nil"/>
              <w:left w:val="nil"/>
              <w:bottom w:val="single" w:sz="4" w:space="0" w:color="auto"/>
              <w:right w:val="single" w:sz="4" w:space="0" w:color="auto"/>
            </w:tcBorders>
            <w:shd w:val="clear" w:color="auto" w:fill="auto"/>
            <w:noWrap/>
            <w:vAlign w:val="center"/>
          </w:tcPr>
          <w:p w14:paraId="09AD570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2.16</w:t>
            </w:r>
          </w:p>
        </w:tc>
        <w:tc>
          <w:tcPr>
            <w:tcW w:w="1583" w:type="dxa"/>
            <w:tcBorders>
              <w:top w:val="nil"/>
              <w:left w:val="nil"/>
              <w:bottom w:val="single" w:sz="4" w:space="0" w:color="auto"/>
              <w:right w:val="nil"/>
            </w:tcBorders>
            <w:shd w:val="clear" w:color="auto" w:fill="auto"/>
            <w:noWrap/>
            <w:vAlign w:val="center"/>
          </w:tcPr>
          <w:p w14:paraId="59F18B6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27CD32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19CBE12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4FA8255"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4966EDA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9.00</w:t>
            </w:r>
          </w:p>
        </w:tc>
        <w:tc>
          <w:tcPr>
            <w:tcW w:w="675" w:type="dxa"/>
            <w:tcBorders>
              <w:top w:val="nil"/>
              <w:left w:val="nil"/>
              <w:bottom w:val="single" w:sz="4" w:space="0" w:color="auto"/>
              <w:right w:val="single" w:sz="4" w:space="0" w:color="auto"/>
            </w:tcBorders>
            <w:shd w:val="clear" w:color="auto" w:fill="auto"/>
            <w:noWrap/>
            <w:vAlign w:val="center"/>
          </w:tcPr>
          <w:p w14:paraId="0CB782A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37.9</w:t>
            </w:r>
          </w:p>
        </w:tc>
        <w:tc>
          <w:tcPr>
            <w:tcW w:w="1296" w:type="dxa"/>
            <w:tcBorders>
              <w:top w:val="nil"/>
              <w:left w:val="nil"/>
              <w:bottom w:val="single" w:sz="4" w:space="0" w:color="auto"/>
              <w:right w:val="single" w:sz="4" w:space="0" w:color="auto"/>
            </w:tcBorders>
            <w:shd w:val="clear" w:color="auto" w:fill="auto"/>
            <w:noWrap/>
            <w:vAlign w:val="center"/>
          </w:tcPr>
          <w:p w14:paraId="771CCF0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730" w:type="dxa"/>
            <w:tcBorders>
              <w:top w:val="nil"/>
              <w:left w:val="nil"/>
              <w:bottom w:val="single" w:sz="4" w:space="0" w:color="auto"/>
              <w:right w:val="single" w:sz="4" w:space="0" w:color="auto"/>
            </w:tcBorders>
            <w:shd w:val="clear" w:color="auto" w:fill="auto"/>
            <w:noWrap/>
            <w:vAlign w:val="center"/>
          </w:tcPr>
          <w:p w14:paraId="273E675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0.30</w:t>
            </w:r>
          </w:p>
        </w:tc>
        <w:tc>
          <w:tcPr>
            <w:tcW w:w="593" w:type="dxa"/>
            <w:tcBorders>
              <w:top w:val="nil"/>
              <w:left w:val="nil"/>
              <w:bottom w:val="single" w:sz="4" w:space="0" w:color="auto"/>
              <w:right w:val="single" w:sz="4" w:space="0" w:color="auto"/>
            </w:tcBorders>
            <w:shd w:val="clear" w:color="auto" w:fill="auto"/>
            <w:noWrap/>
            <w:vAlign w:val="center"/>
          </w:tcPr>
          <w:p w14:paraId="200FC9A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583" w:type="dxa"/>
            <w:tcBorders>
              <w:top w:val="nil"/>
              <w:left w:val="nil"/>
              <w:bottom w:val="single" w:sz="4" w:space="0" w:color="auto"/>
              <w:right w:val="nil"/>
            </w:tcBorders>
            <w:shd w:val="clear" w:color="auto" w:fill="auto"/>
            <w:noWrap/>
            <w:vAlign w:val="center"/>
          </w:tcPr>
          <w:p w14:paraId="18B6E87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C0152A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BBFD7A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D8A4A66"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7D54F6B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9.30</w:t>
            </w:r>
          </w:p>
        </w:tc>
        <w:tc>
          <w:tcPr>
            <w:tcW w:w="675" w:type="dxa"/>
            <w:tcBorders>
              <w:top w:val="nil"/>
              <w:left w:val="nil"/>
              <w:bottom w:val="single" w:sz="4" w:space="0" w:color="auto"/>
              <w:right w:val="single" w:sz="4" w:space="0" w:color="auto"/>
            </w:tcBorders>
            <w:shd w:val="clear" w:color="auto" w:fill="auto"/>
            <w:noWrap/>
            <w:vAlign w:val="center"/>
          </w:tcPr>
          <w:p w14:paraId="3F8A4F4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36.7</w:t>
            </w:r>
          </w:p>
        </w:tc>
        <w:tc>
          <w:tcPr>
            <w:tcW w:w="1296" w:type="dxa"/>
            <w:tcBorders>
              <w:top w:val="nil"/>
              <w:left w:val="nil"/>
              <w:bottom w:val="single" w:sz="4" w:space="0" w:color="auto"/>
              <w:right w:val="single" w:sz="4" w:space="0" w:color="auto"/>
            </w:tcBorders>
            <w:shd w:val="clear" w:color="auto" w:fill="auto"/>
            <w:noWrap/>
            <w:vAlign w:val="center"/>
          </w:tcPr>
          <w:p w14:paraId="381148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2.86</w:t>
            </w:r>
          </w:p>
        </w:tc>
        <w:tc>
          <w:tcPr>
            <w:tcW w:w="730" w:type="dxa"/>
            <w:tcBorders>
              <w:top w:val="nil"/>
              <w:left w:val="nil"/>
              <w:bottom w:val="single" w:sz="4" w:space="0" w:color="auto"/>
              <w:right w:val="single" w:sz="4" w:space="0" w:color="auto"/>
            </w:tcBorders>
            <w:shd w:val="clear" w:color="auto" w:fill="auto"/>
            <w:noWrap/>
            <w:vAlign w:val="center"/>
          </w:tcPr>
          <w:p w14:paraId="0A13E5A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385CD9C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583" w:type="dxa"/>
            <w:tcBorders>
              <w:top w:val="nil"/>
              <w:left w:val="nil"/>
              <w:bottom w:val="single" w:sz="4" w:space="0" w:color="auto"/>
              <w:right w:val="nil"/>
            </w:tcBorders>
            <w:shd w:val="clear" w:color="auto" w:fill="auto"/>
            <w:noWrap/>
            <w:vAlign w:val="center"/>
          </w:tcPr>
          <w:p w14:paraId="5D1C93E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C628CC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66471B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9C028CE"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0BEA679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599</w:t>
            </w:r>
          </w:p>
        </w:tc>
        <w:tc>
          <w:tcPr>
            <w:tcW w:w="675" w:type="dxa"/>
            <w:tcBorders>
              <w:top w:val="nil"/>
              <w:left w:val="nil"/>
              <w:bottom w:val="single" w:sz="4" w:space="0" w:color="auto"/>
              <w:right w:val="single" w:sz="4" w:space="0" w:color="auto"/>
            </w:tcBorders>
            <w:shd w:val="clear" w:color="auto" w:fill="auto"/>
            <w:noWrap/>
            <w:vAlign w:val="center"/>
          </w:tcPr>
          <w:p w14:paraId="3A93DB6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1296" w:type="dxa"/>
            <w:tcBorders>
              <w:top w:val="nil"/>
              <w:left w:val="nil"/>
              <w:bottom w:val="single" w:sz="4" w:space="0" w:color="auto"/>
              <w:right w:val="single" w:sz="4" w:space="0" w:color="auto"/>
            </w:tcBorders>
            <w:shd w:val="clear" w:color="auto" w:fill="auto"/>
            <w:noWrap/>
            <w:vAlign w:val="center"/>
          </w:tcPr>
          <w:p w14:paraId="5554BAF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377</w:t>
            </w:r>
          </w:p>
        </w:tc>
        <w:tc>
          <w:tcPr>
            <w:tcW w:w="730" w:type="dxa"/>
            <w:tcBorders>
              <w:top w:val="nil"/>
              <w:left w:val="nil"/>
              <w:bottom w:val="single" w:sz="4" w:space="0" w:color="auto"/>
              <w:right w:val="single" w:sz="4" w:space="0" w:color="auto"/>
            </w:tcBorders>
            <w:shd w:val="clear" w:color="auto" w:fill="auto"/>
            <w:noWrap/>
            <w:vAlign w:val="center"/>
          </w:tcPr>
          <w:p w14:paraId="2E9540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6.29</w:t>
            </w:r>
          </w:p>
        </w:tc>
        <w:tc>
          <w:tcPr>
            <w:tcW w:w="593" w:type="dxa"/>
            <w:tcBorders>
              <w:top w:val="nil"/>
              <w:left w:val="nil"/>
              <w:bottom w:val="single" w:sz="4" w:space="0" w:color="auto"/>
              <w:right w:val="single" w:sz="4" w:space="0" w:color="auto"/>
            </w:tcBorders>
            <w:shd w:val="clear" w:color="auto" w:fill="auto"/>
            <w:noWrap/>
            <w:vAlign w:val="center"/>
          </w:tcPr>
          <w:p w14:paraId="2ECD577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6.80</w:t>
            </w:r>
          </w:p>
        </w:tc>
        <w:tc>
          <w:tcPr>
            <w:tcW w:w="1583" w:type="dxa"/>
            <w:tcBorders>
              <w:top w:val="nil"/>
              <w:left w:val="nil"/>
              <w:bottom w:val="single" w:sz="4" w:space="0" w:color="auto"/>
              <w:right w:val="nil"/>
            </w:tcBorders>
            <w:shd w:val="clear" w:color="auto" w:fill="auto"/>
            <w:noWrap/>
            <w:vAlign w:val="center"/>
          </w:tcPr>
          <w:p w14:paraId="16A085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732794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FD66027"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66A4A4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16B12BE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511</w:t>
            </w:r>
          </w:p>
        </w:tc>
        <w:tc>
          <w:tcPr>
            <w:tcW w:w="675" w:type="dxa"/>
            <w:tcBorders>
              <w:top w:val="nil"/>
              <w:left w:val="nil"/>
              <w:bottom w:val="double" w:sz="6" w:space="0" w:color="auto"/>
              <w:right w:val="single" w:sz="4" w:space="0" w:color="auto"/>
            </w:tcBorders>
            <w:shd w:val="clear" w:color="auto" w:fill="auto"/>
            <w:noWrap/>
            <w:vAlign w:val="center"/>
          </w:tcPr>
          <w:p w14:paraId="25ED7AF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2.80</w:t>
            </w:r>
          </w:p>
        </w:tc>
        <w:tc>
          <w:tcPr>
            <w:tcW w:w="1296" w:type="dxa"/>
            <w:tcBorders>
              <w:top w:val="nil"/>
              <w:left w:val="nil"/>
              <w:bottom w:val="double" w:sz="6" w:space="0" w:color="auto"/>
              <w:right w:val="single" w:sz="4" w:space="0" w:color="auto"/>
            </w:tcBorders>
            <w:shd w:val="clear" w:color="auto" w:fill="auto"/>
            <w:noWrap/>
            <w:vAlign w:val="center"/>
          </w:tcPr>
          <w:p w14:paraId="2293CF0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321</w:t>
            </w:r>
          </w:p>
        </w:tc>
        <w:tc>
          <w:tcPr>
            <w:tcW w:w="730" w:type="dxa"/>
            <w:tcBorders>
              <w:top w:val="nil"/>
              <w:left w:val="nil"/>
              <w:bottom w:val="double" w:sz="6" w:space="0" w:color="auto"/>
              <w:right w:val="single" w:sz="4" w:space="0" w:color="auto"/>
            </w:tcBorders>
            <w:shd w:val="clear" w:color="auto" w:fill="auto"/>
            <w:noWrap/>
            <w:vAlign w:val="center"/>
          </w:tcPr>
          <w:p w14:paraId="1B79B28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7.06</w:t>
            </w:r>
          </w:p>
        </w:tc>
        <w:tc>
          <w:tcPr>
            <w:tcW w:w="593" w:type="dxa"/>
            <w:tcBorders>
              <w:top w:val="nil"/>
              <w:left w:val="nil"/>
              <w:bottom w:val="double" w:sz="6" w:space="0" w:color="auto"/>
              <w:right w:val="single" w:sz="4" w:space="0" w:color="auto"/>
            </w:tcBorders>
            <w:shd w:val="clear" w:color="auto" w:fill="auto"/>
            <w:noWrap/>
            <w:vAlign w:val="center"/>
          </w:tcPr>
          <w:p w14:paraId="26C1E7D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4.94</w:t>
            </w:r>
          </w:p>
        </w:tc>
        <w:tc>
          <w:tcPr>
            <w:tcW w:w="1583" w:type="dxa"/>
            <w:tcBorders>
              <w:top w:val="nil"/>
              <w:left w:val="nil"/>
              <w:bottom w:val="double" w:sz="6" w:space="0" w:color="auto"/>
              <w:right w:val="nil"/>
            </w:tcBorders>
            <w:shd w:val="clear" w:color="auto" w:fill="auto"/>
            <w:noWrap/>
            <w:vAlign w:val="center"/>
          </w:tcPr>
          <w:p w14:paraId="77E7E8F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65.0</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16E0241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4E33760F" w14:textId="2302B7D0"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14</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Ireland,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48B5CA02"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2744F8A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1C03613B"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Ireland</w:t>
            </w:r>
          </w:p>
        </w:tc>
      </w:tr>
      <w:tr w:rsidR="00E92FB8" w:rsidRPr="000855B2" w14:paraId="357EA371"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11383B3"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64B01CC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534BF0D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2362DCB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22BA414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29</w:t>
            </w:r>
          </w:p>
        </w:tc>
        <w:tc>
          <w:tcPr>
            <w:tcW w:w="593" w:type="dxa"/>
            <w:tcBorders>
              <w:top w:val="nil"/>
              <w:left w:val="nil"/>
              <w:bottom w:val="single" w:sz="12" w:space="0" w:color="auto"/>
              <w:right w:val="single" w:sz="4" w:space="0" w:color="auto"/>
            </w:tcBorders>
            <w:shd w:val="clear" w:color="auto" w:fill="auto"/>
            <w:noWrap/>
            <w:vAlign w:val="center"/>
          </w:tcPr>
          <w:p w14:paraId="5E682B9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5D5D536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6054EFC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16FB660"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56510835"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DB4B12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63.8</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17FCB4C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5.34</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54AF218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7.10</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5DA755C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0.64</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77934DB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691896A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9.14</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6F58819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52AC46D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5B44FE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116B02C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4.47</w:t>
            </w:r>
          </w:p>
        </w:tc>
        <w:tc>
          <w:tcPr>
            <w:tcW w:w="675" w:type="dxa"/>
            <w:tcBorders>
              <w:top w:val="nil"/>
              <w:left w:val="nil"/>
              <w:bottom w:val="single" w:sz="4" w:space="0" w:color="auto"/>
              <w:right w:val="single" w:sz="4" w:space="0" w:color="auto"/>
            </w:tcBorders>
            <w:shd w:val="clear" w:color="auto" w:fill="auto"/>
            <w:noWrap/>
            <w:vAlign w:val="center"/>
          </w:tcPr>
          <w:p w14:paraId="5156514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296" w:type="dxa"/>
            <w:tcBorders>
              <w:top w:val="nil"/>
              <w:left w:val="nil"/>
              <w:bottom w:val="single" w:sz="4" w:space="0" w:color="auto"/>
              <w:right w:val="single" w:sz="4" w:space="0" w:color="auto"/>
            </w:tcBorders>
            <w:shd w:val="clear" w:color="auto" w:fill="auto"/>
            <w:noWrap/>
            <w:vAlign w:val="center"/>
          </w:tcPr>
          <w:p w14:paraId="7779DBF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0.88</w:t>
            </w:r>
          </w:p>
        </w:tc>
        <w:tc>
          <w:tcPr>
            <w:tcW w:w="730" w:type="dxa"/>
            <w:tcBorders>
              <w:top w:val="nil"/>
              <w:left w:val="nil"/>
              <w:bottom w:val="single" w:sz="4" w:space="0" w:color="auto"/>
              <w:right w:val="single" w:sz="4" w:space="0" w:color="auto"/>
            </w:tcBorders>
            <w:shd w:val="clear" w:color="auto" w:fill="auto"/>
            <w:noWrap/>
            <w:vAlign w:val="center"/>
          </w:tcPr>
          <w:p w14:paraId="18F8D9F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0.12</w:t>
            </w:r>
          </w:p>
        </w:tc>
        <w:tc>
          <w:tcPr>
            <w:tcW w:w="593" w:type="dxa"/>
            <w:tcBorders>
              <w:top w:val="nil"/>
              <w:left w:val="nil"/>
              <w:bottom w:val="single" w:sz="4" w:space="0" w:color="auto"/>
              <w:right w:val="single" w:sz="4" w:space="0" w:color="auto"/>
            </w:tcBorders>
            <w:shd w:val="clear" w:color="auto" w:fill="auto"/>
            <w:noWrap/>
            <w:vAlign w:val="center"/>
          </w:tcPr>
          <w:p w14:paraId="1DCEB1F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583" w:type="dxa"/>
            <w:tcBorders>
              <w:top w:val="nil"/>
              <w:left w:val="nil"/>
              <w:bottom w:val="single" w:sz="4" w:space="0" w:color="auto"/>
              <w:right w:val="nil"/>
            </w:tcBorders>
            <w:shd w:val="clear" w:color="auto" w:fill="auto"/>
            <w:noWrap/>
            <w:vAlign w:val="center"/>
          </w:tcPr>
          <w:p w14:paraId="1D8E5DB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9.23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9AF3C6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093A72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6261AF1"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EE466E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w:t>
            </w:r>
          </w:p>
        </w:tc>
        <w:tc>
          <w:tcPr>
            <w:tcW w:w="675" w:type="dxa"/>
            <w:tcBorders>
              <w:top w:val="nil"/>
              <w:left w:val="nil"/>
              <w:bottom w:val="single" w:sz="4" w:space="0" w:color="auto"/>
              <w:right w:val="single" w:sz="4" w:space="0" w:color="auto"/>
            </w:tcBorders>
            <w:shd w:val="clear" w:color="auto" w:fill="auto"/>
            <w:noWrap/>
            <w:vAlign w:val="center"/>
          </w:tcPr>
          <w:p w14:paraId="4B4D174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w:t>
            </w:r>
          </w:p>
        </w:tc>
        <w:tc>
          <w:tcPr>
            <w:tcW w:w="1296" w:type="dxa"/>
            <w:tcBorders>
              <w:top w:val="nil"/>
              <w:left w:val="nil"/>
              <w:bottom w:val="single" w:sz="4" w:space="0" w:color="auto"/>
              <w:right w:val="single" w:sz="4" w:space="0" w:color="auto"/>
            </w:tcBorders>
            <w:shd w:val="clear" w:color="auto" w:fill="auto"/>
            <w:noWrap/>
            <w:vAlign w:val="center"/>
          </w:tcPr>
          <w:p w14:paraId="67827A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730" w:type="dxa"/>
            <w:tcBorders>
              <w:top w:val="nil"/>
              <w:left w:val="nil"/>
              <w:bottom w:val="single" w:sz="4" w:space="0" w:color="auto"/>
              <w:right w:val="single" w:sz="4" w:space="0" w:color="auto"/>
            </w:tcBorders>
            <w:shd w:val="clear" w:color="auto" w:fill="auto"/>
            <w:noWrap/>
            <w:vAlign w:val="center"/>
          </w:tcPr>
          <w:p w14:paraId="1391F3B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61403C0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784CA6D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4.76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FAAA54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4B6886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B7F6D0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lastRenderedPageBreak/>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285E5A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7.40</w:t>
            </w:r>
          </w:p>
        </w:tc>
        <w:tc>
          <w:tcPr>
            <w:tcW w:w="675" w:type="dxa"/>
            <w:tcBorders>
              <w:top w:val="nil"/>
              <w:left w:val="nil"/>
              <w:bottom w:val="single" w:sz="4" w:space="0" w:color="auto"/>
              <w:right w:val="single" w:sz="4" w:space="0" w:color="auto"/>
            </w:tcBorders>
            <w:shd w:val="clear" w:color="auto" w:fill="auto"/>
            <w:noWrap/>
            <w:vAlign w:val="center"/>
          </w:tcPr>
          <w:p w14:paraId="45C72DB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15.3</w:t>
            </w:r>
          </w:p>
        </w:tc>
        <w:tc>
          <w:tcPr>
            <w:tcW w:w="1296" w:type="dxa"/>
            <w:tcBorders>
              <w:top w:val="nil"/>
              <w:left w:val="nil"/>
              <w:bottom w:val="single" w:sz="4" w:space="0" w:color="auto"/>
              <w:right w:val="single" w:sz="4" w:space="0" w:color="auto"/>
            </w:tcBorders>
            <w:shd w:val="clear" w:color="auto" w:fill="auto"/>
            <w:noWrap/>
            <w:vAlign w:val="center"/>
          </w:tcPr>
          <w:p w14:paraId="0532030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1.57</w:t>
            </w:r>
          </w:p>
        </w:tc>
        <w:tc>
          <w:tcPr>
            <w:tcW w:w="730" w:type="dxa"/>
            <w:tcBorders>
              <w:top w:val="nil"/>
              <w:left w:val="nil"/>
              <w:bottom w:val="single" w:sz="4" w:space="0" w:color="auto"/>
              <w:right w:val="single" w:sz="4" w:space="0" w:color="auto"/>
            </w:tcBorders>
            <w:shd w:val="clear" w:color="auto" w:fill="auto"/>
            <w:noWrap/>
            <w:vAlign w:val="center"/>
          </w:tcPr>
          <w:p w14:paraId="6AABD25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nil"/>
              <w:left w:val="nil"/>
              <w:bottom w:val="single" w:sz="4" w:space="0" w:color="auto"/>
              <w:right w:val="single" w:sz="4" w:space="0" w:color="auto"/>
            </w:tcBorders>
            <w:shd w:val="clear" w:color="auto" w:fill="auto"/>
            <w:noWrap/>
            <w:vAlign w:val="center"/>
          </w:tcPr>
          <w:p w14:paraId="5CB0BAB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1.52</w:t>
            </w:r>
          </w:p>
        </w:tc>
        <w:tc>
          <w:tcPr>
            <w:tcW w:w="1583" w:type="dxa"/>
            <w:tcBorders>
              <w:top w:val="nil"/>
              <w:left w:val="nil"/>
              <w:bottom w:val="single" w:sz="4" w:space="0" w:color="auto"/>
              <w:right w:val="nil"/>
            </w:tcBorders>
            <w:shd w:val="clear" w:color="auto" w:fill="auto"/>
            <w:noWrap/>
            <w:vAlign w:val="center"/>
          </w:tcPr>
          <w:p w14:paraId="02F8661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E711EC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6CA7D4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99B5BD8"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81F161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4.90</w:t>
            </w:r>
          </w:p>
        </w:tc>
        <w:tc>
          <w:tcPr>
            <w:tcW w:w="675" w:type="dxa"/>
            <w:tcBorders>
              <w:top w:val="nil"/>
              <w:left w:val="nil"/>
              <w:bottom w:val="single" w:sz="4" w:space="0" w:color="auto"/>
              <w:right w:val="single" w:sz="4" w:space="0" w:color="auto"/>
            </w:tcBorders>
            <w:shd w:val="clear" w:color="auto" w:fill="auto"/>
            <w:noWrap/>
            <w:vAlign w:val="center"/>
          </w:tcPr>
          <w:p w14:paraId="4B9EE85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26.6</w:t>
            </w:r>
          </w:p>
        </w:tc>
        <w:tc>
          <w:tcPr>
            <w:tcW w:w="1296" w:type="dxa"/>
            <w:tcBorders>
              <w:top w:val="nil"/>
              <w:left w:val="nil"/>
              <w:bottom w:val="single" w:sz="4" w:space="0" w:color="auto"/>
              <w:right w:val="single" w:sz="4" w:space="0" w:color="auto"/>
            </w:tcBorders>
            <w:shd w:val="clear" w:color="auto" w:fill="auto"/>
            <w:noWrap/>
            <w:vAlign w:val="center"/>
          </w:tcPr>
          <w:p w14:paraId="2A441AB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1.15</w:t>
            </w:r>
          </w:p>
        </w:tc>
        <w:tc>
          <w:tcPr>
            <w:tcW w:w="730" w:type="dxa"/>
            <w:tcBorders>
              <w:top w:val="nil"/>
              <w:left w:val="nil"/>
              <w:bottom w:val="single" w:sz="4" w:space="0" w:color="auto"/>
              <w:right w:val="single" w:sz="4" w:space="0" w:color="auto"/>
            </w:tcBorders>
            <w:shd w:val="clear" w:color="auto" w:fill="auto"/>
            <w:noWrap/>
            <w:vAlign w:val="center"/>
          </w:tcPr>
          <w:p w14:paraId="11C282E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0.07</w:t>
            </w:r>
          </w:p>
        </w:tc>
        <w:tc>
          <w:tcPr>
            <w:tcW w:w="593" w:type="dxa"/>
            <w:tcBorders>
              <w:top w:val="nil"/>
              <w:left w:val="nil"/>
              <w:bottom w:val="single" w:sz="4" w:space="0" w:color="auto"/>
              <w:right w:val="single" w:sz="4" w:space="0" w:color="auto"/>
            </w:tcBorders>
            <w:shd w:val="clear" w:color="auto" w:fill="auto"/>
            <w:noWrap/>
            <w:vAlign w:val="center"/>
          </w:tcPr>
          <w:p w14:paraId="6E2595C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0.54</w:t>
            </w:r>
          </w:p>
        </w:tc>
        <w:tc>
          <w:tcPr>
            <w:tcW w:w="1583" w:type="dxa"/>
            <w:tcBorders>
              <w:top w:val="nil"/>
              <w:left w:val="nil"/>
              <w:bottom w:val="single" w:sz="4" w:space="0" w:color="auto"/>
              <w:right w:val="nil"/>
            </w:tcBorders>
            <w:shd w:val="clear" w:color="auto" w:fill="auto"/>
            <w:noWrap/>
            <w:vAlign w:val="center"/>
          </w:tcPr>
          <w:p w14:paraId="32EF47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09B098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6DECDFB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134EDD3"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76949A2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7.49</w:t>
            </w:r>
          </w:p>
        </w:tc>
        <w:tc>
          <w:tcPr>
            <w:tcW w:w="675" w:type="dxa"/>
            <w:tcBorders>
              <w:top w:val="nil"/>
              <w:left w:val="nil"/>
              <w:bottom w:val="single" w:sz="4" w:space="0" w:color="auto"/>
              <w:right w:val="single" w:sz="4" w:space="0" w:color="auto"/>
            </w:tcBorders>
            <w:shd w:val="clear" w:color="auto" w:fill="auto"/>
            <w:noWrap/>
            <w:vAlign w:val="center"/>
          </w:tcPr>
          <w:p w14:paraId="3DEBD17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32.0</w:t>
            </w:r>
          </w:p>
        </w:tc>
        <w:tc>
          <w:tcPr>
            <w:tcW w:w="1296" w:type="dxa"/>
            <w:tcBorders>
              <w:top w:val="nil"/>
              <w:left w:val="nil"/>
              <w:bottom w:val="single" w:sz="4" w:space="0" w:color="auto"/>
              <w:right w:val="single" w:sz="4" w:space="0" w:color="auto"/>
            </w:tcBorders>
            <w:shd w:val="clear" w:color="auto" w:fill="auto"/>
            <w:noWrap/>
            <w:vAlign w:val="center"/>
          </w:tcPr>
          <w:p w14:paraId="1ACECA4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1.71</w:t>
            </w:r>
          </w:p>
        </w:tc>
        <w:tc>
          <w:tcPr>
            <w:tcW w:w="730" w:type="dxa"/>
            <w:tcBorders>
              <w:top w:val="nil"/>
              <w:left w:val="nil"/>
              <w:bottom w:val="single" w:sz="4" w:space="0" w:color="auto"/>
              <w:right w:val="single" w:sz="4" w:space="0" w:color="auto"/>
            </w:tcBorders>
            <w:shd w:val="clear" w:color="auto" w:fill="auto"/>
            <w:noWrap/>
            <w:vAlign w:val="center"/>
          </w:tcPr>
          <w:p w14:paraId="0A329A5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0.27</w:t>
            </w:r>
          </w:p>
        </w:tc>
        <w:tc>
          <w:tcPr>
            <w:tcW w:w="593" w:type="dxa"/>
            <w:tcBorders>
              <w:top w:val="nil"/>
              <w:left w:val="nil"/>
              <w:bottom w:val="single" w:sz="4" w:space="0" w:color="auto"/>
              <w:right w:val="single" w:sz="4" w:space="0" w:color="auto"/>
            </w:tcBorders>
            <w:shd w:val="clear" w:color="auto" w:fill="auto"/>
            <w:noWrap/>
            <w:vAlign w:val="center"/>
          </w:tcPr>
          <w:p w14:paraId="5257332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1583" w:type="dxa"/>
            <w:tcBorders>
              <w:top w:val="nil"/>
              <w:left w:val="nil"/>
              <w:bottom w:val="single" w:sz="4" w:space="0" w:color="auto"/>
              <w:right w:val="nil"/>
            </w:tcBorders>
            <w:shd w:val="clear" w:color="auto" w:fill="auto"/>
            <w:noWrap/>
            <w:vAlign w:val="center"/>
          </w:tcPr>
          <w:p w14:paraId="7652203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7AA5E3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5187EA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34F1565"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7BF49A3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492</w:t>
            </w:r>
          </w:p>
        </w:tc>
        <w:tc>
          <w:tcPr>
            <w:tcW w:w="675" w:type="dxa"/>
            <w:tcBorders>
              <w:top w:val="nil"/>
              <w:left w:val="nil"/>
              <w:bottom w:val="single" w:sz="4" w:space="0" w:color="auto"/>
              <w:right w:val="single" w:sz="4" w:space="0" w:color="auto"/>
            </w:tcBorders>
            <w:shd w:val="clear" w:color="auto" w:fill="auto"/>
            <w:noWrap/>
            <w:vAlign w:val="center"/>
          </w:tcPr>
          <w:p w14:paraId="71CDC1C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0.82</w:t>
            </w:r>
          </w:p>
        </w:tc>
        <w:tc>
          <w:tcPr>
            <w:tcW w:w="1296" w:type="dxa"/>
            <w:tcBorders>
              <w:top w:val="nil"/>
              <w:left w:val="nil"/>
              <w:bottom w:val="single" w:sz="4" w:space="0" w:color="auto"/>
              <w:right w:val="single" w:sz="4" w:space="0" w:color="auto"/>
            </w:tcBorders>
            <w:shd w:val="clear" w:color="auto" w:fill="auto"/>
            <w:noWrap/>
            <w:vAlign w:val="center"/>
          </w:tcPr>
          <w:p w14:paraId="7D8F719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464</w:t>
            </w:r>
          </w:p>
        </w:tc>
        <w:tc>
          <w:tcPr>
            <w:tcW w:w="730" w:type="dxa"/>
            <w:tcBorders>
              <w:top w:val="nil"/>
              <w:left w:val="nil"/>
              <w:bottom w:val="single" w:sz="4" w:space="0" w:color="auto"/>
              <w:right w:val="single" w:sz="4" w:space="0" w:color="auto"/>
            </w:tcBorders>
            <w:shd w:val="clear" w:color="auto" w:fill="auto"/>
            <w:noWrap/>
            <w:vAlign w:val="center"/>
          </w:tcPr>
          <w:p w14:paraId="0306862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7.60</w:t>
            </w:r>
          </w:p>
        </w:tc>
        <w:tc>
          <w:tcPr>
            <w:tcW w:w="593" w:type="dxa"/>
            <w:tcBorders>
              <w:top w:val="nil"/>
              <w:left w:val="nil"/>
              <w:bottom w:val="single" w:sz="4" w:space="0" w:color="auto"/>
              <w:right w:val="single" w:sz="4" w:space="0" w:color="auto"/>
            </w:tcBorders>
            <w:shd w:val="clear" w:color="auto" w:fill="auto"/>
            <w:noWrap/>
            <w:vAlign w:val="center"/>
          </w:tcPr>
          <w:p w14:paraId="2C55523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7.11</w:t>
            </w:r>
          </w:p>
        </w:tc>
        <w:tc>
          <w:tcPr>
            <w:tcW w:w="1583" w:type="dxa"/>
            <w:tcBorders>
              <w:top w:val="nil"/>
              <w:left w:val="nil"/>
              <w:bottom w:val="single" w:sz="4" w:space="0" w:color="auto"/>
              <w:right w:val="nil"/>
            </w:tcBorders>
            <w:shd w:val="clear" w:color="auto" w:fill="auto"/>
            <w:noWrap/>
            <w:vAlign w:val="center"/>
          </w:tcPr>
          <w:p w14:paraId="6040163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5A0639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6BEF725B"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7BEAEDE"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4947665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628</w:t>
            </w:r>
          </w:p>
        </w:tc>
        <w:tc>
          <w:tcPr>
            <w:tcW w:w="675" w:type="dxa"/>
            <w:tcBorders>
              <w:top w:val="nil"/>
              <w:left w:val="nil"/>
              <w:bottom w:val="double" w:sz="6" w:space="0" w:color="auto"/>
              <w:right w:val="single" w:sz="4" w:space="0" w:color="auto"/>
            </w:tcBorders>
            <w:shd w:val="clear" w:color="auto" w:fill="auto"/>
            <w:noWrap/>
            <w:vAlign w:val="center"/>
          </w:tcPr>
          <w:p w14:paraId="532D324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5.93</w:t>
            </w:r>
          </w:p>
        </w:tc>
        <w:tc>
          <w:tcPr>
            <w:tcW w:w="1296" w:type="dxa"/>
            <w:tcBorders>
              <w:top w:val="nil"/>
              <w:left w:val="nil"/>
              <w:bottom w:val="double" w:sz="6" w:space="0" w:color="auto"/>
              <w:right w:val="single" w:sz="4" w:space="0" w:color="auto"/>
            </w:tcBorders>
            <w:shd w:val="clear" w:color="auto" w:fill="auto"/>
            <w:noWrap/>
            <w:vAlign w:val="center"/>
          </w:tcPr>
          <w:p w14:paraId="07EF9E0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67.7</w:t>
            </w:r>
          </w:p>
        </w:tc>
        <w:tc>
          <w:tcPr>
            <w:tcW w:w="730" w:type="dxa"/>
            <w:tcBorders>
              <w:top w:val="nil"/>
              <w:left w:val="nil"/>
              <w:bottom w:val="double" w:sz="6" w:space="0" w:color="auto"/>
              <w:right w:val="single" w:sz="4" w:space="0" w:color="auto"/>
            </w:tcBorders>
            <w:shd w:val="clear" w:color="auto" w:fill="auto"/>
            <w:noWrap/>
            <w:vAlign w:val="center"/>
          </w:tcPr>
          <w:p w14:paraId="0E8D1A4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5.59</w:t>
            </w:r>
          </w:p>
        </w:tc>
        <w:tc>
          <w:tcPr>
            <w:tcW w:w="593" w:type="dxa"/>
            <w:tcBorders>
              <w:top w:val="nil"/>
              <w:left w:val="nil"/>
              <w:bottom w:val="double" w:sz="6" w:space="0" w:color="auto"/>
              <w:right w:val="single" w:sz="4" w:space="0" w:color="auto"/>
            </w:tcBorders>
            <w:shd w:val="clear" w:color="auto" w:fill="auto"/>
            <w:noWrap/>
            <w:vAlign w:val="center"/>
          </w:tcPr>
          <w:p w14:paraId="5636CD9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0.98</w:t>
            </w:r>
          </w:p>
        </w:tc>
        <w:tc>
          <w:tcPr>
            <w:tcW w:w="1583" w:type="dxa"/>
            <w:tcBorders>
              <w:top w:val="nil"/>
              <w:left w:val="nil"/>
              <w:bottom w:val="double" w:sz="6" w:space="0" w:color="auto"/>
              <w:right w:val="nil"/>
            </w:tcBorders>
            <w:shd w:val="clear" w:color="auto" w:fill="auto"/>
            <w:noWrap/>
            <w:vAlign w:val="center"/>
          </w:tcPr>
          <w:p w14:paraId="0F792C7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36AB7D3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C0302EB" w14:textId="1C78DF50"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15</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Italy,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3DF503D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7A93E6EE"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170F387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Italy</w:t>
            </w:r>
          </w:p>
        </w:tc>
      </w:tr>
      <w:tr w:rsidR="00E92FB8" w:rsidRPr="000855B2" w14:paraId="75159BB2"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7BA04EAD"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4FF7365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59EB7174"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386C598A"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2FB3DA4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15</w:t>
            </w:r>
          </w:p>
        </w:tc>
        <w:tc>
          <w:tcPr>
            <w:tcW w:w="593" w:type="dxa"/>
            <w:tcBorders>
              <w:top w:val="nil"/>
              <w:left w:val="nil"/>
              <w:bottom w:val="single" w:sz="12" w:space="0" w:color="auto"/>
              <w:right w:val="single" w:sz="4" w:space="0" w:color="auto"/>
            </w:tcBorders>
            <w:shd w:val="clear" w:color="auto" w:fill="auto"/>
            <w:noWrap/>
            <w:vAlign w:val="center"/>
          </w:tcPr>
          <w:p w14:paraId="21C992C9"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4D10FD5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1FD2CD2B"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39042984"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5902FAE4"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25FE72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85.2</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143393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8.77</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19A8581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11.66</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6A47F18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50A727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5CD6C4B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9.44</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64610E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040A34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FB9897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3BDC66C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2.88</w:t>
            </w:r>
          </w:p>
        </w:tc>
        <w:tc>
          <w:tcPr>
            <w:tcW w:w="675" w:type="dxa"/>
            <w:tcBorders>
              <w:top w:val="nil"/>
              <w:left w:val="nil"/>
              <w:bottom w:val="single" w:sz="4" w:space="0" w:color="auto"/>
              <w:right w:val="single" w:sz="4" w:space="0" w:color="auto"/>
            </w:tcBorders>
            <w:shd w:val="clear" w:color="auto" w:fill="auto"/>
            <w:noWrap/>
            <w:vAlign w:val="center"/>
          </w:tcPr>
          <w:p w14:paraId="115F257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13.3</w:t>
            </w:r>
          </w:p>
        </w:tc>
        <w:tc>
          <w:tcPr>
            <w:tcW w:w="1296" w:type="dxa"/>
            <w:tcBorders>
              <w:top w:val="nil"/>
              <w:left w:val="nil"/>
              <w:bottom w:val="single" w:sz="4" w:space="0" w:color="auto"/>
              <w:right w:val="single" w:sz="4" w:space="0" w:color="auto"/>
            </w:tcBorders>
            <w:shd w:val="clear" w:color="auto" w:fill="auto"/>
            <w:noWrap/>
            <w:vAlign w:val="center"/>
          </w:tcPr>
          <w:p w14:paraId="0A2D7C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0.62</w:t>
            </w:r>
          </w:p>
        </w:tc>
        <w:tc>
          <w:tcPr>
            <w:tcW w:w="730" w:type="dxa"/>
            <w:tcBorders>
              <w:top w:val="nil"/>
              <w:left w:val="nil"/>
              <w:bottom w:val="single" w:sz="4" w:space="0" w:color="auto"/>
              <w:right w:val="single" w:sz="4" w:space="0" w:color="auto"/>
            </w:tcBorders>
            <w:shd w:val="clear" w:color="auto" w:fill="auto"/>
            <w:noWrap/>
            <w:vAlign w:val="center"/>
          </w:tcPr>
          <w:p w14:paraId="0E12247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690EDBF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1.06</w:t>
            </w:r>
          </w:p>
        </w:tc>
        <w:tc>
          <w:tcPr>
            <w:tcW w:w="1583" w:type="dxa"/>
            <w:tcBorders>
              <w:top w:val="nil"/>
              <w:left w:val="nil"/>
              <w:bottom w:val="single" w:sz="4" w:space="0" w:color="auto"/>
              <w:right w:val="nil"/>
            </w:tcBorders>
            <w:shd w:val="clear" w:color="auto" w:fill="auto"/>
            <w:noWrap/>
            <w:vAlign w:val="center"/>
          </w:tcPr>
          <w:p w14:paraId="7A19D65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8.77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C41B81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074A8D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AC48880"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00B568B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675" w:type="dxa"/>
            <w:tcBorders>
              <w:top w:val="nil"/>
              <w:left w:val="nil"/>
              <w:bottom w:val="single" w:sz="4" w:space="0" w:color="auto"/>
              <w:right w:val="single" w:sz="4" w:space="0" w:color="auto"/>
            </w:tcBorders>
            <w:shd w:val="clear" w:color="auto" w:fill="auto"/>
            <w:noWrap/>
            <w:vAlign w:val="center"/>
          </w:tcPr>
          <w:p w14:paraId="4A7E587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1296" w:type="dxa"/>
            <w:tcBorders>
              <w:top w:val="nil"/>
              <w:left w:val="nil"/>
              <w:bottom w:val="single" w:sz="4" w:space="0" w:color="auto"/>
              <w:right w:val="single" w:sz="4" w:space="0" w:color="auto"/>
            </w:tcBorders>
            <w:shd w:val="clear" w:color="auto" w:fill="auto"/>
            <w:noWrap/>
            <w:vAlign w:val="center"/>
          </w:tcPr>
          <w:p w14:paraId="6C14CB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730" w:type="dxa"/>
            <w:tcBorders>
              <w:top w:val="nil"/>
              <w:left w:val="nil"/>
              <w:bottom w:val="single" w:sz="4" w:space="0" w:color="auto"/>
              <w:right w:val="single" w:sz="4" w:space="0" w:color="auto"/>
            </w:tcBorders>
            <w:shd w:val="clear" w:color="auto" w:fill="auto"/>
            <w:noWrap/>
            <w:vAlign w:val="center"/>
          </w:tcPr>
          <w:p w14:paraId="74C97C1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593" w:type="dxa"/>
            <w:tcBorders>
              <w:top w:val="nil"/>
              <w:left w:val="nil"/>
              <w:bottom w:val="single" w:sz="4" w:space="0" w:color="auto"/>
              <w:right w:val="single" w:sz="4" w:space="0" w:color="auto"/>
            </w:tcBorders>
            <w:shd w:val="clear" w:color="auto" w:fill="auto"/>
            <w:noWrap/>
            <w:vAlign w:val="center"/>
          </w:tcPr>
          <w:p w14:paraId="70AA035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45505A4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6.26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6A559D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8D1B7E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67CD1E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4D8DA0C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8.83</w:t>
            </w:r>
          </w:p>
        </w:tc>
        <w:tc>
          <w:tcPr>
            <w:tcW w:w="675" w:type="dxa"/>
            <w:tcBorders>
              <w:top w:val="nil"/>
              <w:left w:val="nil"/>
              <w:bottom w:val="single" w:sz="4" w:space="0" w:color="auto"/>
              <w:right w:val="single" w:sz="4" w:space="0" w:color="auto"/>
            </w:tcBorders>
            <w:shd w:val="clear" w:color="auto" w:fill="auto"/>
            <w:noWrap/>
            <w:vAlign w:val="center"/>
          </w:tcPr>
          <w:p w14:paraId="4D5DBC0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1296" w:type="dxa"/>
            <w:tcBorders>
              <w:top w:val="nil"/>
              <w:left w:val="nil"/>
              <w:bottom w:val="single" w:sz="4" w:space="0" w:color="auto"/>
              <w:right w:val="single" w:sz="4" w:space="0" w:color="auto"/>
            </w:tcBorders>
            <w:shd w:val="clear" w:color="auto" w:fill="auto"/>
            <w:noWrap/>
            <w:vAlign w:val="center"/>
          </w:tcPr>
          <w:p w14:paraId="200471C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1.54</w:t>
            </w:r>
          </w:p>
        </w:tc>
        <w:tc>
          <w:tcPr>
            <w:tcW w:w="730" w:type="dxa"/>
            <w:tcBorders>
              <w:top w:val="nil"/>
              <w:left w:val="nil"/>
              <w:bottom w:val="single" w:sz="4" w:space="0" w:color="auto"/>
              <w:right w:val="single" w:sz="4" w:space="0" w:color="auto"/>
            </w:tcBorders>
            <w:shd w:val="clear" w:color="auto" w:fill="auto"/>
            <w:noWrap/>
            <w:vAlign w:val="center"/>
          </w:tcPr>
          <w:p w14:paraId="658EA3F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2C34C9B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2.01</w:t>
            </w:r>
          </w:p>
        </w:tc>
        <w:tc>
          <w:tcPr>
            <w:tcW w:w="1583" w:type="dxa"/>
            <w:tcBorders>
              <w:top w:val="nil"/>
              <w:left w:val="nil"/>
              <w:bottom w:val="single" w:sz="4" w:space="0" w:color="auto"/>
              <w:right w:val="nil"/>
            </w:tcBorders>
            <w:shd w:val="clear" w:color="auto" w:fill="auto"/>
            <w:noWrap/>
            <w:vAlign w:val="center"/>
          </w:tcPr>
          <w:p w14:paraId="002B57E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9D844B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2C5180D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08874A2"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4DEF4FD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8.05</w:t>
            </w:r>
          </w:p>
        </w:tc>
        <w:tc>
          <w:tcPr>
            <w:tcW w:w="675" w:type="dxa"/>
            <w:tcBorders>
              <w:top w:val="nil"/>
              <w:left w:val="nil"/>
              <w:bottom w:val="single" w:sz="4" w:space="0" w:color="auto"/>
              <w:right w:val="single" w:sz="4" w:space="0" w:color="auto"/>
            </w:tcBorders>
            <w:shd w:val="clear" w:color="auto" w:fill="auto"/>
            <w:noWrap/>
            <w:vAlign w:val="center"/>
          </w:tcPr>
          <w:p w14:paraId="70D6A0C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35.7</w:t>
            </w:r>
          </w:p>
        </w:tc>
        <w:tc>
          <w:tcPr>
            <w:tcW w:w="1296" w:type="dxa"/>
            <w:tcBorders>
              <w:top w:val="nil"/>
              <w:left w:val="nil"/>
              <w:bottom w:val="single" w:sz="4" w:space="0" w:color="auto"/>
              <w:right w:val="single" w:sz="4" w:space="0" w:color="auto"/>
            </w:tcBorders>
            <w:shd w:val="clear" w:color="auto" w:fill="auto"/>
            <w:noWrap/>
            <w:vAlign w:val="center"/>
          </w:tcPr>
          <w:p w14:paraId="74E1E80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2.39</w:t>
            </w:r>
          </w:p>
        </w:tc>
        <w:tc>
          <w:tcPr>
            <w:tcW w:w="730" w:type="dxa"/>
            <w:tcBorders>
              <w:top w:val="nil"/>
              <w:left w:val="nil"/>
              <w:bottom w:val="single" w:sz="4" w:space="0" w:color="auto"/>
              <w:right w:val="single" w:sz="4" w:space="0" w:color="auto"/>
            </w:tcBorders>
            <w:shd w:val="clear" w:color="auto" w:fill="auto"/>
            <w:noWrap/>
            <w:vAlign w:val="center"/>
          </w:tcPr>
          <w:p w14:paraId="19900FC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93" w:type="dxa"/>
            <w:tcBorders>
              <w:top w:val="nil"/>
              <w:left w:val="nil"/>
              <w:bottom w:val="single" w:sz="4" w:space="0" w:color="auto"/>
              <w:right w:val="single" w:sz="4" w:space="0" w:color="auto"/>
            </w:tcBorders>
            <w:shd w:val="clear" w:color="auto" w:fill="auto"/>
            <w:noWrap/>
            <w:vAlign w:val="center"/>
          </w:tcPr>
          <w:p w14:paraId="46B9B25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1583" w:type="dxa"/>
            <w:tcBorders>
              <w:top w:val="nil"/>
              <w:left w:val="nil"/>
              <w:bottom w:val="single" w:sz="4" w:space="0" w:color="auto"/>
              <w:right w:val="nil"/>
            </w:tcBorders>
            <w:shd w:val="clear" w:color="auto" w:fill="auto"/>
            <w:noWrap/>
            <w:vAlign w:val="center"/>
          </w:tcPr>
          <w:p w14:paraId="5CFB68C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3F07F5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48806A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DC8DBA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2DA0435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8.24</w:t>
            </w:r>
          </w:p>
        </w:tc>
        <w:tc>
          <w:tcPr>
            <w:tcW w:w="675" w:type="dxa"/>
            <w:tcBorders>
              <w:top w:val="nil"/>
              <w:left w:val="nil"/>
              <w:bottom w:val="single" w:sz="4" w:space="0" w:color="auto"/>
              <w:right w:val="single" w:sz="4" w:space="0" w:color="auto"/>
            </w:tcBorders>
            <w:shd w:val="clear" w:color="auto" w:fill="auto"/>
            <w:noWrap/>
            <w:vAlign w:val="center"/>
          </w:tcPr>
          <w:p w14:paraId="7843D24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36.4</w:t>
            </w:r>
          </w:p>
        </w:tc>
        <w:tc>
          <w:tcPr>
            <w:tcW w:w="1296" w:type="dxa"/>
            <w:tcBorders>
              <w:top w:val="nil"/>
              <w:left w:val="nil"/>
              <w:bottom w:val="single" w:sz="4" w:space="0" w:color="auto"/>
              <w:right w:val="single" w:sz="4" w:space="0" w:color="auto"/>
            </w:tcBorders>
            <w:shd w:val="clear" w:color="auto" w:fill="auto"/>
            <w:noWrap/>
            <w:vAlign w:val="center"/>
          </w:tcPr>
          <w:p w14:paraId="5CE76CD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730" w:type="dxa"/>
            <w:tcBorders>
              <w:top w:val="nil"/>
              <w:left w:val="nil"/>
              <w:bottom w:val="single" w:sz="4" w:space="0" w:color="auto"/>
              <w:right w:val="single" w:sz="4" w:space="0" w:color="auto"/>
            </w:tcBorders>
            <w:shd w:val="clear" w:color="auto" w:fill="auto"/>
            <w:noWrap/>
            <w:vAlign w:val="center"/>
          </w:tcPr>
          <w:p w14:paraId="3547A6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18C5F5F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1.17</w:t>
            </w:r>
          </w:p>
        </w:tc>
        <w:tc>
          <w:tcPr>
            <w:tcW w:w="1583" w:type="dxa"/>
            <w:tcBorders>
              <w:top w:val="nil"/>
              <w:left w:val="nil"/>
              <w:bottom w:val="single" w:sz="4" w:space="0" w:color="auto"/>
              <w:right w:val="nil"/>
            </w:tcBorders>
            <w:shd w:val="clear" w:color="auto" w:fill="auto"/>
            <w:noWrap/>
            <w:vAlign w:val="center"/>
          </w:tcPr>
          <w:p w14:paraId="7D7A80D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FAE809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1F6895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1753BA5"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797DFB2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437</w:t>
            </w:r>
          </w:p>
        </w:tc>
        <w:tc>
          <w:tcPr>
            <w:tcW w:w="675" w:type="dxa"/>
            <w:tcBorders>
              <w:top w:val="nil"/>
              <w:left w:val="nil"/>
              <w:bottom w:val="single" w:sz="4" w:space="0" w:color="auto"/>
              <w:right w:val="single" w:sz="4" w:space="0" w:color="auto"/>
            </w:tcBorders>
            <w:shd w:val="clear" w:color="auto" w:fill="auto"/>
            <w:noWrap/>
            <w:vAlign w:val="center"/>
          </w:tcPr>
          <w:p w14:paraId="7118518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2.68</w:t>
            </w:r>
          </w:p>
        </w:tc>
        <w:tc>
          <w:tcPr>
            <w:tcW w:w="1296" w:type="dxa"/>
            <w:tcBorders>
              <w:top w:val="nil"/>
              <w:left w:val="nil"/>
              <w:bottom w:val="single" w:sz="4" w:space="0" w:color="auto"/>
              <w:right w:val="single" w:sz="4" w:space="0" w:color="auto"/>
            </w:tcBorders>
            <w:shd w:val="clear" w:color="auto" w:fill="auto"/>
            <w:noWrap/>
            <w:vAlign w:val="center"/>
          </w:tcPr>
          <w:p w14:paraId="4CFC330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395</w:t>
            </w:r>
          </w:p>
        </w:tc>
        <w:tc>
          <w:tcPr>
            <w:tcW w:w="730" w:type="dxa"/>
            <w:tcBorders>
              <w:top w:val="nil"/>
              <w:left w:val="nil"/>
              <w:bottom w:val="single" w:sz="4" w:space="0" w:color="auto"/>
              <w:right w:val="single" w:sz="4" w:space="0" w:color="auto"/>
            </w:tcBorders>
            <w:shd w:val="clear" w:color="auto" w:fill="auto"/>
            <w:noWrap/>
            <w:vAlign w:val="center"/>
          </w:tcPr>
          <w:p w14:paraId="023F94E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6.45</w:t>
            </w:r>
          </w:p>
        </w:tc>
        <w:tc>
          <w:tcPr>
            <w:tcW w:w="593" w:type="dxa"/>
            <w:tcBorders>
              <w:top w:val="nil"/>
              <w:left w:val="nil"/>
              <w:bottom w:val="single" w:sz="4" w:space="0" w:color="auto"/>
              <w:right w:val="single" w:sz="4" w:space="0" w:color="auto"/>
            </w:tcBorders>
            <w:shd w:val="clear" w:color="auto" w:fill="auto"/>
            <w:noWrap/>
            <w:vAlign w:val="center"/>
          </w:tcPr>
          <w:p w14:paraId="5C401C3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6.46</w:t>
            </w:r>
          </w:p>
        </w:tc>
        <w:tc>
          <w:tcPr>
            <w:tcW w:w="1583" w:type="dxa"/>
            <w:tcBorders>
              <w:top w:val="nil"/>
              <w:left w:val="nil"/>
              <w:bottom w:val="single" w:sz="4" w:space="0" w:color="auto"/>
              <w:right w:val="nil"/>
            </w:tcBorders>
            <w:shd w:val="clear" w:color="auto" w:fill="auto"/>
            <w:noWrap/>
            <w:vAlign w:val="center"/>
          </w:tcPr>
          <w:p w14:paraId="2287299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653A53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72810669"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29FEF42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34E9E63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534</w:t>
            </w:r>
          </w:p>
        </w:tc>
        <w:tc>
          <w:tcPr>
            <w:tcW w:w="675" w:type="dxa"/>
            <w:tcBorders>
              <w:top w:val="nil"/>
              <w:left w:val="nil"/>
              <w:bottom w:val="double" w:sz="6" w:space="0" w:color="auto"/>
              <w:right w:val="single" w:sz="4" w:space="0" w:color="auto"/>
            </w:tcBorders>
            <w:shd w:val="clear" w:color="auto" w:fill="auto"/>
            <w:noWrap/>
            <w:vAlign w:val="center"/>
          </w:tcPr>
          <w:p w14:paraId="0C32C37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7.38</w:t>
            </w:r>
          </w:p>
        </w:tc>
        <w:tc>
          <w:tcPr>
            <w:tcW w:w="1296" w:type="dxa"/>
            <w:tcBorders>
              <w:top w:val="nil"/>
              <w:left w:val="nil"/>
              <w:bottom w:val="double" w:sz="6" w:space="0" w:color="auto"/>
              <w:right w:val="single" w:sz="4" w:space="0" w:color="auto"/>
            </w:tcBorders>
            <w:shd w:val="clear" w:color="auto" w:fill="auto"/>
            <w:noWrap/>
            <w:vAlign w:val="center"/>
          </w:tcPr>
          <w:p w14:paraId="1280CDF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94.7</w:t>
            </w:r>
          </w:p>
        </w:tc>
        <w:tc>
          <w:tcPr>
            <w:tcW w:w="730" w:type="dxa"/>
            <w:tcBorders>
              <w:top w:val="nil"/>
              <w:left w:val="nil"/>
              <w:bottom w:val="double" w:sz="6" w:space="0" w:color="auto"/>
              <w:right w:val="single" w:sz="4" w:space="0" w:color="auto"/>
            </w:tcBorders>
            <w:shd w:val="clear" w:color="auto" w:fill="auto"/>
            <w:noWrap/>
            <w:vAlign w:val="center"/>
          </w:tcPr>
          <w:p w14:paraId="726A8FF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5.66</w:t>
            </w:r>
          </w:p>
        </w:tc>
        <w:tc>
          <w:tcPr>
            <w:tcW w:w="593" w:type="dxa"/>
            <w:tcBorders>
              <w:top w:val="nil"/>
              <w:left w:val="nil"/>
              <w:bottom w:val="double" w:sz="6" w:space="0" w:color="auto"/>
              <w:right w:val="single" w:sz="4" w:space="0" w:color="auto"/>
            </w:tcBorders>
            <w:shd w:val="clear" w:color="auto" w:fill="auto"/>
            <w:noWrap/>
            <w:vAlign w:val="center"/>
          </w:tcPr>
          <w:p w14:paraId="7D21CDA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1.56</w:t>
            </w:r>
          </w:p>
        </w:tc>
        <w:tc>
          <w:tcPr>
            <w:tcW w:w="1583" w:type="dxa"/>
            <w:tcBorders>
              <w:top w:val="nil"/>
              <w:left w:val="nil"/>
              <w:bottom w:val="double" w:sz="6" w:space="0" w:color="auto"/>
              <w:right w:val="nil"/>
            </w:tcBorders>
            <w:shd w:val="clear" w:color="auto" w:fill="auto"/>
            <w:noWrap/>
            <w:vAlign w:val="center"/>
          </w:tcPr>
          <w:p w14:paraId="14DB27C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23.7</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3690F7D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ADFEE64" w14:textId="50F534C3" w:rsidR="00E92FB8" w:rsidRPr="000855B2" w:rsidRDefault="007A37FE"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16</w:t>
      </w:r>
      <w:r w:rsidR="00FB454C">
        <w:rPr>
          <w:noProof/>
        </w:rPr>
        <w:fldChar w:fldCharType="end"/>
      </w:r>
      <w:r w:rsidRPr="000855B2">
        <w:t>: Bulk emission factors (g/kg fuel) (for CO</w:t>
      </w:r>
      <w:r w:rsidRPr="000855B2">
        <w:rPr>
          <w:vertAlign w:val="subscript"/>
        </w:rPr>
        <w:t>2</w:t>
      </w:r>
      <w:r w:rsidRPr="000855B2">
        <w:t xml:space="preserve"> kg/kg fuel) for Latvia,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7F5CAC2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BC9631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7EB77B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Latvia</w:t>
            </w:r>
          </w:p>
        </w:tc>
      </w:tr>
      <w:tr w:rsidR="00E92FB8" w:rsidRPr="000855B2" w14:paraId="0CC55FEF"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21462E7D"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1C7239DE"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6522C5E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020FEB7E"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7CA04C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18</w:t>
            </w:r>
          </w:p>
        </w:tc>
        <w:tc>
          <w:tcPr>
            <w:tcW w:w="593" w:type="dxa"/>
            <w:tcBorders>
              <w:top w:val="nil"/>
              <w:left w:val="nil"/>
              <w:bottom w:val="single" w:sz="12" w:space="0" w:color="auto"/>
              <w:right w:val="single" w:sz="4" w:space="0" w:color="auto"/>
            </w:tcBorders>
            <w:shd w:val="clear" w:color="auto" w:fill="auto"/>
            <w:noWrap/>
            <w:vAlign w:val="center"/>
          </w:tcPr>
          <w:p w14:paraId="5C275057"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6B4213F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6104B5F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66C1B498"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AFE04D5"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E0C0AE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163</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3F0B7AF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20.6</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367831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3C0C7C6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60CA36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6DE489A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8.99</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73823F4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73E8B60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03A2188"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412530F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8.19</w:t>
            </w:r>
          </w:p>
        </w:tc>
        <w:tc>
          <w:tcPr>
            <w:tcW w:w="675" w:type="dxa"/>
            <w:tcBorders>
              <w:top w:val="nil"/>
              <w:left w:val="nil"/>
              <w:bottom w:val="single" w:sz="4" w:space="0" w:color="auto"/>
              <w:right w:val="single" w:sz="4" w:space="0" w:color="auto"/>
            </w:tcBorders>
            <w:shd w:val="clear" w:color="auto" w:fill="auto"/>
            <w:noWrap/>
            <w:vAlign w:val="center"/>
          </w:tcPr>
          <w:p w14:paraId="4AD4C71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296" w:type="dxa"/>
            <w:tcBorders>
              <w:top w:val="nil"/>
              <w:left w:val="nil"/>
              <w:bottom w:val="single" w:sz="4" w:space="0" w:color="auto"/>
              <w:right w:val="single" w:sz="4" w:space="0" w:color="auto"/>
            </w:tcBorders>
            <w:shd w:val="clear" w:color="auto" w:fill="auto"/>
            <w:noWrap/>
            <w:vAlign w:val="center"/>
          </w:tcPr>
          <w:p w14:paraId="5FE719F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1.88</w:t>
            </w:r>
          </w:p>
        </w:tc>
        <w:tc>
          <w:tcPr>
            <w:tcW w:w="730" w:type="dxa"/>
            <w:tcBorders>
              <w:top w:val="nil"/>
              <w:left w:val="nil"/>
              <w:bottom w:val="single" w:sz="4" w:space="0" w:color="auto"/>
              <w:right w:val="single" w:sz="4" w:space="0" w:color="auto"/>
            </w:tcBorders>
            <w:shd w:val="clear" w:color="auto" w:fill="auto"/>
            <w:noWrap/>
            <w:vAlign w:val="center"/>
          </w:tcPr>
          <w:p w14:paraId="3FDB292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55C6F85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2.63</w:t>
            </w:r>
          </w:p>
        </w:tc>
        <w:tc>
          <w:tcPr>
            <w:tcW w:w="1583" w:type="dxa"/>
            <w:tcBorders>
              <w:top w:val="nil"/>
              <w:left w:val="nil"/>
              <w:bottom w:val="single" w:sz="4" w:space="0" w:color="auto"/>
              <w:right w:val="nil"/>
            </w:tcBorders>
            <w:shd w:val="clear" w:color="auto" w:fill="auto"/>
            <w:noWrap/>
            <w:vAlign w:val="center"/>
          </w:tcPr>
          <w:p w14:paraId="4D31F16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006E7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FB0A18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19C39A8"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215CB97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93.7</w:t>
            </w:r>
          </w:p>
        </w:tc>
        <w:tc>
          <w:tcPr>
            <w:tcW w:w="675" w:type="dxa"/>
            <w:tcBorders>
              <w:top w:val="nil"/>
              <w:left w:val="nil"/>
              <w:bottom w:val="single" w:sz="4" w:space="0" w:color="auto"/>
              <w:right w:val="single" w:sz="4" w:space="0" w:color="auto"/>
            </w:tcBorders>
            <w:shd w:val="clear" w:color="auto" w:fill="auto"/>
            <w:noWrap/>
            <w:vAlign w:val="center"/>
          </w:tcPr>
          <w:p w14:paraId="7D442FD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8.00</w:t>
            </w:r>
          </w:p>
        </w:tc>
        <w:tc>
          <w:tcPr>
            <w:tcW w:w="1296" w:type="dxa"/>
            <w:tcBorders>
              <w:top w:val="nil"/>
              <w:left w:val="nil"/>
              <w:bottom w:val="single" w:sz="4" w:space="0" w:color="auto"/>
              <w:right w:val="single" w:sz="4" w:space="0" w:color="auto"/>
            </w:tcBorders>
            <w:shd w:val="clear" w:color="auto" w:fill="auto"/>
            <w:noWrap/>
            <w:vAlign w:val="center"/>
          </w:tcPr>
          <w:p w14:paraId="3BEB757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7.17</w:t>
            </w:r>
          </w:p>
        </w:tc>
        <w:tc>
          <w:tcPr>
            <w:tcW w:w="730" w:type="dxa"/>
            <w:tcBorders>
              <w:top w:val="nil"/>
              <w:left w:val="nil"/>
              <w:bottom w:val="single" w:sz="4" w:space="0" w:color="auto"/>
              <w:right w:val="single" w:sz="4" w:space="0" w:color="auto"/>
            </w:tcBorders>
            <w:shd w:val="clear" w:color="auto" w:fill="auto"/>
            <w:noWrap/>
            <w:vAlign w:val="center"/>
          </w:tcPr>
          <w:p w14:paraId="5306188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0.61</w:t>
            </w:r>
          </w:p>
        </w:tc>
        <w:tc>
          <w:tcPr>
            <w:tcW w:w="593" w:type="dxa"/>
            <w:tcBorders>
              <w:top w:val="nil"/>
              <w:left w:val="nil"/>
              <w:bottom w:val="single" w:sz="4" w:space="0" w:color="auto"/>
              <w:right w:val="single" w:sz="4" w:space="0" w:color="auto"/>
            </w:tcBorders>
            <w:shd w:val="clear" w:color="auto" w:fill="auto"/>
            <w:noWrap/>
            <w:vAlign w:val="center"/>
          </w:tcPr>
          <w:p w14:paraId="2BE85CD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0C3DB35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6.00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615DC4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092CACE"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6319D0C"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2862A98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7.67</w:t>
            </w:r>
          </w:p>
        </w:tc>
        <w:tc>
          <w:tcPr>
            <w:tcW w:w="675" w:type="dxa"/>
            <w:tcBorders>
              <w:top w:val="nil"/>
              <w:left w:val="nil"/>
              <w:bottom w:val="single" w:sz="4" w:space="0" w:color="auto"/>
              <w:right w:val="single" w:sz="4" w:space="0" w:color="auto"/>
            </w:tcBorders>
            <w:shd w:val="clear" w:color="auto" w:fill="auto"/>
            <w:noWrap/>
            <w:vAlign w:val="center"/>
          </w:tcPr>
          <w:p w14:paraId="6C0D930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1296" w:type="dxa"/>
            <w:tcBorders>
              <w:top w:val="nil"/>
              <w:left w:val="nil"/>
              <w:bottom w:val="single" w:sz="4" w:space="0" w:color="auto"/>
              <w:right w:val="single" w:sz="4" w:space="0" w:color="auto"/>
            </w:tcBorders>
            <w:shd w:val="clear" w:color="auto" w:fill="auto"/>
            <w:noWrap/>
            <w:vAlign w:val="center"/>
          </w:tcPr>
          <w:p w14:paraId="5FCE533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1.96</w:t>
            </w:r>
          </w:p>
        </w:tc>
        <w:tc>
          <w:tcPr>
            <w:tcW w:w="730" w:type="dxa"/>
            <w:tcBorders>
              <w:top w:val="nil"/>
              <w:left w:val="nil"/>
              <w:bottom w:val="single" w:sz="4" w:space="0" w:color="auto"/>
              <w:right w:val="single" w:sz="4" w:space="0" w:color="auto"/>
            </w:tcBorders>
            <w:shd w:val="clear" w:color="auto" w:fill="auto"/>
            <w:noWrap/>
            <w:vAlign w:val="center"/>
          </w:tcPr>
          <w:p w14:paraId="095BB04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1D85CC2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1.89</w:t>
            </w:r>
          </w:p>
        </w:tc>
        <w:tc>
          <w:tcPr>
            <w:tcW w:w="1583" w:type="dxa"/>
            <w:tcBorders>
              <w:top w:val="nil"/>
              <w:left w:val="nil"/>
              <w:bottom w:val="single" w:sz="4" w:space="0" w:color="auto"/>
              <w:right w:val="nil"/>
            </w:tcBorders>
            <w:shd w:val="clear" w:color="auto" w:fill="auto"/>
            <w:noWrap/>
            <w:vAlign w:val="center"/>
          </w:tcPr>
          <w:p w14:paraId="30F6283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7.72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E71D8B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83BF79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A7B05D8"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1C9C147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6.89</w:t>
            </w:r>
          </w:p>
        </w:tc>
        <w:tc>
          <w:tcPr>
            <w:tcW w:w="675" w:type="dxa"/>
            <w:tcBorders>
              <w:top w:val="nil"/>
              <w:left w:val="nil"/>
              <w:bottom w:val="single" w:sz="4" w:space="0" w:color="auto"/>
              <w:right w:val="single" w:sz="4" w:space="0" w:color="auto"/>
            </w:tcBorders>
            <w:shd w:val="clear" w:color="auto" w:fill="auto"/>
            <w:noWrap/>
            <w:vAlign w:val="center"/>
          </w:tcPr>
          <w:p w14:paraId="2ACA3A1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33.6</w:t>
            </w:r>
          </w:p>
        </w:tc>
        <w:tc>
          <w:tcPr>
            <w:tcW w:w="1296" w:type="dxa"/>
            <w:tcBorders>
              <w:top w:val="nil"/>
              <w:left w:val="nil"/>
              <w:bottom w:val="single" w:sz="4" w:space="0" w:color="auto"/>
              <w:right w:val="single" w:sz="4" w:space="0" w:color="auto"/>
            </w:tcBorders>
            <w:shd w:val="clear" w:color="auto" w:fill="auto"/>
            <w:noWrap/>
            <w:vAlign w:val="center"/>
          </w:tcPr>
          <w:p w14:paraId="2B23D09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1.76</w:t>
            </w:r>
          </w:p>
        </w:tc>
        <w:tc>
          <w:tcPr>
            <w:tcW w:w="730" w:type="dxa"/>
            <w:tcBorders>
              <w:top w:val="nil"/>
              <w:left w:val="nil"/>
              <w:bottom w:val="single" w:sz="4" w:space="0" w:color="auto"/>
              <w:right w:val="single" w:sz="4" w:space="0" w:color="auto"/>
            </w:tcBorders>
            <w:shd w:val="clear" w:color="auto" w:fill="auto"/>
            <w:noWrap/>
            <w:vAlign w:val="center"/>
          </w:tcPr>
          <w:p w14:paraId="1806D0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593" w:type="dxa"/>
            <w:tcBorders>
              <w:top w:val="nil"/>
              <w:left w:val="nil"/>
              <w:bottom w:val="single" w:sz="4" w:space="0" w:color="auto"/>
              <w:right w:val="single" w:sz="4" w:space="0" w:color="auto"/>
            </w:tcBorders>
            <w:shd w:val="clear" w:color="auto" w:fill="auto"/>
            <w:noWrap/>
            <w:vAlign w:val="center"/>
          </w:tcPr>
          <w:p w14:paraId="58740B2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1583" w:type="dxa"/>
            <w:tcBorders>
              <w:top w:val="nil"/>
              <w:left w:val="nil"/>
              <w:bottom w:val="single" w:sz="4" w:space="0" w:color="auto"/>
              <w:right w:val="nil"/>
            </w:tcBorders>
            <w:shd w:val="clear" w:color="auto" w:fill="auto"/>
            <w:noWrap/>
            <w:vAlign w:val="center"/>
          </w:tcPr>
          <w:p w14:paraId="76DD883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BBEF7F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EB92B2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F95C6BB"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7FF59ED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8.69</w:t>
            </w:r>
          </w:p>
        </w:tc>
        <w:tc>
          <w:tcPr>
            <w:tcW w:w="675" w:type="dxa"/>
            <w:tcBorders>
              <w:top w:val="nil"/>
              <w:left w:val="nil"/>
              <w:bottom w:val="single" w:sz="4" w:space="0" w:color="auto"/>
              <w:right w:val="single" w:sz="4" w:space="0" w:color="auto"/>
            </w:tcBorders>
            <w:shd w:val="clear" w:color="auto" w:fill="auto"/>
            <w:noWrap/>
            <w:vAlign w:val="center"/>
          </w:tcPr>
          <w:p w14:paraId="0CDC879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35.0</w:t>
            </w:r>
          </w:p>
        </w:tc>
        <w:tc>
          <w:tcPr>
            <w:tcW w:w="1296" w:type="dxa"/>
            <w:tcBorders>
              <w:top w:val="nil"/>
              <w:left w:val="nil"/>
              <w:bottom w:val="single" w:sz="4" w:space="0" w:color="auto"/>
              <w:right w:val="single" w:sz="4" w:space="0" w:color="auto"/>
            </w:tcBorders>
            <w:shd w:val="clear" w:color="auto" w:fill="auto"/>
            <w:noWrap/>
            <w:vAlign w:val="center"/>
          </w:tcPr>
          <w:p w14:paraId="03495BC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2.87</w:t>
            </w:r>
          </w:p>
        </w:tc>
        <w:tc>
          <w:tcPr>
            <w:tcW w:w="730" w:type="dxa"/>
            <w:tcBorders>
              <w:top w:val="nil"/>
              <w:left w:val="nil"/>
              <w:bottom w:val="single" w:sz="4" w:space="0" w:color="auto"/>
              <w:right w:val="single" w:sz="4" w:space="0" w:color="auto"/>
            </w:tcBorders>
            <w:shd w:val="clear" w:color="auto" w:fill="auto"/>
            <w:noWrap/>
            <w:vAlign w:val="center"/>
          </w:tcPr>
          <w:p w14:paraId="3052D18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0.30</w:t>
            </w:r>
          </w:p>
        </w:tc>
        <w:tc>
          <w:tcPr>
            <w:tcW w:w="593" w:type="dxa"/>
            <w:tcBorders>
              <w:top w:val="nil"/>
              <w:left w:val="nil"/>
              <w:bottom w:val="single" w:sz="4" w:space="0" w:color="auto"/>
              <w:right w:val="single" w:sz="4" w:space="0" w:color="auto"/>
            </w:tcBorders>
            <w:shd w:val="clear" w:color="auto" w:fill="auto"/>
            <w:noWrap/>
            <w:vAlign w:val="center"/>
          </w:tcPr>
          <w:p w14:paraId="743D525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1.32</w:t>
            </w:r>
          </w:p>
        </w:tc>
        <w:tc>
          <w:tcPr>
            <w:tcW w:w="1583" w:type="dxa"/>
            <w:tcBorders>
              <w:top w:val="nil"/>
              <w:left w:val="nil"/>
              <w:bottom w:val="single" w:sz="4" w:space="0" w:color="auto"/>
              <w:right w:val="nil"/>
            </w:tcBorders>
            <w:shd w:val="clear" w:color="auto" w:fill="auto"/>
            <w:noWrap/>
            <w:vAlign w:val="center"/>
          </w:tcPr>
          <w:p w14:paraId="6F8D58E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3.99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C97984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27933FC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0B9C885"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124E5D4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469</w:t>
            </w:r>
          </w:p>
        </w:tc>
        <w:tc>
          <w:tcPr>
            <w:tcW w:w="675" w:type="dxa"/>
            <w:tcBorders>
              <w:top w:val="nil"/>
              <w:left w:val="nil"/>
              <w:bottom w:val="single" w:sz="4" w:space="0" w:color="auto"/>
              <w:right w:val="single" w:sz="4" w:space="0" w:color="auto"/>
            </w:tcBorders>
            <w:shd w:val="clear" w:color="auto" w:fill="auto"/>
            <w:noWrap/>
            <w:vAlign w:val="center"/>
          </w:tcPr>
          <w:p w14:paraId="635D20C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2.44</w:t>
            </w:r>
          </w:p>
        </w:tc>
        <w:tc>
          <w:tcPr>
            <w:tcW w:w="1296" w:type="dxa"/>
            <w:tcBorders>
              <w:top w:val="nil"/>
              <w:left w:val="nil"/>
              <w:bottom w:val="single" w:sz="4" w:space="0" w:color="auto"/>
              <w:right w:val="single" w:sz="4" w:space="0" w:color="auto"/>
            </w:tcBorders>
            <w:shd w:val="clear" w:color="auto" w:fill="auto"/>
            <w:noWrap/>
            <w:vAlign w:val="center"/>
          </w:tcPr>
          <w:p w14:paraId="06BFE7D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458</w:t>
            </w:r>
          </w:p>
        </w:tc>
        <w:tc>
          <w:tcPr>
            <w:tcW w:w="730" w:type="dxa"/>
            <w:tcBorders>
              <w:top w:val="nil"/>
              <w:left w:val="nil"/>
              <w:bottom w:val="single" w:sz="4" w:space="0" w:color="auto"/>
              <w:right w:val="single" w:sz="4" w:space="0" w:color="auto"/>
            </w:tcBorders>
            <w:shd w:val="clear" w:color="auto" w:fill="auto"/>
            <w:noWrap/>
            <w:vAlign w:val="center"/>
          </w:tcPr>
          <w:p w14:paraId="0B2DB94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7.47</w:t>
            </w:r>
          </w:p>
        </w:tc>
        <w:tc>
          <w:tcPr>
            <w:tcW w:w="593" w:type="dxa"/>
            <w:tcBorders>
              <w:top w:val="nil"/>
              <w:left w:val="nil"/>
              <w:bottom w:val="single" w:sz="4" w:space="0" w:color="auto"/>
              <w:right w:val="single" w:sz="4" w:space="0" w:color="auto"/>
            </w:tcBorders>
            <w:shd w:val="clear" w:color="auto" w:fill="auto"/>
            <w:noWrap/>
            <w:vAlign w:val="center"/>
          </w:tcPr>
          <w:p w14:paraId="7429F65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6.93</w:t>
            </w:r>
          </w:p>
        </w:tc>
        <w:tc>
          <w:tcPr>
            <w:tcW w:w="1583" w:type="dxa"/>
            <w:tcBorders>
              <w:top w:val="nil"/>
              <w:left w:val="nil"/>
              <w:bottom w:val="single" w:sz="4" w:space="0" w:color="auto"/>
              <w:right w:val="nil"/>
            </w:tcBorders>
            <w:shd w:val="clear" w:color="auto" w:fill="auto"/>
            <w:noWrap/>
            <w:vAlign w:val="center"/>
          </w:tcPr>
          <w:p w14:paraId="08DD4D9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CF7556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729F9A1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703AC4F"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42F630C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642</w:t>
            </w:r>
          </w:p>
        </w:tc>
        <w:tc>
          <w:tcPr>
            <w:tcW w:w="675" w:type="dxa"/>
            <w:tcBorders>
              <w:top w:val="nil"/>
              <w:left w:val="nil"/>
              <w:bottom w:val="double" w:sz="6" w:space="0" w:color="auto"/>
              <w:right w:val="single" w:sz="4" w:space="0" w:color="auto"/>
            </w:tcBorders>
            <w:shd w:val="clear" w:color="auto" w:fill="auto"/>
            <w:noWrap/>
            <w:vAlign w:val="center"/>
          </w:tcPr>
          <w:p w14:paraId="79BB546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6.36</w:t>
            </w:r>
          </w:p>
        </w:tc>
        <w:tc>
          <w:tcPr>
            <w:tcW w:w="1296" w:type="dxa"/>
            <w:tcBorders>
              <w:top w:val="nil"/>
              <w:left w:val="nil"/>
              <w:bottom w:val="double" w:sz="6" w:space="0" w:color="auto"/>
              <w:right w:val="single" w:sz="4" w:space="0" w:color="auto"/>
            </w:tcBorders>
            <w:shd w:val="clear" w:color="auto" w:fill="auto"/>
            <w:noWrap/>
            <w:vAlign w:val="center"/>
          </w:tcPr>
          <w:p w14:paraId="22A2FAF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88.6</w:t>
            </w:r>
          </w:p>
        </w:tc>
        <w:tc>
          <w:tcPr>
            <w:tcW w:w="730" w:type="dxa"/>
            <w:tcBorders>
              <w:top w:val="nil"/>
              <w:left w:val="nil"/>
              <w:bottom w:val="double" w:sz="6" w:space="0" w:color="auto"/>
              <w:right w:val="single" w:sz="4" w:space="0" w:color="auto"/>
            </w:tcBorders>
            <w:shd w:val="clear" w:color="auto" w:fill="auto"/>
            <w:noWrap/>
            <w:vAlign w:val="center"/>
          </w:tcPr>
          <w:p w14:paraId="6183C60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6.56</w:t>
            </w:r>
          </w:p>
        </w:tc>
        <w:tc>
          <w:tcPr>
            <w:tcW w:w="593" w:type="dxa"/>
            <w:tcBorders>
              <w:top w:val="nil"/>
              <w:left w:val="nil"/>
              <w:bottom w:val="double" w:sz="6" w:space="0" w:color="auto"/>
              <w:right w:val="single" w:sz="4" w:space="0" w:color="auto"/>
            </w:tcBorders>
            <w:shd w:val="clear" w:color="auto" w:fill="auto"/>
            <w:noWrap/>
            <w:vAlign w:val="center"/>
          </w:tcPr>
          <w:p w14:paraId="174FE52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1583" w:type="dxa"/>
            <w:tcBorders>
              <w:top w:val="nil"/>
              <w:left w:val="nil"/>
              <w:bottom w:val="double" w:sz="6" w:space="0" w:color="auto"/>
              <w:right w:val="nil"/>
            </w:tcBorders>
            <w:shd w:val="clear" w:color="auto" w:fill="auto"/>
            <w:noWrap/>
            <w:vAlign w:val="center"/>
          </w:tcPr>
          <w:p w14:paraId="6F16423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21.9</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3F6EAE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6FE6E780" w14:textId="248A758D" w:rsidR="007A37FE" w:rsidRPr="000855B2" w:rsidRDefault="007A37FE"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17</w:t>
      </w:r>
      <w:r w:rsidR="00FB454C">
        <w:rPr>
          <w:noProof/>
        </w:rPr>
        <w:fldChar w:fldCharType="end"/>
      </w:r>
      <w:r w:rsidRPr="000855B2">
        <w:t>: Bulk emission factors (g/kg fuel) (for CO</w:t>
      </w:r>
      <w:r w:rsidRPr="000855B2">
        <w:rPr>
          <w:vertAlign w:val="subscript"/>
        </w:rPr>
        <w:t>2</w:t>
      </w:r>
      <w:r w:rsidRPr="000855B2">
        <w:t xml:space="preserve"> kg/kg fuel) for Lithuania,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3E27BBA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084C0B9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6866787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Lithuania</w:t>
            </w:r>
          </w:p>
        </w:tc>
      </w:tr>
      <w:tr w:rsidR="00E92FB8" w:rsidRPr="000855B2" w14:paraId="3300067C"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555DFE4"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1A7ADD7C"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768FA59A"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7FD0F0B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0DAE97F0"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16</w:t>
            </w:r>
          </w:p>
        </w:tc>
        <w:tc>
          <w:tcPr>
            <w:tcW w:w="593" w:type="dxa"/>
            <w:tcBorders>
              <w:top w:val="nil"/>
              <w:left w:val="nil"/>
              <w:bottom w:val="single" w:sz="12" w:space="0" w:color="auto"/>
              <w:right w:val="single" w:sz="4" w:space="0" w:color="auto"/>
            </w:tcBorders>
            <w:shd w:val="clear" w:color="auto" w:fill="auto"/>
            <w:noWrap/>
            <w:vAlign w:val="center"/>
          </w:tcPr>
          <w:p w14:paraId="7E07795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7FC831A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E252B6F"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60A2150B"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3058FA0"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2763B90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225</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37BE1B7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29.9</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1330302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29.7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3AB3D0B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1.89</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1F5AA4B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736DEF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9.45</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5B7989A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72937E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50E373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4D69FCB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7.30</w:t>
            </w:r>
          </w:p>
        </w:tc>
        <w:tc>
          <w:tcPr>
            <w:tcW w:w="675" w:type="dxa"/>
            <w:tcBorders>
              <w:top w:val="nil"/>
              <w:left w:val="nil"/>
              <w:bottom w:val="single" w:sz="4" w:space="0" w:color="auto"/>
              <w:right w:val="single" w:sz="4" w:space="0" w:color="auto"/>
            </w:tcBorders>
            <w:shd w:val="clear" w:color="auto" w:fill="auto"/>
            <w:noWrap/>
            <w:vAlign w:val="center"/>
          </w:tcPr>
          <w:p w14:paraId="7612003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96" w:type="dxa"/>
            <w:tcBorders>
              <w:top w:val="nil"/>
              <w:left w:val="nil"/>
              <w:bottom w:val="single" w:sz="4" w:space="0" w:color="auto"/>
              <w:right w:val="single" w:sz="4" w:space="0" w:color="auto"/>
            </w:tcBorders>
            <w:shd w:val="clear" w:color="auto" w:fill="auto"/>
            <w:noWrap/>
            <w:vAlign w:val="center"/>
          </w:tcPr>
          <w:p w14:paraId="2B9EBC6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730" w:type="dxa"/>
            <w:tcBorders>
              <w:top w:val="nil"/>
              <w:left w:val="nil"/>
              <w:bottom w:val="single" w:sz="4" w:space="0" w:color="auto"/>
              <w:right w:val="single" w:sz="4" w:space="0" w:color="auto"/>
            </w:tcBorders>
            <w:shd w:val="clear" w:color="auto" w:fill="auto"/>
            <w:noWrap/>
            <w:vAlign w:val="center"/>
          </w:tcPr>
          <w:p w14:paraId="03AEC2D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0.23</w:t>
            </w:r>
          </w:p>
        </w:tc>
        <w:tc>
          <w:tcPr>
            <w:tcW w:w="593" w:type="dxa"/>
            <w:tcBorders>
              <w:top w:val="nil"/>
              <w:left w:val="nil"/>
              <w:bottom w:val="single" w:sz="4" w:space="0" w:color="auto"/>
              <w:right w:val="single" w:sz="4" w:space="0" w:color="auto"/>
            </w:tcBorders>
            <w:shd w:val="clear" w:color="auto" w:fill="auto"/>
            <w:noWrap/>
            <w:vAlign w:val="center"/>
          </w:tcPr>
          <w:p w14:paraId="6274880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2.08</w:t>
            </w:r>
          </w:p>
        </w:tc>
        <w:tc>
          <w:tcPr>
            <w:tcW w:w="1583" w:type="dxa"/>
            <w:tcBorders>
              <w:top w:val="nil"/>
              <w:left w:val="nil"/>
              <w:bottom w:val="single" w:sz="4" w:space="0" w:color="auto"/>
              <w:right w:val="nil"/>
            </w:tcBorders>
            <w:shd w:val="clear" w:color="auto" w:fill="auto"/>
            <w:noWrap/>
            <w:vAlign w:val="center"/>
          </w:tcPr>
          <w:p w14:paraId="2B92F53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9.82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FD6312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6A86853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3538239"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55B7999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213</w:t>
            </w:r>
          </w:p>
        </w:tc>
        <w:tc>
          <w:tcPr>
            <w:tcW w:w="675" w:type="dxa"/>
            <w:tcBorders>
              <w:top w:val="nil"/>
              <w:left w:val="nil"/>
              <w:bottom w:val="single" w:sz="4" w:space="0" w:color="auto"/>
              <w:right w:val="single" w:sz="4" w:space="0" w:color="auto"/>
            </w:tcBorders>
            <w:shd w:val="clear" w:color="auto" w:fill="auto"/>
            <w:noWrap/>
            <w:vAlign w:val="center"/>
          </w:tcPr>
          <w:p w14:paraId="7F8C7B1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296" w:type="dxa"/>
            <w:tcBorders>
              <w:top w:val="nil"/>
              <w:left w:val="nil"/>
              <w:bottom w:val="single" w:sz="4" w:space="0" w:color="auto"/>
              <w:right w:val="single" w:sz="4" w:space="0" w:color="auto"/>
            </w:tcBorders>
            <w:shd w:val="clear" w:color="auto" w:fill="auto"/>
            <w:noWrap/>
            <w:vAlign w:val="center"/>
          </w:tcPr>
          <w:p w14:paraId="4B5A180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17.5</w:t>
            </w:r>
          </w:p>
        </w:tc>
        <w:tc>
          <w:tcPr>
            <w:tcW w:w="730" w:type="dxa"/>
            <w:tcBorders>
              <w:top w:val="nil"/>
              <w:left w:val="nil"/>
              <w:bottom w:val="single" w:sz="4" w:space="0" w:color="auto"/>
              <w:right w:val="single" w:sz="4" w:space="0" w:color="auto"/>
            </w:tcBorders>
            <w:shd w:val="clear" w:color="auto" w:fill="auto"/>
            <w:noWrap/>
            <w:vAlign w:val="center"/>
          </w:tcPr>
          <w:p w14:paraId="5A58070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0.91</w:t>
            </w:r>
          </w:p>
        </w:tc>
        <w:tc>
          <w:tcPr>
            <w:tcW w:w="593" w:type="dxa"/>
            <w:tcBorders>
              <w:top w:val="nil"/>
              <w:left w:val="nil"/>
              <w:bottom w:val="single" w:sz="4" w:space="0" w:color="auto"/>
              <w:right w:val="single" w:sz="4" w:space="0" w:color="auto"/>
            </w:tcBorders>
            <w:shd w:val="clear" w:color="auto" w:fill="auto"/>
            <w:noWrap/>
            <w:vAlign w:val="center"/>
          </w:tcPr>
          <w:p w14:paraId="7E126C8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23D9B6A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2420A0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236C9C4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5B1089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33A4380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10.1</w:t>
            </w:r>
          </w:p>
        </w:tc>
        <w:tc>
          <w:tcPr>
            <w:tcW w:w="675" w:type="dxa"/>
            <w:tcBorders>
              <w:top w:val="nil"/>
              <w:left w:val="nil"/>
              <w:bottom w:val="single" w:sz="4" w:space="0" w:color="auto"/>
              <w:right w:val="single" w:sz="4" w:space="0" w:color="auto"/>
            </w:tcBorders>
            <w:shd w:val="clear" w:color="auto" w:fill="auto"/>
            <w:noWrap/>
            <w:vAlign w:val="center"/>
          </w:tcPr>
          <w:p w14:paraId="3E05C82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18.2</w:t>
            </w:r>
          </w:p>
        </w:tc>
        <w:tc>
          <w:tcPr>
            <w:tcW w:w="1296" w:type="dxa"/>
            <w:tcBorders>
              <w:top w:val="nil"/>
              <w:left w:val="nil"/>
              <w:bottom w:val="single" w:sz="4" w:space="0" w:color="auto"/>
              <w:right w:val="single" w:sz="4" w:space="0" w:color="auto"/>
            </w:tcBorders>
            <w:shd w:val="clear" w:color="auto" w:fill="auto"/>
            <w:noWrap/>
            <w:vAlign w:val="center"/>
          </w:tcPr>
          <w:p w14:paraId="7EDC135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1.93</w:t>
            </w:r>
          </w:p>
        </w:tc>
        <w:tc>
          <w:tcPr>
            <w:tcW w:w="730" w:type="dxa"/>
            <w:tcBorders>
              <w:top w:val="nil"/>
              <w:left w:val="nil"/>
              <w:bottom w:val="single" w:sz="4" w:space="0" w:color="auto"/>
              <w:right w:val="single" w:sz="4" w:space="0" w:color="auto"/>
            </w:tcBorders>
            <w:shd w:val="clear" w:color="auto" w:fill="auto"/>
            <w:noWrap/>
            <w:vAlign w:val="center"/>
          </w:tcPr>
          <w:p w14:paraId="5BDF2A5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0.18</w:t>
            </w:r>
          </w:p>
        </w:tc>
        <w:tc>
          <w:tcPr>
            <w:tcW w:w="593" w:type="dxa"/>
            <w:tcBorders>
              <w:top w:val="nil"/>
              <w:left w:val="nil"/>
              <w:bottom w:val="single" w:sz="4" w:space="0" w:color="auto"/>
              <w:right w:val="single" w:sz="4" w:space="0" w:color="auto"/>
            </w:tcBorders>
            <w:shd w:val="clear" w:color="auto" w:fill="auto"/>
            <w:noWrap/>
            <w:vAlign w:val="center"/>
          </w:tcPr>
          <w:p w14:paraId="1B68A3A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2.50</w:t>
            </w:r>
          </w:p>
        </w:tc>
        <w:tc>
          <w:tcPr>
            <w:tcW w:w="1583" w:type="dxa"/>
            <w:tcBorders>
              <w:top w:val="nil"/>
              <w:left w:val="nil"/>
              <w:bottom w:val="single" w:sz="4" w:space="0" w:color="auto"/>
              <w:right w:val="nil"/>
            </w:tcBorders>
            <w:shd w:val="clear" w:color="auto" w:fill="auto"/>
            <w:noWrap/>
            <w:vAlign w:val="center"/>
          </w:tcPr>
          <w:p w14:paraId="1859FE4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6.65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F7DAD4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5164AFA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8B4782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5E7275F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8.31</w:t>
            </w:r>
          </w:p>
        </w:tc>
        <w:tc>
          <w:tcPr>
            <w:tcW w:w="675" w:type="dxa"/>
            <w:tcBorders>
              <w:top w:val="nil"/>
              <w:left w:val="nil"/>
              <w:bottom w:val="single" w:sz="4" w:space="0" w:color="auto"/>
              <w:right w:val="single" w:sz="4" w:space="0" w:color="auto"/>
            </w:tcBorders>
            <w:shd w:val="clear" w:color="auto" w:fill="auto"/>
            <w:noWrap/>
            <w:vAlign w:val="center"/>
          </w:tcPr>
          <w:p w14:paraId="6825547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37.9</w:t>
            </w:r>
          </w:p>
        </w:tc>
        <w:tc>
          <w:tcPr>
            <w:tcW w:w="1296" w:type="dxa"/>
            <w:tcBorders>
              <w:top w:val="nil"/>
              <w:left w:val="nil"/>
              <w:bottom w:val="single" w:sz="4" w:space="0" w:color="auto"/>
              <w:right w:val="single" w:sz="4" w:space="0" w:color="auto"/>
            </w:tcBorders>
            <w:shd w:val="clear" w:color="auto" w:fill="auto"/>
            <w:noWrap/>
            <w:vAlign w:val="center"/>
          </w:tcPr>
          <w:p w14:paraId="7B26F04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2.52</w:t>
            </w:r>
          </w:p>
        </w:tc>
        <w:tc>
          <w:tcPr>
            <w:tcW w:w="730" w:type="dxa"/>
            <w:tcBorders>
              <w:top w:val="nil"/>
              <w:left w:val="nil"/>
              <w:bottom w:val="single" w:sz="4" w:space="0" w:color="auto"/>
              <w:right w:val="single" w:sz="4" w:space="0" w:color="auto"/>
            </w:tcBorders>
            <w:shd w:val="clear" w:color="auto" w:fill="auto"/>
            <w:noWrap/>
            <w:vAlign w:val="center"/>
          </w:tcPr>
          <w:p w14:paraId="1FDC24A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0.27</w:t>
            </w:r>
          </w:p>
        </w:tc>
        <w:tc>
          <w:tcPr>
            <w:tcW w:w="593" w:type="dxa"/>
            <w:tcBorders>
              <w:top w:val="nil"/>
              <w:left w:val="nil"/>
              <w:bottom w:val="single" w:sz="4" w:space="0" w:color="auto"/>
              <w:right w:val="single" w:sz="4" w:space="0" w:color="auto"/>
            </w:tcBorders>
            <w:shd w:val="clear" w:color="auto" w:fill="auto"/>
            <w:noWrap/>
            <w:vAlign w:val="center"/>
          </w:tcPr>
          <w:p w14:paraId="5B775E0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583" w:type="dxa"/>
            <w:tcBorders>
              <w:top w:val="nil"/>
              <w:left w:val="nil"/>
              <w:bottom w:val="single" w:sz="4" w:space="0" w:color="auto"/>
              <w:right w:val="nil"/>
            </w:tcBorders>
            <w:shd w:val="clear" w:color="auto" w:fill="auto"/>
            <w:noWrap/>
            <w:vAlign w:val="center"/>
          </w:tcPr>
          <w:p w14:paraId="0D5E3AD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302E6F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16005F5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EB2C261"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4AD7C5A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8.68</w:t>
            </w:r>
          </w:p>
        </w:tc>
        <w:tc>
          <w:tcPr>
            <w:tcW w:w="675" w:type="dxa"/>
            <w:tcBorders>
              <w:top w:val="nil"/>
              <w:left w:val="nil"/>
              <w:bottom w:val="single" w:sz="4" w:space="0" w:color="auto"/>
              <w:right w:val="single" w:sz="4" w:space="0" w:color="auto"/>
            </w:tcBorders>
            <w:shd w:val="clear" w:color="auto" w:fill="auto"/>
            <w:noWrap/>
            <w:vAlign w:val="center"/>
          </w:tcPr>
          <w:p w14:paraId="52C5626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35.4</w:t>
            </w:r>
          </w:p>
        </w:tc>
        <w:tc>
          <w:tcPr>
            <w:tcW w:w="1296" w:type="dxa"/>
            <w:tcBorders>
              <w:top w:val="nil"/>
              <w:left w:val="nil"/>
              <w:bottom w:val="single" w:sz="4" w:space="0" w:color="auto"/>
              <w:right w:val="single" w:sz="4" w:space="0" w:color="auto"/>
            </w:tcBorders>
            <w:shd w:val="clear" w:color="auto" w:fill="auto"/>
            <w:noWrap/>
            <w:vAlign w:val="center"/>
          </w:tcPr>
          <w:p w14:paraId="795D6DC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2.56</w:t>
            </w:r>
          </w:p>
        </w:tc>
        <w:tc>
          <w:tcPr>
            <w:tcW w:w="730" w:type="dxa"/>
            <w:tcBorders>
              <w:top w:val="nil"/>
              <w:left w:val="nil"/>
              <w:bottom w:val="single" w:sz="4" w:space="0" w:color="auto"/>
              <w:right w:val="single" w:sz="4" w:space="0" w:color="auto"/>
            </w:tcBorders>
            <w:shd w:val="clear" w:color="auto" w:fill="auto"/>
            <w:noWrap/>
            <w:vAlign w:val="center"/>
          </w:tcPr>
          <w:p w14:paraId="104A1D8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0.28</w:t>
            </w:r>
          </w:p>
        </w:tc>
        <w:tc>
          <w:tcPr>
            <w:tcW w:w="593" w:type="dxa"/>
            <w:tcBorders>
              <w:top w:val="nil"/>
              <w:left w:val="nil"/>
              <w:bottom w:val="single" w:sz="4" w:space="0" w:color="auto"/>
              <w:right w:val="single" w:sz="4" w:space="0" w:color="auto"/>
            </w:tcBorders>
            <w:shd w:val="clear" w:color="auto" w:fill="auto"/>
            <w:noWrap/>
            <w:vAlign w:val="center"/>
          </w:tcPr>
          <w:p w14:paraId="065B85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1.28</w:t>
            </w:r>
          </w:p>
        </w:tc>
        <w:tc>
          <w:tcPr>
            <w:tcW w:w="1583" w:type="dxa"/>
            <w:tcBorders>
              <w:top w:val="nil"/>
              <w:left w:val="nil"/>
              <w:bottom w:val="single" w:sz="4" w:space="0" w:color="auto"/>
              <w:right w:val="nil"/>
            </w:tcBorders>
            <w:shd w:val="clear" w:color="auto" w:fill="auto"/>
            <w:noWrap/>
            <w:vAlign w:val="center"/>
          </w:tcPr>
          <w:p w14:paraId="002162A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BD358B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2E06818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7559D0A"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1A7650B7" w14:textId="77777777" w:rsidR="00E92FB8" w:rsidRPr="00A86EF2" w:rsidRDefault="00E92FB8" w:rsidP="0062782E">
            <w:pPr>
              <w:spacing w:line="240" w:lineRule="auto"/>
              <w:jc w:val="center"/>
              <w:rPr>
                <w:color w:val="000000"/>
                <w:sz w:val="16"/>
                <w:szCs w:val="16"/>
                <w:lang w:val="en-GB" w:eastAsia="el-GR" w:bidi="hi-IN"/>
              </w:rPr>
            </w:pPr>
          </w:p>
        </w:tc>
        <w:tc>
          <w:tcPr>
            <w:tcW w:w="675" w:type="dxa"/>
            <w:tcBorders>
              <w:top w:val="nil"/>
              <w:left w:val="nil"/>
              <w:bottom w:val="single" w:sz="4" w:space="0" w:color="auto"/>
              <w:right w:val="single" w:sz="4" w:space="0" w:color="auto"/>
            </w:tcBorders>
            <w:shd w:val="clear" w:color="auto" w:fill="auto"/>
            <w:noWrap/>
            <w:vAlign w:val="center"/>
          </w:tcPr>
          <w:p w14:paraId="48034C47" w14:textId="77777777" w:rsidR="00E92FB8" w:rsidRPr="00A86EF2" w:rsidRDefault="00E92FB8" w:rsidP="0062782E">
            <w:pPr>
              <w:spacing w:line="240" w:lineRule="auto"/>
              <w:jc w:val="center"/>
              <w:rPr>
                <w:color w:val="000000"/>
                <w:sz w:val="16"/>
                <w:szCs w:val="16"/>
                <w:lang w:val="en-GB" w:eastAsia="el-GR" w:bidi="hi-IN"/>
              </w:rPr>
            </w:pPr>
          </w:p>
        </w:tc>
        <w:tc>
          <w:tcPr>
            <w:tcW w:w="1296" w:type="dxa"/>
            <w:tcBorders>
              <w:top w:val="nil"/>
              <w:left w:val="nil"/>
              <w:bottom w:val="single" w:sz="4" w:space="0" w:color="auto"/>
              <w:right w:val="single" w:sz="4" w:space="0" w:color="auto"/>
            </w:tcBorders>
            <w:shd w:val="clear" w:color="auto" w:fill="auto"/>
            <w:noWrap/>
            <w:vAlign w:val="center"/>
          </w:tcPr>
          <w:p w14:paraId="41922ACA" w14:textId="77777777" w:rsidR="00E92FB8" w:rsidRPr="00A86EF2" w:rsidRDefault="00E92FB8" w:rsidP="0062782E">
            <w:pPr>
              <w:spacing w:line="240" w:lineRule="auto"/>
              <w:jc w:val="center"/>
              <w:rPr>
                <w:color w:val="000000"/>
                <w:sz w:val="16"/>
                <w:szCs w:val="16"/>
                <w:lang w:val="en-GB" w:eastAsia="el-GR" w:bidi="hi-IN"/>
              </w:rPr>
            </w:pPr>
          </w:p>
        </w:tc>
        <w:tc>
          <w:tcPr>
            <w:tcW w:w="730" w:type="dxa"/>
            <w:tcBorders>
              <w:top w:val="nil"/>
              <w:left w:val="nil"/>
              <w:bottom w:val="single" w:sz="4" w:space="0" w:color="auto"/>
              <w:right w:val="single" w:sz="4" w:space="0" w:color="auto"/>
            </w:tcBorders>
            <w:shd w:val="clear" w:color="auto" w:fill="auto"/>
            <w:noWrap/>
            <w:vAlign w:val="center"/>
          </w:tcPr>
          <w:p w14:paraId="1F806FE9" w14:textId="77777777" w:rsidR="00E92FB8" w:rsidRPr="00A86EF2" w:rsidRDefault="00E92FB8" w:rsidP="0062782E">
            <w:pPr>
              <w:spacing w:line="240" w:lineRule="auto"/>
              <w:jc w:val="center"/>
              <w:rPr>
                <w:color w:val="000000"/>
                <w:sz w:val="16"/>
                <w:szCs w:val="16"/>
                <w:lang w:val="en-GB" w:eastAsia="el-GR" w:bidi="hi-IN"/>
              </w:rPr>
            </w:pPr>
          </w:p>
        </w:tc>
        <w:tc>
          <w:tcPr>
            <w:tcW w:w="593" w:type="dxa"/>
            <w:tcBorders>
              <w:top w:val="nil"/>
              <w:left w:val="nil"/>
              <w:bottom w:val="single" w:sz="4" w:space="0" w:color="auto"/>
              <w:right w:val="single" w:sz="4" w:space="0" w:color="auto"/>
            </w:tcBorders>
            <w:shd w:val="clear" w:color="auto" w:fill="auto"/>
            <w:noWrap/>
            <w:vAlign w:val="center"/>
          </w:tcPr>
          <w:p w14:paraId="1D520009" w14:textId="77777777" w:rsidR="00E92FB8" w:rsidRPr="00A86EF2" w:rsidRDefault="00E92FB8" w:rsidP="0062782E">
            <w:pPr>
              <w:spacing w:line="240" w:lineRule="auto"/>
              <w:jc w:val="center"/>
              <w:rPr>
                <w:color w:val="000000"/>
                <w:sz w:val="16"/>
                <w:szCs w:val="16"/>
                <w:lang w:val="en-GB" w:eastAsia="el-GR" w:bidi="hi-IN"/>
              </w:rPr>
            </w:pPr>
          </w:p>
        </w:tc>
        <w:tc>
          <w:tcPr>
            <w:tcW w:w="1583" w:type="dxa"/>
            <w:tcBorders>
              <w:top w:val="nil"/>
              <w:left w:val="nil"/>
              <w:bottom w:val="single" w:sz="4" w:space="0" w:color="auto"/>
              <w:right w:val="nil"/>
            </w:tcBorders>
            <w:shd w:val="clear" w:color="auto" w:fill="auto"/>
            <w:noWrap/>
            <w:vAlign w:val="center"/>
          </w:tcPr>
          <w:p w14:paraId="6DD80A32" w14:textId="77777777" w:rsidR="00E92FB8" w:rsidRPr="00A86EF2" w:rsidRDefault="00E92FB8" w:rsidP="0062782E">
            <w:pPr>
              <w:spacing w:line="240" w:lineRule="auto"/>
              <w:jc w:val="center"/>
              <w:rPr>
                <w:color w:val="000000"/>
                <w:sz w:val="16"/>
                <w:szCs w:val="16"/>
                <w:lang w:val="en-GB" w:eastAsia="el-GR" w:bidi="hi-IN"/>
              </w:rPr>
            </w:pP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40C1175" w14:textId="77777777" w:rsidR="00E92FB8" w:rsidRPr="00A86EF2" w:rsidRDefault="00E92FB8" w:rsidP="0062782E">
            <w:pPr>
              <w:spacing w:line="240" w:lineRule="auto"/>
              <w:jc w:val="center"/>
              <w:rPr>
                <w:color w:val="000000"/>
                <w:sz w:val="16"/>
                <w:szCs w:val="16"/>
                <w:lang w:val="en-GB" w:eastAsia="el-GR" w:bidi="hi-IN"/>
              </w:rPr>
            </w:pPr>
          </w:p>
        </w:tc>
      </w:tr>
      <w:tr w:rsidR="00E92FB8" w:rsidRPr="000855B2" w14:paraId="093B9B3F"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4AA50C70"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38DAF51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640</w:t>
            </w:r>
          </w:p>
        </w:tc>
        <w:tc>
          <w:tcPr>
            <w:tcW w:w="675" w:type="dxa"/>
            <w:tcBorders>
              <w:top w:val="nil"/>
              <w:left w:val="nil"/>
              <w:bottom w:val="double" w:sz="6" w:space="0" w:color="auto"/>
              <w:right w:val="single" w:sz="4" w:space="0" w:color="auto"/>
            </w:tcBorders>
            <w:shd w:val="clear" w:color="auto" w:fill="auto"/>
            <w:noWrap/>
            <w:vAlign w:val="center"/>
          </w:tcPr>
          <w:p w14:paraId="42F9230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7.50</w:t>
            </w:r>
          </w:p>
        </w:tc>
        <w:tc>
          <w:tcPr>
            <w:tcW w:w="1296" w:type="dxa"/>
            <w:tcBorders>
              <w:top w:val="nil"/>
              <w:left w:val="nil"/>
              <w:bottom w:val="double" w:sz="6" w:space="0" w:color="auto"/>
              <w:right w:val="single" w:sz="4" w:space="0" w:color="auto"/>
            </w:tcBorders>
            <w:shd w:val="clear" w:color="auto" w:fill="auto"/>
            <w:noWrap/>
            <w:vAlign w:val="center"/>
          </w:tcPr>
          <w:p w14:paraId="6AC0F1A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33.0</w:t>
            </w:r>
          </w:p>
        </w:tc>
        <w:tc>
          <w:tcPr>
            <w:tcW w:w="730" w:type="dxa"/>
            <w:tcBorders>
              <w:top w:val="nil"/>
              <w:left w:val="nil"/>
              <w:bottom w:val="double" w:sz="6" w:space="0" w:color="auto"/>
              <w:right w:val="single" w:sz="4" w:space="0" w:color="auto"/>
            </w:tcBorders>
            <w:shd w:val="clear" w:color="auto" w:fill="auto"/>
            <w:noWrap/>
            <w:vAlign w:val="center"/>
          </w:tcPr>
          <w:p w14:paraId="070332B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5.82</w:t>
            </w:r>
          </w:p>
        </w:tc>
        <w:tc>
          <w:tcPr>
            <w:tcW w:w="593" w:type="dxa"/>
            <w:tcBorders>
              <w:top w:val="nil"/>
              <w:left w:val="nil"/>
              <w:bottom w:val="double" w:sz="6" w:space="0" w:color="auto"/>
              <w:right w:val="single" w:sz="4" w:space="0" w:color="auto"/>
            </w:tcBorders>
            <w:shd w:val="clear" w:color="auto" w:fill="auto"/>
            <w:noWrap/>
            <w:vAlign w:val="center"/>
          </w:tcPr>
          <w:p w14:paraId="20BC6B6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0.62</w:t>
            </w:r>
          </w:p>
        </w:tc>
        <w:tc>
          <w:tcPr>
            <w:tcW w:w="1583" w:type="dxa"/>
            <w:tcBorders>
              <w:top w:val="nil"/>
              <w:left w:val="nil"/>
              <w:bottom w:val="double" w:sz="6" w:space="0" w:color="auto"/>
              <w:right w:val="nil"/>
            </w:tcBorders>
            <w:shd w:val="clear" w:color="auto" w:fill="auto"/>
            <w:noWrap/>
            <w:vAlign w:val="center"/>
          </w:tcPr>
          <w:p w14:paraId="7771CDC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63EFFFF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4EBF84AC" w14:textId="77777777" w:rsidR="00B642C6" w:rsidRDefault="00B642C6" w:rsidP="00B642C6"/>
    <w:p w14:paraId="24518A96" w14:textId="167BCC52" w:rsidR="001D2587" w:rsidRPr="000855B2" w:rsidRDefault="00095EA7" w:rsidP="00A86EF2">
      <w:pPr>
        <w:pStyle w:val="Caption"/>
      </w:pPr>
      <w:r w:rsidRPr="000855B2">
        <w:lastRenderedPageBreak/>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18</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Luxembourg,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E92FB8" w:rsidRPr="000855B2" w14:paraId="3F4E3ED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673E56A2"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5D8E8341"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Luxemburg</w:t>
            </w:r>
          </w:p>
        </w:tc>
      </w:tr>
      <w:tr w:rsidR="00E92FB8" w:rsidRPr="000855B2" w14:paraId="59E3CF6E"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37CE6D7E" w14:textId="77777777" w:rsidR="00E92FB8" w:rsidRPr="00A86EF2" w:rsidRDefault="00E92FB8"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054B4003"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32E3604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57F1253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592D62E8"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17</w:t>
            </w:r>
          </w:p>
        </w:tc>
        <w:tc>
          <w:tcPr>
            <w:tcW w:w="593" w:type="dxa"/>
            <w:tcBorders>
              <w:top w:val="nil"/>
              <w:left w:val="nil"/>
              <w:bottom w:val="single" w:sz="12" w:space="0" w:color="auto"/>
              <w:right w:val="single" w:sz="4" w:space="0" w:color="auto"/>
            </w:tcBorders>
            <w:shd w:val="clear" w:color="auto" w:fill="auto"/>
            <w:noWrap/>
            <w:vAlign w:val="center"/>
          </w:tcPr>
          <w:p w14:paraId="3D383366"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3018B715"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F34711A" w14:textId="77777777" w:rsidR="00E92FB8" w:rsidRPr="00A86EF2" w:rsidRDefault="00E92FB8"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E92FB8" w:rsidRPr="000855B2" w14:paraId="7496F849"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39998C3"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686369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77.3</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65E9698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8.59</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4682CAC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8.94</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22AAAAA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0.72</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861D1D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2BBCD52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8.05</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064A89D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0DB37F5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EBFFA0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05E80C4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2.45</w:t>
            </w:r>
          </w:p>
        </w:tc>
        <w:tc>
          <w:tcPr>
            <w:tcW w:w="675" w:type="dxa"/>
            <w:tcBorders>
              <w:top w:val="nil"/>
              <w:left w:val="nil"/>
              <w:bottom w:val="single" w:sz="4" w:space="0" w:color="auto"/>
              <w:right w:val="single" w:sz="4" w:space="0" w:color="auto"/>
            </w:tcBorders>
            <w:shd w:val="clear" w:color="auto" w:fill="auto"/>
            <w:noWrap/>
            <w:vAlign w:val="center"/>
          </w:tcPr>
          <w:p w14:paraId="322CC86E"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13.6</w:t>
            </w:r>
          </w:p>
        </w:tc>
        <w:tc>
          <w:tcPr>
            <w:tcW w:w="1296" w:type="dxa"/>
            <w:tcBorders>
              <w:top w:val="nil"/>
              <w:left w:val="nil"/>
              <w:bottom w:val="single" w:sz="4" w:space="0" w:color="auto"/>
              <w:right w:val="single" w:sz="4" w:space="0" w:color="auto"/>
            </w:tcBorders>
            <w:shd w:val="clear" w:color="auto" w:fill="auto"/>
            <w:noWrap/>
            <w:vAlign w:val="center"/>
          </w:tcPr>
          <w:p w14:paraId="7B11F15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0.68</w:t>
            </w:r>
          </w:p>
        </w:tc>
        <w:tc>
          <w:tcPr>
            <w:tcW w:w="730" w:type="dxa"/>
            <w:tcBorders>
              <w:top w:val="nil"/>
              <w:left w:val="nil"/>
              <w:bottom w:val="single" w:sz="4" w:space="0" w:color="auto"/>
              <w:right w:val="single" w:sz="4" w:space="0" w:color="auto"/>
            </w:tcBorders>
            <w:shd w:val="clear" w:color="auto" w:fill="auto"/>
            <w:noWrap/>
            <w:vAlign w:val="center"/>
          </w:tcPr>
          <w:p w14:paraId="7A65489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93" w:type="dxa"/>
            <w:tcBorders>
              <w:top w:val="nil"/>
              <w:left w:val="nil"/>
              <w:bottom w:val="single" w:sz="4" w:space="0" w:color="auto"/>
              <w:right w:val="single" w:sz="4" w:space="0" w:color="auto"/>
            </w:tcBorders>
            <w:shd w:val="clear" w:color="auto" w:fill="auto"/>
            <w:noWrap/>
            <w:vAlign w:val="center"/>
          </w:tcPr>
          <w:p w14:paraId="1A9F81F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1.00</w:t>
            </w:r>
          </w:p>
        </w:tc>
        <w:tc>
          <w:tcPr>
            <w:tcW w:w="1583" w:type="dxa"/>
            <w:tcBorders>
              <w:top w:val="nil"/>
              <w:left w:val="nil"/>
              <w:bottom w:val="single" w:sz="4" w:space="0" w:color="auto"/>
              <w:right w:val="nil"/>
            </w:tcBorders>
            <w:shd w:val="clear" w:color="auto" w:fill="auto"/>
            <w:noWrap/>
            <w:vAlign w:val="center"/>
          </w:tcPr>
          <w:p w14:paraId="744A570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2F936A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47B757D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A29D792" w14:textId="77777777" w:rsidR="00E92FB8"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E92FB8"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23FCC2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184</w:t>
            </w:r>
          </w:p>
        </w:tc>
        <w:tc>
          <w:tcPr>
            <w:tcW w:w="675" w:type="dxa"/>
            <w:tcBorders>
              <w:top w:val="nil"/>
              <w:left w:val="nil"/>
              <w:bottom w:val="single" w:sz="4" w:space="0" w:color="auto"/>
              <w:right w:val="single" w:sz="4" w:space="0" w:color="auto"/>
            </w:tcBorders>
            <w:shd w:val="clear" w:color="auto" w:fill="auto"/>
            <w:noWrap/>
            <w:vAlign w:val="center"/>
          </w:tcPr>
          <w:p w14:paraId="14873B3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1296" w:type="dxa"/>
            <w:tcBorders>
              <w:top w:val="nil"/>
              <w:left w:val="nil"/>
              <w:bottom w:val="single" w:sz="4" w:space="0" w:color="auto"/>
              <w:right w:val="single" w:sz="4" w:space="0" w:color="auto"/>
            </w:tcBorders>
            <w:shd w:val="clear" w:color="auto" w:fill="auto"/>
            <w:noWrap/>
            <w:vAlign w:val="center"/>
          </w:tcPr>
          <w:p w14:paraId="22F7D1C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730" w:type="dxa"/>
            <w:tcBorders>
              <w:top w:val="nil"/>
              <w:left w:val="nil"/>
              <w:bottom w:val="single" w:sz="4" w:space="0" w:color="auto"/>
              <w:right w:val="single" w:sz="4" w:space="0" w:color="auto"/>
            </w:tcBorders>
            <w:shd w:val="clear" w:color="auto" w:fill="auto"/>
            <w:noWrap/>
            <w:vAlign w:val="center"/>
          </w:tcPr>
          <w:p w14:paraId="183676A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0.72</w:t>
            </w:r>
          </w:p>
        </w:tc>
        <w:tc>
          <w:tcPr>
            <w:tcW w:w="593" w:type="dxa"/>
            <w:tcBorders>
              <w:top w:val="nil"/>
              <w:left w:val="nil"/>
              <w:bottom w:val="single" w:sz="4" w:space="0" w:color="auto"/>
              <w:right w:val="single" w:sz="4" w:space="0" w:color="auto"/>
            </w:tcBorders>
            <w:shd w:val="clear" w:color="auto" w:fill="auto"/>
            <w:noWrap/>
            <w:vAlign w:val="center"/>
          </w:tcPr>
          <w:p w14:paraId="7C7214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3F86387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6.00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B312724"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1990CFF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FB26D35"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5B1485B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7.06</w:t>
            </w:r>
          </w:p>
        </w:tc>
        <w:tc>
          <w:tcPr>
            <w:tcW w:w="675" w:type="dxa"/>
            <w:tcBorders>
              <w:top w:val="nil"/>
              <w:left w:val="nil"/>
              <w:bottom w:val="single" w:sz="4" w:space="0" w:color="auto"/>
              <w:right w:val="single" w:sz="4" w:space="0" w:color="auto"/>
            </w:tcBorders>
            <w:shd w:val="clear" w:color="auto" w:fill="auto"/>
            <w:noWrap/>
            <w:vAlign w:val="center"/>
          </w:tcPr>
          <w:p w14:paraId="3D5B6453"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1296" w:type="dxa"/>
            <w:tcBorders>
              <w:top w:val="nil"/>
              <w:left w:val="nil"/>
              <w:bottom w:val="single" w:sz="4" w:space="0" w:color="auto"/>
              <w:right w:val="single" w:sz="4" w:space="0" w:color="auto"/>
            </w:tcBorders>
            <w:shd w:val="clear" w:color="auto" w:fill="auto"/>
            <w:noWrap/>
            <w:vAlign w:val="center"/>
          </w:tcPr>
          <w:p w14:paraId="7624949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730" w:type="dxa"/>
            <w:tcBorders>
              <w:top w:val="nil"/>
              <w:left w:val="nil"/>
              <w:bottom w:val="single" w:sz="4" w:space="0" w:color="auto"/>
              <w:right w:val="single" w:sz="4" w:space="0" w:color="auto"/>
            </w:tcBorders>
            <w:shd w:val="clear" w:color="auto" w:fill="auto"/>
            <w:noWrap/>
            <w:vAlign w:val="center"/>
          </w:tcPr>
          <w:p w14:paraId="74669B1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1F596B0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583" w:type="dxa"/>
            <w:tcBorders>
              <w:top w:val="nil"/>
              <w:left w:val="nil"/>
              <w:bottom w:val="single" w:sz="4" w:space="0" w:color="auto"/>
              <w:right w:val="nil"/>
            </w:tcBorders>
            <w:shd w:val="clear" w:color="auto" w:fill="auto"/>
            <w:noWrap/>
            <w:vAlign w:val="center"/>
          </w:tcPr>
          <w:p w14:paraId="446C782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5.77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04A9DB5"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7996E78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3862A50"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D12302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6.85</w:t>
            </w:r>
          </w:p>
        </w:tc>
        <w:tc>
          <w:tcPr>
            <w:tcW w:w="675" w:type="dxa"/>
            <w:tcBorders>
              <w:top w:val="nil"/>
              <w:left w:val="nil"/>
              <w:bottom w:val="single" w:sz="4" w:space="0" w:color="auto"/>
              <w:right w:val="single" w:sz="4" w:space="0" w:color="auto"/>
            </w:tcBorders>
            <w:shd w:val="clear" w:color="auto" w:fill="auto"/>
            <w:noWrap/>
            <w:vAlign w:val="center"/>
          </w:tcPr>
          <w:p w14:paraId="2DCD3F8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32.0</w:t>
            </w:r>
          </w:p>
        </w:tc>
        <w:tc>
          <w:tcPr>
            <w:tcW w:w="1296" w:type="dxa"/>
            <w:tcBorders>
              <w:top w:val="nil"/>
              <w:left w:val="nil"/>
              <w:bottom w:val="single" w:sz="4" w:space="0" w:color="auto"/>
              <w:right w:val="single" w:sz="4" w:space="0" w:color="auto"/>
            </w:tcBorders>
            <w:shd w:val="clear" w:color="auto" w:fill="auto"/>
            <w:noWrap/>
            <w:vAlign w:val="center"/>
          </w:tcPr>
          <w:p w14:paraId="3609DF5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1.46</w:t>
            </w:r>
          </w:p>
        </w:tc>
        <w:tc>
          <w:tcPr>
            <w:tcW w:w="730" w:type="dxa"/>
            <w:tcBorders>
              <w:top w:val="nil"/>
              <w:left w:val="nil"/>
              <w:bottom w:val="single" w:sz="4" w:space="0" w:color="auto"/>
              <w:right w:val="single" w:sz="4" w:space="0" w:color="auto"/>
            </w:tcBorders>
            <w:shd w:val="clear" w:color="auto" w:fill="auto"/>
            <w:noWrap/>
            <w:vAlign w:val="center"/>
          </w:tcPr>
          <w:p w14:paraId="33CA4EF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93" w:type="dxa"/>
            <w:tcBorders>
              <w:top w:val="nil"/>
              <w:left w:val="nil"/>
              <w:bottom w:val="single" w:sz="4" w:space="0" w:color="auto"/>
              <w:right w:val="single" w:sz="4" w:space="0" w:color="auto"/>
            </w:tcBorders>
            <w:shd w:val="clear" w:color="auto" w:fill="auto"/>
            <w:noWrap/>
            <w:vAlign w:val="center"/>
          </w:tcPr>
          <w:p w14:paraId="734460A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1583" w:type="dxa"/>
            <w:tcBorders>
              <w:top w:val="nil"/>
              <w:left w:val="nil"/>
              <w:bottom w:val="single" w:sz="4" w:space="0" w:color="auto"/>
              <w:right w:val="nil"/>
            </w:tcBorders>
            <w:shd w:val="clear" w:color="auto" w:fill="auto"/>
            <w:noWrap/>
            <w:vAlign w:val="center"/>
          </w:tcPr>
          <w:p w14:paraId="213DABD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2.38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5F6D6A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6618730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D3C9B08"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091440E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7.55</w:t>
            </w:r>
          </w:p>
        </w:tc>
        <w:tc>
          <w:tcPr>
            <w:tcW w:w="675" w:type="dxa"/>
            <w:tcBorders>
              <w:top w:val="nil"/>
              <w:left w:val="nil"/>
              <w:bottom w:val="single" w:sz="4" w:space="0" w:color="auto"/>
              <w:right w:val="single" w:sz="4" w:space="0" w:color="auto"/>
            </w:tcBorders>
            <w:shd w:val="clear" w:color="auto" w:fill="auto"/>
            <w:noWrap/>
            <w:vAlign w:val="center"/>
          </w:tcPr>
          <w:p w14:paraId="690B6E5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33.2</w:t>
            </w:r>
          </w:p>
        </w:tc>
        <w:tc>
          <w:tcPr>
            <w:tcW w:w="1296" w:type="dxa"/>
            <w:tcBorders>
              <w:top w:val="nil"/>
              <w:left w:val="nil"/>
              <w:bottom w:val="single" w:sz="4" w:space="0" w:color="auto"/>
              <w:right w:val="single" w:sz="4" w:space="0" w:color="auto"/>
            </w:tcBorders>
            <w:shd w:val="clear" w:color="auto" w:fill="auto"/>
            <w:noWrap/>
            <w:vAlign w:val="center"/>
          </w:tcPr>
          <w:p w14:paraId="769583F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1.86</w:t>
            </w:r>
          </w:p>
        </w:tc>
        <w:tc>
          <w:tcPr>
            <w:tcW w:w="730" w:type="dxa"/>
            <w:tcBorders>
              <w:top w:val="nil"/>
              <w:left w:val="nil"/>
              <w:bottom w:val="single" w:sz="4" w:space="0" w:color="auto"/>
              <w:right w:val="single" w:sz="4" w:space="0" w:color="auto"/>
            </w:tcBorders>
            <w:shd w:val="clear" w:color="auto" w:fill="auto"/>
            <w:noWrap/>
            <w:vAlign w:val="center"/>
          </w:tcPr>
          <w:p w14:paraId="60F515B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93" w:type="dxa"/>
            <w:tcBorders>
              <w:top w:val="nil"/>
              <w:left w:val="nil"/>
              <w:bottom w:val="single" w:sz="4" w:space="0" w:color="auto"/>
              <w:right w:val="single" w:sz="4" w:space="0" w:color="auto"/>
            </w:tcBorders>
            <w:shd w:val="clear" w:color="auto" w:fill="auto"/>
            <w:noWrap/>
            <w:vAlign w:val="center"/>
          </w:tcPr>
          <w:p w14:paraId="354FE0AF"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0.79</w:t>
            </w:r>
          </w:p>
        </w:tc>
        <w:tc>
          <w:tcPr>
            <w:tcW w:w="1583" w:type="dxa"/>
            <w:tcBorders>
              <w:top w:val="nil"/>
              <w:left w:val="nil"/>
              <w:bottom w:val="single" w:sz="4" w:space="0" w:color="auto"/>
              <w:right w:val="nil"/>
            </w:tcBorders>
            <w:shd w:val="clear" w:color="auto" w:fill="auto"/>
            <w:noWrap/>
            <w:vAlign w:val="center"/>
          </w:tcPr>
          <w:p w14:paraId="546B5810"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51E4A6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E92FB8" w:rsidRPr="000855B2" w14:paraId="09288EDF"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300F2A9"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666A1C8D"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379</w:t>
            </w:r>
          </w:p>
        </w:tc>
        <w:tc>
          <w:tcPr>
            <w:tcW w:w="675" w:type="dxa"/>
            <w:tcBorders>
              <w:top w:val="nil"/>
              <w:left w:val="nil"/>
              <w:bottom w:val="single" w:sz="4" w:space="0" w:color="auto"/>
              <w:right w:val="single" w:sz="4" w:space="0" w:color="auto"/>
            </w:tcBorders>
            <w:shd w:val="clear" w:color="auto" w:fill="auto"/>
            <w:noWrap/>
            <w:vAlign w:val="center"/>
          </w:tcPr>
          <w:p w14:paraId="0FD6414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5.41</w:t>
            </w:r>
          </w:p>
        </w:tc>
        <w:tc>
          <w:tcPr>
            <w:tcW w:w="1296" w:type="dxa"/>
            <w:tcBorders>
              <w:top w:val="nil"/>
              <w:left w:val="nil"/>
              <w:bottom w:val="single" w:sz="4" w:space="0" w:color="auto"/>
              <w:right w:val="single" w:sz="4" w:space="0" w:color="auto"/>
            </w:tcBorders>
            <w:shd w:val="clear" w:color="auto" w:fill="auto"/>
            <w:noWrap/>
            <w:vAlign w:val="center"/>
          </w:tcPr>
          <w:p w14:paraId="2993753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342</w:t>
            </w:r>
          </w:p>
        </w:tc>
        <w:tc>
          <w:tcPr>
            <w:tcW w:w="730" w:type="dxa"/>
            <w:tcBorders>
              <w:top w:val="nil"/>
              <w:left w:val="nil"/>
              <w:bottom w:val="single" w:sz="4" w:space="0" w:color="auto"/>
              <w:right w:val="single" w:sz="4" w:space="0" w:color="auto"/>
            </w:tcBorders>
            <w:shd w:val="clear" w:color="auto" w:fill="auto"/>
            <w:noWrap/>
            <w:vAlign w:val="center"/>
          </w:tcPr>
          <w:p w14:paraId="1904CE2C"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5.59</w:t>
            </w:r>
          </w:p>
        </w:tc>
        <w:tc>
          <w:tcPr>
            <w:tcW w:w="593" w:type="dxa"/>
            <w:tcBorders>
              <w:top w:val="nil"/>
              <w:left w:val="nil"/>
              <w:bottom w:val="single" w:sz="4" w:space="0" w:color="auto"/>
              <w:right w:val="single" w:sz="4" w:space="0" w:color="auto"/>
            </w:tcBorders>
            <w:shd w:val="clear" w:color="auto" w:fill="auto"/>
            <w:noWrap/>
            <w:vAlign w:val="center"/>
          </w:tcPr>
          <w:p w14:paraId="686625E1"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5.87</w:t>
            </w:r>
          </w:p>
        </w:tc>
        <w:tc>
          <w:tcPr>
            <w:tcW w:w="1583" w:type="dxa"/>
            <w:tcBorders>
              <w:top w:val="nil"/>
              <w:left w:val="nil"/>
              <w:bottom w:val="single" w:sz="4" w:space="0" w:color="auto"/>
              <w:right w:val="nil"/>
            </w:tcBorders>
            <w:shd w:val="clear" w:color="auto" w:fill="auto"/>
            <w:noWrap/>
            <w:vAlign w:val="center"/>
          </w:tcPr>
          <w:p w14:paraId="31C815E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133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3FD5812"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E92FB8" w:rsidRPr="000855B2" w14:paraId="5EB422C0"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73FDBCCD" w14:textId="77777777" w:rsidR="00E92FB8" w:rsidRPr="00A86EF2" w:rsidRDefault="00E92FB8"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684102BA"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346</w:t>
            </w:r>
          </w:p>
        </w:tc>
        <w:tc>
          <w:tcPr>
            <w:tcW w:w="675" w:type="dxa"/>
            <w:tcBorders>
              <w:top w:val="nil"/>
              <w:left w:val="nil"/>
              <w:bottom w:val="double" w:sz="6" w:space="0" w:color="auto"/>
              <w:right w:val="single" w:sz="4" w:space="0" w:color="auto"/>
            </w:tcBorders>
            <w:shd w:val="clear" w:color="auto" w:fill="auto"/>
            <w:noWrap/>
            <w:vAlign w:val="center"/>
          </w:tcPr>
          <w:p w14:paraId="211275F6"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8.02</w:t>
            </w:r>
          </w:p>
        </w:tc>
        <w:tc>
          <w:tcPr>
            <w:tcW w:w="1296" w:type="dxa"/>
            <w:tcBorders>
              <w:top w:val="nil"/>
              <w:left w:val="nil"/>
              <w:bottom w:val="double" w:sz="6" w:space="0" w:color="auto"/>
              <w:right w:val="single" w:sz="4" w:space="0" w:color="auto"/>
            </w:tcBorders>
            <w:shd w:val="clear" w:color="auto" w:fill="auto"/>
            <w:noWrap/>
            <w:vAlign w:val="center"/>
          </w:tcPr>
          <w:p w14:paraId="5C44106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730" w:type="dxa"/>
            <w:tcBorders>
              <w:top w:val="nil"/>
              <w:left w:val="nil"/>
              <w:bottom w:val="double" w:sz="6" w:space="0" w:color="auto"/>
              <w:right w:val="single" w:sz="4" w:space="0" w:color="auto"/>
            </w:tcBorders>
            <w:shd w:val="clear" w:color="auto" w:fill="auto"/>
            <w:noWrap/>
            <w:vAlign w:val="center"/>
          </w:tcPr>
          <w:p w14:paraId="3A36BF99"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4.11</w:t>
            </w:r>
          </w:p>
        </w:tc>
        <w:tc>
          <w:tcPr>
            <w:tcW w:w="593" w:type="dxa"/>
            <w:tcBorders>
              <w:top w:val="nil"/>
              <w:left w:val="nil"/>
              <w:bottom w:val="double" w:sz="6" w:space="0" w:color="auto"/>
              <w:right w:val="single" w:sz="4" w:space="0" w:color="auto"/>
            </w:tcBorders>
            <w:shd w:val="clear" w:color="auto" w:fill="auto"/>
            <w:noWrap/>
            <w:vAlign w:val="center"/>
          </w:tcPr>
          <w:p w14:paraId="61612B8B"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2.11</w:t>
            </w:r>
          </w:p>
        </w:tc>
        <w:tc>
          <w:tcPr>
            <w:tcW w:w="1583" w:type="dxa"/>
            <w:tcBorders>
              <w:top w:val="nil"/>
              <w:left w:val="nil"/>
              <w:bottom w:val="double" w:sz="6" w:space="0" w:color="auto"/>
              <w:right w:val="nil"/>
            </w:tcBorders>
            <w:shd w:val="clear" w:color="auto" w:fill="auto"/>
            <w:noWrap/>
            <w:vAlign w:val="center"/>
          </w:tcPr>
          <w:p w14:paraId="67D060F7"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33.5</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024CC08" w14:textId="77777777" w:rsidR="00E92FB8" w:rsidRPr="00A86EF2" w:rsidRDefault="00E92FB8"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FA60368" w14:textId="5BFC25E1" w:rsidR="00F66F88" w:rsidRPr="000855B2" w:rsidRDefault="00F66F88"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19</w:t>
      </w:r>
      <w:r w:rsidR="00FB454C">
        <w:rPr>
          <w:noProof/>
        </w:rPr>
        <w:fldChar w:fldCharType="end"/>
      </w:r>
      <w:r w:rsidRPr="000855B2">
        <w:t>: Bulk emission factors (g/kg fuel) (for CO</w:t>
      </w:r>
      <w:r w:rsidRPr="000855B2">
        <w:rPr>
          <w:vertAlign w:val="subscript"/>
        </w:rPr>
        <w:t>2</w:t>
      </w:r>
      <w:r w:rsidRPr="000855B2">
        <w:t xml:space="preserve"> kg/kg fuel) for Malta, year 2005.</w:t>
      </w:r>
    </w:p>
    <w:tbl>
      <w:tblPr>
        <w:tblW w:w="7968" w:type="dxa"/>
        <w:tblInd w:w="108" w:type="dxa"/>
        <w:tblLook w:val="0000" w:firstRow="0" w:lastRow="0" w:firstColumn="0" w:lastColumn="0" w:noHBand="0" w:noVBand="0"/>
      </w:tblPr>
      <w:tblGrid>
        <w:gridCol w:w="1248"/>
        <w:gridCol w:w="741"/>
        <w:gridCol w:w="660"/>
        <w:gridCol w:w="1267"/>
        <w:gridCol w:w="714"/>
        <w:gridCol w:w="580"/>
        <w:gridCol w:w="1545"/>
        <w:gridCol w:w="1213"/>
      </w:tblGrid>
      <w:tr w:rsidR="003A3DE5" w:rsidRPr="000855B2" w14:paraId="3AEB1E1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EDD7696"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711B2F1B"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Malta</w:t>
            </w:r>
          </w:p>
        </w:tc>
      </w:tr>
      <w:tr w:rsidR="003A3DE5" w:rsidRPr="000855B2" w14:paraId="39C9711B"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68EF0963" w14:textId="77777777" w:rsidR="003A3DE5" w:rsidRPr="00A86EF2" w:rsidRDefault="003A3DE5" w:rsidP="0062782E">
            <w:pPr>
              <w:spacing w:line="240" w:lineRule="auto"/>
              <w:jc w:val="center"/>
              <w:rPr>
                <w:b/>
                <w:bCs/>
                <w:color w:val="000000"/>
                <w:sz w:val="16"/>
                <w:szCs w:val="16"/>
                <w:lang w:val="en-GB" w:eastAsia="el-GR" w:bidi="hi-IN"/>
              </w:rPr>
            </w:pPr>
          </w:p>
        </w:tc>
        <w:tc>
          <w:tcPr>
            <w:tcW w:w="741" w:type="dxa"/>
            <w:tcBorders>
              <w:top w:val="nil"/>
              <w:left w:val="nil"/>
              <w:bottom w:val="single" w:sz="12" w:space="0" w:color="auto"/>
              <w:right w:val="single" w:sz="4" w:space="0" w:color="auto"/>
            </w:tcBorders>
            <w:shd w:val="clear" w:color="auto" w:fill="auto"/>
            <w:noWrap/>
            <w:vAlign w:val="center"/>
          </w:tcPr>
          <w:p w14:paraId="3548066A"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60" w:type="dxa"/>
            <w:tcBorders>
              <w:top w:val="nil"/>
              <w:left w:val="nil"/>
              <w:bottom w:val="single" w:sz="12" w:space="0" w:color="auto"/>
              <w:right w:val="single" w:sz="4" w:space="0" w:color="auto"/>
            </w:tcBorders>
            <w:shd w:val="clear" w:color="auto" w:fill="auto"/>
            <w:noWrap/>
            <w:vAlign w:val="center"/>
          </w:tcPr>
          <w:p w14:paraId="272AD61E"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67" w:type="dxa"/>
            <w:tcBorders>
              <w:top w:val="nil"/>
              <w:left w:val="nil"/>
              <w:bottom w:val="single" w:sz="12" w:space="0" w:color="auto"/>
              <w:right w:val="single" w:sz="4" w:space="0" w:color="auto"/>
            </w:tcBorders>
            <w:shd w:val="clear" w:color="auto" w:fill="auto"/>
            <w:noWrap/>
            <w:vAlign w:val="center"/>
          </w:tcPr>
          <w:p w14:paraId="31650CEC"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14" w:type="dxa"/>
            <w:tcBorders>
              <w:top w:val="nil"/>
              <w:left w:val="nil"/>
              <w:bottom w:val="single" w:sz="12" w:space="0" w:color="auto"/>
              <w:right w:val="single" w:sz="4" w:space="0" w:color="auto"/>
            </w:tcBorders>
            <w:shd w:val="clear" w:color="auto" w:fill="auto"/>
            <w:noWrap/>
            <w:vAlign w:val="center"/>
          </w:tcPr>
          <w:p w14:paraId="0CAD934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19</w:t>
            </w:r>
          </w:p>
        </w:tc>
        <w:tc>
          <w:tcPr>
            <w:tcW w:w="580" w:type="dxa"/>
            <w:tcBorders>
              <w:top w:val="nil"/>
              <w:left w:val="nil"/>
              <w:bottom w:val="single" w:sz="12" w:space="0" w:color="auto"/>
              <w:right w:val="single" w:sz="4" w:space="0" w:color="auto"/>
            </w:tcBorders>
            <w:shd w:val="clear" w:color="auto" w:fill="auto"/>
            <w:noWrap/>
            <w:vAlign w:val="center"/>
          </w:tcPr>
          <w:p w14:paraId="79F7C09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45" w:type="dxa"/>
            <w:tcBorders>
              <w:top w:val="nil"/>
              <w:left w:val="nil"/>
              <w:bottom w:val="single" w:sz="12" w:space="0" w:color="auto"/>
              <w:right w:val="nil"/>
            </w:tcBorders>
            <w:shd w:val="clear" w:color="auto" w:fill="auto"/>
            <w:vAlign w:val="center"/>
          </w:tcPr>
          <w:p w14:paraId="30A44ABB"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13" w:type="dxa"/>
            <w:tcBorders>
              <w:top w:val="nil"/>
              <w:left w:val="single" w:sz="4" w:space="0" w:color="auto"/>
              <w:bottom w:val="single" w:sz="12" w:space="0" w:color="auto"/>
              <w:right w:val="double" w:sz="6" w:space="0" w:color="auto"/>
            </w:tcBorders>
            <w:shd w:val="clear" w:color="auto" w:fill="auto"/>
            <w:vAlign w:val="center"/>
          </w:tcPr>
          <w:p w14:paraId="29D3B4B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49FC91AC"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004E65D"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741" w:type="dxa"/>
            <w:tcBorders>
              <w:top w:val="single" w:sz="12" w:space="0" w:color="auto"/>
              <w:left w:val="nil"/>
              <w:bottom w:val="single" w:sz="4" w:space="0" w:color="auto"/>
              <w:right w:val="single" w:sz="4" w:space="0" w:color="auto"/>
            </w:tcBorders>
            <w:shd w:val="clear" w:color="auto" w:fill="auto"/>
            <w:noWrap/>
            <w:vAlign w:val="center"/>
          </w:tcPr>
          <w:p w14:paraId="5706312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50.5</w:t>
            </w:r>
          </w:p>
        </w:tc>
        <w:tc>
          <w:tcPr>
            <w:tcW w:w="660" w:type="dxa"/>
            <w:tcBorders>
              <w:top w:val="single" w:sz="12" w:space="0" w:color="auto"/>
              <w:left w:val="nil"/>
              <w:bottom w:val="single" w:sz="4" w:space="0" w:color="auto"/>
              <w:right w:val="single" w:sz="4" w:space="0" w:color="auto"/>
            </w:tcBorders>
            <w:shd w:val="clear" w:color="auto" w:fill="auto"/>
            <w:noWrap/>
            <w:vAlign w:val="center"/>
          </w:tcPr>
          <w:p w14:paraId="2399C92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5.97</w:t>
            </w:r>
          </w:p>
        </w:tc>
        <w:tc>
          <w:tcPr>
            <w:tcW w:w="1267" w:type="dxa"/>
            <w:tcBorders>
              <w:top w:val="single" w:sz="12" w:space="0" w:color="auto"/>
              <w:left w:val="nil"/>
              <w:bottom w:val="single" w:sz="4" w:space="0" w:color="auto"/>
              <w:right w:val="single" w:sz="4" w:space="0" w:color="auto"/>
            </w:tcBorders>
            <w:shd w:val="clear" w:color="auto" w:fill="auto"/>
            <w:noWrap/>
            <w:vAlign w:val="center"/>
          </w:tcPr>
          <w:p w14:paraId="5DC6557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6.13</w:t>
            </w:r>
          </w:p>
        </w:tc>
        <w:tc>
          <w:tcPr>
            <w:tcW w:w="714" w:type="dxa"/>
            <w:tcBorders>
              <w:top w:val="single" w:sz="12" w:space="0" w:color="auto"/>
              <w:left w:val="nil"/>
              <w:bottom w:val="single" w:sz="4" w:space="0" w:color="auto"/>
              <w:right w:val="single" w:sz="4" w:space="0" w:color="auto"/>
            </w:tcBorders>
            <w:shd w:val="clear" w:color="auto" w:fill="auto"/>
            <w:noWrap/>
            <w:vAlign w:val="center"/>
          </w:tcPr>
          <w:p w14:paraId="1CC901C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0.70</w:t>
            </w:r>
          </w:p>
        </w:tc>
        <w:tc>
          <w:tcPr>
            <w:tcW w:w="580" w:type="dxa"/>
            <w:tcBorders>
              <w:top w:val="single" w:sz="12" w:space="0" w:color="auto"/>
              <w:left w:val="nil"/>
              <w:bottom w:val="single" w:sz="4" w:space="0" w:color="auto"/>
              <w:right w:val="single" w:sz="4" w:space="0" w:color="auto"/>
            </w:tcBorders>
            <w:shd w:val="clear" w:color="auto" w:fill="auto"/>
            <w:noWrap/>
            <w:vAlign w:val="center"/>
          </w:tcPr>
          <w:p w14:paraId="665629C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0.04</w:t>
            </w:r>
          </w:p>
        </w:tc>
        <w:tc>
          <w:tcPr>
            <w:tcW w:w="1545" w:type="dxa"/>
            <w:tcBorders>
              <w:top w:val="single" w:sz="12" w:space="0" w:color="auto"/>
              <w:left w:val="nil"/>
              <w:bottom w:val="single" w:sz="4" w:space="0" w:color="auto"/>
              <w:right w:val="nil"/>
            </w:tcBorders>
            <w:shd w:val="clear" w:color="auto" w:fill="auto"/>
            <w:noWrap/>
            <w:vAlign w:val="center"/>
          </w:tcPr>
          <w:p w14:paraId="128E76A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9.62</w:t>
            </w:r>
          </w:p>
        </w:tc>
        <w:tc>
          <w:tcPr>
            <w:tcW w:w="1213"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7E6A2AE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29DDA94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96D3E56"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741" w:type="dxa"/>
            <w:tcBorders>
              <w:top w:val="nil"/>
              <w:left w:val="nil"/>
              <w:bottom w:val="single" w:sz="4" w:space="0" w:color="auto"/>
              <w:right w:val="single" w:sz="4" w:space="0" w:color="auto"/>
            </w:tcBorders>
            <w:shd w:val="clear" w:color="auto" w:fill="auto"/>
            <w:noWrap/>
            <w:vAlign w:val="center"/>
          </w:tcPr>
          <w:p w14:paraId="6EFD54B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3.80</w:t>
            </w:r>
          </w:p>
        </w:tc>
        <w:tc>
          <w:tcPr>
            <w:tcW w:w="660" w:type="dxa"/>
            <w:tcBorders>
              <w:top w:val="nil"/>
              <w:left w:val="nil"/>
              <w:bottom w:val="single" w:sz="4" w:space="0" w:color="auto"/>
              <w:right w:val="single" w:sz="4" w:space="0" w:color="auto"/>
            </w:tcBorders>
            <w:shd w:val="clear" w:color="auto" w:fill="auto"/>
            <w:noWrap/>
            <w:vAlign w:val="center"/>
          </w:tcPr>
          <w:p w14:paraId="07A6D01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267" w:type="dxa"/>
            <w:tcBorders>
              <w:top w:val="nil"/>
              <w:left w:val="nil"/>
              <w:bottom w:val="single" w:sz="4" w:space="0" w:color="auto"/>
              <w:right w:val="single" w:sz="4" w:space="0" w:color="auto"/>
            </w:tcBorders>
            <w:shd w:val="clear" w:color="auto" w:fill="auto"/>
            <w:noWrap/>
            <w:vAlign w:val="center"/>
          </w:tcPr>
          <w:p w14:paraId="2588AD7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0.60</w:t>
            </w:r>
          </w:p>
        </w:tc>
        <w:tc>
          <w:tcPr>
            <w:tcW w:w="714" w:type="dxa"/>
            <w:tcBorders>
              <w:top w:val="nil"/>
              <w:left w:val="nil"/>
              <w:bottom w:val="single" w:sz="4" w:space="0" w:color="auto"/>
              <w:right w:val="single" w:sz="4" w:space="0" w:color="auto"/>
            </w:tcBorders>
            <w:shd w:val="clear" w:color="auto" w:fill="auto"/>
            <w:noWrap/>
            <w:vAlign w:val="center"/>
          </w:tcPr>
          <w:p w14:paraId="0774465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80" w:type="dxa"/>
            <w:tcBorders>
              <w:top w:val="nil"/>
              <w:left w:val="nil"/>
              <w:bottom w:val="single" w:sz="4" w:space="0" w:color="auto"/>
              <w:right w:val="single" w:sz="4" w:space="0" w:color="auto"/>
            </w:tcBorders>
            <w:shd w:val="clear" w:color="auto" w:fill="auto"/>
            <w:noWrap/>
            <w:vAlign w:val="center"/>
          </w:tcPr>
          <w:p w14:paraId="12BA43D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1545" w:type="dxa"/>
            <w:tcBorders>
              <w:top w:val="nil"/>
              <w:left w:val="nil"/>
              <w:bottom w:val="single" w:sz="4" w:space="0" w:color="auto"/>
              <w:right w:val="nil"/>
            </w:tcBorders>
            <w:shd w:val="clear" w:color="auto" w:fill="auto"/>
            <w:noWrap/>
            <w:vAlign w:val="center"/>
          </w:tcPr>
          <w:p w14:paraId="0EC9E56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9.27</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727266C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D677BE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7B3B946"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741" w:type="dxa"/>
            <w:tcBorders>
              <w:top w:val="nil"/>
              <w:left w:val="nil"/>
              <w:bottom w:val="single" w:sz="4" w:space="0" w:color="auto"/>
              <w:right w:val="single" w:sz="4" w:space="0" w:color="auto"/>
            </w:tcBorders>
            <w:shd w:val="clear" w:color="auto" w:fill="auto"/>
            <w:noWrap/>
            <w:vAlign w:val="center"/>
          </w:tcPr>
          <w:p w14:paraId="04D779E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178</w:t>
            </w:r>
          </w:p>
        </w:tc>
        <w:tc>
          <w:tcPr>
            <w:tcW w:w="660" w:type="dxa"/>
            <w:tcBorders>
              <w:top w:val="nil"/>
              <w:left w:val="nil"/>
              <w:bottom w:val="single" w:sz="4" w:space="0" w:color="auto"/>
              <w:right w:val="single" w:sz="4" w:space="0" w:color="auto"/>
            </w:tcBorders>
            <w:shd w:val="clear" w:color="auto" w:fill="auto"/>
            <w:noWrap/>
            <w:vAlign w:val="center"/>
          </w:tcPr>
          <w:p w14:paraId="596CC46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18.2</w:t>
            </w:r>
          </w:p>
        </w:tc>
        <w:tc>
          <w:tcPr>
            <w:tcW w:w="1267" w:type="dxa"/>
            <w:tcBorders>
              <w:top w:val="nil"/>
              <w:left w:val="nil"/>
              <w:bottom w:val="single" w:sz="4" w:space="0" w:color="auto"/>
              <w:right w:val="single" w:sz="4" w:space="0" w:color="auto"/>
            </w:tcBorders>
            <w:shd w:val="clear" w:color="auto" w:fill="auto"/>
            <w:noWrap/>
            <w:vAlign w:val="center"/>
          </w:tcPr>
          <w:p w14:paraId="3CB848D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19.3</w:t>
            </w:r>
          </w:p>
        </w:tc>
        <w:tc>
          <w:tcPr>
            <w:tcW w:w="714" w:type="dxa"/>
            <w:tcBorders>
              <w:top w:val="nil"/>
              <w:left w:val="nil"/>
              <w:bottom w:val="single" w:sz="4" w:space="0" w:color="auto"/>
              <w:right w:val="single" w:sz="4" w:space="0" w:color="auto"/>
            </w:tcBorders>
            <w:shd w:val="clear" w:color="auto" w:fill="auto"/>
            <w:noWrap/>
            <w:vAlign w:val="center"/>
          </w:tcPr>
          <w:p w14:paraId="04CF1F4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1.18</w:t>
            </w:r>
          </w:p>
        </w:tc>
        <w:tc>
          <w:tcPr>
            <w:tcW w:w="580" w:type="dxa"/>
            <w:tcBorders>
              <w:top w:val="nil"/>
              <w:left w:val="nil"/>
              <w:bottom w:val="single" w:sz="4" w:space="0" w:color="auto"/>
              <w:right w:val="single" w:sz="4" w:space="0" w:color="auto"/>
            </w:tcBorders>
            <w:shd w:val="clear" w:color="auto" w:fill="auto"/>
            <w:noWrap/>
            <w:vAlign w:val="center"/>
          </w:tcPr>
          <w:p w14:paraId="18EF78A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45" w:type="dxa"/>
            <w:tcBorders>
              <w:top w:val="nil"/>
              <w:left w:val="nil"/>
              <w:bottom w:val="single" w:sz="4" w:space="0" w:color="auto"/>
              <w:right w:val="nil"/>
            </w:tcBorders>
            <w:shd w:val="clear" w:color="auto" w:fill="auto"/>
            <w:noWrap/>
            <w:vAlign w:val="center"/>
          </w:tcPr>
          <w:p w14:paraId="35F374C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6.31</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57D4E52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6FCC4E7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609475A"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741" w:type="dxa"/>
            <w:tcBorders>
              <w:top w:val="nil"/>
              <w:left w:val="nil"/>
              <w:bottom w:val="single" w:sz="4" w:space="0" w:color="auto"/>
              <w:right w:val="single" w:sz="4" w:space="0" w:color="auto"/>
            </w:tcBorders>
            <w:shd w:val="clear" w:color="auto" w:fill="auto"/>
            <w:noWrap/>
            <w:vAlign w:val="center"/>
          </w:tcPr>
          <w:p w14:paraId="4D0319E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6.37</w:t>
            </w:r>
          </w:p>
        </w:tc>
        <w:tc>
          <w:tcPr>
            <w:tcW w:w="660" w:type="dxa"/>
            <w:tcBorders>
              <w:top w:val="nil"/>
              <w:left w:val="nil"/>
              <w:bottom w:val="single" w:sz="4" w:space="0" w:color="auto"/>
              <w:right w:val="single" w:sz="4" w:space="0" w:color="auto"/>
            </w:tcBorders>
            <w:shd w:val="clear" w:color="auto" w:fill="auto"/>
            <w:noWrap/>
            <w:vAlign w:val="center"/>
          </w:tcPr>
          <w:p w14:paraId="0B0523A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15.3</w:t>
            </w:r>
          </w:p>
        </w:tc>
        <w:tc>
          <w:tcPr>
            <w:tcW w:w="1267" w:type="dxa"/>
            <w:tcBorders>
              <w:top w:val="nil"/>
              <w:left w:val="nil"/>
              <w:bottom w:val="single" w:sz="4" w:space="0" w:color="auto"/>
              <w:right w:val="single" w:sz="4" w:space="0" w:color="auto"/>
            </w:tcBorders>
            <w:shd w:val="clear" w:color="auto" w:fill="auto"/>
            <w:noWrap/>
            <w:vAlign w:val="center"/>
          </w:tcPr>
          <w:p w14:paraId="5F34D59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714" w:type="dxa"/>
            <w:tcBorders>
              <w:top w:val="nil"/>
              <w:left w:val="nil"/>
              <w:bottom w:val="single" w:sz="4" w:space="0" w:color="auto"/>
              <w:right w:val="single" w:sz="4" w:space="0" w:color="auto"/>
            </w:tcBorders>
            <w:shd w:val="clear" w:color="auto" w:fill="auto"/>
            <w:noWrap/>
            <w:vAlign w:val="center"/>
          </w:tcPr>
          <w:p w14:paraId="08F2F69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80" w:type="dxa"/>
            <w:tcBorders>
              <w:top w:val="nil"/>
              <w:left w:val="nil"/>
              <w:bottom w:val="single" w:sz="4" w:space="0" w:color="auto"/>
              <w:right w:val="single" w:sz="4" w:space="0" w:color="auto"/>
            </w:tcBorders>
            <w:shd w:val="clear" w:color="auto" w:fill="auto"/>
            <w:noWrap/>
            <w:vAlign w:val="center"/>
          </w:tcPr>
          <w:p w14:paraId="6BEAFEE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w:t>
            </w:r>
          </w:p>
        </w:tc>
        <w:tc>
          <w:tcPr>
            <w:tcW w:w="1545" w:type="dxa"/>
            <w:tcBorders>
              <w:top w:val="nil"/>
              <w:left w:val="nil"/>
              <w:bottom w:val="single" w:sz="4" w:space="0" w:color="auto"/>
              <w:right w:val="nil"/>
            </w:tcBorders>
            <w:shd w:val="clear" w:color="auto" w:fill="auto"/>
            <w:noWrap/>
            <w:vAlign w:val="center"/>
          </w:tcPr>
          <w:p w14:paraId="3141F46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6.66</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4A490ED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64B3A40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BEBE436"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741" w:type="dxa"/>
            <w:tcBorders>
              <w:top w:val="nil"/>
              <w:left w:val="nil"/>
              <w:bottom w:val="single" w:sz="4" w:space="0" w:color="auto"/>
              <w:right w:val="single" w:sz="4" w:space="0" w:color="auto"/>
            </w:tcBorders>
            <w:shd w:val="clear" w:color="auto" w:fill="auto"/>
            <w:noWrap/>
            <w:vAlign w:val="center"/>
          </w:tcPr>
          <w:p w14:paraId="739E942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8.70</w:t>
            </w:r>
          </w:p>
        </w:tc>
        <w:tc>
          <w:tcPr>
            <w:tcW w:w="660" w:type="dxa"/>
            <w:tcBorders>
              <w:top w:val="nil"/>
              <w:left w:val="nil"/>
              <w:bottom w:val="single" w:sz="4" w:space="0" w:color="auto"/>
              <w:right w:val="single" w:sz="4" w:space="0" w:color="auto"/>
            </w:tcBorders>
            <w:shd w:val="clear" w:color="auto" w:fill="auto"/>
            <w:noWrap/>
            <w:vAlign w:val="center"/>
          </w:tcPr>
          <w:p w14:paraId="25A6804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34.0</w:t>
            </w:r>
          </w:p>
        </w:tc>
        <w:tc>
          <w:tcPr>
            <w:tcW w:w="1267" w:type="dxa"/>
            <w:tcBorders>
              <w:top w:val="nil"/>
              <w:left w:val="nil"/>
              <w:bottom w:val="single" w:sz="4" w:space="0" w:color="auto"/>
              <w:right w:val="single" w:sz="4" w:space="0" w:color="auto"/>
            </w:tcBorders>
            <w:shd w:val="clear" w:color="auto" w:fill="auto"/>
            <w:noWrap/>
            <w:vAlign w:val="center"/>
          </w:tcPr>
          <w:p w14:paraId="7F93CAA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3.00</w:t>
            </w:r>
          </w:p>
        </w:tc>
        <w:tc>
          <w:tcPr>
            <w:tcW w:w="714" w:type="dxa"/>
            <w:tcBorders>
              <w:top w:val="nil"/>
              <w:left w:val="nil"/>
              <w:bottom w:val="single" w:sz="4" w:space="0" w:color="auto"/>
              <w:right w:val="single" w:sz="4" w:space="0" w:color="auto"/>
            </w:tcBorders>
            <w:shd w:val="clear" w:color="auto" w:fill="auto"/>
            <w:noWrap/>
            <w:vAlign w:val="center"/>
          </w:tcPr>
          <w:p w14:paraId="63D3597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0.28</w:t>
            </w:r>
          </w:p>
        </w:tc>
        <w:tc>
          <w:tcPr>
            <w:tcW w:w="580" w:type="dxa"/>
            <w:tcBorders>
              <w:top w:val="nil"/>
              <w:left w:val="nil"/>
              <w:bottom w:val="single" w:sz="4" w:space="0" w:color="auto"/>
              <w:right w:val="single" w:sz="4" w:space="0" w:color="auto"/>
            </w:tcBorders>
            <w:shd w:val="clear" w:color="auto" w:fill="auto"/>
            <w:noWrap/>
            <w:vAlign w:val="center"/>
          </w:tcPr>
          <w:p w14:paraId="3E1C059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1545" w:type="dxa"/>
            <w:tcBorders>
              <w:top w:val="nil"/>
              <w:left w:val="nil"/>
              <w:bottom w:val="single" w:sz="4" w:space="0" w:color="auto"/>
              <w:right w:val="nil"/>
            </w:tcBorders>
            <w:shd w:val="clear" w:color="auto" w:fill="auto"/>
            <w:noWrap/>
            <w:vAlign w:val="center"/>
          </w:tcPr>
          <w:p w14:paraId="540E75A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2.89</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49C34ED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4503598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AA7B2C6"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741" w:type="dxa"/>
            <w:tcBorders>
              <w:top w:val="nil"/>
              <w:left w:val="nil"/>
              <w:bottom w:val="single" w:sz="4" w:space="0" w:color="auto"/>
              <w:right w:val="single" w:sz="4" w:space="0" w:color="auto"/>
            </w:tcBorders>
            <w:shd w:val="clear" w:color="auto" w:fill="auto"/>
            <w:noWrap/>
            <w:vAlign w:val="center"/>
          </w:tcPr>
          <w:p w14:paraId="6E822BC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12.56</w:t>
            </w:r>
          </w:p>
        </w:tc>
        <w:tc>
          <w:tcPr>
            <w:tcW w:w="660" w:type="dxa"/>
            <w:tcBorders>
              <w:top w:val="nil"/>
              <w:left w:val="nil"/>
              <w:bottom w:val="single" w:sz="4" w:space="0" w:color="auto"/>
              <w:right w:val="single" w:sz="4" w:space="0" w:color="auto"/>
            </w:tcBorders>
            <w:shd w:val="clear" w:color="auto" w:fill="auto"/>
            <w:noWrap/>
            <w:vAlign w:val="center"/>
          </w:tcPr>
          <w:p w14:paraId="12D7111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37.4</w:t>
            </w:r>
          </w:p>
        </w:tc>
        <w:tc>
          <w:tcPr>
            <w:tcW w:w="1267" w:type="dxa"/>
            <w:tcBorders>
              <w:top w:val="nil"/>
              <w:left w:val="nil"/>
              <w:bottom w:val="single" w:sz="4" w:space="0" w:color="auto"/>
              <w:right w:val="single" w:sz="4" w:space="0" w:color="auto"/>
            </w:tcBorders>
            <w:shd w:val="clear" w:color="auto" w:fill="auto"/>
            <w:noWrap/>
            <w:vAlign w:val="center"/>
          </w:tcPr>
          <w:p w14:paraId="5FB7936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4.99</w:t>
            </w:r>
          </w:p>
        </w:tc>
        <w:tc>
          <w:tcPr>
            <w:tcW w:w="714" w:type="dxa"/>
            <w:tcBorders>
              <w:top w:val="nil"/>
              <w:left w:val="nil"/>
              <w:bottom w:val="single" w:sz="4" w:space="0" w:color="auto"/>
              <w:right w:val="single" w:sz="4" w:space="0" w:color="auto"/>
            </w:tcBorders>
            <w:shd w:val="clear" w:color="auto" w:fill="auto"/>
            <w:noWrap/>
            <w:vAlign w:val="center"/>
          </w:tcPr>
          <w:p w14:paraId="209F579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80" w:type="dxa"/>
            <w:tcBorders>
              <w:top w:val="nil"/>
              <w:left w:val="nil"/>
              <w:bottom w:val="single" w:sz="4" w:space="0" w:color="auto"/>
              <w:right w:val="single" w:sz="4" w:space="0" w:color="auto"/>
            </w:tcBorders>
            <w:shd w:val="clear" w:color="auto" w:fill="auto"/>
            <w:noWrap/>
            <w:vAlign w:val="center"/>
          </w:tcPr>
          <w:p w14:paraId="1BEF64D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1545" w:type="dxa"/>
            <w:tcBorders>
              <w:top w:val="nil"/>
              <w:left w:val="nil"/>
              <w:bottom w:val="single" w:sz="4" w:space="0" w:color="auto"/>
              <w:right w:val="nil"/>
            </w:tcBorders>
            <w:shd w:val="clear" w:color="auto" w:fill="auto"/>
            <w:noWrap/>
            <w:vAlign w:val="center"/>
          </w:tcPr>
          <w:p w14:paraId="49FD508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5.95</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1607D1A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3E4BB1B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C8F3431"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741" w:type="dxa"/>
            <w:tcBorders>
              <w:top w:val="nil"/>
              <w:left w:val="nil"/>
              <w:bottom w:val="single" w:sz="4" w:space="0" w:color="auto"/>
              <w:right w:val="single" w:sz="4" w:space="0" w:color="auto"/>
            </w:tcBorders>
            <w:shd w:val="clear" w:color="auto" w:fill="auto"/>
            <w:noWrap/>
            <w:vAlign w:val="center"/>
          </w:tcPr>
          <w:p w14:paraId="0CD1F79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660" w:type="dxa"/>
            <w:tcBorders>
              <w:top w:val="nil"/>
              <w:left w:val="nil"/>
              <w:bottom w:val="single" w:sz="4" w:space="0" w:color="auto"/>
              <w:right w:val="single" w:sz="4" w:space="0" w:color="auto"/>
            </w:tcBorders>
            <w:shd w:val="clear" w:color="auto" w:fill="auto"/>
            <w:noWrap/>
            <w:vAlign w:val="center"/>
          </w:tcPr>
          <w:p w14:paraId="6E145A1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1267" w:type="dxa"/>
            <w:tcBorders>
              <w:top w:val="nil"/>
              <w:left w:val="nil"/>
              <w:bottom w:val="single" w:sz="4" w:space="0" w:color="auto"/>
              <w:right w:val="single" w:sz="4" w:space="0" w:color="auto"/>
            </w:tcBorders>
            <w:shd w:val="clear" w:color="auto" w:fill="auto"/>
            <w:noWrap/>
            <w:vAlign w:val="center"/>
          </w:tcPr>
          <w:p w14:paraId="1DD1C07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714" w:type="dxa"/>
            <w:tcBorders>
              <w:top w:val="nil"/>
              <w:left w:val="nil"/>
              <w:bottom w:val="single" w:sz="4" w:space="0" w:color="auto"/>
              <w:right w:val="single" w:sz="4" w:space="0" w:color="auto"/>
            </w:tcBorders>
            <w:shd w:val="clear" w:color="auto" w:fill="auto"/>
            <w:noWrap/>
            <w:vAlign w:val="center"/>
          </w:tcPr>
          <w:p w14:paraId="12D2267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580" w:type="dxa"/>
            <w:tcBorders>
              <w:top w:val="nil"/>
              <w:left w:val="nil"/>
              <w:bottom w:val="single" w:sz="4" w:space="0" w:color="auto"/>
              <w:right w:val="single" w:sz="4" w:space="0" w:color="auto"/>
            </w:tcBorders>
            <w:shd w:val="clear" w:color="auto" w:fill="auto"/>
            <w:noWrap/>
            <w:vAlign w:val="center"/>
          </w:tcPr>
          <w:p w14:paraId="231B9AA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1545" w:type="dxa"/>
            <w:tcBorders>
              <w:top w:val="nil"/>
              <w:left w:val="nil"/>
              <w:bottom w:val="single" w:sz="4" w:space="0" w:color="auto"/>
              <w:right w:val="nil"/>
            </w:tcBorders>
            <w:shd w:val="clear" w:color="auto" w:fill="auto"/>
            <w:noWrap/>
            <w:vAlign w:val="center"/>
          </w:tcPr>
          <w:p w14:paraId="7507A05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c>
          <w:tcPr>
            <w:tcW w:w="1213" w:type="dxa"/>
            <w:tcBorders>
              <w:top w:val="nil"/>
              <w:left w:val="single" w:sz="4" w:space="0" w:color="auto"/>
              <w:bottom w:val="single" w:sz="4" w:space="0" w:color="auto"/>
              <w:right w:val="double" w:sz="6" w:space="0" w:color="auto"/>
            </w:tcBorders>
            <w:shd w:val="clear" w:color="auto" w:fill="auto"/>
            <w:noWrap/>
            <w:vAlign w:val="center"/>
          </w:tcPr>
          <w:p w14:paraId="409F675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N/A</w:t>
            </w:r>
          </w:p>
        </w:tc>
      </w:tr>
      <w:tr w:rsidR="003A3DE5" w:rsidRPr="000855B2" w14:paraId="71441FEF"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78ECCBA2"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741" w:type="dxa"/>
            <w:tcBorders>
              <w:top w:val="nil"/>
              <w:left w:val="nil"/>
              <w:bottom w:val="double" w:sz="6" w:space="0" w:color="auto"/>
              <w:right w:val="single" w:sz="4" w:space="0" w:color="auto"/>
            </w:tcBorders>
            <w:shd w:val="clear" w:color="auto" w:fill="auto"/>
            <w:noWrap/>
            <w:vAlign w:val="center"/>
          </w:tcPr>
          <w:p w14:paraId="2F4CFB1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455</w:t>
            </w:r>
          </w:p>
        </w:tc>
        <w:tc>
          <w:tcPr>
            <w:tcW w:w="660" w:type="dxa"/>
            <w:tcBorders>
              <w:top w:val="nil"/>
              <w:left w:val="nil"/>
              <w:bottom w:val="double" w:sz="6" w:space="0" w:color="auto"/>
              <w:right w:val="single" w:sz="4" w:space="0" w:color="auto"/>
            </w:tcBorders>
            <w:shd w:val="clear" w:color="auto" w:fill="auto"/>
            <w:noWrap/>
            <w:vAlign w:val="center"/>
          </w:tcPr>
          <w:p w14:paraId="374A6BB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6.82</w:t>
            </w:r>
          </w:p>
        </w:tc>
        <w:tc>
          <w:tcPr>
            <w:tcW w:w="1267" w:type="dxa"/>
            <w:tcBorders>
              <w:top w:val="nil"/>
              <w:left w:val="nil"/>
              <w:bottom w:val="double" w:sz="6" w:space="0" w:color="auto"/>
              <w:right w:val="single" w:sz="4" w:space="0" w:color="auto"/>
            </w:tcBorders>
            <w:shd w:val="clear" w:color="auto" w:fill="auto"/>
            <w:noWrap/>
            <w:vAlign w:val="center"/>
          </w:tcPr>
          <w:p w14:paraId="3D131FB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40.6</w:t>
            </w:r>
          </w:p>
        </w:tc>
        <w:tc>
          <w:tcPr>
            <w:tcW w:w="714" w:type="dxa"/>
            <w:tcBorders>
              <w:top w:val="nil"/>
              <w:left w:val="nil"/>
              <w:bottom w:val="double" w:sz="6" w:space="0" w:color="auto"/>
              <w:right w:val="single" w:sz="4" w:space="0" w:color="auto"/>
            </w:tcBorders>
            <w:shd w:val="clear" w:color="auto" w:fill="auto"/>
            <w:noWrap/>
            <w:vAlign w:val="center"/>
          </w:tcPr>
          <w:p w14:paraId="21B3F62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5.11</w:t>
            </w:r>
          </w:p>
        </w:tc>
        <w:tc>
          <w:tcPr>
            <w:tcW w:w="580" w:type="dxa"/>
            <w:tcBorders>
              <w:top w:val="nil"/>
              <w:left w:val="nil"/>
              <w:bottom w:val="double" w:sz="6" w:space="0" w:color="auto"/>
              <w:right w:val="single" w:sz="4" w:space="0" w:color="auto"/>
            </w:tcBorders>
            <w:shd w:val="clear" w:color="auto" w:fill="auto"/>
            <w:noWrap/>
            <w:vAlign w:val="center"/>
          </w:tcPr>
          <w:p w14:paraId="0FF75E7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0.55</w:t>
            </w:r>
          </w:p>
        </w:tc>
        <w:tc>
          <w:tcPr>
            <w:tcW w:w="1545" w:type="dxa"/>
            <w:tcBorders>
              <w:top w:val="nil"/>
              <w:left w:val="nil"/>
              <w:bottom w:val="double" w:sz="6" w:space="0" w:color="auto"/>
              <w:right w:val="nil"/>
            </w:tcBorders>
            <w:shd w:val="clear" w:color="auto" w:fill="auto"/>
            <w:noWrap/>
            <w:vAlign w:val="center"/>
          </w:tcPr>
          <w:p w14:paraId="1FEF86F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10.9</w:t>
            </w:r>
          </w:p>
        </w:tc>
        <w:tc>
          <w:tcPr>
            <w:tcW w:w="1213" w:type="dxa"/>
            <w:tcBorders>
              <w:top w:val="nil"/>
              <w:left w:val="single" w:sz="4" w:space="0" w:color="auto"/>
              <w:bottom w:val="double" w:sz="6" w:space="0" w:color="auto"/>
              <w:right w:val="double" w:sz="6" w:space="0" w:color="auto"/>
            </w:tcBorders>
            <w:shd w:val="clear" w:color="auto" w:fill="auto"/>
            <w:noWrap/>
            <w:vAlign w:val="center"/>
          </w:tcPr>
          <w:p w14:paraId="431AABF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D8A01AB" w14:textId="1A2B7975"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20</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Netherlands,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13CE29D8"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126EE20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42E2D9E6"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Netherlands</w:t>
            </w:r>
          </w:p>
        </w:tc>
      </w:tr>
      <w:tr w:rsidR="003A3DE5" w:rsidRPr="000855B2" w14:paraId="2128C9F0"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6727FC6A"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040B4A26"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40284CE6"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651AFD20"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576DB23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20</w:t>
            </w:r>
          </w:p>
        </w:tc>
        <w:tc>
          <w:tcPr>
            <w:tcW w:w="593" w:type="dxa"/>
            <w:tcBorders>
              <w:top w:val="nil"/>
              <w:left w:val="nil"/>
              <w:bottom w:val="single" w:sz="12" w:space="0" w:color="auto"/>
              <w:right w:val="single" w:sz="4" w:space="0" w:color="auto"/>
            </w:tcBorders>
            <w:shd w:val="clear" w:color="auto" w:fill="auto"/>
            <w:noWrap/>
            <w:vAlign w:val="center"/>
          </w:tcPr>
          <w:p w14:paraId="265A5F3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7403912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47E46CA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7FAB139E"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4D7C76B"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550A156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78.7</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7EE51AB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9.63</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363DCA3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9.60</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7B82CE8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43A269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25E7AAB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8.33</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438C7D2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2398E61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11C804B"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1D72ACA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2.71</w:t>
            </w:r>
          </w:p>
        </w:tc>
        <w:tc>
          <w:tcPr>
            <w:tcW w:w="675" w:type="dxa"/>
            <w:tcBorders>
              <w:top w:val="nil"/>
              <w:left w:val="nil"/>
              <w:bottom w:val="single" w:sz="4" w:space="0" w:color="auto"/>
              <w:right w:val="single" w:sz="4" w:space="0" w:color="auto"/>
            </w:tcBorders>
            <w:shd w:val="clear" w:color="auto" w:fill="auto"/>
            <w:noWrap/>
            <w:vAlign w:val="center"/>
          </w:tcPr>
          <w:p w14:paraId="5356D36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1296" w:type="dxa"/>
            <w:tcBorders>
              <w:top w:val="nil"/>
              <w:left w:val="nil"/>
              <w:bottom w:val="single" w:sz="4" w:space="0" w:color="auto"/>
              <w:right w:val="single" w:sz="4" w:space="0" w:color="auto"/>
            </w:tcBorders>
            <w:shd w:val="clear" w:color="auto" w:fill="auto"/>
            <w:noWrap/>
            <w:vAlign w:val="center"/>
          </w:tcPr>
          <w:p w14:paraId="44F98BA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0.66</w:t>
            </w:r>
          </w:p>
        </w:tc>
        <w:tc>
          <w:tcPr>
            <w:tcW w:w="730" w:type="dxa"/>
            <w:tcBorders>
              <w:top w:val="nil"/>
              <w:left w:val="nil"/>
              <w:bottom w:val="single" w:sz="4" w:space="0" w:color="auto"/>
              <w:right w:val="single" w:sz="4" w:space="0" w:color="auto"/>
            </w:tcBorders>
            <w:shd w:val="clear" w:color="auto" w:fill="auto"/>
            <w:noWrap/>
            <w:vAlign w:val="center"/>
          </w:tcPr>
          <w:p w14:paraId="346F996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0.07</w:t>
            </w:r>
          </w:p>
        </w:tc>
        <w:tc>
          <w:tcPr>
            <w:tcW w:w="593" w:type="dxa"/>
            <w:tcBorders>
              <w:top w:val="nil"/>
              <w:left w:val="nil"/>
              <w:bottom w:val="single" w:sz="4" w:space="0" w:color="auto"/>
              <w:right w:val="single" w:sz="4" w:space="0" w:color="auto"/>
            </w:tcBorders>
            <w:shd w:val="clear" w:color="auto" w:fill="auto"/>
            <w:noWrap/>
            <w:vAlign w:val="center"/>
          </w:tcPr>
          <w:p w14:paraId="385DCBE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1.29</w:t>
            </w:r>
          </w:p>
        </w:tc>
        <w:tc>
          <w:tcPr>
            <w:tcW w:w="1583" w:type="dxa"/>
            <w:tcBorders>
              <w:top w:val="nil"/>
              <w:left w:val="nil"/>
              <w:bottom w:val="single" w:sz="4" w:space="0" w:color="auto"/>
              <w:right w:val="nil"/>
            </w:tcBorders>
            <w:shd w:val="clear" w:color="auto" w:fill="auto"/>
            <w:noWrap/>
            <w:vAlign w:val="center"/>
          </w:tcPr>
          <w:p w14:paraId="0165416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8.23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48BD5E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28F7AD7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BBEEA89"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26386F7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211</w:t>
            </w:r>
          </w:p>
        </w:tc>
        <w:tc>
          <w:tcPr>
            <w:tcW w:w="675" w:type="dxa"/>
            <w:tcBorders>
              <w:top w:val="nil"/>
              <w:left w:val="nil"/>
              <w:bottom w:val="single" w:sz="4" w:space="0" w:color="auto"/>
              <w:right w:val="single" w:sz="4" w:space="0" w:color="auto"/>
            </w:tcBorders>
            <w:shd w:val="clear" w:color="auto" w:fill="auto"/>
            <w:noWrap/>
            <w:vAlign w:val="center"/>
          </w:tcPr>
          <w:p w14:paraId="5E19C4C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16.0</w:t>
            </w:r>
          </w:p>
        </w:tc>
        <w:tc>
          <w:tcPr>
            <w:tcW w:w="1296" w:type="dxa"/>
            <w:tcBorders>
              <w:top w:val="nil"/>
              <w:left w:val="nil"/>
              <w:bottom w:val="single" w:sz="4" w:space="0" w:color="auto"/>
              <w:right w:val="single" w:sz="4" w:space="0" w:color="auto"/>
            </w:tcBorders>
            <w:shd w:val="clear" w:color="auto" w:fill="auto"/>
            <w:noWrap/>
            <w:vAlign w:val="center"/>
          </w:tcPr>
          <w:p w14:paraId="1DA00E1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16.4</w:t>
            </w:r>
          </w:p>
        </w:tc>
        <w:tc>
          <w:tcPr>
            <w:tcW w:w="730" w:type="dxa"/>
            <w:tcBorders>
              <w:top w:val="nil"/>
              <w:left w:val="nil"/>
              <w:bottom w:val="single" w:sz="4" w:space="0" w:color="auto"/>
              <w:right w:val="single" w:sz="4" w:space="0" w:color="auto"/>
            </w:tcBorders>
            <w:shd w:val="clear" w:color="auto" w:fill="auto"/>
            <w:noWrap/>
            <w:vAlign w:val="center"/>
          </w:tcPr>
          <w:p w14:paraId="204980D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0.86</w:t>
            </w:r>
          </w:p>
        </w:tc>
        <w:tc>
          <w:tcPr>
            <w:tcW w:w="593" w:type="dxa"/>
            <w:tcBorders>
              <w:top w:val="nil"/>
              <w:left w:val="nil"/>
              <w:bottom w:val="single" w:sz="4" w:space="0" w:color="auto"/>
              <w:right w:val="single" w:sz="4" w:space="0" w:color="auto"/>
            </w:tcBorders>
            <w:shd w:val="clear" w:color="auto" w:fill="auto"/>
            <w:noWrap/>
            <w:vAlign w:val="center"/>
          </w:tcPr>
          <w:p w14:paraId="3EE094F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48BEBD6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5.81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875598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768AAB4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0C57A07"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2E73E4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6.84</w:t>
            </w:r>
          </w:p>
        </w:tc>
        <w:tc>
          <w:tcPr>
            <w:tcW w:w="675" w:type="dxa"/>
            <w:tcBorders>
              <w:top w:val="nil"/>
              <w:left w:val="nil"/>
              <w:bottom w:val="single" w:sz="4" w:space="0" w:color="auto"/>
              <w:right w:val="single" w:sz="4" w:space="0" w:color="auto"/>
            </w:tcBorders>
            <w:shd w:val="clear" w:color="auto" w:fill="auto"/>
            <w:noWrap/>
            <w:vAlign w:val="center"/>
          </w:tcPr>
          <w:p w14:paraId="2C4DEF0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13.7</w:t>
            </w:r>
          </w:p>
        </w:tc>
        <w:tc>
          <w:tcPr>
            <w:tcW w:w="1296" w:type="dxa"/>
            <w:tcBorders>
              <w:top w:val="nil"/>
              <w:left w:val="nil"/>
              <w:bottom w:val="single" w:sz="4" w:space="0" w:color="auto"/>
              <w:right w:val="single" w:sz="4" w:space="0" w:color="auto"/>
            </w:tcBorders>
            <w:shd w:val="clear" w:color="auto" w:fill="auto"/>
            <w:noWrap/>
            <w:vAlign w:val="center"/>
          </w:tcPr>
          <w:p w14:paraId="44D8D94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730" w:type="dxa"/>
            <w:tcBorders>
              <w:top w:val="nil"/>
              <w:left w:val="nil"/>
              <w:bottom w:val="single" w:sz="4" w:space="0" w:color="auto"/>
              <w:right w:val="single" w:sz="4" w:space="0" w:color="auto"/>
            </w:tcBorders>
            <w:shd w:val="clear" w:color="auto" w:fill="auto"/>
            <w:noWrap/>
            <w:vAlign w:val="center"/>
          </w:tcPr>
          <w:p w14:paraId="4E13856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93" w:type="dxa"/>
            <w:tcBorders>
              <w:top w:val="nil"/>
              <w:left w:val="nil"/>
              <w:bottom w:val="single" w:sz="4" w:space="0" w:color="auto"/>
              <w:right w:val="single" w:sz="4" w:space="0" w:color="auto"/>
            </w:tcBorders>
            <w:shd w:val="clear" w:color="auto" w:fill="auto"/>
            <w:noWrap/>
            <w:vAlign w:val="center"/>
          </w:tcPr>
          <w:p w14:paraId="5DF1A4B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1.29</w:t>
            </w:r>
          </w:p>
        </w:tc>
        <w:tc>
          <w:tcPr>
            <w:tcW w:w="1583" w:type="dxa"/>
            <w:tcBorders>
              <w:top w:val="nil"/>
              <w:left w:val="nil"/>
              <w:bottom w:val="single" w:sz="4" w:space="0" w:color="auto"/>
              <w:right w:val="nil"/>
            </w:tcBorders>
            <w:shd w:val="clear" w:color="auto" w:fill="auto"/>
            <w:noWrap/>
            <w:vAlign w:val="center"/>
          </w:tcPr>
          <w:p w14:paraId="1A4A158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5.41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7294D6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8989FB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0D9943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7618D31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6.87</w:t>
            </w:r>
          </w:p>
        </w:tc>
        <w:tc>
          <w:tcPr>
            <w:tcW w:w="675" w:type="dxa"/>
            <w:tcBorders>
              <w:top w:val="nil"/>
              <w:left w:val="nil"/>
              <w:bottom w:val="single" w:sz="4" w:space="0" w:color="auto"/>
              <w:right w:val="single" w:sz="4" w:space="0" w:color="auto"/>
            </w:tcBorders>
            <w:shd w:val="clear" w:color="auto" w:fill="auto"/>
            <w:noWrap/>
            <w:vAlign w:val="center"/>
          </w:tcPr>
          <w:p w14:paraId="3166AE3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c>
          <w:tcPr>
            <w:tcW w:w="1296" w:type="dxa"/>
            <w:tcBorders>
              <w:top w:val="nil"/>
              <w:left w:val="nil"/>
              <w:bottom w:val="single" w:sz="4" w:space="0" w:color="auto"/>
              <w:right w:val="single" w:sz="4" w:space="0" w:color="auto"/>
            </w:tcBorders>
            <w:shd w:val="clear" w:color="auto" w:fill="auto"/>
            <w:noWrap/>
            <w:vAlign w:val="center"/>
          </w:tcPr>
          <w:p w14:paraId="4B352E1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1.49</w:t>
            </w:r>
          </w:p>
        </w:tc>
        <w:tc>
          <w:tcPr>
            <w:tcW w:w="730" w:type="dxa"/>
            <w:tcBorders>
              <w:top w:val="nil"/>
              <w:left w:val="nil"/>
              <w:bottom w:val="single" w:sz="4" w:space="0" w:color="auto"/>
              <w:right w:val="single" w:sz="4" w:space="0" w:color="auto"/>
            </w:tcBorders>
            <w:shd w:val="clear" w:color="auto" w:fill="auto"/>
            <w:noWrap/>
            <w:vAlign w:val="center"/>
          </w:tcPr>
          <w:p w14:paraId="5236339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0.18</w:t>
            </w:r>
          </w:p>
        </w:tc>
        <w:tc>
          <w:tcPr>
            <w:tcW w:w="593" w:type="dxa"/>
            <w:tcBorders>
              <w:top w:val="nil"/>
              <w:left w:val="nil"/>
              <w:bottom w:val="single" w:sz="4" w:space="0" w:color="auto"/>
              <w:right w:val="single" w:sz="4" w:space="0" w:color="auto"/>
            </w:tcBorders>
            <w:shd w:val="clear" w:color="auto" w:fill="auto"/>
            <w:noWrap/>
            <w:vAlign w:val="center"/>
          </w:tcPr>
          <w:p w14:paraId="0465549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1583" w:type="dxa"/>
            <w:tcBorders>
              <w:top w:val="nil"/>
              <w:left w:val="nil"/>
              <w:bottom w:val="single" w:sz="4" w:space="0" w:color="auto"/>
              <w:right w:val="nil"/>
            </w:tcBorders>
            <w:shd w:val="clear" w:color="auto" w:fill="auto"/>
            <w:noWrap/>
            <w:vAlign w:val="center"/>
          </w:tcPr>
          <w:p w14:paraId="3E6BC61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79ACC3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4C93A5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232F0A4"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674684E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7.60</w:t>
            </w:r>
          </w:p>
        </w:tc>
        <w:tc>
          <w:tcPr>
            <w:tcW w:w="675" w:type="dxa"/>
            <w:tcBorders>
              <w:top w:val="nil"/>
              <w:left w:val="nil"/>
              <w:bottom w:val="single" w:sz="4" w:space="0" w:color="auto"/>
              <w:right w:val="single" w:sz="4" w:space="0" w:color="auto"/>
            </w:tcBorders>
            <w:shd w:val="clear" w:color="auto" w:fill="auto"/>
            <w:noWrap/>
            <w:vAlign w:val="center"/>
          </w:tcPr>
          <w:p w14:paraId="1765EDD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32.9</w:t>
            </w:r>
          </w:p>
        </w:tc>
        <w:tc>
          <w:tcPr>
            <w:tcW w:w="1296" w:type="dxa"/>
            <w:tcBorders>
              <w:top w:val="nil"/>
              <w:left w:val="nil"/>
              <w:bottom w:val="single" w:sz="4" w:space="0" w:color="auto"/>
              <w:right w:val="single" w:sz="4" w:space="0" w:color="auto"/>
            </w:tcBorders>
            <w:shd w:val="clear" w:color="auto" w:fill="auto"/>
            <w:noWrap/>
            <w:vAlign w:val="center"/>
          </w:tcPr>
          <w:p w14:paraId="3C61E2A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730" w:type="dxa"/>
            <w:tcBorders>
              <w:top w:val="nil"/>
              <w:left w:val="nil"/>
              <w:bottom w:val="single" w:sz="4" w:space="0" w:color="auto"/>
              <w:right w:val="single" w:sz="4" w:space="0" w:color="auto"/>
            </w:tcBorders>
            <w:shd w:val="clear" w:color="auto" w:fill="auto"/>
            <w:noWrap/>
            <w:vAlign w:val="center"/>
          </w:tcPr>
          <w:p w14:paraId="1240746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93" w:type="dxa"/>
            <w:tcBorders>
              <w:top w:val="nil"/>
              <w:left w:val="nil"/>
              <w:bottom w:val="single" w:sz="4" w:space="0" w:color="auto"/>
              <w:right w:val="single" w:sz="4" w:space="0" w:color="auto"/>
            </w:tcBorders>
            <w:shd w:val="clear" w:color="auto" w:fill="auto"/>
            <w:noWrap/>
            <w:vAlign w:val="center"/>
          </w:tcPr>
          <w:p w14:paraId="4DBDC66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583" w:type="dxa"/>
            <w:tcBorders>
              <w:top w:val="nil"/>
              <w:left w:val="nil"/>
              <w:bottom w:val="single" w:sz="4" w:space="0" w:color="auto"/>
              <w:right w:val="nil"/>
            </w:tcBorders>
            <w:shd w:val="clear" w:color="auto" w:fill="auto"/>
            <w:noWrap/>
            <w:vAlign w:val="center"/>
          </w:tcPr>
          <w:p w14:paraId="0470CEA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6B4E52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5F820CC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6CF84E8"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622A6A5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421</w:t>
            </w:r>
          </w:p>
        </w:tc>
        <w:tc>
          <w:tcPr>
            <w:tcW w:w="675" w:type="dxa"/>
            <w:tcBorders>
              <w:top w:val="nil"/>
              <w:left w:val="nil"/>
              <w:bottom w:val="single" w:sz="4" w:space="0" w:color="auto"/>
              <w:right w:val="single" w:sz="4" w:space="0" w:color="auto"/>
            </w:tcBorders>
            <w:shd w:val="clear" w:color="auto" w:fill="auto"/>
            <w:noWrap/>
            <w:vAlign w:val="center"/>
          </w:tcPr>
          <w:p w14:paraId="103E259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5.08</w:t>
            </w:r>
          </w:p>
        </w:tc>
        <w:tc>
          <w:tcPr>
            <w:tcW w:w="1296" w:type="dxa"/>
            <w:tcBorders>
              <w:top w:val="nil"/>
              <w:left w:val="nil"/>
              <w:bottom w:val="single" w:sz="4" w:space="0" w:color="auto"/>
              <w:right w:val="single" w:sz="4" w:space="0" w:color="auto"/>
            </w:tcBorders>
            <w:shd w:val="clear" w:color="auto" w:fill="auto"/>
            <w:noWrap/>
            <w:vAlign w:val="center"/>
          </w:tcPr>
          <w:p w14:paraId="3B35864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c>
          <w:tcPr>
            <w:tcW w:w="730" w:type="dxa"/>
            <w:tcBorders>
              <w:top w:val="nil"/>
              <w:left w:val="nil"/>
              <w:bottom w:val="single" w:sz="4" w:space="0" w:color="auto"/>
              <w:right w:val="single" w:sz="4" w:space="0" w:color="auto"/>
            </w:tcBorders>
            <w:shd w:val="clear" w:color="auto" w:fill="auto"/>
            <w:noWrap/>
            <w:vAlign w:val="center"/>
          </w:tcPr>
          <w:p w14:paraId="0F6CF28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5.16</w:t>
            </w:r>
          </w:p>
        </w:tc>
        <w:tc>
          <w:tcPr>
            <w:tcW w:w="593" w:type="dxa"/>
            <w:tcBorders>
              <w:top w:val="nil"/>
              <w:left w:val="nil"/>
              <w:bottom w:val="single" w:sz="4" w:space="0" w:color="auto"/>
              <w:right w:val="single" w:sz="4" w:space="0" w:color="auto"/>
            </w:tcBorders>
            <w:shd w:val="clear" w:color="auto" w:fill="auto"/>
            <w:noWrap/>
            <w:vAlign w:val="center"/>
          </w:tcPr>
          <w:p w14:paraId="61A15A1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5.44</w:t>
            </w:r>
          </w:p>
        </w:tc>
        <w:tc>
          <w:tcPr>
            <w:tcW w:w="1583" w:type="dxa"/>
            <w:tcBorders>
              <w:top w:val="nil"/>
              <w:left w:val="nil"/>
              <w:bottom w:val="single" w:sz="4" w:space="0" w:color="auto"/>
              <w:right w:val="nil"/>
            </w:tcBorders>
            <w:shd w:val="clear" w:color="auto" w:fill="auto"/>
            <w:noWrap/>
            <w:vAlign w:val="center"/>
          </w:tcPr>
          <w:p w14:paraId="0609386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AC4EB4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39318D6C"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1B312B47"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4855F55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327</w:t>
            </w:r>
          </w:p>
        </w:tc>
        <w:tc>
          <w:tcPr>
            <w:tcW w:w="675" w:type="dxa"/>
            <w:tcBorders>
              <w:top w:val="nil"/>
              <w:left w:val="nil"/>
              <w:bottom w:val="double" w:sz="6" w:space="0" w:color="auto"/>
              <w:right w:val="single" w:sz="4" w:space="0" w:color="auto"/>
            </w:tcBorders>
            <w:shd w:val="clear" w:color="auto" w:fill="auto"/>
            <w:noWrap/>
            <w:vAlign w:val="center"/>
          </w:tcPr>
          <w:p w14:paraId="24B3084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8.10</w:t>
            </w:r>
          </w:p>
        </w:tc>
        <w:tc>
          <w:tcPr>
            <w:tcW w:w="1296" w:type="dxa"/>
            <w:tcBorders>
              <w:top w:val="nil"/>
              <w:left w:val="nil"/>
              <w:bottom w:val="double" w:sz="6" w:space="0" w:color="auto"/>
              <w:right w:val="single" w:sz="4" w:space="0" w:color="auto"/>
            </w:tcBorders>
            <w:shd w:val="clear" w:color="auto" w:fill="auto"/>
            <w:noWrap/>
            <w:vAlign w:val="center"/>
          </w:tcPr>
          <w:p w14:paraId="0351E35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59.0</w:t>
            </w:r>
          </w:p>
        </w:tc>
        <w:tc>
          <w:tcPr>
            <w:tcW w:w="730" w:type="dxa"/>
            <w:tcBorders>
              <w:top w:val="nil"/>
              <w:left w:val="nil"/>
              <w:bottom w:val="double" w:sz="6" w:space="0" w:color="auto"/>
              <w:right w:val="single" w:sz="4" w:space="0" w:color="auto"/>
            </w:tcBorders>
            <w:shd w:val="clear" w:color="auto" w:fill="auto"/>
            <w:noWrap/>
            <w:vAlign w:val="center"/>
          </w:tcPr>
          <w:p w14:paraId="778C308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3.66</w:t>
            </w:r>
          </w:p>
        </w:tc>
        <w:tc>
          <w:tcPr>
            <w:tcW w:w="593" w:type="dxa"/>
            <w:tcBorders>
              <w:top w:val="nil"/>
              <w:left w:val="nil"/>
              <w:bottom w:val="double" w:sz="6" w:space="0" w:color="auto"/>
              <w:right w:val="single" w:sz="4" w:space="0" w:color="auto"/>
            </w:tcBorders>
            <w:shd w:val="clear" w:color="auto" w:fill="auto"/>
            <w:noWrap/>
            <w:vAlign w:val="center"/>
          </w:tcPr>
          <w:p w14:paraId="582E079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0.91</w:t>
            </w:r>
          </w:p>
        </w:tc>
        <w:tc>
          <w:tcPr>
            <w:tcW w:w="1583" w:type="dxa"/>
            <w:tcBorders>
              <w:top w:val="nil"/>
              <w:left w:val="nil"/>
              <w:bottom w:val="double" w:sz="6" w:space="0" w:color="auto"/>
              <w:right w:val="nil"/>
            </w:tcBorders>
            <w:shd w:val="clear" w:color="auto" w:fill="auto"/>
            <w:noWrap/>
            <w:vAlign w:val="center"/>
          </w:tcPr>
          <w:p w14:paraId="78E6930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17.2</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0A29B6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D0B467F" w14:textId="0FBB65F6"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21</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Norway, year 2005.</w:t>
      </w:r>
    </w:p>
    <w:tbl>
      <w:tblPr>
        <w:tblW w:w="7968" w:type="dxa"/>
        <w:tblInd w:w="108" w:type="dxa"/>
        <w:tblLook w:val="0000" w:firstRow="0" w:lastRow="0" w:firstColumn="0" w:lastColumn="0" w:noHBand="0" w:noVBand="0"/>
      </w:tblPr>
      <w:tblGrid>
        <w:gridCol w:w="1248"/>
        <w:gridCol w:w="733"/>
        <w:gridCol w:w="733"/>
        <w:gridCol w:w="1254"/>
        <w:gridCol w:w="706"/>
        <w:gridCol w:w="574"/>
        <w:gridCol w:w="1526"/>
        <w:gridCol w:w="1194"/>
      </w:tblGrid>
      <w:tr w:rsidR="00273891" w:rsidRPr="000855B2" w14:paraId="6F43D9EF"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749C3CF1"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28DADC5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Norway</w:t>
            </w:r>
          </w:p>
        </w:tc>
      </w:tr>
      <w:tr w:rsidR="00273891" w:rsidRPr="000855B2" w14:paraId="591F7BD1"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190C87FC" w14:textId="77777777" w:rsidR="00273891" w:rsidRPr="00A86EF2" w:rsidRDefault="00273891" w:rsidP="0062782E">
            <w:pPr>
              <w:spacing w:line="240" w:lineRule="auto"/>
              <w:jc w:val="center"/>
              <w:rPr>
                <w:b/>
                <w:bCs/>
                <w:color w:val="000000"/>
                <w:sz w:val="16"/>
                <w:szCs w:val="16"/>
                <w:lang w:val="en-GB" w:eastAsia="el-GR" w:bidi="hi-IN"/>
              </w:rPr>
            </w:pPr>
          </w:p>
        </w:tc>
        <w:tc>
          <w:tcPr>
            <w:tcW w:w="733" w:type="dxa"/>
            <w:tcBorders>
              <w:top w:val="nil"/>
              <w:left w:val="nil"/>
              <w:bottom w:val="single" w:sz="12" w:space="0" w:color="auto"/>
              <w:right w:val="single" w:sz="4" w:space="0" w:color="auto"/>
            </w:tcBorders>
            <w:shd w:val="clear" w:color="auto" w:fill="auto"/>
            <w:noWrap/>
            <w:vAlign w:val="center"/>
          </w:tcPr>
          <w:p w14:paraId="10C9803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33" w:type="dxa"/>
            <w:tcBorders>
              <w:top w:val="nil"/>
              <w:left w:val="nil"/>
              <w:bottom w:val="single" w:sz="12" w:space="0" w:color="auto"/>
              <w:right w:val="single" w:sz="4" w:space="0" w:color="auto"/>
            </w:tcBorders>
            <w:shd w:val="clear" w:color="auto" w:fill="auto"/>
            <w:noWrap/>
            <w:vAlign w:val="center"/>
          </w:tcPr>
          <w:p w14:paraId="1D48F4F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54" w:type="dxa"/>
            <w:tcBorders>
              <w:top w:val="nil"/>
              <w:left w:val="nil"/>
              <w:bottom w:val="single" w:sz="12" w:space="0" w:color="auto"/>
              <w:right w:val="single" w:sz="4" w:space="0" w:color="auto"/>
            </w:tcBorders>
            <w:shd w:val="clear" w:color="auto" w:fill="auto"/>
            <w:noWrap/>
            <w:vAlign w:val="center"/>
          </w:tcPr>
          <w:p w14:paraId="12EA243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06" w:type="dxa"/>
            <w:tcBorders>
              <w:top w:val="nil"/>
              <w:left w:val="nil"/>
              <w:bottom w:val="single" w:sz="12" w:space="0" w:color="auto"/>
              <w:right w:val="single" w:sz="4" w:space="0" w:color="auto"/>
            </w:tcBorders>
            <w:shd w:val="clear" w:color="auto" w:fill="auto"/>
            <w:noWrap/>
            <w:vAlign w:val="center"/>
          </w:tcPr>
          <w:p w14:paraId="3B7BF0D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31</w:t>
            </w:r>
          </w:p>
        </w:tc>
        <w:tc>
          <w:tcPr>
            <w:tcW w:w="574" w:type="dxa"/>
            <w:tcBorders>
              <w:top w:val="nil"/>
              <w:left w:val="nil"/>
              <w:bottom w:val="single" w:sz="12" w:space="0" w:color="auto"/>
              <w:right w:val="single" w:sz="4" w:space="0" w:color="auto"/>
            </w:tcBorders>
            <w:shd w:val="clear" w:color="auto" w:fill="auto"/>
            <w:noWrap/>
            <w:vAlign w:val="center"/>
          </w:tcPr>
          <w:p w14:paraId="1CD3AEBE"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26" w:type="dxa"/>
            <w:tcBorders>
              <w:top w:val="nil"/>
              <w:left w:val="nil"/>
              <w:bottom w:val="single" w:sz="12" w:space="0" w:color="auto"/>
              <w:right w:val="nil"/>
            </w:tcBorders>
            <w:shd w:val="clear" w:color="auto" w:fill="auto"/>
            <w:vAlign w:val="center"/>
          </w:tcPr>
          <w:p w14:paraId="7FE376C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194" w:type="dxa"/>
            <w:tcBorders>
              <w:top w:val="nil"/>
              <w:left w:val="single" w:sz="4" w:space="0" w:color="auto"/>
              <w:bottom w:val="single" w:sz="12" w:space="0" w:color="auto"/>
              <w:right w:val="double" w:sz="6" w:space="0" w:color="auto"/>
            </w:tcBorders>
            <w:shd w:val="clear" w:color="auto" w:fill="auto"/>
            <w:vAlign w:val="center"/>
          </w:tcPr>
          <w:p w14:paraId="54519720"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F62E2E" w:rsidRPr="000855B2" w14:paraId="169FFDAC"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7DDEEEC"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lastRenderedPageBreak/>
              <w:t>Petrol</w:t>
            </w:r>
            <w:r w:rsidR="00F62E2E" w:rsidRPr="00A86EF2">
              <w:rPr>
                <w:color w:val="000000"/>
                <w:sz w:val="16"/>
                <w:szCs w:val="16"/>
                <w:lang w:val="en-GB" w:eastAsia="el-GR" w:bidi="hi-IN"/>
              </w:rPr>
              <w:t xml:space="preserve"> PC</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0823A01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73.3</w:t>
            </w:r>
          </w:p>
        </w:tc>
        <w:tc>
          <w:tcPr>
            <w:tcW w:w="733" w:type="dxa"/>
            <w:tcBorders>
              <w:top w:val="single" w:sz="12" w:space="0" w:color="auto"/>
              <w:left w:val="nil"/>
              <w:bottom w:val="single" w:sz="4" w:space="0" w:color="auto"/>
              <w:right w:val="single" w:sz="4" w:space="0" w:color="auto"/>
            </w:tcBorders>
            <w:shd w:val="clear" w:color="auto" w:fill="auto"/>
            <w:noWrap/>
            <w:vAlign w:val="center"/>
          </w:tcPr>
          <w:p w14:paraId="59C1495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8.76</w:t>
            </w:r>
          </w:p>
        </w:tc>
        <w:tc>
          <w:tcPr>
            <w:tcW w:w="1254" w:type="dxa"/>
            <w:tcBorders>
              <w:top w:val="single" w:sz="12" w:space="0" w:color="auto"/>
              <w:left w:val="nil"/>
              <w:bottom w:val="single" w:sz="4" w:space="0" w:color="auto"/>
              <w:right w:val="single" w:sz="4" w:space="0" w:color="auto"/>
            </w:tcBorders>
            <w:shd w:val="clear" w:color="auto" w:fill="auto"/>
            <w:noWrap/>
            <w:vAlign w:val="center"/>
          </w:tcPr>
          <w:p w14:paraId="6727E7F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9.50</w:t>
            </w:r>
          </w:p>
        </w:tc>
        <w:tc>
          <w:tcPr>
            <w:tcW w:w="706" w:type="dxa"/>
            <w:tcBorders>
              <w:top w:val="single" w:sz="12" w:space="0" w:color="auto"/>
              <w:left w:val="nil"/>
              <w:bottom w:val="single" w:sz="4" w:space="0" w:color="auto"/>
              <w:right w:val="single" w:sz="4" w:space="0" w:color="auto"/>
            </w:tcBorders>
            <w:shd w:val="clear" w:color="auto" w:fill="auto"/>
            <w:noWrap/>
            <w:vAlign w:val="center"/>
          </w:tcPr>
          <w:p w14:paraId="00FB12F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0.64</w:t>
            </w:r>
          </w:p>
        </w:tc>
        <w:tc>
          <w:tcPr>
            <w:tcW w:w="574" w:type="dxa"/>
            <w:tcBorders>
              <w:top w:val="single" w:sz="12" w:space="0" w:color="auto"/>
              <w:left w:val="nil"/>
              <w:bottom w:val="single" w:sz="4" w:space="0" w:color="auto"/>
              <w:right w:val="single" w:sz="4" w:space="0" w:color="auto"/>
            </w:tcBorders>
            <w:shd w:val="clear" w:color="auto" w:fill="auto"/>
            <w:noWrap/>
            <w:vAlign w:val="center"/>
          </w:tcPr>
          <w:p w14:paraId="3B13BA4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26" w:type="dxa"/>
            <w:tcBorders>
              <w:top w:val="single" w:sz="12" w:space="0" w:color="auto"/>
              <w:left w:val="nil"/>
              <w:bottom w:val="single" w:sz="4" w:space="0" w:color="auto"/>
              <w:right w:val="nil"/>
            </w:tcBorders>
            <w:shd w:val="clear" w:color="auto" w:fill="auto"/>
            <w:noWrap/>
            <w:vAlign w:val="center"/>
          </w:tcPr>
          <w:p w14:paraId="7EDE8EEF"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7.88</w:t>
            </w:r>
          </w:p>
        </w:tc>
        <w:tc>
          <w:tcPr>
            <w:tcW w:w="1194"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3B1E5B4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624934B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2D36B48"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733" w:type="dxa"/>
            <w:tcBorders>
              <w:top w:val="nil"/>
              <w:left w:val="nil"/>
              <w:bottom w:val="single" w:sz="4" w:space="0" w:color="auto"/>
              <w:right w:val="single" w:sz="4" w:space="0" w:color="auto"/>
            </w:tcBorders>
            <w:shd w:val="clear" w:color="auto" w:fill="auto"/>
            <w:noWrap/>
            <w:vAlign w:val="center"/>
          </w:tcPr>
          <w:p w14:paraId="53C75AA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2.78</w:t>
            </w:r>
          </w:p>
        </w:tc>
        <w:tc>
          <w:tcPr>
            <w:tcW w:w="733" w:type="dxa"/>
            <w:tcBorders>
              <w:top w:val="nil"/>
              <w:left w:val="nil"/>
              <w:bottom w:val="single" w:sz="4" w:space="0" w:color="auto"/>
              <w:right w:val="single" w:sz="4" w:space="0" w:color="auto"/>
            </w:tcBorders>
            <w:shd w:val="clear" w:color="auto" w:fill="auto"/>
            <w:noWrap/>
            <w:vAlign w:val="center"/>
          </w:tcPr>
          <w:p w14:paraId="21EEC7E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254" w:type="dxa"/>
            <w:tcBorders>
              <w:top w:val="nil"/>
              <w:left w:val="nil"/>
              <w:bottom w:val="single" w:sz="4" w:space="0" w:color="auto"/>
              <w:right w:val="single" w:sz="4" w:space="0" w:color="auto"/>
            </w:tcBorders>
            <w:shd w:val="clear" w:color="auto" w:fill="auto"/>
            <w:noWrap/>
            <w:vAlign w:val="center"/>
          </w:tcPr>
          <w:p w14:paraId="607720E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0.62</w:t>
            </w:r>
          </w:p>
        </w:tc>
        <w:tc>
          <w:tcPr>
            <w:tcW w:w="706" w:type="dxa"/>
            <w:tcBorders>
              <w:top w:val="nil"/>
              <w:left w:val="nil"/>
              <w:bottom w:val="single" w:sz="4" w:space="0" w:color="auto"/>
              <w:right w:val="single" w:sz="4" w:space="0" w:color="auto"/>
            </w:tcBorders>
            <w:shd w:val="clear" w:color="auto" w:fill="auto"/>
            <w:noWrap/>
            <w:vAlign w:val="center"/>
          </w:tcPr>
          <w:p w14:paraId="5536757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74" w:type="dxa"/>
            <w:tcBorders>
              <w:top w:val="nil"/>
              <w:left w:val="nil"/>
              <w:bottom w:val="single" w:sz="4" w:space="0" w:color="auto"/>
              <w:right w:val="single" w:sz="4" w:space="0" w:color="auto"/>
            </w:tcBorders>
            <w:shd w:val="clear" w:color="auto" w:fill="auto"/>
            <w:noWrap/>
            <w:vAlign w:val="center"/>
          </w:tcPr>
          <w:p w14:paraId="25463D5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1526" w:type="dxa"/>
            <w:tcBorders>
              <w:top w:val="nil"/>
              <w:left w:val="nil"/>
              <w:bottom w:val="single" w:sz="4" w:space="0" w:color="auto"/>
              <w:right w:val="nil"/>
            </w:tcBorders>
            <w:shd w:val="clear" w:color="auto" w:fill="auto"/>
            <w:noWrap/>
            <w:vAlign w:val="center"/>
          </w:tcPr>
          <w:p w14:paraId="12ACE36B"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8.90</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0D9D300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0C2BE4C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D775F91"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F62E2E"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5799FB6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110.3</w:t>
            </w:r>
          </w:p>
        </w:tc>
        <w:tc>
          <w:tcPr>
            <w:tcW w:w="733" w:type="dxa"/>
            <w:tcBorders>
              <w:top w:val="nil"/>
              <w:left w:val="nil"/>
              <w:bottom w:val="single" w:sz="4" w:space="0" w:color="auto"/>
              <w:right w:val="single" w:sz="4" w:space="0" w:color="auto"/>
            </w:tcBorders>
            <w:shd w:val="clear" w:color="auto" w:fill="auto"/>
            <w:noWrap/>
            <w:vAlign w:val="center"/>
          </w:tcPr>
          <w:p w14:paraId="494F051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11.89</w:t>
            </w:r>
          </w:p>
        </w:tc>
        <w:tc>
          <w:tcPr>
            <w:tcW w:w="1254" w:type="dxa"/>
            <w:tcBorders>
              <w:top w:val="nil"/>
              <w:left w:val="nil"/>
              <w:bottom w:val="single" w:sz="4" w:space="0" w:color="auto"/>
              <w:right w:val="single" w:sz="4" w:space="0" w:color="auto"/>
            </w:tcBorders>
            <w:shd w:val="clear" w:color="auto" w:fill="auto"/>
            <w:noWrap/>
            <w:vAlign w:val="center"/>
          </w:tcPr>
          <w:p w14:paraId="77845A8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8.06</w:t>
            </w:r>
          </w:p>
        </w:tc>
        <w:tc>
          <w:tcPr>
            <w:tcW w:w="706" w:type="dxa"/>
            <w:tcBorders>
              <w:top w:val="nil"/>
              <w:left w:val="nil"/>
              <w:bottom w:val="single" w:sz="4" w:space="0" w:color="auto"/>
              <w:right w:val="single" w:sz="4" w:space="0" w:color="auto"/>
            </w:tcBorders>
            <w:shd w:val="clear" w:color="auto" w:fill="auto"/>
            <w:noWrap/>
            <w:vAlign w:val="center"/>
          </w:tcPr>
          <w:p w14:paraId="2B91552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74" w:type="dxa"/>
            <w:tcBorders>
              <w:top w:val="nil"/>
              <w:left w:val="nil"/>
              <w:bottom w:val="single" w:sz="4" w:space="0" w:color="auto"/>
              <w:right w:val="single" w:sz="4" w:space="0" w:color="auto"/>
            </w:tcBorders>
            <w:shd w:val="clear" w:color="auto" w:fill="auto"/>
            <w:noWrap/>
            <w:vAlign w:val="center"/>
          </w:tcPr>
          <w:p w14:paraId="017C222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26" w:type="dxa"/>
            <w:tcBorders>
              <w:top w:val="nil"/>
              <w:left w:val="nil"/>
              <w:bottom w:val="single" w:sz="4" w:space="0" w:color="auto"/>
              <w:right w:val="nil"/>
            </w:tcBorders>
            <w:shd w:val="clear" w:color="auto" w:fill="auto"/>
            <w:noWrap/>
            <w:vAlign w:val="center"/>
          </w:tcPr>
          <w:p w14:paraId="1237882B"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5.58</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776F841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4E92BA3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AF463D0"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733" w:type="dxa"/>
            <w:tcBorders>
              <w:top w:val="nil"/>
              <w:left w:val="nil"/>
              <w:bottom w:val="single" w:sz="4" w:space="0" w:color="auto"/>
              <w:right w:val="single" w:sz="4" w:space="0" w:color="auto"/>
            </w:tcBorders>
            <w:shd w:val="clear" w:color="auto" w:fill="auto"/>
            <w:noWrap/>
            <w:vAlign w:val="center"/>
          </w:tcPr>
          <w:p w14:paraId="5CA5DAE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8.67</w:t>
            </w:r>
          </w:p>
        </w:tc>
        <w:tc>
          <w:tcPr>
            <w:tcW w:w="733" w:type="dxa"/>
            <w:tcBorders>
              <w:top w:val="nil"/>
              <w:left w:val="nil"/>
              <w:bottom w:val="single" w:sz="4" w:space="0" w:color="auto"/>
              <w:right w:val="single" w:sz="4" w:space="0" w:color="auto"/>
            </w:tcBorders>
            <w:shd w:val="clear" w:color="auto" w:fill="auto"/>
            <w:noWrap/>
            <w:vAlign w:val="center"/>
          </w:tcPr>
          <w:p w14:paraId="61CBE6E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1254" w:type="dxa"/>
            <w:tcBorders>
              <w:top w:val="nil"/>
              <w:left w:val="nil"/>
              <w:bottom w:val="single" w:sz="4" w:space="0" w:color="auto"/>
              <w:right w:val="single" w:sz="4" w:space="0" w:color="auto"/>
            </w:tcBorders>
            <w:shd w:val="clear" w:color="auto" w:fill="auto"/>
            <w:noWrap/>
            <w:vAlign w:val="center"/>
          </w:tcPr>
          <w:p w14:paraId="6665DF9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706" w:type="dxa"/>
            <w:tcBorders>
              <w:top w:val="nil"/>
              <w:left w:val="nil"/>
              <w:bottom w:val="single" w:sz="4" w:space="0" w:color="auto"/>
              <w:right w:val="single" w:sz="4" w:space="0" w:color="auto"/>
            </w:tcBorders>
            <w:shd w:val="clear" w:color="auto" w:fill="auto"/>
            <w:noWrap/>
            <w:vAlign w:val="center"/>
          </w:tcPr>
          <w:p w14:paraId="6D4096F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74" w:type="dxa"/>
            <w:tcBorders>
              <w:top w:val="nil"/>
              <w:left w:val="nil"/>
              <w:bottom w:val="single" w:sz="4" w:space="0" w:color="auto"/>
              <w:right w:val="single" w:sz="4" w:space="0" w:color="auto"/>
            </w:tcBorders>
            <w:shd w:val="clear" w:color="auto" w:fill="auto"/>
            <w:noWrap/>
            <w:vAlign w:val="center"/>
          </w:tcPr>
          <w:p w14:paraId="61ECC1D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2.16</w:t>
            </w:r>
          </w:p>
        </w:tc>
        <w:tc>
          <w:tcPr>
            <w:tcW w:w="1526" w:type="dxa"/>
            <w:tcBorders>
              <w:top w:val="nil"/>
              <w:left w:val="nil"/>
              <w:bottom w:val="single" w:sz="4" w:space="0" w:color="auto"/>
              <w:right w:val="nil"/>
            </w:tcBorders>
            <w:shd w:val="clear" w:color="auto" w:fill="auto"/>
            <w:noWrap/>
            <w:vAlign w:val="center"/>
          </w:tcPr>
          <w:p w14:paraId="52D5712E"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6.99</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6163D94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7F51193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DFF2992"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733" w:type="dxa"/>
            <w:tcBorders>
              <w:top w:val="nil"/>
              <w:left w:val="nil"/>
              <w:bottom w:val="single" w:sz="4" w:space="0" w:color="auto"/>
              <w:right w:val="single" w:sz="4" w:space="0" w:color="auto"/>
            </w:tcBorders>
            <w:shd w:val="clear" w:color="auto" w:fill="auto"/>
            <w:noWrap/>
            <w:vAlign w:val="center"/>
          </w:tcPr>
          <w:p w14:paraId="70EAB275"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6.50</w:t>
            </w:r>
          </w:p>
        </w:tc>
        <w:tc>
          <w:tcPr>
            <w:tcW w:w="733" w:type="dxa"/>
            <w:tcBorders>
              <w:top w:val="nil"/>
              <w:left w:val="nil"/>
              <w:bottom w:val="single" w:sz="4" w:space="0" w:color="auto"/>
              <w:right w:val="single" w:sz="4" w:space="0" w:color="auto"/>
            </w:tcBorders>
            <w:shd w:val="clear" w:color="auto" w:fill="auto"/>
            <w:noWrap/>
            <w:vAlign w:val="center"/>
          </w:tcPr>
          <w:p w14:paraId="76CD2C6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31.8</w:t>
            </w:r>
          </w:p>
        </w:tc>
        <w:tc>
          <w:tcPr>
            <w:tcW w:w="1254" w:type="dxa"/>
            <w:tcBorders>
              <w:top w:val="nil"/>
              <w:left w:val="nil"/>
              <w:bottom w:val="single" w:sz="4" w:space="0" w:color="auto"/>
              <w:right w:val="single" w:sz="4" w:space="0" w:color="auto"/>
            </w:tcBorders>
            <w:shd w:val="clear" w:color="auto" w:fill="auto"/>
            <w:noWrap/>
            <w:vAlign w:val="center"/>
          </w:tcPr>
          <w:p w14:paraId="382DA65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706" w:type="dxa"/>
            <w:tcBorders>
              <w:top w:val="nil"/>
              <w:left w:val="nil"/>
              <w:bottom w:val="single" w:sz="4" w:space="0" w:color="auto"/>
              <w:right w:val="single" w:sz="4" w:space="0" w:color="auto"/>
            </w:tcBorders>
            <w:shd w:val="clear" w:color="auto" w:fill="auto"/>
            <w:noWrap/>
            <w:vAlign w:val="center"/>
          </w:tcPr>
          <w:p w14:paraId="4A541F1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0.24</w:t>
            </w:r>
          </w:p>
        </w:tc>
        <w:tc>
          <w:tcPr>
            <w:tcW w:w="574" w:type="dxa"/>
            <w:tcBorders>
              <w:top w:val="nil"/>
              <w:left w:val="nil"/>
              <w:bottom w:val="single" w:sz="4" w:space="0" w:color="auto"/>
              <w:right w:val="single" w:sz="4" w:space="0" w:color="auto"/>
            </w:tcBorders>
            <w:shd w:val="clear" w:color="auto" w:fill="auto"/>
            <w:noWrap/>
            <w:vAlign w:val="center"/>
          </w:tcPr>
          <w:p w14:paraId="183A99D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1526" w:type="dxa"/>
            <w:tcBorders>
              <w:top w:val="nil"/>
              <w:left w:val="nil"/>
              <w:bottom w:val="single" w:sz="4" w:space="0" w:color="auto"/>
              <w:right w:val="nil"/>
            </w:tcBorders>
            <w:shd w:val="clear" w:color="auto" w:fill="auto"/>
            <w:noWrap/>
            <w:vAlign w:val="center"/>
          </w:tcPr>
          <w:p w14:paraId="1B2D9691"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2.32</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3EF6060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212A388B"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54176C6"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733" w:type="dxa"/>
            <w:tcBorders>
              <w:top w:val="nil"/>
              <w:left w:val="nil"/>
              <w:bottom w:val="single" w:sz="4" w:space="0" w:color="auto"/>
              <w:right w:val="single" w:sz="4" w:space="0" w:color="auto"/>
            </w:tcBorders>
            <w:shd w:val="clear" w:color="auto" w:fill="auto"/>
            <w:noWrap/>
            <w:vAlign w:val="center"/>
          </w:tcPr>
          <w:p w14:paraId="1B76667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10.95</w:t>
            </w:r>
          </w:p>
        </w:tc>
        <w:tc>
          <w:tcPr>
            <w:tcW w:w="733" w:type="dxa"/>
            <w:tcBorders>
              <w:top w:val="nil"/>
              <w:left w:val="nil"/>
              <w:bottom w:val="single" w:sz="4" w:space="0" w:color="auto"/>
              <w:right w:val="single" w:sz="4" w:space="0" w:color="auto"/>
            </w:tcBorders>
            <w:shd w:val="clear" w:color="auto" w:fill="auto"/>
            <w:noWrap/>
            <w:vAlign w:val="center"/>
          </w:tcPr>
          <w:p w14:paraId="2845C99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38.0</w:t>
            </w:r>
          </w:p>
        </w:tc>
        <w:tc>
          <w:tcPr>
            <w:tcW w:w="1254" w:type="dxa"/>
            <w:tcBorders>
              <w:top w:val="nil"/>
              <w:left w:val="nil"/>
              <w:bottom w:val="single" w:sz="4" w:space="0" w:color="auto"/>
              <w:right w:val="single" w:sz="4" w:space="0" w:color="auto"/>
            </w:tcBorders>
            <w:shd w:val="clear" w:color="auto" w:fill="auto"/>
            <w:noWrap/>
            <w:vAlign w:val="center"/>
          </w:tcPr>
          <w:p w14:paraId="1853379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3.61</w:t>
            </w:r>
          </w:p>
        </w:tc>
        <w:tc>
          <w:tcPr>
            <w:tcW w:w="706" w:type="dxa"/>
            <w:tcBorders>
              <w:top w:val="nil"/>
              <w:left w:val="nil"/>
              <w:bottom w:val="single" w:sz="4" w:space="0" w:color="auto"/>
              <w:right w:val="single" w:sz="4" w:space="0" w:color="auto"/>
            </w:tcBorders>
            <w:shd w:val="clear" w:color="auto" w:fill="auto"/>
            <w:noWrap/>
            <w:vAlign w:val="center"/>
          </w:tcPr>
          <w:p w14:paraId="4B895DB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0.45</w:t>
            </w:r>
          </w:p>
        </w:tc>
        <w:tc>
          <w:tcPr>
            <w:tcW w:w="574" w:type="dxa"/>
            <w:tcBorders>
              <w:top w:val="nil"/>
              <w:left w:val="nil"/>
              <w:bottom w:val="single" w:sz="4" w:space="0" w:color="auto"/>
              <w:right w:val="single" w:sz="4" w:space="0" w:color="auto"/>
            </w:tcBorders>
            <w:shd w:val="clear" w:color="auto" w:fill="auto"/>
            <w:noWrap/>
            <w:vAlign w:val="center"/>
          </w:tcPr>
          <w:p w14:paraId="6FDE4ED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1526" w:type="dxa"/>
            <w:tcBorders>
              <w:top w:val="nil"/>
              <w:left w:val="nil"/>
              <w:bottom w:val="single" w:sz="4" w:space="0" w:color="auto"/>
              <w:right w:val="nil"/>
            </w:tcBorders>
            <w:shd w:val="clear" w:color="auto" w:fill="auto"/>
            <w:noWrap/>
            <w:vAlign w:val="center"/>
          </w:tcPr>
          <w:p w14:paraId="3E826704"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4.17</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2BB6DC3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77F62F6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BC7DFD2"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733" w:type="dxa"/>
            <w:tcBorders>
              <w:top w:val="nil"/>
              <w:left w:val="nil"/>
              <w:bottom w:val="single" w:sz="4" w:space="0" w:color="auto"/>
              <w:right w:val="single" w:sz="4" w:space="0" w:color="auto"/>
            </w:tcBorders>
            <w:shd w:val="clear" w:color="auto" w:fill="auto"/>
            <w:noWrap/>
            <w:vAlign w:val="center"/>
          </w:tcPr>
          <w:p w14:paraId="6DE2656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402</w:t>
            </w:r>
          </w:p>
        </w:tc>
        <w:tc>
          <w:tcPr>
            <w:tcW w:w="733" w:type="dxa"/>
            <w:tcBorders>
              <w:top w:val="nil"/>
              <w:left w:val="nil"/>
              <w:bottom w:val="single" w:sz="4" w:space="0" w:color="auto"/>
              <w:right w:val="single" w:sz="4" w:space="0" w:color="auto"/>
            </w:tcBorders>
            <w:shd w:val="clear" w:color="auto" w:fill="auto"/>
            <w:noWrap/>
            <w:vAlign w:val="center"/>
          </w:tcPr>
          <w:p w14:paraId="2158689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3.27</w:t>
            </w:r>
          </w:p>
        </w:tc>
        <w:tc>
          <w:tcPr>
            <w:tcW w:w="1254" w:type="dxa"/>
            <w:tcBorders>
              <w:top w:val="nil"/>
              <w:left w:val="nil"/>
              <w:bottom w:val="single" w:sz="4" w:space="0" w:color="auto"/>
              <w:right w:val="single" w:sz="4" w:space="0" w:color="auto"/>
            </w:tcBorders>
            <w:shd w:val="clear" w:color="auto" w:fill="auto"/>
            <w:noWrap/>
            <w:vAlign w:val="center"/>
          </w:tcPr>
          <w:p w14:paraId="57B1832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347</w:t>
            </w:r>
          </w:p>
        </w:tc>
        <w:tc>
          <w:tcPr>
            <w:tcW w:w="706" w:type="dxa"/>
            <w:tcBorders>
              <w:top w:val="nil"/>
              <w:left w:val="nil"/>
              <w:bottom w:val="single" w:sz="4" w:space="0" w:color="auto"/>
              <w:right w:val="single" w:sz="4" w:space="0" w:color="auto"/>
            </w:tcBorders>
            <w:shd w:val="clear" w:color="auto" w:fill="auto"/>
            <w:noWrap/>
            <w:vAlign w:val="center"/>
          </w:tcPr>
          <w:p w14:paraId="5000891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6.51</w:t>
            </w:r>
          </w:p>
        </w:tc>
        <w:tc>
          <w:tcPr>
            <w:tcW w:w="574" w:type="dxa"/>
            <w:tcBorders>
              <w:top w:val="nil"/>
              <w:left w:val="nil"/>
              <w:bottom w:val="single" w:sz="4" w:space="0" w:color="auto"/>
              <w:right w:val="single" w:sz="4" w:space="0" w:color="auto"/>
            </w:tcBorders>
            <w:shd w:val="clear" w:color="auto" w:fill="auto"/>
            <w:noWrap/>
            <w:vAlign w:val="center"/>
          </w:tcPr>
          <w:p w14:paraId="3F990E9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6.26</w:t>
            </w:r>
          </w:p>
        </w:tc>
        <w:tc>
          <w:tcPr>
            <w:tcW w:w="1526" w:type="dxa"/>
            <w:tcBorders>
              <w:top w:val="nil"/>
              <w:left w:val="nil"/>
              <w:bottom w:val="single" w:sz="4" w:space="0" w:color="auto"/>
              <w:right w:val="nil"/>
            </w:tcBorders>
            <w:shd w:val="clear" w:color="auto" w:fill="auto"/>
            <w:noWrap/>
            <w:vAlign w:val="center"/>
          </w:tcPr>
          <w:p w14:paraId="6DD20774"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124</w:t>
            </w:r>
          </w:p>
        </w:tc>
        <w:tc>
          <w:tcPr>
            <w:tcW w:w="1194" w:type="dxa"/>
            <w:tcBorders>
              <w:top w:val="nil"/>
              <w:left w:val="single" w:sz="4" w:space="0" w:color="auto"/>
              <w:bottom w:val="single" w:sz="4" w:space="0" w:color="auto"/>
              <w:right w:val="double" w:sz="6" w:space="0" w:color="auto"/>
            </w:tcBorders>
            <w:shd w:val="clear" w:color="auto" w:fill="auto"/>
            <w:noWrap/>
            <w:vAlign w:val="center"/>
          </w:tcPr>
          <w:p w14:paraId="2D74E15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7B4D1B4E"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3A859055"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733" w:type="dxa"/>
            <w:tcBorders>
              <w:top w:val="nil"/>
              <w:left w:val="nil"/>
              <w:bottom w:val="double" w:sz="6" w:space="0" w:color="auto"/>
              <w:right w:val="single" w:sz="4" w:space="0" w:color="auto"/>
            </w:tcBorders>
            <w:shd w:val="clear" w:color="auto" w:fill="auto"/>
            <w:noWrap/>
            <w:vAlign w:val="center"/>
          </w:tcPr>
          <w:p w14:paraId="30FEE7E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479</w:t>
            </w:r>
          </w:p>
        </w:tc>
        <w:tc>
          <w:tcPr>
            <w:tcW w:w="733" w:type="dxa"/>
            <w:tcBorders>
              <w:top w:val="nil"/>
              <w:left w:val="nil"/>
              <w:bottom w:val="double" w:sz="6" w:space="0" w:color="auto"/>
              <w:right w:val="single" w:sz="4" w:space="0" w:color="auto"/>
            </w:tcBorders>
            <w:shd w:val="clear" w:color="auto" w:fill="auto"/>
            <w:noWrap/>
            <w:vAlign w:val="center"/>
          </w:tcPr>
          <w:p w14:paraId="3E13F07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8.55</w:t>
            </w:r>
          </w:p>
        </w:tc>
        <w:tc>
          <w:tcPr>
            <w:tcW w:w="1254" w:type="dxa"/>
            <w:tcBorders>
              <w:top w:val="nil"/>
              <w:left w:val="nil"/>
              <w:bottom w:val="double" w:sz="6" w:space="0" w:color="auto"/>
              <w:right w:val="single" w:sz="4" w:space="0" w:color="auto"/>
            </w:tcBorders>
            <w:shd w:val="clear" w:color="auto" w:fill="auto"/>
            <w:noWrap/>
            <w:vAlign w:val="center"/>
          </w:tcPr>
          <w:p w14:paraId="1DFC299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32.6</w:t>
            </w:r>
          </w:p>
        </w:tc>
        <w:tc>
          <w:tcPr>
            <w:tcW w:w="706" w:type="dxa"/>
            <w:tcBorders>
              <w:top w:val="nil"/>
              <w:left w:val="nil"/>
              <w:bottom w:val="double" w:sz="6" w:space="0" w:color="auto"/>
              <w:right w:val="single" w:sz="4" w:space="0" w:color="auto"/>
            </w:tcBorders>
            <w:shd w:val="clear" w:color="auto" w:fill="auto"/>
            <w:noWrap/>
            <w:vAlign w:val="center"/>
          </w:tcPr>
          <w:p w14:paraId="6DD4807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5.70</w:t>
            </w:r>
          </w:p>
        </w:tc>
        <w:tc>
          <w:tcPr>
            <w:tcW w:w="574" w:type="dxa"/>
            <w:tcBorders>
              <w:top w:val="nil"/>
              <w:left w:val="nil"/>
              <w:bottom w:val="double" w:sz="6" w:space="0" w:color="auto"/>
              <w:right w:val="single" w:sz="4" w:space="0" w:color="auto"/>
            </w:tcBorders>
            <w:shd w:val="clear" w:color="auto" w:fill="auto"/>
            <w:noWrap/>
            <w:vAlign w:val="center"/>
          </w:tcPr>
          <w:p w14:paraId="0C5028D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0.60</w:t>
            </w:r>
          </w:p>
        </w:tc>
        <w:tc>
          <w:tcPr>
            <w:tcW w:w="1526" w:type="dxa"/>
            <w:tcBorders>
              <w:top w:val="nil"/>
              <w:left w:val="nil"/>
              <w:bottom w:val="double" w:sz="6" w:space="0" w:color="auto"/>
              <w:right w:val="nil"/>
            </w:tcBorders>
            <w:shd w:val="clear" w:color="auto" w:fill="auto"/>
            <w:noWrap/>
            <w:vAlign w:val="center"/>
          </w:tcPr>
          <w:p w14:paraId="7A3ADBEC"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31.5</w:t>
            </w:r>
          </w:p>
        </w:tc>
        <w:tc>
          <w:tcPr>
            <w:tcW w:w="1194" w:type="dxa"/>
            <w:tcBorders>
              <w:top w:val="nil"/>
              <w:left w:val="single" w:sz="4" w:space="0" w:color="auto"/>
              <w:bottom w:val="double" w:sz="6" w:space="0" w:color="auto"/>
              <w:right w:val="double" w:sz="6" w:space="0" w:color="auto"/>
            </w:tcBorders>
            <w:shd w:val="clear" w:color="auto" w:fill="auto"/>
            <w:noWrap/>
            <w:vAlign w:val="center"/>
          </w:tcPr>
          <w:p w14:paraId="3F13F28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81D8ADA" w14:textId="09F66945"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22</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Poland,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7FB2ABB1"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0064AF6E"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31AAC77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Poland</w:t>
            </w:r>
          </w:p>
        </w:tc>
      </w:tr>
      <w:tr w:rsidR="003A3DE5" w:rsidRPr="000855B2" w14:paraId="5CD9FF5E"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0471ABE0"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17DB6C8C"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57DFE4D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435BE05B"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6BAD661"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21</w:t>
            </w:r>
          </w:p>
        </w:tc>
        <w:tc>
          <w:tcPr>
            <w:tcW w:w="593" w:type="dxa"/>
            <w:tcBorders>
              <w:top w:val="nil"/>
              <w:left w:val="nil"/>
              <w:bottom w:val="single" w:sz="12" w:space="0" w:color="auto"/>
              <w:right w:val="single" w:sz="4" w:space="0" w:color="auto"/>
            </w:tcBorders>
            <w:shd w:val="clear" w:color="auto" w:fill="auto"/>
            <w:noWrap/>
            <w:vAlign w:val="center"/>
          </w:tcPr>
          <w:p w14:paraId="38BF207B"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174DCEFA"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1F09FA7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25834F67"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226A113"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EFE2D4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190</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481B81F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16.4</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6255A8A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22.7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0B3443A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1.49</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6F12F7A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0.04</w:t>
            </w:r>
          </w:p>
        </w:tc>
        <w:tc>
          <w:tcPr>
            <w:tcW w:w="1583" w:type="dxa"/>
            <w:tcBorders>
              <w:top w:val="single" w:sz="12" w:space="0" w:color="auto"/>
              <w:left w:val="nil"/>
              <w:bottom w:val="single" w:sz="4" w:space="0" w:color="auto"/>
              <w:right w:val="nil"/>
            </w:tcBorders>
            <w:shd w:val="clear" w:color="auto" w:fill="auto"/>
            <w:noWrap/>
            <w:vAlign w:val="center"/>
          </w:tcPr>
          <w:p w14:paraId="45B30FF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9.74</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01794CC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5B99EE5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989E57B"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7A35747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5.26</w:t>
            </w:r>
          </w:p>
        </w:tc>
        <w:tc>
          <w:tcPr>
            <w:tcW w:w="675" w:type="dxa"/>
            <w:tcBorders>
              <w:top w:val="nil"/>
              <w:left w:val="nil"/>
              <w:bottom w:val="single" w:sz="4" w:space="0" w:color="auto"/>
              <w:right w:val="single" w:sz="4" w:space="0" w:color="auto"/>
            </w:tcBorders>
            <w:shd w:val="clear" w:color="auto" w:fill="auto"/>
            <w:noWrap/>
            <w:vAlign w:val="center"/>
          </w:tcPr>
          <w:p w14:paraId="6FC1D40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12.6</w:t>
            </w:r>
          </w:p>
        </w:tc>
        <w:tc>
          <w:tcPr>
            <w:tcW w:w="1296" w:type="dxa"/>
            <w:tcBorders>
              <w:top w:val="nil"/>
              <w:left w:val="nil"/>
              <w:bottom w:val="single" w:sz="4" w:space="0" w:color="auto"/>
              <w:right w:val="single" w:sz="4" w:space="0" w:color="auto"/>
            </w:tcBorders>
            <w:shd w:val="clear" w:color="auto" w:fill="auto"/>
            <w:noWrap/>
            <w:vAlign w:val="center"/>
          </w:tcPr>
          <w:p w14:paraId="79F0898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0.88</w:t>
            </w:r>
          </w:p>
        </w:tc>
        <w:tc>
          <w:tcPr>
            <w:tcW w:w="730" w:type="dxa"/>
            <w:tcBorders>
              <w:top w:val="nil"/>
              <w:left w:val="nil"/>
              <w:bottom w:val="single" w:sz="4" w:space="0" w:color="auto"/>
              <w:right w:val="single" w:sz="4" w:space="0" w:color="auto"/>
            </w:tcBorders>
            <w:shd w:val="clear" w:color="auto" w:fill="auto"/>
            <w:noWrap/>
            <w:vAlign w:val="center"/>
          </w:tcPr>
          <w:p w14:paraId="1BD8F0A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0.16</w:t>
            </w:r>
          </w:p>
        </w:tc>
        <w:tc>
          <w:tcPr>
            <w:tcW w:w="593" w:type="dxa"/>
            <w:tcBorders>
              <w:top w:val="nil"/>
              <w:left w:val="nil"/>
              <w:bottom w:val="single" w:sz="4" w:space="0" w:color="auto"/>
              <w:right w:val="single" w:sz="4" w:space="0" w:color="auto"/>
            </w:tcBorders>
            <w:shd w:val="clear" w:color="auto" w:fill="auto"/>
            <w:noWrap/>
            <w:vAlign w:val="center"/>
          </w:tcPr>
          <w:p w14:paraId="6C955D8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w:t>
            </w:r>
          </w:p>
        </w:tc>
        <w:tc>
          <w:tcPr>
            <w:tcW w:w="1583" w:type="dxa"/>
            <w:tcBorders>
              <w:top w:val="nil"/>
              <w:left w:val="nil"/>
              <w:bottom w:val="single" w:sz="4" w:space="0" w:color="auto"/>
              <w:right w:val="nil"/>
            </w:tcBorders>
            <w:shd w:val="clear" w:color="auto" w:fill="auto"/>
            <w:noWrap/>
            <w:vAlign w:val="center"/>
          </w:tcPr>
          <w:p w14:paraId="393217F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9.94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1CDB4B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1D9729E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B58C1F1"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5715019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675" w:type="dxa"/>
            <w:tcBorders>
              <w:top w:val="nil"/>
              <w:left w:val="nil"/>
              <w:bottom w:val="single" w:sz="4" w:space="0" w:color="auto"/>
              <w:right w:val="single" w:sz="4" w:space="0" w:color="auto"/>
            </w:tcBorders>
            <w:shd w:val="clear" w:color="auto" w:fill="auto"/>
            <w:noWrap/>
            <w:vAlign w:val="center"/>
          </w:tcPr>
          <w:p w14:paraId="5BEA927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10.3</w:t>
            </w:r>
          </w:p>
        </w:tc>
        <w:tc>
          <w:tcPr>
            <w:tcW w:w="1296" w:type="dxa"/>
            <w:tcBorders>
              <w:top w:val="nil"/>
              <w:left w:val="nil"/>
              <w:bottom w:val="single" w:sz="4" w:space="0" w:color="auto"/>
              <w:right w:val="single" w:sz="4" w:space="0" w:color="auto"/>
            </w:tcBorders>
            <w:shd w:val="clear" w:color="auto" w:fill="auto"/>
            <w:noWrap/>
            <w:vAlign w:val="center"/>
          </w:tcPr>
          <w:p w14:paraId="510190D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w:t>
            </w:r>
          </w:p>
        </w:tc>
        <w:tc>
          <w:tcPr>
            <w:tcW w:w="730" w:type="dxa"/>
            <w:tcBorders>
              <w:top w:val="nil"/>
              <w:left w:val="nil"/>
              <w:bottom w:val="single" w:sz="4" w:space="0" w:color="auto"/>
              <w:right w:val="single" w:sz="4" w:space="0" w:color="auto"/>
            </w:tcBorders>
            <w:shd w:val="clear" w:color="auto" w:fill="auto"/>
            <w:noWrap/>
            <w:vAlign w:val="center"/>
          </w:tcPr>
          <w:p w14:paraId="441E1EA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593" w:type="dxa"/>
            <w:tcBorders>
              <w:top w:val="nil"/>
              <w:left w:val="nil"/>
              <w:bottom w:val="single" w:sz="4" w:space="0" w:color="auto"/>
              <w:right w:val="single" w:sz="4" w:space="0" w:color="auto"/>
            </w:tcBorders>
            <w:shd w:val="clear" w:color="auto" w:fill="auto"/>
            <w:noWrap/>
            <w:vAlign w:val="center"/>
          </w:tcPr>
          <w:p w14:paraId="528B06B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3A8DAC1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5.79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80EDF3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2008732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B2FA80F"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E4F2E2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8.00</w:t>
            </w:r>
          </w:p>
        </w:tc>
        <w:tc>
          <w:tcPr>
            <w:tcW w:w="675" w:type="dxa"/>
            <w:tcBorders>
              <w:top w:val="nil"/>
              <w:left w:val="nil"/>
              <w:bottom w:val="single" w:sz="4" w:space="0" w:color="auto"/>
              <w:right w:val="single" w:sz="4" w:space="0" w:color="auto"/>
            </w:tcBorders>
            <w:shd w:val="clear" w:color="auto" w:fill="auto"/>
            <w:noWrap/>
            <w:vAlign w:val="center"/>
          </w:tcPr>
          <w:p w14:paraId="3EAB4F5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16.3</w:t>
            </w:r>
          </w:p>
        </w:tc>
        <w:tc>
          <w:tcPr>
            <w:tcW w:w="1296" w:type="dxa"/>
            <w:tcBorders>
              <w:top w:val="nil"/>
              <w:left w:val="nil"/>
              <w:bottom w:val="single" w:sz="4" w:space="0" w:color="auto"/>
              <w:right w:val="single" w:sz="4" w:space="0" w:color="auto"/>
            </w:tcBorders>
            <w:shd w:val="clear" w:color="auto" w:fill="auto"/>
            <w:noWrap/>
            <w:vAlign w:val="center"/>
          </w:tcPr>
          <w:p w14:paraId="4D0E775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1.91</w:t>
            </w:r>
          </w:p>
        </w:tc>
        <w:tc>
          <w:tcPr>
            <w:tcW w:w="730" w:type="dxa"/>
            <w:tcBorders>
              <w:top w:val="nil"/>
              <w:left w:val="nil"/>
              <w:bottom w:val="single" w:sz="4" w:space="0" w:color="auto"/>
              <w:right w:val="single" w:sz="4" w:space="0" w:color="auto"/>
            </w:tcBorders>
            <w:shd w:val="clear" w:color="auto" w:fill="auto"/>
            <w:noWrap/>
            <w:vAlign w:val="center"/>
          </w:tcPr>
          <w:p w14:paraId="3F0454A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nil"/>
              <w:left w:val="nil"/>
              <w:bottom w:val="single" w:sz="4" w:space="0" w:color="auto"/>
              <w:right w:val="single" w:sz="4" w:space="0" w:color="auto"/>
            </w:tcBorders>
            <w:shd w:val="clear" w:color="auto" w:fill="auto"/>
            <w:noWrap/>
            <w:vAlign w:val="center"/>
          </w:tcPr>
          <w:p w14:paraId="2430C95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1583" w:type="dxa"/>
            <w:tcBorders>
              <w:top w:val="nil"/>
              <w:left w:val="nil"/>
              <w:bottom w:val="single" w:sz="4" w:space="0" w:color="auto"/>
              <w:right w:val="nil"/>
            </w:tcBorders>
            <w:shd w:val="clear" w:color="auto" w:fill="auto"/>
            <w:noWrap/>
            <w:vAlign w:val="center"/>
          </w:tcPr>
          <w:p w14:paraId="7EA9B2D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F3E31C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712F9FA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F35E95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5246AB5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8.84</w:t>
            </w:r>
          </w:p>
        </w:tc>
        <w:tc>
          <w:tcPr>
            <w:tcW w:w="675" w:type="dxa"/>
            <w:tcBorders>
              <w:top w:val="nil"/>
              <w:left w:val="nil"/>
              <w:bottom w:val="single" w:sz="4" w:space="0" w:color="auto"/>
              <w:right w:val="single" w:sz="4" w:space="0" w:color="auto"/>
            </w:tcBorders>
            <w:shd w:val="clear" w:color="auto" w:fill="auto"/>
            <w:noWrap/>
            <w:vAlign w:val="center"/>
          </w:tcPr>
          <w:p w14:paraId="7C27191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37.4</w:t>
            </w:r>
          </w:p>
        </w:tc>
        <w:tc>
          <w:tcPr>
            <w:tcW w:w="1296" w:type="dxa"/>
            <w:tcBorders>
              <w:top w:val="nil"/>
              <w:left w:val="nil"/>
              <w:bottom w:val="single" w:sz="4" w:space="0" w:color="auto"/>
              <w:right w:val="single" w:sz="4" w:space="0" w:color="auto"/>
            </w:tcBorders>
            <w:shd w:val="clear" w:color="auto" w:fill="auto"/>
            <w:noWrap/>
            <w:vAlign w:val="center"/>
          </w:tcPr>
          <w:p w14:paraId="02FB73D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2.90</w:t>
            </w:r>
          </w:p>
        </w:tc>
        <w:tc>
          <w:tcPr>
            <w:tcW w:w="730" w:type="dxa"/>
            <w:tcBorders>
              <w:top w:val="nil"/>
              <w:left w:val="nil"/>
              <w:bottom w:val="single" w:sz="4" w:space="0" w:color="auto"/>
              <w:right w:val="single" w:sz="4" w:space="0" w:color="auto"/>
            </w:tcBorders>
            <w:shd w:val="clear" w:color="auto" w:fill="auto"/>
            <w:noWrap/>
            <w:vAlign w:val="center"/>
          </w:tcPr>
          <w:p w14:paraId="039692D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593" w:type="dxa"/>
            <w:tcBorders>
              <w:top w:val="nil"/>
              <w:left w:val="nil"/>
              <w:bottom w:val="single" w:sz="4" w:space="0" w:color="auto"/>
              <w:right w:val="single" w:sz="4" w:space="0" w:color="auto"/>
            </w:tcBorders>
            <w:shd w:val="clear" w:color="auto" w:fill="auto"/>
            <w:noWrap/>
            <w:vAlign w:val="center"/>
          </w:tcPr>
          <w:p w14:paraId="428CC06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1.29</w:t>
            </w:r>
          </w:p>
        </w:tc>
        <w:tc>
          <w:tcPr>
            <w:tcW w:w="1583" w:type="dxa"/>
            <w:tcBorders>
              <w:top w:val="nil"/>
              <w:left w:val="nil"/>
              <w:bottom w:val="single" w:sz="4" w:space="0" w:color="auto"/>
              <w:right w:val="nil"/>
            </w:tcBorders>
            <w:shd w:val="clear" w:color="auto" w:fill="auto"/>
            <w:noWrap/>
            <w:vAlign w:val="center"/>
          </w:tcPr>
          <w:p w14:paraId="2CBE7FB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336322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320D1BE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B0C58BA"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33B4C50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9.48</w:t>
            </w:r>
          </w:p>
        </w:tc>
        <w:tc>
          <w:tcPr>
            <w:tcW w:w="675" w:type="dxa"/>
            <w:tcBorders>
              <w:top w:val="nil"/>
              <w:left w:val="nil"/>
              <w:bottom w:val="single" w:sz="4" w:space="0" w:color="auto"/>
              <w:right w:val="single" w:sz="4" w:space="0" w:color="auto"/>
            </w:tcBorders>
            <w:shd w:val="clear" w:color="auto" w:fill="auto"/>
            <w:noWrap/>
            <w:vAlign w:val="center"/>
          </w:tcPr>
          <w:p w14:paraId="38F7F8E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36.5</w:t>
            </w:r>
          </w:p>
        </w:tc>
        <w:tc>
          <w:tcPr>
            <w:tcW w:w="1296" w:type="dxa"/>
            <w:tcBorders>
              <w:top w:val="nil"/>
              <w:left w:val="nil"/>
              <w:bottom w:val="single" w:sz="4" w:space="0" w:color="auto"/>
              <w:right w:val="single" w:sz="4" w:space="0" w:color="auto"/>
            </w:tcBorders>
            <w:shd w:val="clear" w:color="auto" w:fill="auto"/>
            <w:noWrap/>
            <w:vAlign w:val="center"/>
          </w:tcPr>
          <w:p w14:paraId="1C15BCA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2.58</w:t>
            </w:r>
          </w:p>
        </w:tc>
        <w:tc>
          <w:tcPr>
            <w:tcW w:w="730" w:type="dxa"/>
            <w:tcBorders>
              <w:top w:val="nil"/>
              <w:left w:val="nil"/>
              <w:bottom w:val="single" w:sz="4" w:space="0" w:color="auto"/>
              <w:right w:val="single" w:sz="4" w:space="0" w:color="auto"/>
            </w:tcBorders>
            <w:shd w:val="clear" w:color="auto" w:fill="auto"/>
            <w:noWrap/>
            <w:vAlign w:val="center"/>
          </w:tcPr>
          <w:p w14:paraId="08F3CFC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0C76CF1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1.23</w:t>
            </w:r>
          </w:p>
        </w:tc>
        <w:tc>
          <w:tcPr>
            <w:tcW w:w="1583" w:type="dxa"/>
            <w:tcBorders>
              <w:top w:val="nil"/>
              <w:left w:val="nil"/>
              <w:bottom w:val="single" w:sz="4" w:space="0" w:color="auto"/>
              <w:right w:val="nil"/>
            </w:tcBorders>
            <w:shd w:val="clear" w:color="auto" w:fill="auto"/>
            <w:noWrap/>
            <w:vAlign w:val="center"/>
          </w:tcPr>
          <w:p w14:paraId="44F3C8B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4.92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76753F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5361EAB9"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BF31E7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78E5918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619</w:t>
            </w:r>
          </w:p>
        </w:tc>
        <w:tc>
          <w:tcPr>
            <w:tcW w:w="675" w:type="dxa"/>
            <w:tcBorders>
              <w:top w:val="nil"/>
              <w:left w:val="nil"/>
              <w:bottom w:val="single" w:sz="4" w:space="0" w:color="auto"/>
              <w:right w:val="single" w:sz="4" w:space="0" w:color="auto"/>
            </w:tcBorders>
            <w:shd w:val="clear" w:color="auto" w:fill="auto"/>
            <w:noWrap/>
            <w:vAlign w:val="center"/>
          </w:tcPr>
          <w:p w14:paraId="1A0BD18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1.85</w:t>
            </w:r>
          </w:p>
        </w:tc>
        <w:tc>
          <w:tcPr>
            <w:tcW w:w="1296" w:type="dxa"/>
            <w:tcBorders>
              <w:top w:val="nil"/>
              <w:left w:val="nil"/>
              <w:bottom w:val="single" w:sz="4" w:space="0" w:color="auto"/>
              <w:right w:val="single" w:sz="4" w:space="0" w:color="auto"/>
            </w:tcBorders>
            <w:shd w:val="clear" w:color="auto" w:fill="auto"/>
            <w:noWrap/>
            <w:vAlign w:val="center"/>
          </w:tcPr>
          <w:p w14:paraId="52716BB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259</w:t>
            </w:r>
          </w:p>
        </w:tc>
        <w:tc>
          <w:tcPr>
            <w:tcW w:w="730" w:type="dxa"/>
            <w:tcBorders>
              <w:top w:val="nil"/>
              <w:left w:val="nil"/>
              <w:bottom w:val="single" w:sz="4" w:space="0" w:color="auto"/>
              <w:right w:val="single" w:sz="4" w:space="0" w:color="auto"/>
            </w:tcBorders>
            <w:shd w:val="clear" w:color="auto" w:fill="auto"/>
            <w:noWrap/>
            <w:vAlign w:val="center"/>
          </w:tcPr>
          <w:p w14:paraId="643E8FF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4.49</w:t>
            </w:r>
          </w:p>
        </w:tc>
        <w:tc>
          <w:tcPr>
            <w:tcW w:w="593" w:type="dxa"/>
            <w:tcBorders>
              <w:top w:val="nil"/>
              <w:left w:val="nil"/>
              <w:bottom w:val="single" w:sz="4" w:space="0" w:color="auto"/>
              <w:right w:val="single" w:sz="4" w:space="0" w:color="auto"/>
            </w:tcBorders>
            <w:shd w:val="clear" w:color="auto" w:fill="auto"/>
            <w:noWrap/>
            <w:vAlign w:val="center"/>
          </w:tcPr>
          <w:p w14:paraId="4F24F46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5.39</w:t>
            </w:r>
          </w:p>
        </w:tc>
        <w:tc>
          <w:tcPr>
            <w:tcW w:w="1583" w:type="dxa"/>
            <w:tcBorders>
              <w:top w:val="nil"/>
              <w:left w:val="nil"/>
              <w:bottom w:val="single" w:sz="4" w:space="0" w:color="auto"/>
              <w:right w:val="nil"/>
            </w:tcBorders>
            <w:shd w:val="clear" w:color="auto" w:fill="auto"/>
            <w:noWrap/>
            <w:vAlign w:val="center"/>
          </w:tcPr>
          <w:p w14:paraId="57C1FEA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853D6B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673D3A9A"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E76A1C8"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5829690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447</w:t>
            </w:r>
          </w:p>
        </w:tc>
        <w:tc>
          <w:tcPr>
            <w:tcW w:w="675" w:type="dxa"/>
            <w:tcBorders>
              <w:top w:val="nil"/>
              <w:left w:val="nil"/>
              <w:bottom w:val="double" w:sz="6" w:space="0" w:color="auto"/>
              <w:right w:val="single" w:sz="4" w:space="0" w:color="auto"/>
            </w:tcBorders>
            <w:shd w:val="clear" w:color="auto" w:fill="auto"/>
            <w:noWrap/>
            <w:vAlign w:val="center"/>
          </w:tcPr>
          <w:p w14:paraId="47AFC0B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6.72</w:t>
            </w:r>
          </w:p>
        </w:tc>
        <w:tc>
          <w:tcPr>
            <w:tcW w:w="1296" w:type="dxa"/>
            <w:tcBorders>
              <w:top w:val="nil"/>
              <w:left w:val="nil"/>
              <w:bottom w:val="double" w:sz="6" w:space="0" w:color="auto"/>
              <w:right w:val="single" w:sz="4" w:space="0" w:color="auto"/>
            </w:tcBorders>
            <w:shd w:val="clear" w:color="auto" w:fill="auto"/>
            <w:noWrap/>
            <w:vAlign w:val="center"/>
          </w:tcPr>
          <w:p w14:paraId="3C80C74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108</w:t>
            </w:r>
          </w:p>
        </w:tc>
        <w:tc>
          <w:tcPr>
            <w:tcW w:w="730" w:type="dxa"/>
            <w:tcBorders>
              <w:top w:val="nil"/>
              <w:left w:val="nil"/>
              <w:bottom w:val="double" w:sz="6" w:space="0" w:color="auto"/>
              <w:right w:val="single" w:sz="4" w:space="0" w:color="auto"/>
            </w:tcBorders>
            <w:shd w:val="clear" w:color="auto" w:fill="auto"/>
            <w:noWrap/>
            <w:vAlign w:val="center"/>
          </w:tcPr>
          <w:p w14:paraId="336AD63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5.40</w:t>
            </w:r>
          </w:p>
        </w:tc>
        <w:tc>
          <w:tcPr>
            <w:tcW w:w="593" w:type="dxa"/>
            <w:tcBorders>
              <w:top w:val="nil"/>
              <w:left w:val="nil"/>
              <w:bottom w:val="double" w:sz="6" w:space="0" w:color="auto"/>
              <w:right w:val="single" w:sz="4" w:space="0" w:color="auto"/>
            </w:tcBorders>
            <w:shd w:val="clear" w:color="auto" w:fill="auto"/>
            <w:noWrap/>
            <w:vAlign w:val="center"/>
          </w:tcPr>
          <w:p w14:paraId="24A92F3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1.85</w:t>
            </w:r>
          </w:p>
        </w:tc>
        <w:tc>
          <w:tcPr>
            <w:tcW w:w="1583" w:type="dxa"/>
            <w:tcBorders>
              <w:top w:val="nil"/>
              <w:left w:val="nil"/>
              <w:bottom w:val="double" w:sz="6" w:space="0" w:color="auto"/>
              <w:right w:val="nil"/>
            </w:tcBorders>
            <w:shd w:val="clear" w:color="auto" w:fill="auto"/>
            <w:noWrap/>
            <w:vAlign w:val="center"/>
          </w:tcPr>
          <w:p w14:paraId="0984F0A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81.2</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C11F05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32FE045B" w14:textId="4885C208"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23</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Portugal,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4CD25EE5"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5F9EBC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6FD8020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Portugal</w:t>
            </w:r>
          </w:p>
        </w:tc>
      </w:tr>
      <w:tr w:rsidR="003A3DE5" w:rsidRPr="000855B2" w14:paraId="6BDBA2D0"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3D8F5261"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3E582F40"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58198630"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663DB46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683ED2DE"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22</w:t>
            </w:r>
          </w:p>
        </w:tc>
        <w:tc>
          <w:tcPr>
            <w:tcW w:w="593" w:type="dxa"/>
            <w:tcBorders>
              <w:top w:val="nil"/>
              <w:left w:val="nil"/>
              <w:bottom w:val="single" w:sz="12" w:space="0" w:color="auto"/>
              <w:right w:val="single" w:sz="4" w:space="0" w:color="auto"/>
            </w:tcBorders>
            <w:shd w:val="clear" w:color="auto" w:fill="auto"/>
            <w:noWrap/>
            <w:vAlign w:val="center"/>
          </w:tcPr>
          <w:p w14:paraId="4D2C8DBA"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4145F4CF"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33CD73AE"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3F2241AE"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64020623"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3CB2613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70.1</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2248D93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11.7</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5FC2097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10.3</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31F1148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8AE89F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2AF0992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9.86</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6B30831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6970FB5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03E83C2"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1951714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3.36</w:t>
            </w:r>
          </w:p>
        </w:tc>
        <w:tc>
          <w:tcPr>
            <w:tcW w:w="675" w:type="dxa"/>
            <w:tcBorders>
              <w:top w:val="nil"/>
              <w:left w:val="nil"/>
              <w:bottom w:val="single" w:sz="4" w:space="0" w:color="auto"/>
              <w:right w:val="single" w:sz="4" w:space="0" w:color="auto"/>
            </w:tcBorders>
            <w:shd w:val="clear" w:color="auto" w:fill="auto"/>
            <w:noWrap/>
            <w:vAlign w:val="center"/>
          </w:tcPr>
          <w:p w14:paraId="6472CB4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13.5</w:t>
            </w:r>
          </w:p>
        </w:tc>
        <w:tc>
          <w:tcPr>
            <w:tcW w:w="1296" w:type="dxa"/>
            <w:tcBorders>
              <w:top w:val="nil"/>
              <w:left w:val="nil"/>
              <w:bottom w:val="single" w:sz="4" w:space="0" w:color="auto"/>
              <w:right w:val="single" w:sz="4" w:space="0" w:color="auto"/>
            </w:tcBorders>
            <w:shd w:val="clear" w:color="auto" w:fill="auto"/>
            <w:noWrap/>
            <w:vAlign w:val="center"/>
          </w:tcPr>
          <w:p w14:paraId="22ECC4D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0.47</w:t>
            </w:r>
          </w:p>
        </w:tc>
        <w:tc>
          <w:tcPr>
            <w:tcW w:w="730" w:type="dxa"/>
            <w:tcBorders>
              <w:top w:val="nil"/>
              <w:left w:val="nil"/>
              <w:bottom w:val="single" w:sz="4" w:space="0" w:color="auto"/>
              <w:right w:val="single" w:sz="4" w:space="0" w:color="auto"/>
            </w:tcBorders>
            <w:shd w:val="clear" w:color="auto" w:fill="auto"/>
            <w:noWrap/>
            <w:vAlign w:val="center"/>
          </w:tcPr>
          <w:p w14:paraId="7047935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93" w:type="dxa"/>
            <w:tcBorders>
              <w:top w:val="nil"/>
              <w:left w:val="nil"/>
              <w:bottom w:val="single" w:sz="4" w:space="0" w:color="auto"/>
              <w:right w:val="single" w:sz="4" w:space="0" w:color="auto"/>
            </w:tcBorders>
            <w:shd w:val="clear" w:color="auto" w:fill="auto"/>
            <w:noWrap/>
            <w:vAlign w:val="center"/>
          </w:tcPr>
          <w:p w14:paraId="04EB5AE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583" w:type="dxa"/>
            <w:tcBorders>
              <w:top w:val="nil"/>
              <w:left w:val="nil"/>
              <w:bottom w:val="single" w:sz="4" w:space="0" w:color="auto"/>
              <w:right w:val="nil"/>
            </w:tcBorders>
            <w:shd w:val="clear" w:color="auto" w:fill="auto"/>
            <w:noWrap/>
            <w:vAlign w:val="center"/>
          </w:tcPr>
          <w:p w14:paraId="540B06B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60C85A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44B1E3C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E67FD7F"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674BB6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675" w:type="dxa"/>
            <w:tcBorders>
              <w:top w:val="nil"/>
              <w:left w:val="nil"/>
              <w:bottom w:val="single" w:sz="4" w:space="0" w:color="auto"/>
              <w:right w:val="single" w:sz="4" w:space="0" w:color="auto"/>
            </w:tcBorders>
            <w:shd w:val="clear" w:color="auto" w:fill="auto"/>
            <w:noWrap/>
            <w:vAlign w:val="center"/>
          </w:tcPr>
          <w:p w14:paraId="2745C56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25.5</w:t>
            </w:r>
          </w:p>
        </w:tc>
        <w:tc>
          <w:tcPr>
            <w:tcW w:w="1296" w:type="dxa"/>
            <w:tcBorders>
              <w:top w:val="nil"/>
              <w:left w:val="nil"/>
              <w:bottom w:val="single" w:sz="4" w:space="0" w:color="auto"/>
              <w:right w:val="single" w:sz="4" w:space="0" w:color="auto"/>
            </w:tcBorders>
            <w:shd w:val="clear" w:color="auto" w:fill="auto"/>
            <w:noWrap/>
            <w:vAlign w:val="center"/>
          </w:tcPr>
          <w:p w14:paraId="3AB273E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19.7</w:t>
            </w:r>
          </w:p>
        </w:tc>
        <w:tc>
          <w:tcPr>
            <w:tcW w:w="730" w:type="dxa"/>
            <w:tcBorders>
              <w:top w:val="nil"/>
              <w:left w:val="nil"/>
              <w:bottom w:val="single" w:sz="4" w:space="0" w:color="auto"/>
              <w:right w:val="single" w:sz="4" w:space="0" w:color="auto"/>
            </w:tcBorders>
            <w:shd w:val="clear" w:color="auto" w:fill="auto"/>
            <w:noWrap/>
            <w:vAlign w:val="center"/>
          </w:tcPr>
          <w:p w14:paraId="6B15584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593" w:type="dxa"/>
            <w:tcBorders>
              <w:top w:val="nil"/>
              <w:left w:val="nil"/>
              <w:bottom w:val="single" w:sz="4" w:space="0" w:color="auto"/>
              <w:right w:val="single" w:sz="4" w:space="0" w:color="auto"/>
            </w:tcBorders>
            <w:shd w:val="clear" w:color="auto" w:fill="auto"/>
            <w:noWrap/>
            <w:vAlign w:val="center"/>
          </w:tcPr>
          <w:p w14:paraId="2CE99E0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196119F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7.28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D2EBA6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58BDB27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77CF5E7"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0FF2953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6.77</w:t>
            </w:r>
          </w:p>
        </w:tc>
        <w:tc>
          <w:tcPr>
            <w:tcW w:w="675" w:type="dxa"/>
            <w:tcBorders>
              <w:top w:val="nil"/>
              <w:left w:val="nil"/>
              <w:bottom w:val="single" w:sz="4" w:space="0" w:color="auto"/>
              <w:right w:val="single" w:sz="4" w:space="0" w:color="auto"/>
            </w:tcBorders>
            <w:shd w:val="clear" w:color="auto" w:fill="auto"/>
            <w:noWrap/>
            <w:vAlign w:val="center"/>
          </w:tcPr>
          <w:p w14:paraId="6853CB1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1296" w:type="dxa"/>
            <w:tcBorders>
              <w:top w:val="nil"/>
              <w:left w:val="nil"/>
              <w:bottom w:val="single" w:sz="4" w:space="0" w:color="auto"/>
              <w:right w:val="single" w:sz="4" w:space="0" w:color="auto"/>
            </w:tcBorders>
            <w:shd w:val="clear" w:color="auto" w:fill="auto"/>
            <w:noWrap/>
            <w:vAlign w:val="center"/>
          </w:tcPr>
          <w:p w14:paraId="71A2A58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730" w:type="dxa"/>
            <w:tcBorders>
              <w:top w:val="nil"/>
              <w:left w:val="nil"/>
              <w:bottom w:val="single" w:sz="4" w:space="0" w:color="auto"/>
              <w:right w:val="single" w:sz="4" w:space="0" w:color="auto"/>
            </w:tcBorders>
            <w:shd w:val="clear" w:color="auto" w:fill="auto"/>
            <w:noWrap/>
            <w:vAlign w:val="center"/>
          </w:tcPr>
          <w:p w14:paraId="07B49E5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93" w:type="dxa"/>
            <w:tcBorders>
              <w:top w:val="nil"/>
              <w:left w:val="nil"/>
              <w:bottom w:val="single" w:sz="4" w:space="0" w:color="auto"/>
              <w:right w:val="single" w:sz="4" w:space="0" w:color="auto"/>
            </w:tcBorders>
            <w:shd w:val="clear" w:color="auto" w:fill="auto"/>
            <w:noWrap/>
            <w:vAlign w:val="center"/>
          </w:tcPr>
          <w:p w14:paraId="372AF39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1.21</w:t>
            </w:r>
          </w:p>
        </w:tc>
        <w:tc>
          <w:tcPr>
            <w:tcW w:w="1583" w:type="dxa"/>
            <w:tcBorders>
              <w:top w:val="nil"/>
              <w:left w:val="nil"/>
              <w:bottom w:val="single" w:sz="4" w:space="0" w:color="auto"/>
              <w:right w:val="nil"/>
            </w:tcBorders>
            <w:shd w:val="clear" w:color="auto" w:fill="auto"/>
            <w:noWrap/>
            <w:vAlign w:val="center"/>
          </w:tcPr>
          <w:p w14:paraId="05CF404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7AE25AA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59BE4D2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074060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7E18E88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7.44</w:t>
            </w:r>
          </w:p>
        </w:tc>
        <w:tc>
          <w:tcPr>
            <w:tcW w:w="675" w:type="dxa"/>
            <w:tcBorders>
              <w:top w:val="nil"/>
              <w:left w:val="nil"/>
              <w:bottom w:val="single" w:sz="4" w:space="0" w:color="auto"/>
              <w:right w:val="single" w:sz="4" w:space="0" w:color="auto"/>
            </w:tcBorders>
            <w:shd w:val="clear" w:color="auto" w:fill="auto"/>
            <w:noWrap/>
            <w:vAlign w:val="center"/>
          </w:tcPr>
          <w:p w14:paraId="1C9C772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34.7</w:t>
            </w:r>
          </w:p>
        </w:tc>
        <w:tc>
          <w:tcPr>
            <w:tcW w:w="1296" w:type="dxa"/>
            <w:tcBorders>
              <w:top w:val="nil"/>
              <w:left w:val="nil"/>
              <w:bottom w:val="single" w:sz="4" w:space="0" w:color="auto"/>
              <w:right w:val="single" w:sz="4" w:space="0" w:color="auto"/>
            </w:tcBorders>
            <w:shd w:val="clear" w:color="auto" w:fill="auto"/>
            <w:noWrap/>
            <w:vAlign w:val="center"/>
          </w:tcPr>
          <w:p w14:paraId="3993F3E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2.10</w:t>
            </w:r>
          </w:p>
        </w:tc>
        <w:tc>
          <w:tcPr>
            <w:tcW w:w="730" w:type="dxa"/>
            <w:tcBorders>
              <w:top w:val="nil"/>
              <w:left w:val="nil"/>
              <w:bottom w:val="single" w:sz="4" w:space="0" w:color="auto"/>
              <w:right w:val="single" w:sz="4" w:space="0" w:color="auto"/>
            </w:tcBorders>
            <w:shd w:val="clear" w:color="auto" w:fill="auto"/>
            <w:noWrap/>
            <w:vAlign w:val="center"/>
          </w:tcPr>
          <w:p w14:paraId="7C00AB7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0.23</w:t>
            </w:r>
          </w:p>
        </w:tc>
        <w:tc>
          <w:tcPr>
            <w:tcW w:w="593" w:type="dxa"/>
            <w:tcBorders>
              <w:top w:val="nil"/>
              <w:left w:val="nil"/>
              <w:bottom w:val="single" w:sz="4" w:space="0" w:color="auto"/>
              <w:right w:val="single" w:sz="4" w:space="0" w:color="auto"/>
            </w:tcBorders>
            <w:shd w:val="clear" w:color="auto" w:fill="auto"/>
            <w:noWrap/>
            <w:vAlign w:val="center"/>
          </w:tcPr>
          <w:p w14:paraId="40C02B6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1.00</w:t>
            </w:r>
          </w:p>
        </w:tc>
        <w:tc>
          <w:tcPr>
            <w:tcW w:w="1583" w:type="dxa"/>
            <w:tcBorders>
              <w:top w:val="nil"/>
              <w:left w:val="nil"/>
              <w:bottom w:val="single" w:sz="4" w:space="0" w:color="auto"/>
              <w:right w:val="nil"/>
            </w:tcBorders>
            <w:shd w:val="clear" w:color="auto" w:fill="auto"/>
            <w:noWrap/>
            <w:vAlign w:val="center"/>
          </w:tcPr>
          <w:p w14:paraId="274D3F5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2.71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984E12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359971EC"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4A22BDA"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0C7938D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8.20</w:t>
            </w:r>
          </w:p>
        </w:tc>
        <w:tc>
          <w:tcPr>
            <w:tcW w:w="675" w:type="dxa"/>
            <w:tcBorders>
              <w:top w:val="nil"/>
              <w:left w:val="nil"/>
              <w:bottom w:val="single" w:sz="4" w:space="0" w:color="auto"/>
              <w:right w:val="single" w:sz="4" w:space="0" w:color="auto"/>
            </w:tcBorders>
            <w:shd w:val="clear" w:color="auto" w:fill="auto"/>
            <w:noWrap/>
            <w:vAlign w:val="center"/>
          </w:tcPr>
          <w:p w14:paraId="21875B1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36.1</w:t>
            </w:r>
          </w:p>
        </w:tc>
        <w:tc>
          <w:tcPr>
            <w:tcW w:w="1296" w:type="dxa"/>
            <w:tcBorders>
              <w:top w:val="nil"/>
              <w:left w:val="nil"/>
              <w:bottom w:val="single" w:sz="4" w:space="0" w:color="auto"/>
              <w:right w:val="single" w:sz="4" w:space="0" w:color="auto"/>
            </w:tcBorders>
            <w:shd w:val="clear" w:color="auto" w:fill="auto"/>
            <w:noWrap/>
            <w:vAlign w:val="center"/>
          </w:tcPr>
          <w:p w14:paraId="60BD5A6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2.21</w:t>
            </w:r>
          </w:p>
        </w:tc>
        <w:tc>
          <w:tcPr>
            <w:tcW w:w="730" w:type="dxa"/>
            <w:tcBorders>
              <w:top w:val="nil"/>
              <w:left w:val="nil"/>
              <w:bottom w:val="single" w:sz="4" w:space="0" w:color="auto"/>
              <w:right w:val="single" w:sz="4" w:space="0" w:color="auto"/>
            </w:tcBorders>
            <w:shd w:val="clear" w:color="auto" w:fill="auto"/>
            <w:noWrap/>
            <w:vAlign w:val="center"/>
          </w:tcPr>
          <w:p w14:paraId="5B427A0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205089D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w:t>
            </w:r>
          </w:p>
        </w:tc>
        <w:tc>
          <w:tcPr>
            <w:tcW w:w="1583" w:type="dxa"/>
            <w:tcBorders>
              <w:top w:val="nil"/>
              <w:left w:val="nil"/>
              <w:bottom w:val="single" w:sz="4" w:space="0" w:color="auto"/>
              <w:right w:val="nil"/>
            </w:tcBorders>
            <w:shd w:val="clear" w:color="auto" w:fill="auto"/>
            <w:noWrap/>
            <w:vAlign w:val="center"/>
          </w:tcPr>
          <w:p w14:paraId="4CC46CB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3.52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68ACAF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5C0BBD76"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AB43ECD"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4FDA370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530</w:t>
            </w:r>
          </w:p>
        </w:tc>
        <w:tc>
          <w:tcPr>
            <w:tcW w:w="675" w:type="dxa"/>
            <w:tcBorders>
              <w:top w:val="nil"/>
              <w:left w:val="nil"/>
              <w:bottom w:val="single" w:sz="4" w:space="0" w:color="auto"/>
              <w:right w:val="single" w:sz="4" w:space="0" w:color="auto"/>
            </w:tcBorders>
            <w:shd w:val="clear" w:color="auto" w:fill="auto"/>
            <w:noWrap/>
            <w:vAlign w:val="center"/>
          </w:tcPr>
          <w:p w14:paraId="017E11B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1.40</w:t>
            </w:r>
          </w:p>
        </w:tc>
        <w:tc>
          <w:tcPr>
            <w:tcW w:w="1296" w:type="dxa"/>
            <w:tcBorders>
              <w:top w:val="nil"/>
              <w:left w:val="nil"/>
              <w:bottom w:val="single" w:sz="4" w:space="0" w:color="auto"/>
              <w:right w:val="single" w:sz="4" w:space="0" w:color="auto"/>
            </w:tcBorders>
            <w:shd w:val="clear" w:color="auto" w:fill="auto"/>
            <w:noWrap/>
            <w:vAlign w:val="center"/>
          </w:tcPr>
          <w:p w14:paraId="5C7A4AD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418</w:t>
            </w:r>
          </w:p>
        </w:tc>
        <w:tc>
          <w:tcPr>
            <w:tcW w:w="730" w:type="dxa"/>
            <w:tcBorders>
              <w:top w:val="nil"/>
              <w:left w:val="nil"/>
              <w:bottom w:val="single" w:sz="4" w:space="0" w:color="auto"/>
              <w:right w:val="single" w:sz="4" w:space="0" w:color="auto"/>
            </w:tcBorders>
            <w:shd w:val="clear" w:color="auto" w:fill="auto"/>
            <w:noWrap/>
            <w:vAlign w:val="center"/>
          </w:tcPr>
          <w:p w14:paraId="5A96A84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6.87</w:t>
            </w:r>
          </w:p>
        </w:tc>
        <w:tc>
          <w:tcPr>
            <w:tcW w:w="593" w:type="dxa"/>
            <w:tcBorders>
              <w:top w:val="nil"/>
              <w:left w:val="nil"/>
              <w:bottom w:val="single" w:sz="4" w:space="0" w:color="auto"/>
              <w:right w:val="single" w:sz="4" w:space="0" w:color="auto"/>
            </w:tcBorders>
            <w:shd w:val="clear" w:color="auto" w:fill="auto"/>
            <w:noWrap/>
            <w:vAlign w:val="center"/>
          </w:tcPr>
          <w:p w14:paraId="60C350C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6.58</w:t>
            </w:r>
          </w:p>
        </w:tc>
        <w:tc>
          <w:tcPr>
            <w:tcW w:w="1583" w:type="dxa"/>
            <w:tcBorders>
              <w:top w:val="nil"/>
              <w:left w:val="nil"/>
              <w:bottom w:val="single" w:sz="4" w:space="0" w:color="auto"/>
              <w:right w:val="nil"/>
            </w:tcBorders>
            <w:shd w:val="clear" w:color="auto" w:fill="auto"/>
            <w:noWrap/>
            <w:vAlign w:val="center"/>
          </w:tcPr>
          <w:p w14:paraId="3FFE2AE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154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4C170A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06AD5BD9"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49704F4D"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749F2B5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515</w:t>
            </w:r>
          </w:p>
        </w:tc>
        <w:tc>
          <w:tcPr>
            <w:tcW w:w="675" w:type="dxa"/>
            <w:tcBorders>
              <w:top w:val="nil"/>
              <w:left w:val="nil"/>
              <w:bottom w:val="double" w:sz="6" w:space="0" w:color="auto"/>
              <w:right w:val="single" w:sz="4" w:space="0" w:color="auto"/>
            </w:tcBorders>
            <w:shd w:val="clear" w:color="auto" w:fill="auto"/>
            <w:noWrap/>
            <w:vAlign w:val="center"/>
          </w:tcPr>
          <w:p w14:paraId="194E97C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1296" w:type="dxa"/>
            <w:tcBorders>
              <w:top w:val="nil"/>
              <w:left w:val="nil"/>
              <w:bottom w:val="double" w:sz="6" w:space="0" w:color="auto"/>
              <w:right w:val="single" w:sz="4" w:space="0" w:color="auto"/>
            </w:tcBorders>
            <w:shd w:val="clear" w:color="auto" w:fill="auto"/>
            <w:noWrap/>
            <w:vAlign w:val="center"/>
          </w:tcPr>
          <w:p w14:paraId="77225C3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284</w:t>
            </w:r>
          </w:p>
        </w:tc>
        <w:tc>
          <w:tcPr>
            <w:tcW w:w="730" w:type="dxa"/>
            <w:tcBorders>
              <w:top w:val="nil"/>
              <w:left w:val="nil"/>
              <w:bottom w:val="double" w:sz="6" w:space="0" w:color="auto"/>
              <w:right w:val="single" w:sz="4" w:space="0" w:color="auto"/>
            </w:tcBorders>
            <w:shd w:val="clear" w:color="auto" w:fill="auto"/>
            <w:noWrap/>
            <w:vAlign w:val="center"/>
          </w:tcPr>
          <w:p w14:paraId="7C39053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6.35</w:t>
            </w:r>
          </w:p>
        </w:tc>
        <w:tc>
          <w:tcPr>
            <w:tcW w:w="593" w:type="dxa"/>
            <w:tcBorders>
              <w:top w:val="nil"/>
              <w:left w:val="nil"/>
              <w:bottom w:val="double" w:sz="6" w:space="0" w:color="auto"/>
              <w:right w:val="single" w:sz="4" w:space="0" w:color="auto"/>
            </w:tcBorders>
            <w:shd w:val="clear" w:color="auto" w:fill="auto"/>
            <w:noWrap/>
            <w:vAlign w:val="center"/>
          </w:tcPr>
          <w:p w14:paraId="328A21C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4.28</w:t>
            </w:r>
          </w:p>
        </w:tc>
        <w:tc>
          <w:tcPr>
            <w:tcW w:w="1583" w:type="dxa"/>
            <w:tcBorders>
              <w:top w:val="nil"/>
              <w:left w:val="nil"/>
              <w:bottom w:val="double" w:sz="6" w:space="0" w:color="auto"/>
              <w:right w:val="nil"/>
            </w:tcBorders>
            <w:shd w:val="clear" w:color="auto" w:fill="auto"/>
            <w:noWrap/>
            <w:vAlign w:val="center"/>
          </w:tcPr>
          <w:p w14:paraId="783E2FB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50.4</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04BAA08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43A95086" w14:textId="5F6AA23E" w:rsidR="00B83E4C" w:rsidRPr="000855B2" w:rsidRDefault="00B83E4C"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24</w:t>
      </w:r>
      <w:r w:rsidR="00FB454C">
        <w:rPr>
          <w:noProof/>
        </w:rPr>
        <w:fldChar w:fldCharType="end"/>
      </w:r>
      <w:r w:rsidRPr="000855B2">
        <w:t>: Bulk emission factors (g/kg fuel) (for CO</w:t>
      </w:r>
      <w:r w:rsidRPr="000855B2">
        <w:rPr>
          <w:vertAlign w:val="subscript"/>
        </w:rPr>
        <w:t>2</w:t>
      </w:r>
      <w:r w:rsidRPr="000855B2">
        <w:t xml:space="preserve"> kg/kg fuel) for Romania,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3A3DE5" w:rsidRPr="000855B2" w14:paraId="77F8E115"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51830377"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2A28BD74"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Romania</w:t>
            </w:r>
          </w:p>
        </w:tc>
      </w:tr>
      <w:tr w:rsidR="003A3DE5" w:rsidRPr="000855B2" w14:paraId="54BED3E1"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21DFC995" w14:textId="77777777" w:rsidR="003A3DE5" w:rsidRPr="00A86EF2" w:rsidRDefault="003A3DE5"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214522C9"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745441B2"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5F695135"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665D4EB8"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23</w:t>
            </w:r>
          </w:p>
        </w:tc>
        <w:tc>
          <w:tcPr>
            <w:tcW w:w="593" w:type="dxa"/>
            <w:tcBorders>
              <w:top w:val="nil"/>
              <w:left w:val="nil"/>
              <w:bottom w:val="single" w:sz="12" w:space="0" w:color="auto"/>
              <w:right w:val="single" w:sz="4" w:space="0" w:color="auto"/>
            </w:tcBorders>
            <w:shd w:val="clear" w:color="auto" w:fill="auto"/>
            <w:noWrap/>
            <w:vAlign w:val="center"/>
          </w:tcPr>
          <w:p w14:paraId="24A1DB56"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70683AB2"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69A0B14D" w14:textId="77777777" w:rsidR="003A3DE5" w:rsidRPr="00A86EF2" w:rsidRDefault="003A3DE5"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3A3DE5" w:rsidRPr="000855B2" w14:paraId="6198DE78"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37D330B6"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3C00850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270</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7AFBCE8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19.8</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2930113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34.4</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3410B5D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1.77</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001D74B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0513686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9.00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5497E0D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5E15DD2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09B9728"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2C02B32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5.99</w:t>
            </w:r>
          </w:p>
        </w:tc>
        <w:tc>
          <w:tcPr>
            <w:tcW w:w="675" w:type="dxa"/>
            <w:tcBorders>
              <w:top w:val="nil"/>
              <w:left w:val="nil"/>
              <w:bottom w:val="single" w:sz="4" w:space="0" w:color="auto"/>
              <w:right w:val="single" w:sz="4" w:space="0" w:color="auto"/>
            </w:tcBorders>
            <w:shd w:val="clear" w:color="auto" w:fill="auto"/>
            <w:noWrap/>
            <w:vAlign w:val="center"/>
          </w:tcPr>
          <w:p w14:paraId="7E9F759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296" w:type="dxa"/>
            <w:tcBorders>
              <w:top w:val="nil"/>
              <w:left w:val="nil"/>
              <w:bottom w:val="single" w:sz="4" w:space="0" w:color="auto"/>
              <w:right w:val="single" w:sz="4" w:space="0" w:color="auto"/>
            </w:tcBorders>
            <w:shd w:val="clear" w:color="auto" w:fill="auto"/>
            <w:noWrap/>
            <w:vAlign w:val="center"/>
          </w:tcPr>
          <w:p w14:paraId="466E47C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1.67</w:t>
            </w:r>
          </w:p>
        </w:tc>
        <w:tc>
          <w:tcPr>
            <w:tcW w:w="730" w:type="dxa"/>
            <w:tcBorders>
              <w:top w:val="nil"/>
              <w:left w:val="nil"/>
              <w:bottom w:val="single" w:sz="4" w:space="0" w:color="auto"/>
              <w:right w:val="single" w:sz="4" w:space="0" w:color="auto"/>
            </w:tcBorders>
            <w:shd w:val="clear" w:color="auto" w:fill="auto"/>
            <w:noWrap/>
            <w:vAlign w:val="center"/>
          </w:tcPr>
          <w:p w14:paraId="0FC5040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0.15</w:t>
            </w:r>
          </w:p>
        </w:tc>
        <w:tc>
          <w:tcPr>
            <w:tcW w:w="593" w:type="dxa"/>
            <w:tcBorders>
              <w:top w:val="nil"/>
              <w:left w:val="nil"/>
              <w:bottom w:val="single" w:sz="4" w:space="0" w:color="auto"/>
              <w:right w:val="single" w:sz="4" w:space="0" w:color="auto"/>
            </w:tcBorders>
            <w:shd w:val="clear" w:color="auto" w:fill="auto"/>
            <w:noWrap/>
            <w:vAlign w:val="center"/>
          </w:tcPr>
          <w:p w14:paraId="143731E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1.87</w:t>
            </w:r>
          </w:p>
        </w:tc>
        <w:tc>
          <w:tcPr>
            <w:tcW w:w="1583" w:type="dxa"/>
            <w:tcBorders>
              <w:top w:val="nil"/>
              <w:left w:val="nil"/>
              <w:bottom w:val="single" w:sz="4" w:space="0" w:color="auto"/>
              <w:right w:val="nil"/>
            </w:tcBorders>
            <w:shd w:val="clear" w:color="auto" w:fill="auto"/>
            <w:noWrap/>
            <w:vAlign w:val="center"/>
          </w:tcPr>
          <w:p w14:paraId="2481D30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8.31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3891C7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3E2D59D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7D28F98" w14:textId="77777777" w:rsidR="003A3DE5"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3A3DE5"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33DB6CF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238</w:t>
            </w:r>
          </w:p>
        </w:tc>
        <w:tc>
          <w:tcPr>
            <w:tcW w:w="675" w:type="dxa"/>
            <w:tcBorders>
              <w:top w:val="nil"/>
              <w:left w:val="nil"/>
              <w:bottom w:val="single" w:sz="4" w:space="0" w:color="auto"/>
              <w:right w:val="single" w:sz="4" w:space="0" w:color="auto"/>
            </w:tcBorders>
            <w:shd w:val="clear" w:color="auto" w:fill="auto"/>
            <w:noWrap/>
            <w:vAlign w:val="center"/>
          </w:tcPr>
          <w:p w14:paraId="03EF58A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16.5</w:t>
            </w:r>
          </w:p>
        </w:tc>
        <w:tc>
          <w:tcPr>
            <w:tcW w:w="1296" w:type="dxa"/>
            <w:tcBorders>
              <w:top w:val="nil"/>
              <w:left w:val="nil"/>
              <w:bottom w:val="single" w:sz="4" w:space="0" w:color="auto"/>
              <w:right w:val="single" w:sz="4" w:space="0" w:color="auto"/>
            </w:tcBorders>
            <w:shd w:val="clear" w:color="auto" w:fill="auto"/>
            <w:noWrap/>
            <w:vAlign w:val="center"/>
          </w:tcPr>
          <w:p w14:paraId="1027F4B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23.2</w:t>
            </w:r>
          </w:p>
        </w:tc>
        <w:tc>
          <w:tcPr>
            <w:tcW w:w="730" w:type="dxa"/>
            <w:tcBorders>
              <w:top w:val="nil"/>
              <w:left w:val="nil"/>
              <w:bottom w:val="single" w:sz="4" w:space="0" w:color="auto"/>
              <w:right w:val="single" w:sz="4" w:space="0" w:color="auto"/>
            </w:tcBorders>
            <w:shd w:val="clear" w:color="auto" w:fill="auto"/>
            <w:noWrap/>
            <w:vAlign w:val="center"/>
          </w:tcPr>
          <w:p w14:paraId="67E44E0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1.07</w:t>
            </w:r>
          </w:p>
        </w:tc>
        <w:tc>
          <w:tcPr>
            <w:tcW w:w="593" w:type="dxa"/>
            <w:tcBorders>
              <w:top w:val="nil"/>
              <w:left w:val="nil"/>
              <w:bottom w:val="single" w:sz="4" w:space="0" w:color="auto"/>
              <w:right w:val="single" w:sz="4" w:space="0" w:color="auto"/>
            </w:tcBorders>
            <w:shd w:val="clear" w:color="auto" w:fill="auto"/>
            <w:noWrap/>
            <w:vAlign w:val="center"/>
          </w:tcPr>
          <w:p w14:paraId="3C93115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710C9DB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5.83</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C0BDD1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4D5CB2A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CDCD742"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F3B01B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9.20</w:t>
            </w:r>
          </w:p>
        </w:tc>
        <w:tc>
          <w:tcPr>
            <w:tcW w:w="675" w:type="dxa"/>
            <w:tcBorders>
              <w:top w:val="nil"/>
              <w:left w:val="nil"/>
              <w:bottom w:val="single" w:sz="4" w:space="0" w:color="auto"/>
              <w:right w:val="single" w:sz="4" w:space="0" w:color="auto"/>
            </w:tcBorders>
            <w:shd w:val="clear" w:color="auto" w:fill="auto"/>
            <w:noWrap/>
            <w:vAlign w:val="center"/>
          </w:tcPr>
          <w:p w14:paraId="45BE151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16.5</w:t>
            </w:r>
          </w:p>
        </w:tc>
        <w:tc>
          <w:tcPr>
            <w:tcW w:w="1296" w:type="dxa"/>
            <w:tcBorders>
              <w:top w:val="nil"/>
              <w:left w:val="nil"/>
              <w:bottom w:val="single" w:sz="4" w:space="0" w:color="auto"/>
              <w:right w:val="single" w:sz="4" w:space="0" w:color="auto"/>
            </w:tcBorders>
            <w:shd w:val="clear" w:color="auto" w:fill="auto"/>
            <w:noWrap/>
            <w:vAlign w:val="center"/>
          </w:tcPr>
          <w:p w14:paraId="283ACE3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1.66</w:t>
            </w:r>
          </w:p>
        </w:tc>
        <w:tc>
          <w:tcPr>
            <w:tcW w:w="730" w:type="dxa"/>
            <w:tcBorders>
              <w:top w:val="nil"/>
              <w:left w:val="nil"/>
              <w:bottom w:val="single" w:sz="4" w:space="0" w:color="auto"/>
              <w:right w:val="single" w:sz="4" w:space="0" w:color="auto"/>
            </w:tcBorders>
            <w:shd w:val="clear" w:color="auto" w:fill="auto"/>
            <w:noWrap/>
            <w:vAlign w:val="center"/>
          </w:tcPr>
          <w:p w14:paraId="73061827"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nil"/>
              <w:left w:val="nil"/>
              <w:bottom w:val="single" w:sz="4" w:space="0" w:color="auto"/>
              <w:right w:val="single" w:sz="4" w:space="0" w:color="auto"/>
            </w:tcBorders>
            <w:shd w:val="clear" w:color="auto" w:fill="auto"/>
            <w:noWrap/>
            <w:vAlign w:val="center"/>
          </w:tcPr>
          <w:p w14:paraId="4BD979E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2.09</w:t>
            </w:r>
          </w:p>
        </w:tc>
        <w:tc>
          <w:tcPr>
            <w:tcW w:w="1583" w:type="dxa"/>
            <w:tcBorders>
              <w:top w:val="nil"/>
              <w:left w:val="nil"/>
              <w:bottom w:val="single" w:sz="4" w:space="0" w:color="auto"/>
              <w:right w:val="nil"/>
            </w:tcBorders>
            <w:shd w:val="clear" w:color="auto" w:fill="auto"/>
            <w:noWrap/>
            <w:vAlign w:val="center"/>
          </w:tcPr>
          <w:p w14:paraId="7126050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6.35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A9CD32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6D258B65"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83F1280"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6B5A42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9.91</w:t>
            </w:r>
          </w:p>
        </w:tc>
        <w:tc>
          <w:tcPr>
            <w:tcW w:w="675" w:type="dxa"/>
            <w:tcBorders>
              <w:top w:val="nil"/>
              <w:left w:val="nil"/>
              <w:bottom w:val="single" w:sz="4" w:space="0" w:color="auto"/>
              <w:right w:val="single" w:sz="4" w:space="0" w:color="auto"/>
            </w:tcBorders>
            <w:shd w:val="clear" w:color="auto" w:fill="auto"/>
            <w:noWrap/>
            <w:vAlign w:val="center"/>
          </w:tcPr>
          <w:p w14:paraId="2168069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37.8</w:t>
            </w:r>
          </w:p>
        </w:tc>
        <w:tc>
          <w:tcPr>
            <w:tcW w:w="1296" w:type="dxa"/>
            <w:tcBorders>
              <w:top w:val="nil"/>
              <w:left w:val="nil"/>
              <w:bottom w:val="single" w:sz="4" w:space="0" w:color="auto"/>
              <w:right w:val="single" w:sz="4" w:space="0" w:color="auto"/>
            </w:tcBorders>
            <w:shd w:val="clear" w:color="auto" w:fill="auto"/>
            <w:noWrap/>
            <w:vAlign w:val="center"/>
          </w:tcPr>
          <w:p w14:paraId="2ED1000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3.51</w:t>
            </w:r>
          </w:p>
        </w:tc>
        <w:tc>
          <w:tcPr>
            <w:tcW w:w="730" w:type="dxa"/>
            <w:tcBorders>
              <w:top w:val="nil"/>
              <w:left w:val="nil"/>
              <w:bottom w:val="single" w:sz="4" w:space="0" w:color="auto"/>
              <w:right w:val="single" w:sz="4" w:space="0" w:color="auto"/>
            </w:tcBorders>
            <w:shd w:val="clear" w:color="auto" w:fill="auto"/>
            <w:noWrap/>
            <w:vAlign w:val="center"/>
          </w:tcPr>
          <w:p w14:paraId="22FB097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93" w:type="dxa"/>
            <w:tcBorders>
              <w:top w:val="nil"/>
              <w:left w:val="nil"/>
              <w:bottom w:val="single" w:sz="4" w:space="0" w:color="auto"/>
              <w:right w:val="single" w:sz="4" w:space="0" w:color="auto"/>
            </w:tcBorders>
            <w:shd w:val="clear" w:color="auto" w:fill="auto"/>
            <w:noWrap/>
            <w:vAlign w:val="center"/>
          </w:tcPr>
          <w:p w14:paraId="13A652C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1.47</w:t>
            </w:r>
          </w:p>
        </w:tc>
        <w:tc>
          <w:tcPr>
            <w:tcW w:w="1583" w:type="dxa"/>
            <w:tcBorders>
              <w:top w:val="nil"/>
              <w:left w:val="nil"/>
              <w:bottom w:val="single" w:sz="4" w:space="0" w:color="auto"/>
              <w:right w:val="nil"/>
            </w:tcBorders>
            <w:shd w:val="clear" w:color="auto" w:fill="auto"/>
            <w:noWrap/>
            <w:vAlign w:val="center"/>
          </w:tcPr>
          <w:p w14:paraId="6EC15EA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B58EA6A"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7A72147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46185F2"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3C5C7041"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675" w:type="dxa"/>
            <w:tcBorders>
              <w:top w:val="nil"/>
              <w:left w:val="nil"/>
              <w:bottom w:val="single" w:sz="4" w:space="0" w:color="auto"/>
              <w:right w:val="single" w:sz="4" w:space="0" w:color="auto"/>
            </w:tcBorders>
            <w:shd w:val="clear" w:color="auto" w:fill="auto"/>
            <w:noWrap/>
            <w:vAlign w:val="center"/>
          </w:tcPr>
          <w:p w14:paraId="414B313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39.9</w:t>
            </w:r>
          </w:p>
        </w:tc>
        <w:tc>
          <w:tcPr>
            <w:tcW w:w="1296" w:type="dxa"/>
            <w:tcBorders>
              <w:top w:val="nil"/>
              <w:left w:val="nil"/>
              <w:bottom w:val="single" w:sz="4" w:space="0" w:color="auto"/>
              <w:right w:val="single" w:sz="4" w:space="0" w:color="auto"/>
            </w:tcBorders>
            <w:shd w:val="clear" w:color="auto" w:fill="auto"/>
            <w:noWrap/>
            <w:vAlign w:val="center"/>
          </w:tcPr>
          <w:p w14:paraId="7CAB453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4.82</w:t>
            </w:r>
          </w:p>
        </w:tc>
        <w:tc>
          <w:tcPr>
            <w:tcW w:w="730" w:type="dxa"/>
            <w:tcBorders>
              <w:top w:val="nil"/>
              <w:left w:val="nil"/>
              <w:bottom w:val="single" w:sz="4" w:space="0" w:color="auto"/>
              <w:right w:val="single" w:sz="4" w:space="0" w:color="auto"/>
            </w:tcBorders>
            <w:shd w:val="clear" w:color="auto" w:fill="auto"/>
            <w:noWrap/>
            <w:vAlign w:val="center"/>
          </w:tcPr>
          <w:p w14:paraId="518B716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0.34</w:t>
            </w:r>
          </w:p>
        </w:tc>
        <w:tc>
          <w:tcPr>
            <w:tcW w:w="593" w:type="dxa"/>
            <w:tcBorders>
              <w:top w:val="nil"/>
              <w:left w:val="nil"/>
              <w:bottom w:val="single" w:sz="4" w:space="0" w:color="auto"/>
              <w:right w:val="single" w:sz="4" w:space="0" w:color="auto"/>
            </w:tcBorders>
            <w:shd w:val="clear" w:color="auto" w:fill="auto"/>
            <w:noWrap/>
            <w:vAlign w:val="center"/>
          </w:tcPr>
          <w:p w14:paraId="6D8B34A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1.99</w:t>
            </w:r>
          </w:p>
        </w:tc>
        <w:tc>
          <w:tcPr>
            <w:tcW w:w="1583" w:type="dxa"/>
            <w:tcBorders>
              <w:top w:val="nil"/>
              <w:left w:val="nil"/>
              <w:bottom w:val="single" w:sz="4" w:space="0" w:color="auto"/>
              <w:right w:val="nil"/>
            </w:tcBorders>
            <w:shd w:val="clear" w:color="auto" w:fill="auto"/>
            <w:noWrap/>
            <w:vAlign w:val="center"/>
          </w:tcPr>
          <w:p w14:paraId="106F73D0"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4.37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EBAAC56"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3A3DE5" w:rsidRPr="000855B2" w14:paraId="7B84CED2"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5870B8C"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lastRenderedPageBreak/>
              <w:t>Mopeds</w:t>
            </w:r>
          </w:p>
        </w:tc>
        <w:tc>
          <w:tcPr>
            <w:tcW w:w="593" w:type="dxa"/>
            <w:tcBorders>
              <w:top w:val="nil"/>
              <w:left w:val="nil"/>
              <w:bottom w:val="single" w:sz="4" w:space="0" w:color="auto"/>
              <w:right w:val="single" w:sz="4" w:space="0" w:color="auto"/>
            </w:tcBorders>
            <w:shd w:val="clear" w:color="auto" w:fill="auto"/>
            <w:noWrap/>
            <w:vAlign w:val="center"/>
          </w:tcPr>
          <w:p w14:paraId="28D29AE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522</w:t>
            </w:r>
          </w:p>
        </w:tc>
        <w:tc>
          <w:tcPr>
            <w:tcW w:w="675" w:type="dxa"/>
            <w:tcBorders>
              <w:top w:val="nil"/>
              <w:left w:val="nil"/>
              <w:bottom w:val="single" w:sz="4" w:space="0" w:color="auto"/>
              <w:right w:val="single" w:sz="4" w:space="0" w:color="auto"/>
            </w:tcBorders>
            <w:shd w:val="clear" w:color="auto" w:fill="auto"/>
            <w:noWrap/>
            <w:vAlign w:val="center"/>
          </w:tcPr>
          <w:p w14:paraId="328D6DB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5.15</w:t>
            </w:r>
          </w:p>
        </w:tc>
        <w:tc>
          <w:tcPr>
            <w:tcW w:w="1296" w:type="dxa"/>
            <w:tcBorders>
              <w:top w:val="nil"/>
              <w:left w:val="nil"/>
              <w:bottom w:val="single" w:sz="4" w:space="0" w:color="auto"/>
              <w:right w:val="single" w:sz="4" w:space="0" w:color="auto"/>
            </w:tcBorders>
            <w:shd w:val="clear" w:color="auto" w:fill="auto"/>
            <w:noWrap/>
            <w:vAlign w:val="center"/>
          </w:tcPr>
          <w:p w14:paraId="76B7624B"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282</w:t>
            </w:r>
          </w:p>
        </w:tc>
        <w:tc>
          <w:tcPr>
            <w:tcW w:w="730" w:type="dxa"/>
            <w:tcBorders>
              <w:top w:val="nil"/>
              <w:left w:val="nil"/>
              <w:bottom w:val="single" w:sz="4" w:space="0" w:color="auto"/>
              <w:right w:val="single" w:sz="4" w:space="0" w:color="auto"/>
            </w:tcBorders>
            <w:shd w:val="clear" w:color="auto" w:fill="auto"/>
            <w:noWrap/>
            <w:vAlign w:val="center"/>
          </w:tcPr>
          <w:p w14:paraId="7442BC65"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4.40</w:t>
            </w:r>
          </w:p>
        </w:tc>
        <w:tc>
          <w:tcPr>
            <w:tcW w:w="593" w:type="dxa"/>
            <w:tcBorders>
              <w:top w:val="nil"/>
              <w:left w:val="nil"/>
              <w:bottom w:val="single" w:sz="4" w:space="0" w:color="auto"/>
              <w:right w:val="single" w:sz="4" w:space="0" w:color="auto"/>
            </w:tcBorders>
            <w:shd w:val="clear" w:color="auto" w:fill="auto"/>
            <w:noWrap/>
            <w:vAlign w:val="center"/>
          </w:tcPr>
          <w:p w14:paraId="3F427749"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5.71</w:t>
            </w:r>
          </w:p>
        </w:tc>
        <w:tc>
          <w:tcPr>
            <w:tcW w:w="1583" w:type="dxa"/>
            <w:tcBorders>
              <w:top w:val="nil"/>
              <w:left w:val="nil"/>
              <w:bottom w:val="single" w:sz="4" w:space="0" w:color="auto"/>
              <w:right w:val="nil"/>
            </w:tcBorders>
            <w:shd w:val="clear" w:color="auto" w:fill="auto"/>
            <w:noWrap/>
            <w:vAlign w:val="center"/>
          </w:tcPr>
          <w:p w14:paraId="73E70A73"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160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188E34E"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3A3DE5" w:rsidRPr="000855B2" w14:paraId="70E6E65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30FF43EE" w14:textId="77777777" w:rsidR="003A3DE5" w:rsidRPr="00A86EF2" w:rsidRDefault="003A3DE5"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4BDDC738"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503</w:t>
            </w:r>
          </w:p>
        </w:tc>
        <w:tc>
          <w:tcPr>
            <w:tcW w:w="675" w:type="dxa"/>
            <w:tcBorders>
              <w:top w:val="nil"/>
              <w:left w:val="nil"/>
              <w:bottom w:val="double" w:sz="6" w:space="0" w:color="auto"/>
              <w:right w:val="single" w:sz="4" w:space="0" w:color="auto"/>
            </w:tcBorders>
            <w:shd w:val="clear" w:color="auto" w:fill="auto"/>
            <w:noWrap/>
            <w:vAlign w:val="center"/>
          </w:tcPr>
          <w:p w14:paraId="16308D4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7.03</w:t>
            </w:r>
          </w:p>
        </w:tc>
        <w:tc>
          <w:tcPr>
            <w:tcW w:w="1296" w:type="dxa"/>
            <w:tcBorders>
              <w:top w:val="nil"/>
              <w:left w:val="nil"/>
              <w:bottom w:val="double" w:sz="6" w:space="0" w:color="auto"/>
              <w:right w:val="single" w:sz="4" w:space="0" w:color="auto"/>
            </w:tcBorders>
            <w:shd w:val="clear" w:color="auto" w:fill="auto"/>
            <w:noWrap/>
            <w:vAlign w:val="center"/>
          </w:tcPr>
          <w:p w14:paraId="5FA9BAA2"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115</w:t>
            </w:r>
          </w:p>
        </w:tc>
        <w:tc>
          <w:tcPr>
            <w:tcW w:w="730" w:type="dxa"/>
            <w:tcBorders>
              <w:top w:val="nil"/>
              <w:left w:val="nil"/>
              <w:bottom w:val="double" w:sz="6" w:space="0" w:color="auto"/>
              <w:right w:val="single" w:sz="4" w:space="0" w:color="auto"/>
            </w:tcBorders>
            <w:shd w:val="clear" w:color="auto" w:fill="auto"/>
            <w:noWrap/>
            <w:vAlign w:val="center"/>
          </w:tcPr>
          <w:p w14:paraId="0D69B5C4"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5.12</w:t>
            </w:r>
          </w:p>
        </w:tc>
        <w:tc>
          <w:tcPr>
            <w:tcW w:w="593" w:type="dxa"/>
            <w:tcBorders>
              <w:top w:val="nil"/>
              <w:left w:val="nil"/>
              <w:bottom w:val="double" w:sz="6" w:space="0" w:color="auto"/>
              <w:right w:val="single" w:sz="4" w:space="0" w:color="auto"/>
            </w:tcBorders>
            <w:shd w:val="clear" w:color="auto" w:fill="auto"/>
            <w:noWrap/>
            <w:vAlign w:val="center"/>
          </w:tcPr>
          <w:p w14:paraId="2B6EDCAC"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2.00</w:t>
            </w:r>
          </w:p>
        </w:tc>
        <w:tc>
          <w:tcPr>
            <w:tcW w:w="1583" w:type="dxa"/>
            <w:tcBorders>
              <w:top w:val="nil"/>
              <w:left w:val="nil"/>
              <w:bottom w:val="double" w:sz="6" w:space="0" w:color="auto"/>
              <w:right w:val="nil"/>
            </w:tcBorders>
            <w:shd w:val="clear" w:color="auto" w:fill="auto"/>
            <w:noWrap/>
            <w:vAlign w:val="center"/>
          </w:tcPr>
          <w:p w14:paraId="57147C5D"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53.8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47F3D95F" w14:textId="77777777" w:rsidR="003A3DE5" w:rsidRPr="00A86EF2" w:rsidRDefault="003A3DE5"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651F1608" w14:textId="3A46EACF" w:rsidR="00B83E4C" w:rsidRPr="000855B2" w:rsidRDefault="00B83E4C"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25</w:t>
      </w:r>
      <w:r w:rsidR="00FB454C">
        <w:rPr>
          <w:noProof/>
        </w:rPr>
        <w:fldChar w:fldCharType="end"/>
      </w:r>
      <w:r w:rsidRPr="000855B2">
        <w:t>: Bulk emission factors (g/kg fuel) (for CO</w:t>
      </w:r>
      <w:r w:rsidRPr="000855B2">
        <w:rPr>
          <w:vertAlign w:val="subscript"/>
        </w:rPr>
        <w:t>2</w:t>
      </w:r>
      <w:r w:rsidRPr="000855B2">
        <w:t xml:space="preserve"> kg/kg fuel) for Slovakia,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0855B2" w14:paraId="6FF9B57D"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749D11EF"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48C606A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Slovakia</w:t>
            </w:r>
          </w:p>
        </w:tc>
      </w:tr>
      <w:tr w:rsidR="00273891" w:rsidRPr="000855B2" w14:paraId="44469175"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59B47C89"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7C1A84F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206CA2FF"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02B5D66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14EEBEA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26</w:t>
            </w:r>
          </w:p>
        </w:tc>
        <w:tc>
          <w:tcPr>
            <w:tcW w:w="593" w:type="dxa"/>
            <w:tcBorders>
              <w:top w:val="nil"/>
              <w:left w:val="nil"/>
              <w:bottom w:val="single" w:sz="12" w:space="0" w:color="auto"/>
              <w:right w:val="single" w:sz="4" w:space="0" w:color="auto"/>
            </w:tcBorders>
            <w:shd w:val="clear" w:color="auto" w:fill="auto"/>
            <w:noWrap/>
            <w:vAlign w:val="center"/>
          </w:tcPr>
          <w:p w14:paraId="2614DDF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099440A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1780D3B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590DA6DC"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62471303"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5BB14E4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3C15D59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12.5</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2CB0A24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15.7</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0F4D76A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1.09</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29CC97E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28EBCF6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9.61</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7980B0D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040334A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BC735F0"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246D273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6.81</w:t>
            </w:r>
          </w:p>
        </w:tc>
        <w:tc>
          <w:tcPr>
            <w:tcW w:w="675" w:type="dxa"/>
            <w:tcBorders>
              <w:top w:val="nil"/>
              <w:left w:val="nil"/>
              <w:bottom w:val="single" w:sz="4" w:space="0" w:color="auto"/>
              <w:right w:val="single" w:sz="4" w:space="0" w:color="auto"/>
            </w:tcBorders>
            <w:shd w:val="clear" w:color="auto" w:fill="auto"/>
            <w:noWrap/>
            <w:vAlign w:val="center"/>
          </w:tcPr>
          <w:p w14:paraId="0A86E3C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12.0</w:t>
            </w:r>
          </w:p>
        </w:tc>
        <w:tc>
          <w:tcPr>
            <w:tcW w:w="1296" w:type="dxa"/>
            <w:tcBorders>
              <w:top w:val="nil"/>
              <w:left w:val="nil"/>
              <w:bottom w:val="single" w:sz="4" w:space="0" w:color="auto"/>
              <w:right w:val="single" w:sz="4" w:space="0" w:color="auto"/>
            </w:tcBorders>
            <w:shd w:val="clear" w:color="auto" w:fill="auto"/>
            <w:noWrap/>
            <w:vAlign w:val="center"/>
          </w:tcPr>
          <w:p w14:paraId="73DCAE2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1.52</w:t>
            </w:r>
          </w:p>
        </w:tc>
        <w:tc>
          <w:tcPr>
            <w:tcW w:w="730" w:type="dxa"/>
            <w:tcBorders>
              <w:top w:val="nil"/>
              <w:left w:val="nil"/>
              <w:bottom w:val="single" w:sz="4" w:space="0" w:color="auto"/>
              <w:right w:val="single" w:sz="4" w:space="0" w:color="auto"/>
            </w:tcBorders>
            <w:shd w:val="clear" w:color="auto" w:fill="auto"/>
            <w:noWrap/>
            <w:vAlign w:val="center"/>
          </w:tcPr>
          <w:p w14:paraId="74128AE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0.23</w:t>
            </w:r>
          </w:p>
        </w:tc>
        <w:tc>
          <w:tcPr>
            <w:tcW w:w="593" w:type="dxa"/>
            <w:tcBorders>
              <w:top w:val="nil"/>
              <w:left w:val="nil"/>
              <w:bottom w:val="single" w:sz="4" w:space="0" w:color="auto"/>
              <w:right w:val="single" w:sz="4" w:space="0" w:color="auto"/>
            </w:tcBorders>
            <w:shd w:val="clear" w:color="auto" w:fill="auto"/>
            <w:noWrap/>
            <w:vAlign w:val="center"/>
          </w:tcPr>
          <w:p w14:paraId="06678D5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2.29</w:t>
            </w:r>
          </w:p>
        </w:tc>
        <w:tc>
          <w:tcPr>
            <w:tcW w:w="1583" w:type="dxa"/>
            <w:tcBorders>
              <w:top w:val="nil"/>
              <w:left w:val="nil"/>
              <w:bottom w:val="single" w:sz="4" w:space="0" w:color="auto"/>
              <w:right w:val="nil"/>
            </w:tcBorders>
            <w:shd w:val="clear" w:color="auto" w:fill="auto"/>
            <w:noWrap/>
            <w:vAlign w:val="center"/>
          </w:tcPr>
          <w:p w14:paraId="4DA54EB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9C8B63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440E5BF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A068D09"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385D3A8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675" w:type="dxa"/>
            <w:tcBorders>
              <w:top w:val="nil"/>
              <w:left w:val="nil"/>
              <w:bottom w:val="single" w:sz="4" w:space="0" w:color="auto"/>
              <w:right w:val="single" w:sz="4" w:space="0" w:color="auto"/>
            </w:tcBorders>
            <w:shd w:val="clear" w:color="auto" w:fill="auto"/>
            <w:noWrap/>
            <w:vAlign w:val="center"/>
          </w:tcPr>
          <w:p w14:paraId="6B9A557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9.0</w:t>
            </w:r>
          </w:p>
        </w:tc>
        <w:tc>
          <w:tcPr>
            <w:tcW w:w="1296" w:type="dxa"/>
            <w:tcBorders>
              <w:top w:val="nil"/>
              <w:left w:val="nil"/>
              <w:bottom w:val="single" w:sz="4" w:space="0" w:color="auto"/>
              <w:right w:val="single" w:sz="4" w:space="0" w:color="auto"/>
            </w:tcBorders>
            <w:shd w:val="clear" w:color="auto" w:fill="auto"/>
            <w:noWrap/>
            <w:vAlign w:val="center"/>
          </w:tcPr>
          <w:p w14:paraId="1ACD473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730" w:type="dxa"/>
            <w:tcBorders>
              <w:top w:val="nil"/>
              <w:left w:val="nil"/>
              <w:bottom w:val="single" w:sz="4" w:space="0" w:color="auto"/>
              <w:right w:val="single" w:sz="4" w:space="0" w:color="auto"/>
            </w:tcBorders>
            <w:shd w:val="clear" w:color="auto" w:fill="auto"/>
            <w:noWrap/>
            <w:vAlign w:val="center"/>
          </w:tcPr>
          <w:p w14:paraId="5032D1F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0.65</w:t>
            </w:r>
          </w:p>
        </w:tc>
        <w:tc>
          <w:tcPr>
            <w:tcW w:w="593" w:type="dxa"/>
            <w:tcBorders>
              <w:top w:val="nil"/>
              <w:left w:val="nil"/>
              <w:bottom w:val="single" w:sz="4" w:space="0" w:color="auto"/>
              <w:right w:val="single" w:sz="4" w:space="0" w:color="auto"/>
            </w:tcBorders>
            <w:shd w:val="clear" w:color="auto" w:fill="auto"/>
            <w:noWrap/>
            <w:vAlign w:val="center"/>
          </w:tcPr>
          <w:p w14:paraId="48AEC72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741B00C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5.78</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4AF8C0E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6E178CA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75EB66C6"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2D2BBC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675" w:type="dxa"/>
            <w:tcBorders>
              <w:top w:val="nil"/>
              <w:left w:val="nil"/>
              <w:bottom w:val="single" w:sz="4" w:space="0" w:color="auto"/>
              <w:right w:val="single" w:sz="4" w:space="0" w:color="auto"/>
            </w:tcBorders>
            <w:shd w:val="clear" w:color="auto" w:fill="auto"/>
            <w:noWrap/>
            <w:vAlign w:val="center"/>
          </w:tcPr>
          <w:p w14:paraId="497AB94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17.1</w:t>
            </w:r>
          </w:p>
        </w:tc>
        <w:tc>
          <w:tcPr>
            <w:tcW w:w="1296" w:type="dxa"/>
            <w:tcBorders>
              <w:top w:val="nil"/>
              <w:left w:val="nil"/>
              <w:bottom w:val="single" w:sz="4" w:space="0" w:color="auto"/>
              <w:right w:val="single" w:sz="4" w:space="0" w:color="auto"/>
            </w:tcBorders>
            <w:shd w:val="clear" w:color="auto" w:fill="auto"/>
            <w:noWrap/>
            <w:vAlign w:val="center"/>
          </w:tcPr>
          <w:p w14:paraId="0421C50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1.61</w:t>
            </w:r>
          </w:p>
        </w:tc>
        <w:tc>
          <w:tcPr>
            <w:tcW w:w="730" w:type="dxa"/>
            <w:tcBorders>
              <w:top w:val="nil"/>
              <w:left w:val="nil"/>
              <w:bottom w:val="single" w:sz="4" w:space="0" w:color="auto"/>
              <w:right w:val="single" w:sz="4" w:space="0" w:color="auto"/>
            </w:tcBorders>
            <w:shd w:val="clear" w:color="auto" w:fill="auto"/>
            <w:noWrap/>
            <w:vAlign w:val="center"/>
          </w:tcPr>
          <w:p w14:paraId="1E90BC9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0.16</w:t>
            </w:r>
          </w:p>
        </w:tc>
        <w:tc>
          <w:tcPr>
            <w:tcW w:w="593" w:type="dxa"/>
            <w:tcBorders>
              <w:top w:val="nil"/>
              <w:left w:val="nil"/>
              <w:bottom w:val="single" w:sz="4" w:space="0" w:color="auto"/>
              <w:right w:val="single" w:sz="4" w:space="0" w:color="auto"/>
            </w:tcBorders>
            <w:shd w:val="clear" w:color="auto" w:fill="auto"/>
            <w:noWrap/>
            <w:vAlign w:val="center"/>
          </w:tcPr>
          <w:p w14:paraId="31A0C4C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2.57</w:t>
            </w:r>
          </w:p>
        </w:tc>
        <w:tc>
          <w:tcPr>
            <w:tcW w:w="1583" w:type="dxa"/>
            <w:tcBorders>
              <w:top w:val="nil"/>
              <w:left w:val="nil"/>
              <w:bottom w:val="single" w:sz="4" w:space="0" w:color="auto"/>
              <w:right w:val="nil"/>
            </w:tcBorders>
            <w:shd w:val="clear" w:color="auto" w:fill="auto"/>
            <w:noWrap/>
            <w:vAlign w:val="center"/>
          </w:tcPr>
          <w:p w14:paraId="7FA9D5C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6.90</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17B9BD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5AFBB95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87BF049"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65BDDFA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9.24</w:t>
            </w:r>
          </w:p>
        </w:tc>
        <w:tc>
          <w:tcPr>
            <w:tcW w:w="675" w:type="dxa"/>
            <w:tcBorders>
              <w:top w:val="nil"/>
              <w:left w:val="nil"/>
              <w:bottom w:val="single" w:sz="4" w:space="0" w:color="auto"/>
              <w:right w:val="single" w:sz="4" w:space="0" w:color="auto"/>
            </w:tcBorders>
            <w:shd w:val="clear" w:color="auto" w:fill="auto"/>
            <w:noWrap/>
            <w:vAlign w:val="center"/>
          </w:tcPr>
          <w:p w14:paraId="403B1B2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36.0</w:t>
            </w:r>
          </w:p>
        </w:tc>
        <w:tc>
          <w:tcPr>
            <w:tcW w:w="1296" w:type="dxa"/>
            <w:tcBorders>
              <w:top w:val="nil"/>
              <w:left w:val="nil"/>
              <w:bottom w:val="single" w:sz="4" w:space="0" w:color="auto"/>
              <w:right w:val="single" w:sz="4" w:space="0" w:color="auto"/>
            </w:tcBorders>
            <w:shd w:val="clear" w:color="auto" w:fill="auto"/>
            <w:noWrap/>
            <w:vAlign w:val="center"/>
          </w:tcPr>
          <w:p w14:paraId="368CCA0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3.34</w:t>
            </w:r>
          </w:p>
        </w:tc>
        <w:tc>
          <w:tcPr>
            <w:tcW w:w="730" w:type="dxa"/>
            <w:tcBorders>
              <w:top w:val="nil"/>
              <w:left w:val="nil"/>
              <w:bottom w:val="single" w:sz="4" w:space="0" w:color="auto"/>
              <w:right w:val="single" w:sz="4" w:space="0" w:color="auto"/>
            </w:tcBorders>
            <w:shd w:val="clear" w:color="auto" w:fill="auto"/>
            <w:noWrap/>
            <w:vAlign w:val="center"/>
          </w:tcPr>
          <w:p w14:paraId="522F773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0.27</w:t>
            </w:r>
          </w:p>
        </w:tc>
        <w:tc>
          <w:tcPr>
            <w:tcW w:w="593" w:type="dxa"/>
            <w:tcBorders>
              <w:top w:val="nil"/>
              <w:left w:val="nil"/>
              <w:bottom w:val="single" w:sz="4" w:space="0" w:color="auto"/>
              <w:right w:val="single" w:sz="4" w:space="0" w:color="auto"/>
            </w:tcBorders>
            <w:shd w:val="clear" w:color="auto" w:fill="auto"/>
            <w:noWrap/>
            <w:vAlign w:val="center"/>
          </w:tcPr>
          <w:p w14:paraId="01FD387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583" w:type="dxa"/>
            <w:tcBorders>
              <w:top w:val="nil"/>
              <w:left w:val="nil"/>
              <w:bottom w:val="single" w:sz="4" w:space="0" w:color="auto"/>
              <w:right w:val="nil"/>
            </w:tcBorders>
            <w:shd w:val="clear" w:color="auto" w:fill="auto"/>
            <w:noWrap/>
            <w:vAlign w:val="center"/>
          </w:tcPr>
          <w:p w14:paraId="6A6B417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2.82</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2FBC043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1AD46D9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601C08F"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0C44D6C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9.80</w:t>
            </w:r>
          </w:p>
        </w:tc>
        <w:tc>
          <w:tcPr>
            <w:tcW w:w="675" w:type="dxa"/>
            <w:tcBorders>
              <w:top w:val="nil"/>
              <w:left w:val="nil"/>
              <w:bottom w:val="single" w:sz="4" w:space="0" w:color="auto"/>
              <w:right w:val="single" w:sz="4" w:space="0" w:color="auto"/>
            </w:tcBorders>
            <w:shd w:val="clear" w:color="auto" w:fill="auto"/>
            <w:noWrap/>
            <w:vAlign w:val="center"/>
          </w:tcPr>
          <w:p w14:paraId="47F0B6A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38.7</w:t>
            </w:r>
          </w:p>
        </w:tc>
        <w:tc>
          <w:tcPr>
            <w:tcW w:w="1296" w:type="dxa"/>
            <w:tcBorders>
              <w:top w:val="nil"/>
              <w:left w:val="nil"/>
              <w:bottom w:val="single" w:sz="4" w:space="0" w:color="auto"/>
              <w:right w:val="single" w:sz="4" w:space="0" w:color="auto"/>
            </w:tcBorders>
            <w:shd w:val="clear" w:color="auto" w:fill="auto"/>
            <w:noWrap/>
            <w:vAlign w:val="center"/>
          </w:tcPr>
          <w:p w14:paraId="789B47F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2.86</w:t>
            </w:r>
          </w:p>
        </w:tc>
        <w:tc>
          <w:tcPr>
            <w:tcW w:w="730" w:type="dxa"/>
            <w:tcBorders>
              <w:top w:val="nil"/>
              <w:left w:val="nil"/>
              <w:bottom w:val="single" w:sz="4" w:space="0" w:color="auto"/>
              <w:right w:val="single" w:sz="4" w:space="0" w:color="auto"/>
            </w:tcBorders>
            <w:shd w:val="clear" w:color="auto" w:fill="auto"/>
            <w:noWrap/>
            <w:vAlign w:val="center"/>
          </w:tcPr>
          <w:p w14:paraId="78254DE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0.33</w:t>
            </w:r>
          </w:p>
        </w:tc>
        <w:tc>
          <w:tcPr>
            <w:tcW w:w="593" w:type="dxa"/>
            <w:tcBorders>
              <w:top w:val="nil"/>
              <w:left w:val="nil"/>
              <w:bottom w:val="single" w:sz="4" w:space="0" w:color="auto"/>
              <w:right w:val="single" w:sz="4" w:space="0" w:color="auto"/>
            </w:tcBorders>
            <w:shd w:val="clear" w:color="auto" w:fill="auto"/>
            <w:noWrap/>
            <w:vAlign w:val="center"/>
          </w:tcPr>
          <w:p w14:paraId="4A2BBD7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1583" w:type="dxa"/>
            <w:tcBorders>
              <w:top w:val="nil"/>
              <w:left w:val="nil"/>
              <w:bottom w:val="single" w:sz="4" w:space="0" w:color="auto"/>
              <w:right w:val="nil"/>
            </w:tcBorders>
            <w:shd w:val="clear" w:color="auto" w:fill="auto"/>
            <w:noWrap/>
            <w:vAlign w:val="center"/>
          </w:tcPr>
          <w:p w14:paraId="0B0F560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663B99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5D9CCB4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27C099F"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4B8A109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622</w:t>
            </w:r>
          </w:p>
        </w:tc>
        <w:tc>
          <w:tcPr>
            <w:tcW w:w="675" w:type="dxa"/>
            <w:tcBorders>
              <w:top w:val="nil"/>
              <w:left w:val="nil"/>
              <w:bottom w:val="single" w:sz="4" w:space="0" w:color="auto"/>
              <w:right w:val="single" w:sz="4" w:space="0" w:color="auto"/>
            </w:tcBorders>
            <w:shd w:val="clear" w:color="auto" w:fill="auto"/>
            <w:noWrap/>
            <w:vAlign w:val="center"/>
          </w:tcPr>
          <w:p w14:paraId="0AAA9BE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1.43</w:t>
            </w:r>
          </w:p>
        </w:tc>
        <w:tc>
          <w:tcPr>
            <w:tcW w:w="1296" w:type="dxa"/>
            <w:tcBorders>
              <w:top w:val="nil"/>
              <w:left w:val="nil"/>
              <w:bottom w:val="single" w:sz="4" w:space="0" w:color="auto"/>
              <w:right w:val="single" w:sz="4" w:space="0" w:color="auto"/>
            </w:tcBorders>
            <w:shd w:val="clear" w:color="auto" w:fill="auto"/>
            <w:noWrap/>
            <w:vAlign w:val="center"/>
          </w:tcPr>
          <w:p w14:paraId="4E2B2E0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323</w:t>
            </w:r>
          </w:p>
        </w:tc>
        <w:tc>
          <w:tcPr>
            <w:tcW w:w="730" w:type="dxa"/>
            <w:tcBorders>
              <w:top w:val="nil"/>
              <w:left w:val="nil"/>
              <w:bottom w:val="single" w:sz="4" w:space="0" w:color="auto"/>
              <w:right w:val="single" w:sz="4" w:space="0" w:color="auto"/>
            </w:tcBorders>
            <w:shd w:val="clear" w:color="auto" w:fill="auto"/>
            <w:noWrap/>
            <w:vAlign w:val="center"/>
          </w:tcPr>
          <w:p w14:paraId="699299B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5.48</w:t>
            </w:r>
          </w:p>
        </w:tc>
        <w:tc>
          <w:tcPr>
            <w:tcW w:w="593" w:type="dxa"/>
            <w:tcBorders>
              <w:top w:val="nil"/>
              <w:left w:val="nil"/>
              <w:bottom w:val="single" w:sz="4" w:space="0" w:color="auto"/>
              <w:right w:val="single" w:sz="4" w:space="0" w:color="auto"/>
            </w:tcBorders>
            <w:shd w:val="clear" w:color="auto" w:fill="auto"/>
            <w:noWrap/>
            <w:vAlign w:val="center"/>
          </w:tcPr>
          <w:p w14:paraId="381FD80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5.93</w:t>
            </w:r>
          </w:p>
        </w:tc>
        <w:tc>
          <w:tcPr>
            <w:tcW w:w="1583" w:type="dxa"/>
            <w:tcBorders>
              <w:top w:val="nil"/>
              <w:left w:val="nil"/>
              <w:bottom w:val="single" w:sz="4" w:space="0" w:color="auto"/>
              <w:right w:val="nil"/>
            </w:tcBorders>
            <w:shd w:val="clear" w:color="auto" w:fill="auto"/>
            <w:noWrap/>
            <w:vAlign w:val="center"/>
          </w:tcPr>
          <w:p w14:paraId="38AF302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3D7171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190F77C4"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632F5668"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2A12B80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488</w:t>
            </w:r>
          </w:p>
        </w:tc>
        <w:tc>
          <w:tcPr>
            <w:tcW w:w="675" w:type="dxa"/>
            <w:tcBorders>
              <w:top w:val="nil"/>
              <w:left w:val="nil"/>
              <w:bottom w:val="double" w:sz="6" w:space="0" w:color="auto"/>
              <w:right w:val="single" w:sz="4" w:space="0" w:color="auto"/>
            </w:tcBorders>
            <w:shd w:val="clear" w:color="auto" w:fill="auto"/>
            <w:noWrap/>
            <w:vAlign w:val="center"/>
          </w:tcPr>
          <w:p w14:paraId="2B2B0C7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2.70</w:t>
            </w:r>
          </w:p>
        </w:tc>
        <w:tc>
          <w:tcPr>
            <w:tcW w:w="1296" w:type="dxa"/>
            <w:tcBorders>
              <w:top w:val="nil"/>
              <w:left w:val="nil"/>
              <w:bottom w:val="double" w:sz="6" w:space="0" w:color="auto"/>
              <w:right w:val="single" w:sz="4" w:space="0" w:color="auto"/>
            </w:tcBorders>
            <w:shd w:val="clear" w:color="auto" w:fill="auto"/>
            <w:noWrap/>
            <w:vAlign w:val="center"/>
          </w:tcPr>
          <w:p w14:paraId="2D89C08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418</w:t>
            </w:r>
          </w:p>
        </w:tc>
        <w:tc>
          <w:tcPr>
            <w:tcW w:w="730" w:type="dxa"/>
            <w:tcBorders>
              <w:top w:val="nil"/>
              <w:left w:val="nil"/>
              <w:bottom w:val="double" w:sz="6" w:space="0" w:color="auto"/>
              <w:right w:val="single" w:sz="4" w:space="0" w:color="auto"/>
            </w:tcBorders>
            <w:shd w:val="clear" w:color="auto" w:fill="auto"/>
            <w:noWrap/>
            <w:vAlign w:val="center"/>
          </w:tcPr>
          <w:p w14:paraId="18AB63E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7.59</w:t>
            </w:r>
          </w:p>
        </w:tc>
        <w:tc>
          <w:tcPr>
            <w:tcW w:w="593" w:type="dxa"/>
            <w:tcBorders>
              <w:top w:val="nil"/>
              <w:left w:val="nil"/>
              <w:bottom w:val="double" w:sz="6" w:space="0" w:color="auto"/>
              <w:right w:val="single" w:sz="4" w:space="0" w:color="auto"/>
            </w:tcBorders>
            <w:shd w:val="clear" w:color="auto" w:fill="auto"/>
            <w:noWrap/>
            <w:vAlign w:val="center"/>
          </w:tcPr>
          <w:p w14:paraId="0223F6C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6.14</w:t>
            </w:r>
          </w:p>
        </w:tc>
        <w:tc>
          <w:tcPr>
            <w:tcW w:w="1583" w:type="dxa"/>
            <w:tcBorders>
              <w:top w:val="nil"/>
              <w:left w:val="nil"/>
              <w:bottom w:val="double" w:sz="6" w:space="0" w:color="auto"/>
              <w:right w:val="nil"/>
            </w:tcBorders>
            <w:shd w:val="clear" w:color="auto" w:fill="auto"/>
            <w:noWrap/>
            <w:vAlign w:val="center"/>
          </w:tcPr>
          <w:p w14:paraId="38BFC93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89.5</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3096823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01725B9F" w14:textId="51DE4956"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26</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Slovenia, year 2005.</w:t>
      </w:r>
    </w:p>
    <w:tbl>
      <w:tblPr>
        <w:tblW w:w="7968" w:type="dxa"/>
        <w:tblInd w:w="108" w:type="dxa"/>
        <w:tblLook w:val="0000" w:firstRow="0" w:lastRow="0" w:firstColumn="0" w:lastColumn="0" w:noHBand="0" w:noVBand="0"/>
      </w:tblPr>
      <w:tblGrid>
        <w:gridCol w:w="1248"/>
        <w:gridCol w:w="587"/>
        <w:gridCol w:w="749"/>
        <w:gridCol w:w="1281"/>
        <w:gridCol w:w="722"/>
        <w:gridCol w:w="587"/>
        <w:gridCol w:w="1563"/>
        <w:gridCol w:w="1231"/>
      </w:tblGrid>
      <w:tr w:rsidR="00273891" w:rsidRPr="000855B2" w14:paraId="3DF50137" w14:textId="77777777" w:rsidTr="0062782E">
        <w:trPr>
          <w:trHeight w:val="255"/>
        </w:trPr>
        <w:tc>
          <w:tcPr>
            <w:tcW w:w="1248"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tcPr>
          <w:p w14:paraId="1B3185D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55E7F02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Slovenia</w:t>
            </w:r>
          </w:p>
        </w:tc>
      </w:tr>
      <w:tr w:rsidR="00273891" w:rsidRPr="000855B2" w14:paraId="04785912" w14:textId="77777777" w:rsidTr="0062782E">
        <w:trPr>
          <w:trHeight w:val="765"/>
        </w:trPr>
        <w:tc>
          <w:tcPr>
            <w:tcW w:w="1248" w:type="dxa"/>
            <w:vMerge/>
            <w:tcBorders>
              <w:top w:val="single" w:sz="4" w:space="0" w:color="auto"/>
              <w:left w:val="double" w:sz="6" w:space="0" w:color="auto"/>
              <w:bottom w:val="single" w:sz="12" w:space="0" w:color="auto"/>
              <w:right w:val="single" w:sz="4" w:space="0" w:color="auto"/>
            </w:tcBorders>
            <w:shd w:val="clear" w:color="auto" w:fill="auto"/>
            <w:vAlign w:val="center"/>
          </w:tcPr>
          <w:p w14:paraId="7B3C727E" w14:textId="77777777" w:rsidR="00273891" w:rsidRPr="00A86EF2" w:rsidRDefault="00273891" w:rsidP="0062782E">
            <w:pPr>
              <w:spacing w:line="240" w:lineRule="auto"/>
              <w:jc w:val="center"/>
              <w:rPr>
                <w:b/>
                <w:bCs/>
                <w:color w:val="000000"/>
                <w:sz w:val="16"/>
                <w:szCs w:val="16"/>
                <w:lang w:val="en-GB" w:eastAsia="el-GR" w:bidi="hi-IN"/>
              </w:rPr>
            </w:pP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590151F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49" w:type="dxa"/>
            <w:tcBorders>
              <w:top w:val="single" w:sz="4" w:space="0" w:color="auto"/>
              <w:left w:val="nil"/>
              <w:bottom w:val="single" w:sz="12" w:space="0" w:color="auto"/>
              <w:right w:val="single" w:sz="4" w:space="0" w:color="auto"/>
            </w:tcBorders>
            <w:shd w:val="clear" w:color="auto" w:fill="auto"/>
            <w:noWrap/>
            <w:vAlign w:val="center"/>
          </w:tcPr>
          <w:p w14:paraId="22B27D39"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81" w:type="dxa"/>
            <w:tcBorders>
              <w:top w:val="single" w:sz="4" w:space="0" w:color="auto"/>
              <w:left w:val="nil"/>
              <w:bottom w:val="single" w:sz="12" w:space="0" w:color="auto"/>
              <w:right w:val="single" w:sz="4" w:space="0" w:color="auto"/>
            </w:tcBorders>
            <w:shd w:val="clear" w:color="auto" w:fill="auto"/>
            <w:noWrap/>
            <w:vAlign w:val="center"/>
          </w:tcPr>
          <w:p w14:paraId="347ABD4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22" w:type="dxa"/>
            <w:tcBorders>
              <w:top w:val="single" w:sz="4" w:space="0" w:color="auto"/>
              <w:left w:val="nil"/>
              <w:bottom w:val="single" w:sz="12" w:space="0" w:color="auto"/>
              <w:right w:val="single" w:sz="4" w:space="0" w:color="auto"/>
            </w:tcBorders>
            <w:shd w:val="clear" w:color="auto" w:fill="auto"/>
            <w:noWrap/>
            <w:vAlign w:val="center"/>
          </w:tcPr>
          <w:p w14:paraId="63BC819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25</w:t>
            </w: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51C4898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63" w:type="dxa"/>
            <w:tcBorders>
              <w:top w:val="single" w:sz="4" w:space="0" w:color="auto"/>
              <w:left w:val="nil"/>
              <w:bottom w:val="single" w:sz="12" w:space="0" w:color="auto"/>
              <w:right w:val="nil"/>
            </w:tcBorders>
            <w:shd w:val="clear" w:color="auto" w:fill="auto"/>
            <w:vAlign w:val="center"/>
          </w:tcPr>
          <w:p w14:paraId="7BDCA35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31" w:type="dxa"/>
            <w:tcBorders>
              <w:top w:val="single" w:sz="4" w:space="0" w:color="auto"/>
              <w:left w:val="single" w:sz="4" w:space="0" w:color="auto"/>
              <w:bottom w:val="single" w:sz="12" w:space="0" w:color="auto"/>
              <w:right w:val="double" w:sz="6" w:space="0" w:color="auto"/>
            </w:tcBorders>
            <w:shd w:val="clear" w:color="auto" w:fill="auto"/>
            <w:vAlign w:val="center"/>
          </w:tcPr>
          <w:p w14:paraId="5A72E2E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39BA5112"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7FDB925"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7BB47D5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85.2</w:t>
            </w:r>
          </w:p>
        </w:tc>
        <w:tc>
          <w:tcPr>
            <w:tcW w:w="749" w:type="dxa"/>
            <w:tcBorders>
              <w:top w:val="single" w:sz="12" w:space="0" w:color="auto"/>
              <w:left w:val="nil"/>
              <w:bottom w:val="single" w:sz="4" w:space="0" w:color="auto"/>
              <w:right w:val="single" w:sz="4" w:space="0" w:color="auto"/>
            </w:tcBorders>
            <w:shd w:val="clear" w:color="auto" w:fill="auto"/>
            <w:noWrap/>
            <w:vAlign w:val="center"/>
          </w:tcPr>
          <w:p w14:paraId="5639FFB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8.82</w:t>
            </w:r>
          </w:p>
        </w:tc>
        <w:tc>
          <w:tcPr>
            <w:tcW w:w="1281" w:type="dxa"/>
            <w:tcBorders>
              <w:top w:val="single" w:sz="12" w:space="0" w:color="auto"/>
              <w:left w:val="nil"/>
              <w:bottom w:val="single" w:sz="4" w:space="0" w:color="auto"/>
              <w:right w:val="single" w:sz="4" w:space="0" w:color="auto"/>
            </w:tcBorders>
            <w:shd w:val="clear" w:color="auto" w:fill="auto"/>
            <w:noWrap/>
            <w:vAlign w:val="center"/>
          </w:tcPr>
          <w:p w14:paraId="0A152D9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9.81</w:t>
            </w:r>
          </w:p>
        </w:tc>
        <w:tc>
          <w:tcPr>
            <w:tcW w:w="722" w:type="dxa"/>
            <w:tcBorders>
              <w:top w:val="single" w:sz="12" w:space="0" w:color="auto"/>
              <w:left w:val="nil"/>
              <w:bottom w:val="single" w:sz="4" w:space="0" w:color="auto"/>
              <w:right w:val="single" w:sz="4" w:space="0" w:color="auto"/>
            </w:tcBorders>
            <w:shd w:val="clear" w:color="auto" w:fill="auto"/>
            <w:noWrap/>
            <w:vAlign w:val="center"/>
          </w:tcPr>
          <w:p w14:paraId="698390B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0.82</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77547F0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63" w:type="dxa"/>
            <w:tcBorders>
              <w:top w:val="single" w:sz="12" w:space="0" w:color="auto"/>
              <w:left w:val="nil"/>
              <w:bottom w:val="single" w:sz="4" w:space="0" w:color="auto"/>
              <w:right w:val="nil"/>
            </w:tcBorders>
            <w:shd w:val="clear" w:color="auto" w:fill="auto"/>
            <w:noWrap/>
            <w:vAlign w:val="center"/>
          </w:tcPr>
          <w:p w14:paraId="7F9AC7C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9.18</w:t>
            </w:r>
          </w:p>
        </w:tc>
        <w:tc>
          <w:tcPr>
            <w:tcW w:w="123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6FEEDDA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53BEBA2B"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BC4EDB1"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0CDF641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3.23</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710F701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84C02D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0.71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716B05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C774A7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1.17</w:t>
            </w:r>
          </w:p>
        </w:tc>
        <w:tc>
          <w:tcPr>
            <w:tcW w:w="1563" w:type="dxa"/>
            <w:tcBorders>
              <w:top w:val="single" w:sz="4" w:space="0" w:color="auto"/>
              <w:left w:val="nil"/>
              <w:bottom w:val="single" w:sz="4" w:space="0" w:color="auto"/>
              <w:right w:val="nil"/>
            </w:tcBorders>
            <w:shd w:val="clear" w:color="auto" w:fill="auto"/>
            <w:noWrap/>
            <w:vAlign w:val="center"/>
          </w:tcPr>
          <w:p w14:paraId="6770FA7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8.67</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74469B3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34BB8E38"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6F8EE3E"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6D8AC9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102</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6161340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6.7</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6915EC5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6.7</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91808B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0.53</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7A122E4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63" w:type="dxa"/>
            <w:tcBorders>
              <w:top w:val="single" w:sz="4" w:space="0" w:color="auto"/>
              <w:left w:val="nil"/>
              <w:bottom w:val="single" w:sz="4" w:space="0" w:color="auto"/>
              <w:right w:val="nil"/>
            </w:tcBorders>
            <w:shd w:val="clear" w:color="auto" w:fill="auto"/>
            <w:noWrap/>
            <w:vAlign w:val="center"/>
          </w:tcPr>
          <w:p w14:paraId="2686AB5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5.58</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76910F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34C9E4AC"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A4BDBAE"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6B3753D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6.51</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449735D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7F96CD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1.57</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6D272D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428C750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1.30</w:t>
            </w:r>
          </w:p>
        </w:tc>
        <w:tc>
          <w:tcPr>
            <w:tcW w:w="1563" w:type="dxa"/>
            <w:tcBorders>
              <w:top w:val="single" w:sz="4" w:space="0" w:color="auto"/>
              <w:left w:val="nil"/>
              <w:bottom w:val="single" w:sz="4" w:space="0" w:color="auto"/>
              <w:right w:val="nil"/>
            </w:tcBorders>
            <w:shd w:val="clear" w:color="auto" w:fill="auto"/>
            <w:noWrap/>
            <w:vAlign w:val="center"/>
          </w:tcPr>
          <w:p w14:paraId="2173507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6.44</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FE379F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148196A2"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0567752"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02C60A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6.77</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5184B4A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29.8</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6B13E15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1.66</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4B8523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0.20</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E370E2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0.78</w:t>
            </w:r>
          </w:p>
        </w:tc>
        <w:tc>
          <w:tcPr>
            <w:tcW w:w="1563" w:type="dxa"/>
            <w:tcBorders>
              <w:top w:val="single" w:sz="4" w:space="0" w:color="auto"/>
              <w:left w:val="nil"/>
              <w:bottom w:val="single" w:sz="4" w:space="0" w:color="auto"/>
              <w:right w:val="nil"/>
            </w:tcBorders>
            <w:shd w:val="clear" w:color="auto" w:fill="auto"/>
            <w:noWrap/>
            <w:vAlign w:val="center"/>
          </w:tcPr>
          <w:p w14:paraId="0127BA7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3.18</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C29A3E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1CD4AADB"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A7C8F68"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796585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7.17</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4DC8712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33.3</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1DA9B3B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1.83</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25F74E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731589F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0.84</w:t>
            </w:r>
          </w:p>
        </w:tc>
        <w:tc>
          <w:tcPr>
            <w:tcW w:w="1563" w:type="dxa"/>
            <w:tcBorders>
              <w:top w:val="single" w:sz="4" w:space="0" w:color="auto"/>
              <w:left w:val="nil"/>
              <w:bottom w:val="single" w:sz="4" w:space="0" w:color="auto"/>
              <w:right w:val="nil"/>
            </w:tcBorders>
            <w:shd w:val="clear" w:color="auto" w:fill="auto"/>
            <w:noWrap/>
            <w:vAlign w:val="center"/>
          </w:tcPr>
          <w:p w14:paraId="1C5A380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3.66</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4C2404B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31C28082"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5AB6203"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ADBC76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720</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1C7CE09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1.75</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DC06FC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254</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A8CC8E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4.48</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66036AB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6.04</w:t>
            </w:r>
          </w:p>
        </w:tc>
        <w:tc>
          <w:tcPr>
            <w:tcW w:w="1563" w:type="dxa"/>
            <w:tcBorders>
              <w:top w:val="single" w:sz="4" w:space="0" w:color="auto"/>
              <w:left w:val="nil"/>
              <w:bottom w:val="single" w:sz="4" w:space="0" w:color="auto"/>
              <w:right w:val="nil"/>
            </w:tcBorders>
            <w:shd w:val="clear" w:color="auto" w:fill="auto"/>
            <w:noWrap/>
            <w:vAlign w:val="center"/>
          </w:tcPr>
          <w:p w14:paraId="2C225F9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111</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3DBA5E5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222AD0C5" w14:textId="77777777" w:rsidTr="0062782E">
        <w:trPr>
          <w:trHeight w:val="255"/>
        </w:trPr>
        <w:tc>
          <w:tcPr>
            <w:tcW w:w="124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DC8BE97"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694465A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454</w:t>
            </w:r>
          </w:p>
        </w:tc>
        <w:tc>
          <w:tcPr>
            <w:tcW w:w="749" w:type="dxa"/>
            <w:tcBorders>
              <w:top w:val="single" w:sz="4" w:space="0" w:color="auto"/>
              <w:left w:val="nil"/>
              <w:bottom w:val="double" w:sz="6" w:space="0" w:color="auto"/>
              <w:right w:val="single" w:sz="4" w:space="0" w:color="auto"/>
            </w:tcBorders>
            <w:shd w:val="clear" w:color="auto" w:fill="auto"/>
            <w:noWrap/>
            <w:vAlign w:val="center"/>
          </w:tcPr>
          <w:p w14:paraId="7FFC4D0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11.03</w:t>
            </w:r>
          </w:p>
        </w:tc>
        <w:tc>
          <w:tcPr>
            <w:tcW w:w="1281" w:type="dxa"/>
            <w:tcBorders>
              <w:top w:val="single" w:sz="4" w:space="0" w:color="auto"/>
              <w:left w:val="nil"/>
              <w:bottom w:val="double" w:sz="6" w:space="0" w:color="auto"/>
              <w:right w:val="single" w:sz="4" w:space="0" w:color="auto"/>
            </w:tcBorders>
            <w:shd w:val="clear" w:color="auto" w:fill="auto"/>
            <w:noWrap/>
            <w:vAlign w:val="center"/>
          </w:tcPr>
          <w:p w14:paraId="0D23B01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28.3</w:t>
            </w:r>
          </w:p>
        </w:tc>
        <w:tc>
          <w:tcPr>
            <w:tcW w:w="722" w:type="dxa"/>
            <w:tcBorders>
              <w:top w:val="single" w:sz="4" w:space="0" w:color="auto"/>
              <w:left w:val="nil"/>
              <w:bottom w:val="double" w:sz="6" w:space="0" w:color="auto"/>
              <w:right w:val="single" w:sz="4" w:space="0" w:color="auto"/>
            </w:tcBorders>
            <w:shd w:val="clear" w:color="auto" w:fill="auto"/>
            <w:noWrap/>
            <w:vAlign w:val="center"/>
          </w:tcPr>
          <w:p w14:paraId="2D27B5E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4.59</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677949C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0.58</w:t>
            </w:r>
          </w:p>
        </w:tc>
        <w:tc>
          <w:tcPr>
            <w:tcW w:w="1563" w:type="dxa"/>
            <w:tcBorders>
              <w:top w:val="single" w:sz="4" w:space="0" w:color="auto"/>
              <w:left w:val="nil"/>
              <w:bottom w:val="double" w:sz="6" w:space="0" w:color="auto"/>
              <w:right w:val="nil"/>
            </w:tcBorders>
            <w:shd w:val="clear" w:color="auto" w:fill="auto"/>
            <w:noWrap/>
            <w:vAlign w:val="center"/>
          </w:tcPr>
          <w:p w14:paraId="3311789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13.8</w:t>
            </w:r>
          </w:p>
        </w:tc>
        <w:tc>
          <w:tcPr>
            <w:tcW w:w="1231" w:type="dxa"/>
            <w:tcBorders>
              <w:top w:val="single" w:sz="4" w:space="0" w:color="auto"/>
              <w:left w:val="single" w:sz="4" w:space="0" w:color="auto"/>
              <w:bottom w:val="double" w:sz="6" w:space="0" w:color="auto"/>
              <w:right w:val="double" w:sz="6" w:space="0" w:color="auto"/>
            </w:tcBorders>
            <w:shd w:val="clear" w:color="auto" w:fill="auto"/>
            <w:noWrap/>
            <w:vAlign w:val="center"/>
          </w:tcPr>
          <w:p w14:paraId="404B41D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F97D75A" w14:textId="7ED06804" w:rsidR="00DE272E"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27</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Spain</w:t>
      </w:r>
      <w:r w:rsidR="00DE272E" w:rsidRPr="000855B2">
        <w:t>, year 2005.</w:t>
      </w:r>
    </w:p>
    <w:tbl>
      <w:tblPr>
        <w:tblW w:w="7968" w:type="dxa"/>
        <w:tblInd w:w="108" w:type="dxa"/>
        <w:tblLook w:val="0000" w:firstRow="0" w:lastRow="0" w:firstColumn="0" w:lastColumn="0" w:noHBand="0" w:noVBand="0"/>
      </w:tblPr>
      <w:tblGrid>
        <w:gridCol w:w="1248"/>
        <w:gridCol w:w="587"/>
        <w:gridCol w:w="749"/>
        <w:gridCol w:w="1281"/>
        <w:gridCol w:w="722"/>
        <w:gridCol w:w="587"/>
        <w:gridCol w:w="1563"/>
        <w:gridCol w:w="1231"/>
      </w:tblGrid>
      <w:tr w:rsidR="00273891" w:rsidRPr="000855B2" w14:paraId="7735978A" w14:textId="77777777" w:rsidTr="0062782E">
        <w:trPr>
          <w:trHeight w:val="255"/>
        </w:trPr>
        <w:tc>
          <w:tcPr>
            <w:tcW w:w="1248"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tcPr>
          <w:p w14:paraId="5F2D83F7"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0" w:type="dxa"/>
            <w:gridSpan w:val="7"/>
            <w:tcBorders>
              <w:top w:val="double" w:sz="6" w:space="0" w:color="auto"/>
              <w:left w:val="nil"/>
              <w:bottom w:val="single" w:sz="4" w:space="0" w:color="auto"/>
              <w:right w:val="double" w:sz="6" w:space="0" w:color="000000"/>
            </w:tcBorders>
            <w:shd w:val="clear" w:color="auto" w:fill="auto"/>
            <w:noWrap/>
            <w:vAlign w:val="center"/>
          </w:tcPr>
          <w:p w14:paraId="702C86A0"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Spain</w:t>
            </w:r>
          </w:p>
        </w:tc>
      </w:tr>
      <w:tr w:rsidR="00273891" w:rsidRPr="000855B2" w14:paraId="70F90DEB" w14:textId="77777777" w:rsidTr="0062782E">
        <w:trPr>
          <w:trHeight w:val="765"/>
        </w:trPr>
        <w:tc>
          <w:tcPr>
            <w:tcW w:w="1248" w:type="dxa"/>
            <w:vMerge/>
            <w:tcBorders>
              <w:top w:val="single" w:sz="4" w:space="0" w:color="auto"/>
              <w:left w:val="double" w:sz="6" w:space="0" w:color="auto"/>
              <w:bottom w:val="single" w:sz="12" w:space="0" w:color="auto"/>
              <w:right w:val="single" w:sz="4" w:space="0" w:color="auto"/>
            </w:tcBorders>
            <w:shd w:val="clear" w:color="auto" w:fill="auto"/>
            <w:vAlign w:val="center"/>
          </w:tcPr>
          <w:p w14:paraId="5E038D3B" w14:textId="77777777" w:rsidR="00273891" w:rsidRPr="00A86EF2" w:rsidRDefault="00273891" w:rsidP="0062782E">
            <w:pPr>
              <w:spacing w:line="240" w:lineRule="auto"/>
              <w:jc w:val="center"/>
              <w:rPr>
                <w:b/>
                <w:bCs/>
                <w:color w:val="000000"/>
                <w:sz w:val="16"/>
                <w:szCs w:val="16"/>
                <w:lang w:val="en-GB" w:eastAsia="el-GR" w:bidi="hi-IN"/>
              </w:rPr>
            </w:pP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494DF34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749" w:type="dxa"/>
            <w:tcBorders>
              <w:top w:val="single" w:sz="4" w:space="0" w:color="auto"/>
              <w:left w:val="nil"/>
              <w:bottom w:val="single" w:sz="12" w:space="0" w:color="auto"/>
              <w:right w:val="single" w:sz="4" w:space="0" w:color="auto"/>
            </w:tcBorders>
            <w:shd w:val="clear" w:color="auto" w:fill="auto"/>
            <w:noWrap/>
            <w:vAlign w:val="center"/>
          </w:tcPr>
          <w:p w14:paraId="4E7A419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81" w:type="dxa"/>
            <w:tcBorders>
              <w:top w:val="single" w:sz="4" w:space="0" w:color="auto"/>
              <w:left w:val="nil"/>
              <w:bottom w:val="single" w:sz="12" w:space="0" w:color="auto"/>
              <w:right w:val="single" w:sz="4" w:space="0" w:color="auto"/>
            </w:tcBorders>
            <w:shd w:val="clear" w:color="auto" w:fill="auto"/>
            <w:noWrap/>
            <w:vAlign w:val="center"/>
          </w:tcPr>
          <w:p w14:paraId="4332CEB7"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22" w:type="dxa"/>
            <w:tcBorders>
              <w:top w:val="single" w:sz="4" w:space="0" w:color="auto"/>
              <w:left w:val="nil"/>
              <w:bottom w:val="single" w:sz="12" w:space="0" w:color="auto"/>
              <w:right w:val="single" w:sz="4" w:space="0" w:color="auto"/>
            </w:tcBorders>
            <w:shd w:val="clear" w:color="auto" w:fill="auto"/>
            <w:noWrap/>
            <w:vAlign w:val="center"/>
          </w:tcPr>
          <w:p w14:paraId="0F31174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11</w:t>
            </w: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6957B020"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63" w:type="dxa"/>
            <w:tcBorders>
              <w:top w:val="single" w:sz="4" w:space="0" w:color="auto"/>
              <w:left w:val="nil"/>
              <w:bottom w:val="single" w:sz="12" w:space="0" w:color="auto"/>
              <w:right w:val="nil"/>
            </w:tcBorders>
            <w:shd w:val="clear" w:color="auto" w:fill="auto"/>
            <w:vAlign w:val="center"/>
          </w:tcPr>
          <w:p w14:paraId="640C9C9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31" w:type="dxa"/>
            <w:tcBorders>
              <w:top w:val="single" w:sz="4" w:space="0" w:color="auto"/>
              <w:left w:val="single" w:sz="4" w:space="0" w:color="auto"/>
              <w:bottom w:val="single" w:sz="12" w:space="0" w:color="auto"/>
              <w:right w:val="double" w:sz="6" w:space="0" w:color="auto"/>
            </w:tcBorders>
            <w:shd w:val="clear" w:color="auto" w:fill="auto"/>
            <w:vAlign w:val="center"/>
          </w:tcPr>
          <w:p w14:paraId="52DFDB9E"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33136C9D"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1D97E231"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66CD21F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89.0</w:t>
            </w:r>
          </w:p>
        </w:tc>
        <w:tc>
          <w:tcPr>
            <w:tcW w:w="749" w:type="dxa"/>
            <w:tcBorders>
              <w:top w:val="single" w:sz="12" w:space="0" w:color="auto"/>
              <w:left w:val="nil"/>
              <w:bottom w:val="single" w:sz="4" w:space="0" w:color="auto"/>
              <w:right w:val="single" w:sz="4" w:space="0" w:color="auto"/>
            </w:tcBorders>
            <w:shd w:val="clear" w:color="auto" w:fill="auto"/>
            <w:noWrap/>
            <w:vAlign w:val="center"/>
          </w:tcPr>
          <w:p w14:paraId="669D6C2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14.98</w:t>
            </w:r>
          </w:p>
        </w:tc>
        <w:tc>
          <w:tcPr>
            <w:tcW w:w="1281" w:type="dxa"/>
            <w:tcBorders>
              <w:top w:val="single" w:sz="12" w:space="0" w:color="auto"/>
              <w:left w:val="nil"/>
              <w:bottom w:val="single" w:sz="4" w:space="0" w:color="auto"/>
              <w:right w:val="single" w:sz="4" w:space="0" w:color="auto"/>
            </w:tcBorders>
            <w:shd w:val="clear" w:color="auto" w:fill="auto"/>
            <w:noWrap/>
            <w:vAlign w:val="center"/>
          </w:tcPr>
          <w:p w14:paraId="404B096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12.70</w:t>
            </w:r>
          </w:p>
        </w:tc>
        <w:tc>
          <w:tcPr>
            <w:tcW w:w="722" w:type="dxa"/>
            <w:tcBorders>
              <w:top w:val="single" w:sz="12" w:space="0" w:color="auto"/>
              <w:left w:val="nil"/>
              <w:bottom w:val="single" w:sz="4" w:space="0" w:color="auto"/>
              <w:right w:val="single" w:sz="4" w:space="0" w:color="auto"/>
            </w:tcBorders>
            <w:shd w:val="clear" w:color="auto" w:fill="auto"/>
            <w:noWrap/>
            <w:vAlign w:val="center"/>
          </w:tcPr>
          <w:p w14:paraId="19B5A51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688A4A6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63" w:type="dxa"/>
            <w:tcBorders>
              <w:top w:val="single" w:sz="12" w:space="0" w:color="auto"/>
              <w:left w:val="nil"/>
              <w:bottom w:val="single" w:sz="4" w:space="0" w:color="auto"/>
              <w:right w:val="nil"/>
            </w:tcBorders>
            <w:shd w:val="clear" w:color="auto" w:fill="auto"/>
            <w:noWrap/>
            <w:vAlign w:val="center"/>
          </w:tcPr>
          <w:p w14:paraId="1C561BD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9.42</w:t>
            </w:r>
          </w:p>
        </w:tc>
        <w:tc>
          <w:tcPr>
            <w:tcW w:w="123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E77556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04BE8C13"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B3A9EFA"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62F18B6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3.94</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677EADA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01DA11A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5E40FE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0.08</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94301C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1.04</w:t>
            </w:r>
          </w:p>
        </w:tc>
        <w:tc>
          <w:tcPr>
            <w:tcW w:w="1563" w:type="dxa"/>
            <w:tcBorders>
              <w:top w:val="single" w:sz="4" w:space="0" w:color="auto"/>
              <w:left w:val="nil"/>
              <w:bottom w:val="single" w:sz="4" w:space="0" w:color="auto"/>
              <w:right w:val="nil"/>
            </w:tcBorders>
            <w:shd w:val="clear" w:color="auto" w:fill="auto"/>
            <w:noWrap/>
            <w:vAlign w:val="center"/>
          </w:tcPr>
          <w:p w14:paraId="5AA7757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8.67</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5518DE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79A096DF"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D10799D"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1C16452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226</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1D6840E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25.5</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438E1C2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19.7</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DDA0BC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7101EF4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63" w:type="dxa"/>
            <w:tcBorders>
              <w:top w:val="single" w:sz="4" w:space="0" w:color="auto"/>
              <w:left w:val="nil"/>
              <w:bottom w:val="single" w:sz="4" w:space="0" w:color="auto"/>
              <w:right w:val="nil"/>
            </w:tcBorders>
            <w:shd w:val="clear" w:color="auto" w:fill="auto"/>
            <w:noWrap/>
            <w:vAlign w:val="center"/>
          </w:tcPr>
          <w:p w14:paraId="7245AD3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7.28</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761408C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7C52B52F"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0C8E339"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5C1BF1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7.16</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04CC0CA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230F1B5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1.44</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598D84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0.09</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3AE2FC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563" w:type="dxa"/>
            <w:tcBorders>
              <w:top w:val="single" w:sz="4" w:space="0" w:color="auto"/>
              <w:left w:val="nil"/>
              <w:bottom w:val="single" w:sz="4" w:space="0" w:color="auto"/>
              <w:right w:val="nil"/>
            </w:tcBorders>
            <w:shd w:val="clear" w:color="auto" w:fill="auto"/>
            <w:noWrap/>
            <w:vAlign w:val="center"/>
          </w:tcPr>
          <w:p w14:paraId="6C6BB52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5.74</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7B11FE3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281AB944"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BFDBC3F"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02B6D3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6.49</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3D09B6E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30.8</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38BA0F7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4F0ECE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0.14</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39BD202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0.79</w:t>
            </w:r>
          </w:p>
        </w:tc>
        <w:tc>
          <w:tcPr>
            <w:tcW w:w="1563" w:type="dxa"/>
            <w:tcBorders>
              <w:top w:val="single" w:sz="4" w:space="0" w:color="auto"/>
              <w:left w:val="nil"/>
              <w:bottom w:val="single" w:sz="4" w:space="0" w:color="auto"/>
              <w:right w:val="nil"/>
            </w:tcBorders>
            <w:shd w:val="clear" w:color="auto" w:fill="auto"/>
            <w:noWrap/>
            <w:vAlign w:val="center"/>
          </w:tcPr>
          <w:p w14:paraId="27864D0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2.50</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6460AD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22DB97BF"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4423368"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1ABADE1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7.82</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0DE80DB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32.1</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1A63507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F12D26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0.29</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401E85D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1563" w:type="dxa"/>
            <w:tcBorders>
              <w:top w:val="single" w:sz="4" w:space="0" w:color="auto"/>
              <w:left w:val="nil"/>
              <w:bottom w:val="single" w:sz="4" w:space="0" w:color="auto"/>
              <w:right w:val="nil"/>
            </w:tcBorders>
            <w:shd w:val="clear" w:color="auto" w:fill="auto"/>
            <w:noWrap/>
            <w:vAlign w:val="center"/>
          </w:tcPr>
          <w:p w14:paraId="6E0193C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3.30</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4D8FDB4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6E20AA36"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D593E45"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43B6CCA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615</w:t>
            </w:r>
          </w:p>
        </w:tc>
        <w:tc>
          <w:tcPr>
            <w:tcW w:w="749" w:type="dxa"/>
            <w:tcBorders>
              <w:top w:val="single" w:sz="4" w:space="0" w:color="auto"/>
              <w:left w:val="nil"/>
              <w:bottom w:val="single" w:sz="4" w:space="0" w:color="auto"/>
              <w:right w:val="single" w:sz="4" w:space="0" w:color="auto"/>
            </w:tcBorders>
            <w:shd w:val="clear" w:color="auto" w:fill="auto"/>
            <w:noWrap/>
            <w:vAlign w:val="center"/>
          </w:tcPr>
          <w:p w14:paraId="56D54E7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3.76</w:t>
            </w: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502F655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243</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54EE8E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3.96</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7F4AF31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4.88</w:t>
            </w:r>
          </w:p>
        </w:tc>
        <w:tc>
          <w:tcPr>
            <w:tcW w:w="1563" w:type="dxa"/>
            <w:tcBorders>
              <w:top w:val="single" w:sz="4" w:space="0" w:color="auto"/>
              <w:left w:val="nil"/>
              <w:bottom w:val="single" w:sz="4" w:space="0" w:color="auto"/>
              <w:right w:val="nil"/>
            </w:tcBorders>
            <w:shd w:val="clear" w:color="auto" w:fill="auto"/>
            <w:noWrap/>
            <w:vAlign w:val="center"/>
          </w:tcPr>
          <w:p w14:paraId="795D74A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134</w:t>
            </w:r>
          </w:p>
        </w:tc>
        <w:tc>
          <w:tcPr>
            <w:tcW w:w="123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15111B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4D496FA4" w14:textId="77777777" w:rsidTr="0062782E">
        <w:trPr>
          <w:trHeight w:val="255"/>
        </w:trPr>
        <w:tc>
          <w:tcPr>
            <w:tcW w:w="124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762EBD92"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7A2B6FD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498</w:t>
            </w:r>
          </w:p>
        </w:tc>
        <w:tc>
          <w:tcPr>
            <w:tcW w:w="749" w:type="dxa"/>
            <w:tcBorders>
              <w:top w:val="single" w:sz="4" w:space="0" w:color="auto"/>
              <w:left w:val="nil"/>
              <w:bottom w:val="double" w:sz="6" w:space="0" w:color="auto"/>
              <w:right w:val="single" w:sz="4" w:space="0" w:color="auto"/>
            </w:tcBorders>
            <w:shd w:val="clear" w:color="auto" w:fill="auto"/>
            <w:noWrap/>
            <w:vAlign w:val="center"/>
          </w:tcPr>
          <w:p w14:paraId="6F6F6BC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9.45</w:t>
            </w:r>
          </w:p>
        </w:tc>
        <w:tc>
          <w:tcPr>
            <w:tcW w:w="1281" w:type="dxa"/>
            <w:tcBorders>
              <w:top w:val="single" w:sz="4" w:space="0" w:color="auto"/>
              <w:left w:val="nil"/>
              <w:bottom w:val="double" w:sz="6" w:space="0" w:color="auto"/>
              <w:right w:val="single" w:sz="4" w:space="0" w:color="auto"/>
            </w:tcBorders>
            <w:shd w:val="clear" w:color="auto" w:fill="auto"/>
            <w:noWrap/>
            <w:vAlign w:val="center"/>
          </w:tcPr>
          <w:p w14:paraId="208723F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78.6</w:t>
            </w:r>
          </w:p>
        </w:tc>
        <w:tc>
          <w:tcPr>
            <w:tcW w:w="722" w:type="dxa"/>
            <w:tcBorders>
              <w:top w:val="single" w:sz="4" w:space="0" w:color="auto"/>
              <w:left w:val="nil"/>
              <w:bottom w:val="double" w:sz="6" w:space="0" w:color="auto"/>
              <w:right w:val="single" w:sz="4" w:space="0" w:color="auto"/>
            </w:tcBorders>
            <w:shd w:val="clear" w:color="auto" w:fill="auto"/>
            <w:noWrap/>
            <w:vAlign w:val="center"/>
          </w:tcPr>
          <w:p w14:paraId="7B7C614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4.44</w:t>
            </w:r>
          </w:p>
        </w:tc>
        <w:tc>
          <w:tcPr>
            <w:tcW w:w="587" w:type="dxa"/>
            <w:tcBorders>
              <w:top w:val="single" w:sz="4" w:space="0" w:color="auto"/>
              <w:left w:val="nil"/>
              <w:bottom w:val="double" w:sz="6" w:space="0" w:color="auto"/>
              <w:right w:val="single" w:sz="4" w:space="0" w:color="auto"/>
            </w:tcBorders>
            <w:shd w:val="clear" w:color="auto" w:fill="auto"/>
            <w:noWrap/>
            <w:vAlign w:val="center"/>
          </w:tcPr>
          <w:p w14:paraId="6DAC956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1.32</w:t>
            </w:r>
          </w:p>
        </w:tc>
        <w:tc>
          <w:tcPr>
            <w:tcW w:w="1563" w:type="dxa"/>
            <w:tcBorders>
              <w:top w:val="single" w:sz="4" w:space="0" w:color="auto"/>
              <w:left w:val="nil"/>
              <w:bottom w:val="double" w:sz="6" w:space="0" w:color="auto"/>
              <w:right w:val="nil"/>
            </w:tcBorders>
            <w:shd w:val="clear" w:color="auto" w:fill="auto"/>
            <w:noWrap/>
            <w:vAlign w:val="center"/>
          </w:tcPr>
          <w:p w14:paraId="10EC0AF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58.6</w:t>
            </w:r>
          </w:p>
        </w:tc>
        <w:tc>
          <w:tcPr>
            <w:tcW w:w="1231" w:type="dxa"/>
            <w:tcBorders>
              <w:top w:val="single" w:sz="4" w:space="0" w:color="auto"/>
              <w:left w:val="single" w:sz="4" w:space="0" w:color="auto"/>
              <w:bottom w:val="double" w:sz="6" w:space="0" w:color="auto"/>
              <w:right w:val="double" w:sz="6" w:space="0" w:color="auto"/>
            </w:tcBorders>
            <w:shd w:val="clear" w:color="auto" w:fill="auto"/>
            <w:noWrap/>
            <w:vAlign w:val="center"/>
          </w:tcPr>
          <w:p w14:paraId="4A6CDC3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154CC6DD" w14:textId="09561F90"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28</w:t>
      </w:r>
      <w:r w:rsidR="00FB454C">
        <w:rPr>
          <w:noProof/>
        </w:rPr>
        <w:fldChar w:fldCharType="end"/>
      </w:r>
      <w:r w:rsidR="001D2587" w:rsidRPr="000855B2">
        <w:t>: Bulk emission factors (g/kg fuel) (for CO</w:t>
      </w:r>
      <w:r w:rsidR="001D2587" w:rsidRPr="000855B2">
        <w:rPr>
          <w:vertAlign w:val="subscript"/>
        </w:rPr>
        <w:t>2</w:t>
      </w:r>
      <w:r w:rsidR="001D2587" w:rsidRPr="000855B2">
        <w:t xml:space="preserve"> kg/kg fuel)</w:t>
      </w:r>
      <w:r w:rsidR="000D26BE" w:rsidRPr="000855B2">
        <w:t xml:space="preserve"> </w:t>
      </w:r>
      <w:r w:rsidR="001D2587" w:rsidRPr="000855B2">
        <w:t>for Sweden,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A86EF2" w14:paraId="6ED48720" w14:textId="77777777" w:rsidTr="0062782E">
        <w:trPr>
          <w:trHeight w:val="255"/>
        </w:trPr>
        <w:tc>
          <w:tcPr>
            <w:tcW w:w="1248"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tcPr>
          <w:p w14:paraId="3D75CF6C" w14:textId="77777777" w:rsidR="00273891" w:rsidRPr="00A86EF2" w:rsidRDefault="00273891" w:rsidP="0062782E">
            <w:pPr>
              <w:spacing w:line="240" w:lineRule="auto"/>
              <w:jc w:val="center"/>
              <w:rPr>
                <w:b/>
                <w:bCs/>
                <w:color w:val="000000"/>
                <w:sz w:val="16"/>
                <w:szCs w:val="16"/>
                <w:lang w:val="en-GB" w:eastAsia="el-GR" w:bidi="hi-IN"/>
              </w:rPr>
            </w:pPr>
            <w:bookmarkStart w:id="348" w:name="_Ref140399804"/>
            <w:bookmarkStart w:id="349" w:name="_Ref241470425"/>
            <w:bookmarkStart w:id="350" w:name="_Ref241470420"/>
            <w:r w:rsidRPr="00A86EF2">
              <w:rPr>
                <w:b/>
                <w:bCs/>
                <w:color w:val="000000"/>
                <w:sz w:val="16"/>
                <w:szCs w:val="16"/>
                <w:lang w:val="en-GB" w:eastAsia="el-GR" w:bidi="hi-IN"/>
              </w:rPr>
              <w:t>Category</w:t>
            </w:r>
          </w:p>
        </w:tc>
        <w:tc>
          <w:tcPr>
            <w:tcW w:w="6721" w:type="dxa"/>
            <w:gridSpan w:val="7"/>
            <w:tcBorders>
              <w:top w:val="double" w:sz="6" w:space="0" w:color="auto"/>
              <w:left w:val="single" w:sz="4" w:space="0" w:color="auto"/>
              <w:bottom w:val="single" w:sz="4" w:space="0" w:color="auto"/>
              <w:right w:val="double" w:sz="6" w:space="0" w:color="000000"/>
            </w:tcBorders>
            <w:shd w:val="clear" w:color="auto" w:fill="auto"/>
            <w:noWrap/>
            <w:vAlign w:val="center"/>
          </w:tcPr>
          <w:p w14:paraId="6BA3327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Sweden</w:t>
            </w:r>
          </w:p>
        </w:tc>
      </w:tr>
      <w:tr w:rsidR="00273891" w:rsidRPr="00A86EF2" w14:paraId="1701EF5D" w14:textId="77777777" w:rsidTr="0062782E">
        <w:trPr>
          <w:trHeight w:val="765"/>
        </w:trPr>
        <w:tc>
          <w:tcPr>
            <w:tcW w:w="1248" w:type="dxa"/>
            <w:vMerge/>
            <w:tcBorders>
              <w:top w:val="single" w:sz="4" w:space="0" w:color="auto"/>
              <w:left w:val="double" w:sz="6" w:space="0" w:color="auto"/>
              <w:bottom w:val="single" w:sz="4" w:space="0" w:color="auto"/>
              <w:right w:val="single" w:sz="4" w:space="0" w:color="auto"/>
            </w:tcBorders>
            <w:shd w:val="clear" w:color="auto" w:fill="auto"/>
            <w:vAlign w:val="center"/>
          </w:tcPr>
          <w:p w14:paraId="6A50CCEF"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2E5D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803A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01CDE"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04146"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24</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4DEFE"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A1B7178"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single" w:sz="4" w:space="0" w:color="auto"/>
              <w:left w:val="single" w:sz="4" w:space="0" w:color="auto"/>
              <w:bottom w:val="single" w:sz="4" w:space="0" w:color="auto"/>
              <w:right w:val="double" w:sz="6" w:space="0" w:color="auto"/>
            </w:tcBorders>
            <w:shd w:val="clear" w:color="auto" w:fill="auto"/>
            <w:vAlign w:val="center"/>
          </w:tcPr>
          <w:p w14:paraId="29DCCF1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A86EF2" w14:paraId="7FA023FB"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4048913C"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9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AF88B7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73.0</w:t>
            </w:r>
          </w:p>
        </w:tc>
        <w:tc>
          <w:tcPr>
            <w:tcW w:w="67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0AC71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8.59</w:t>
            </w:r>
          </w:p>
        </w:tc>
        <w:tc>
          <w:tcPr>
            <w:tcW w:w="1296"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485ABE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8.13</w:t>
            </w:r>
          </w:p>
        </w:tc>
        <w:tc>
          <w:tcPr>
            <w:tcW w:w="73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720AD3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0.85</w:t>
            </w:r>
          </w:p>
        </w:tc>
        <w:tc>
          <w:tcPr>
            <w:tcW w:w="59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BA2BB6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FD1C4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7.88</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5532241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A86EF2" w14:paraId="5741C042"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D913DE8"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0D28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3.57</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8AE4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2A69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0.95</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DF60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0.13</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4381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8CA7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8.90</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511CC1C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59031592"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0799832"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05F1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82</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C3C7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9400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4.8</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B3F3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0.42</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4EA8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7580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5.58</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48C8C38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A86EF2" w14:paraId="5F2BBBA1"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65F6CF6"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3FAE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7.64</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E1C9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C3D4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8886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0.11</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540D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644B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6.99</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0736DF9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26AD3317"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BC9F64B"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A56D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6.83</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152E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32.1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9D7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1.56</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E2D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0.25</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B25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18C9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2.32</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255AC7B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6F617020"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D8DD13F"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13A3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7.79</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287F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7464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1.77</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0F8E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0.35</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A66B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0.90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C41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4.17</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46275E8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A86EF2" w14:paraId="1C5AE301" w14:textId="77777777" w:rsidTr="0062782E">
        <w:trPr>
          <w:trHeight w:val="240"/>
        </w:trPr>
        <w:tc>
          <w:tcPr>
            <w:tcW w:w="124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8175FBC"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0563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587</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72D5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4.11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2CAB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202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7376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3.54</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5465C"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4.04</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8FD0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124</w:t>
            </w:r>
          </w:p>
        </w:tc>
        <w:tc>
          <w:tcPr>
            <w:tcW w:w="1251" w:type="dxa"/>
            <w:tcBorders>
              <w:top w:val="single" w:sz="4" w:space="0" w:color="auto"/>
              <w:left w:val="single" w:sz="4" w:space="0" w:color="auto"/>
              <w:bottom w:val="single" w:sz="4" w:space="0" w:color="auto"/>
              <w:right w:val="double" w:sz="6" w:space="0" w:color="auto"/>
            </w:tcBorders>
            <w:shd w:val="clear" w:color="auto" w:fill="auto"/>
            <w:noWrap/>
            <w:vAlign w:val="center"/>
          </w:tcPr>
          <w:p w14:paraId="308FEBE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A86EF2" w14:paraId="5114D75F" w14:textId="77777777" w:rsidTr="0062782E">
        <w:trPr>
          <w:trHeight w:val="255"/>
        </w:trPr>
        <w:tc>
          <w:tcPr>
            <w:tcW w:w="124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65C35329"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115A35C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399</w:t>
            </w:r>
          </w:p>
        </w:tc>
        <w:tc>
          <w:tcPr>
            <w:tcW w:w="675" w:type="dxa"/>
            <w:tcBorders>
              <w:top w:val="single" w:sz="4" w:space="0" w:color="auto"/>
              <w:left w:val="single" w:sz="4" w:space="0" w:color="auto"/>
              <w:bottom w:val="double" w:sz="6" w:space="0" w:color="auto"/>
              <w:right w:val="single" w:sz="4" w:space="0" w:color="auto"/>
            </w:tcBorders>
            <w:shd w:val="clear" w:color="auto" w:fill="auto"/>
            <w:noWrap/>
            <w:vAlign w:val="center"/>
          </w:tcPr>
          <w:p w14:paraId="4CCD934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9.48</w:t>
            </w:r>
          </w:p>
        </w:tc>
        <w:tc>
          <w:tcPr>
            <w:tcW w:w="1296" w:type="dxa"/>
            <w:tcBorders>
              <w:top w:val="single" w:sz="4" w:space="0" w:color="auto"/>
              <w:left w:val="single" w:sz="4" w:space="0" w:color="auto"/>
              <w:bottom w:val="double" w:sz="6" w:space="0" w:color="auto"/>
              <w:right w:val="single" w:sz="4" w:space="0" w:color="auto"/>
            </w:tcBorders>
            <w:shd w:val="clear" w:color="auto" w:fill="auto"/>
            <w:noWrap/>
            <w:vAlign w:val="center"/>
          </w:tcPr>
          <w:p w14:paraId="05987E1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56.6</w:t>
            </w:r>
          </w:p>
        </w:tc>
        <w:tc>
          <w:tcPr>
            <w:tcW w:w="730" w:type="dxa"/>
            <w:tcBorders>
              <w:top w:val="single" w:sz="4" w:space="0" w:color="auto"/>
              <w:left w:val="single" w:sz="4" w:space="0" w:color="auto"/>
              <w:bottom w:val="double" w:sz="6" w:space="0" w:color="auto"/>
              <w:right w:val="single" w:sz="4" w:space="0" w:color="auto"/>
            </w:tcBorders>
            <w:shd w:val="clear" w:color="auto" w:fill="auto"/>
            <w:noWrap/>
            <w:vAlign w:val="center"/>
          </w:tcPr>
          <w:p w14:paraId="4629E3A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4.36</w:t>
            </w:r>
          </w:p>
        </w:tc>
        <w:tc>
          <w:tcPr>
            <w:tcW w:w="59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500FCA2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1.05</w:t>
            </w:r>
          </w:p>
        </w:tc>
        <w:tc>
          <w:tcPr>
            <w:tcW w:w="158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08CAE20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31.5</w:t>
            </w:r>
          </w:p>
        </w:tc>
        <w:tc>
          <w:tcPr>
            <w:tcW w:w="1251" w:type="dxa"/>
            <w:tcBorders>
              <w:top w:val="single" w:sz="4" w:space="0" w:color="auto"/>
              <w:left w:val="single" w:sz="4" w:space="0" w:color="auto"/>
              <w:bottom w:val="double" w:sz="6" w:space="0" w:color="auto"/>
              <w:right w:val="double" w:sz="6" w:space="0" w:color="auto"/>
            </w:tcBorders>
            <w:shd w:val="clear" w:color="auto" w:fill="auto"/>
            <w:noWrap/>
            <w:vAlign w:val="center"/>
          </w:tcPr>
          <w:p w14:paraId="6A4E18A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27973865" w14:textId="213CCF7A" w:rsidR="00263997" w:rsidRPr="00A86EF2" w:rsidRDefault="00263997" w:rsidP="00A86EF2">
      <w:pPr>
        <w:pStyle w:val="Caption"/>
      </w:pPr>
      <w:r w:rsidRPr="00A86EF2">
        <w:t>Table </w:t>
      </w:r>
      <w:r w:rsidR="00B642C6" w:rsidRPr="00A86EF2">
        <w:t>A1</w:t>
      </w:r>
      <w:r w:rsidR="0071699C" w:rsidRPr="00A86EF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29</w:t>
      </w:r>
      <w:r w:rsidR="00FB454C">
        <w:rPr>
          <w:noProof/>
        </w:rPr>
        <w:fldChar w:fldCharType="end"/>
      </w:r>
      <w:r w:rsidRPr="00A86EF2">
        <w:t>: Bulk emission factors (g/kg fuel) (for CO2 kg/kg fuel) for Switzerland, year 2005</w:t>
      </w:r>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0855B2" w14:paraId="55E2F57E"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6F5B4F3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1CFAA043"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Switzerland</w:t>
            </w:r>
          </w:p>
        </w:tc>
      </w:tr>
      <w:tr w:rsidR="00273891" w:rsidRPr="000855B2" w14:paraId="500C4C97"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7EF0C3BA"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7591B86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725CD8D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6EF735DF"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1CDAABC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31</w:t>
            </w:r>
          </w:p>
        </w:tc>
        <w:tc>
          <w:tcPr>
            <w:tcW w:w="593" w:type="dxa"/>
            <w:tcBorders>
              <w:top w:val="nil"/>
              <w:left w:val="nil"/>
              <w:bottom w:val="single" w:sz="12" w:space="0" w:color="auto"/>
              <w:right w:val="single" w:sz="4" w:space="0" w:color="auto"/>
            </w:tcBorders>
            <w:shd w:val="clear" w:color="auto" w:fill="auto"/>
            <w:noWrap/>
            <w:vAlign w:val="center"/>
          </w:tcPr>
          <w:p w14:paraId="0BFC4C8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690FC395"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1CCF195A"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F62E2E" w:rsidRPr="000855B2" w14:paraId="63B48A80"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02E30DDB"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F62E2E"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5B974B98"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42.4</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563BF98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6.38</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55E0DC2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4.71</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2E6AA6C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0.55</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4C8CD54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single" w:sz="12" w:space="0" w:color="auto"/>
              <w:left w:val="nil"/>
              <w:bottom w:val="single" w:sz="4" w:space="0" w:color="auto"/>
              <w:right w:val="nil"/>
            </w:tcBorders>
            <w:shd w:val="clear" w:color="auto" w:fill="auto"/>
            <w:noWrap/>
            <w:vAlign w:val="center"/>
          </w:tcPr>
          <w:p w14:paraId="51DE7BA7"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7.83</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5F3A895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169E0AA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03248E9"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4423E88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1.81</w:t>
            </w:r>
          </w:p>
        </w:tc>
        <w:tc>
          <w:tcPr>
            <w:tcW w:w="675" w:type="dxa"/>
            <w:tcBorders>
              <w:top w:val="nil"/>
              <w:left w:val="nil"/>
              <w:bottom w:val="single" w:sz="4" w:space="0" w:color="auto"/>
              <w:right w:val="single" w:sz="4" w:space="0" w:color="auto"/>
            </w:tcBorders>
            <w:shd w:val="clear" w:color="auto" w:fill="auto"/>
            <w:noWrap/>
            <w:vAlign w:val="center"/>
          </w:tcPr>
          <w:p w14:paraId="309BC99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96" w:type="dxa"/>
            <w:tcBorders>
              <w:top w:val="nil"/>
              <w:left w:val="nil"/>
              <w:bottom w:val="single" w:sz="4" w:space="0" w:color="auto"/>
              <w:right w:val="single" w:sz="4" w:space="0" w:color="auto"/>
            </w:tcBorders>
            <w:shd w:val="clear" w:color="auto" w:fill="auto"/>
            <w:noWrap/>
            <w:vAlign w:val="center"/>
          </w:tcPr>
          <w:p w14:paraId="6390DA0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0.47</w:t>
            </w:r>
          </w:p>
        </w:tc>
        <w:tc>
          <w:tcPr>
            <w:tcW w:w="730" w:type="dxa"/>
            <w:tcBorders>
              <w:top w:val="nil"/>
              <w:left w:val="nil"/>
              <w:bottom w:val="single" w:sz="4" w:space="0" w:color="auto"/>
              <w:right w:val="single" w:sz="4" w:space="0" w:color="auto"/>
            </w:tcBorders>
            <w:shd w:val="clear" w:color="auto" w:fill="auto"/>
            <w:noWrap/>
            <w:vAlign w:val="center"/>
          </w:tcPr>
          <w:p w14:paraId="47091F4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593" w:type="dxa"/>
            <w:tcBorders>
              <w:top w:val="nil"/>
              <w:left w:val="nil"/>
              <w:bottom w:val="single" w:sz="4" w:space="0" w:color="auto"/>
              <w:right w:val="single" w:sz="4" w:space="0" w:color="auto"/>
            </w:tcBorders>
            <w:shd w:val="clear" w:color="auto" w:fill="auto"/>
            <w:noWrap/>
            <w:vAlign w:val="center"/>
          </w:tcPr>
          <w:p w14:paraId="4401AD60"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0.68</w:t>
            </w:r>
          </w:p>
        </w:tc>
        <w:tc>
          <w:tcPr>
            <w:tcW w:w="1583" w:type="dxa"/>
            <w:tcBorders>
              <w:top w:val="nil"/>
              <w:left w:val="nil"/>
              <w:bottom w:val="single" w:sz="4" w:space="0" w:color="auto"/>
              <w:right w:val="nil"/>
            </w:tcBorders>
            <w:shd w:val="clear" w:color="auto" w:fill="auto"/>
            <w:noWrap/>
            <w:vAlign w:val="center"/>
          </w:tcPr>
          <w:p w14:paraId="0F6519C3"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8.01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49A182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0252C2F0"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480B8B20" w14:textId="77777777" w:rsidR="00F62E2E"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F62E2E"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7DE5180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61.5</w:t>
            </w:r>
          </w:p>
        </w:tc>
        <w:tc>
          <w:tcPr>
            <w:tcW w:w="675" w:type="dxa"/>
            <w:tcBorders>
              <w:top w:val="nil"/>
              <w:left w:val="nil"/>
              <w:bottom w:val="single" w:sz="4" w:space="0" w:color="auto"/>
              <w:right w:val="single" w:sz="4" w:space="0" w:color="auto"/>
            </w:tcBorders>
            <w:shd w:val="clear" w:color="auto" w:fill="auto"/>
            <w:noWrap/>
            <w:vAlign w:val="center"/>
          </w:tcPr>
          <w:p w14:paraId="58D7905F"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5.93</w:t>
            </w:r>
          </w:p>
        </w:tc>
        <w:tc>
          <w:tcPr>
            <w:tcW w:w="1296" w:type="dxa"/>
            <w:tcBorders>
              <w:top w:val="nil"/>
              <w:left w:val="nil"/>
              <w:bottom w:val="single" w:sz="4" w:space="0" w:color="auto"/>
              <w:right w:val="single" w:sz="4" w:space="0" w:color="auto"/>
            </w:tcBorders>
            <w:shd w:val="clear" w:color="auto" w:fill="auto"/>
            <w:noWrap/>
            <w:vAlign w:val="center"/>
          </w:tcPr>
          <w:p w14:paraId="60CA5F75"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3.12</w:t>
            </w:r>
          </w:p>
        </w:tc>
        <w:tc>
          <w:tcPr>
            <w:tcW w:w="730" w:type="dxa"/>
            <w:tcBorders>
              <w:top w:val="nil"/>
              <w:left w:val="nil"/>
              <w:bottom w:val="single" w:sz="4" w:space="0" w:color="auto"/>
              <w:right w:val="single" w:sz="4" w:space="0" w:color="auto"/>
            </w:tcBorders>
            <w:shd w:val="clear" w:color="auto" w:fill="auto"/>
            <w:noWrap/>
            <w:vAlign w:val="center"/>
          </w:tcPr>
          <w:p w14:paraId="4EBCE84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0.17</w:t>
            </w:r>
          </w:p>
        </w:tc>
        <w:tc>
          <w:tcPr>
            <w:tcW w:w="593" w:type="dxa"/>
            <w:tcBorders>
              <w:top w:val="nil"/>
              <w:left w:val="nil"/>
              <w:bottom w:val="single" w:sz="4" w:space="0" w:color="auto"/>
              <w:right w:val="single" w:sz="4" w:space="0" w:color="auto"/>
            </w:tcBorders>
            <w:shd w:val="clear" w:color="auto" w:fill="auto"/>
            <w:noWrap/>
            <w:vAlign w:val="center"/>
          </w:tcPr>
          <w:p w14:paraId="40274D9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3ED8B8B4"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5.29</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1B32AE3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1D2E287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C0D18D3"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5D7E33D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7.33</w:t>
            </w:r>
          </w:p>
        </w:tc>
        <w:tc>
          <w:tcPr>
            <w:tcW w:w="675" w:type="dxa"/>
            <w:tcBorders>
              <w:top w:val="nil"/>
              <w:left w:val="nil"/>
              <w:bottom w:val="single" w:sz="4" w:space="0" w:color="auto"/>
              <w:right w:val="single" w:sz="4" w:space="0" w:color="auto"/>
            </w:tcBorders>
            <w:shd w:val="clear" w:color="auto" w:fill="auto"/>
            <w:noWrap/>
            <w:vAlign w:val="center"/>
          </w:tcPr>
          <w:p w14:paraId="4D9894A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14.6</w:t>
            </w:r>
          </w:p>
        </w:tc>
        <w:tc>
          <w:tcPr>
            <w:tcW w:w="1296" w:type="dxa"/>
            <w:tcBorders>
              <w:top w:val="nil"/>
              <w:left w:val="nil"/>
              <w:bottom w:val="single" w:sz="4" w:space="0" w:color="auto"/>
              <w:right w:val="single" w:sz="4" w:space="0" w:color="auto"/>
            </w:tcBorders>
            <w:shd w:val="clear" w:color="auto" w:fill="auto"/>
            <w:noWrap/>
            <w:vAlign w:val="center"/>
          </w:tcPr>
          <w:p w14:paraId="718ABB2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1.39</w:t>
            </w:r>
          </w:p>
        </w:tc>
        <w:tc>
          <w:tcPr>
            <w:tcW w:w="730" w:type="dxa"/>
            <w:tcBorders>
              <w:top w:val="nil"/>
              <w:left w:val="nil"/>
              <w:bottom w:val="single" w:sz="4" w:space="0" w:color="auto"/>
              <w:right w:val="single" w:sz="4" w:space="0" w:color="auto"/>
            </w:tcBorders>
            <w:shd w:val="clear" w:color="auto" w:fill="auto"/>
            <w:noWrap/>
            <w:vAlign w:val="center"/>
          </w:tcPr>
          <w:p w14:paraId="723BB39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0.05</w:t>
            </w:r>
          </w:p>
        </w:tc>
        <w:tc>
          <w:tcPr>
            <w:tcW w:w="593" w:type="dxa"/>
            <w:tcBorders>
              <w:top w:val="nil"/>
              <w:left w:val="nil"/>
              <w:bottom w:val="single" w:sz="4" w:space="0" w:color="auto"/>
              <w:right w:val="single" w:sz="4" w:space="0" w:color="auto"/>
            </w:tcBorders>
            <w:shd w:val="clear" w:color="auto" w:fill="auto"/>
            <w:noWrap/>
            <w:vAlign w:val="center"/>
          </w:tcPr>
          <w:p w14:paraId="7766A16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1.45</w:t>
            </w:r>
          </w:p>
        </w:tc>
        <w:tc>
          <w:tcPr>
            <w:tcW w:w="1583" w:type="dxa"/>
            <w:tcBorders>
              <w:top w:val="nil"/>
              <w:left w:val="nil"/>
              <w:bottom w:val="single" w:sz="4" w:space="0" w:color="auto"/>
              <w:right w:val="nil"/>
            </w:tcBorders>
            <w:shd w:val="clear" w:color="auto" w:fill="auto"/>
            <w:noWrap/>
            <w:vAlign w:val="center"/>
          </w:tcPr>
          <w:p w14:paraId="374B6ACD"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6.35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34D07B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7803019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ED3120F"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52687F1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6.31</w:t>
            </w:r>
          </w:p>
        </w:tc>
        <w:tc>
          <w:tcPr>
            <w:tcW w:w="675" w:type="dxa"/>
            <w:tcBorders>
              <w:top w:val="nil"/>
              <w:left w:val="nil"/>
              <w:bottom w:val="single" w:sz="4" w:space="0" w:color="auto"/>
              <w:right w:val="single" w:sz="4" w:space="0" w:color="auto"/>
            </w:tcBorders>
            <w:shd w:val="clear" w:color="auto" w:fill="auto"/>
            <w:noWrap/>
            <w:vAlign w:val="center"/>
          </w:tcPr>
          <w:p w14:paraId="0DE0BE06"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31.3</w:t>
            </w:r>
          </w:p>
        </w:tc>
        <w:tc>
          <w:tcPr>
            <w:tcW w:w="1296" w:type="dxa"/>
            <w:tcBorders>
              <w:top w:val="nil"/>
              <w:left w:val="nil"/>
              <w:bottom w:val="single" w:sz="4" w:space="0" w:color="auto"/>
              <w:right w:val="single" w:sz="4" w:space="0" w:color="auto"/>
            </w:tcBorders>
            <w:shd w:val="clear" w:color="auto" w:fill="auto"/>
            <w:noWrap/>
            <w:vAlign w:val="center"/>
          </w:tcPr>
          <w:p w14:paraId="01E69AC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0.76</w:t>
            </w:r>
          </w:p>
        </w:tc>
        <w:tc>
          <w:tcPr>
            <w:tcW w:w="730" w:type="dxa"/>
            <w:tcBorders>
              <w:top w:val="nil"/>
              <w:left w:val="nil"/>
              <w:bottom w:val="single" w:sz="4" w:space="0" w:color="auto"/>
              <w:right w:val="single" w:sz="4" w:space="0" w:color="auto"/>
            </w:tcBorders>
            <w:shd w:val="clear" w:color="auto" w:fill="auto"/>
            <w:noWrap/>
            <w:vAlign w:val="center"/>
          </w:tcPr>
          <w:p w14:paraId="06CCEA1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0.26</w:t>
            </w:r>
          </w:p>
        </w:tc>
        <w:tc>
          <w:tcPr>
            <w:tcW w:w="593" w:type="dxa"/>
            <w:tcBorders>
              <w:top w:val="nil"/>
              <w:left w:val="nil"/>
              <w:bottom w:val="single" w:sz="4" w:space="0" w:color="auto"/>
              <w:right w:val="single" w:sz="4" w:space="0" w:color="auto"/>
            </w:tcBorders>
            <w:shd w:val="clear" w:color="auto" w:fill="auto"/>
            <w:noWrap/>
            <w:vAlign w:val="center"/>
          </w:tcPr>
          <w:p w14:paraId="7E3E0CE3"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0.67</w:t>
            </w:r>
          </w:p>
        </w:tc>
        <w:tc>
          <w:tcPr>
            <w:tcW w:w="1583" w:type="dxa"/>
            <w:tcBorders>
              <w:top w:val="nil"/>
              <w:left w:val="nil"/>
              <w:bottom w:val="single" w:sz="4" w:space="0" w:color="auto"/>
              <w:right w:val="nil"/>
            </w:tcBorders>
            <w:shd w:val="clear" w:color="auto" w:fill="auto"/>
            <w:noWrap/>
            <w:vAlign w:val="center"/>
          </w:tcPr>
          <w:p w14:paraId="2D8153B2"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2.35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574AC4E"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41046AC4"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266165E9"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018F63F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8.61</w:t>
            </w:r>
          </w:p>
        </w:tc>
        <w:tc>
          <w:tcPr>
            <w:tcW w:w="675" w:type="dxa"/>
            <w:tcBorders>
              <w:top w:val="nil"/>
              <w:left w:val="nil"/>
              <w:bottom w:val="single" w:sz="4" w:space="0" w:color="auto"/>
              <w:right w:val="single" w:sz="4" w:space="0" w:color="auto"/>
            </w:tcBorders>
            <w:shd w:val="clear" w:color="auto" w:fill="auto"/>
            <w:noWrap/>
            <w:vAlign w:val="center"/>
          </w:tcPr>
          <w:p w14:paraId="74FA45F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31.2</w:t>
            </w:r>
          </w:p>
        </w:tc>
        <w:tc>
          <w:tcPr>
            <w:tcW w:w="1296" w:type="dxa"/>
            <w:tcBorders>
              <w:top w:val="nil"/>
              <w:left w:val="nil"/>
              <w:bottom w:val="single" w:sz="4" w:space="0" w:color="auto"/>
              <w:right w:val="single" w:sz="4" w:space="0" w:color="auto"/>
            </w:tcBorders>
            <w:shd w:val="clear" w:color="auto" w:fill="auto"/>
            <w:noWrap/>
            <w:vAlign w:val="center"/>
          </w:tcPr>
          <w:p w14:paraId="405B8CD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2.31</w:t>
            </w:r>
          </w:p>
        </w:tc>
        <w:tc>
          <w:tcPr>
            <w:tcW w:w="730" w:type="dxa"/>
            <w:tcBorders>
              <w:top w:val="nil"/>
              <w:left w:val="nil"/>
              <w:bottom w:val="single" w:sz="4" w:space="0" w:color="auto"/>
              <w:right w:val="single" w:sz="4" w:space="0" w:color="auto"/>
            </w:tcBorders>
            <w:shd w:val="clear" w:color="auto" w:fill="auto"/>
            <w:noWrap/>
            <w:vAlign w:val="center"/>
          </w:tcPr>
          <w:p w14:paraId="1336233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0.41</w:t>
            </w:r>
          </w:p>
        </w:tc>
        <w:tc>
          <w:tcPr>
            <w:tcW w:w="593" w:type="dxa"/>
            <w:tcBorders>
              <w:top w:val="nil"/>
              <w:left w:val="nil"/>
              <w:bottom w:val="single" w:sz="4" w:space="0" w:color="auto"/>
              <w:right w:val="single" w:sz="4" w:space="0" w:color="auto"/>
            </w:tcBorders>
            <w:shd w:val="clear" w:color="auto" w:fill="auto"/>
            <w:noWrap/>
            <w:vAlign w:val="center"/>
          </w:tcPr>
          <w:p w14:paraId="1EF0CC8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1.06</w:t>
            </w:r>
          </w:p>
        </w:tc>
        <w:tc>
          <w:tcPr>
            <w:tcW w:w="1583" w:type="dxa"/>
            <w:tcBorders>
              <w:top w:val="nil"/>
              <w:left w:val="nil"/>
              <w:bottom w:val="single" w:sz="4" w:space="0" w:color="auto"/>
              <w:right w:val="nil"/>
            </w:tcBorders>
            <w:shd w:val="clear" w:color="auto" w:fill="auto"/>
            <w:noWrap/>
            <w:vAlign w:val="center"/>
          </w:tcPr>
          <w:p w14:paraId="16E3BDC0"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3.57</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9F32CA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F62E2E" w:rsidRPr="000855B2" w14:paraId="7C2AB67A"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6180BD37"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22E7C2E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387</w:t>
            </w:r>
          </w:p>
        </w:tc>
        <w:tc>
          <w:tcPr>
            <w:tcW w:w="675" w:type="dxa"/>
            <w:tcBorders>
              <w:top w:val="nil"/>
              <w:left w:val="nil"/>
              <w:bottom w:val="single" w:sz="4" w:space="0" w:color="auto"/>
              <w:right w:val="single" w:sz="4" w:space="0" w:color="auto"/>
            </w:tcBorders>
            <w:shd w:val="clear" w:color="auto" w:fill="auto"/>
            <w:noWrap/>
            <w:vAlign w:val="center"/>
          </w:tcPr>
          <w:p w14:paraId="302D865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4.90</w:t>
            </w:r>
          </w:p>
        </w:tc>
        <w:tc>
          <w:tcPr>
            <w:tcW w:w="1296" w:type="dxa"/>
            <w:tcBorders>
              <w:top w:val="nil"/>
              <w:left w:val="nil"/>
              <w:bottom w:val="single" w:sz="4" w:space="0" w:color="auto"/>
              <w:right w:val="single" w:sz="4" w:space="0" w:color="auto"/>
            </w:tcBorders>
            <w:shd w:val="clear" w:color="auto" w:fill="auto"/>
            <w:noWrap/>
            <w:vAlign w:val="center"/>
          </w:tcPr>
          <w:p w14:paraId="5D8790B2"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351</w:t>
            </w:r>
          </w:p>
        </w:tc>
        <w:tc>
          <w:tcPr>
            <w:tcW w:w="730" w:type="dxa"/>
            <w:tcBorders>
              <w:top w:val="nil"/>
              <w:left w:val="nil"/>
              <w:bottom w:val="single" w:sz="4" w:space="0" w:color="auto"/>
              <w:right w:val="single" w:sz="4" w:space="0" w:color="auto"/>
            </w:tcBorders>
            <w:shd w:val="clear" w:color="auto" w:fill="auto"/>
            <w:noWrap/>
            <w:vAlign w:val="center"/>
          </w:tcPr>
          <w:p w14:paraId="34C6D561"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6.41</w:t>
            </w:r>
          </w:p>
        </w:tc>
        <w:tc>
          <w:tcPr>
            <w:tcW w:w="593" w:type="dxa"/>
            <w:tcBorders>
              <w:top w:val="nil"/>
              <w:left w:val="nil"/>
              <w:bottom w:val="single" w:sz="4" w:space="0" w:color="auto"/>
              <w:right w:val="single" w:sz="4" w:space="0" w:color="auto"/>
            </w:tcBorders>
            <w:shd w:val="clear" w:color="auto" w:fill="auto"/>
            <w:noWrap/>
            <w:vAlign w:val="center"/>
          </w:tcPr>
          <w:p w14:paraId="4AF4C67A"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6.17</w:t>
            </w:r>
          </w:p>
        </w:tc>
        <w:tc>
          <w:tcPr>
            <w:tcW w:w="1583" w:type="dxa"/>
            <w:tcBorders>
              <w:top w:val="nil"/>
              <w:left w:val="nil"/>
              <w:bottom w:val="single" w:sz="4" w:space="0" w:color="auto"/>
              <w:right w:val="nil"/>
            </w:tcBorders>
            <w:shd w:val="clear" w:color="auto" w:fill="auto"/>
            <w:noWrap/>
            <w:vAlign w:val="center"/>
          </w:tcPr>
          <w:p w14:paraId="2B6F00CD"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125</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5C7E811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F62E2E" w:rsidRPr="000855B2" w14:paraId="13DCF32A"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0DA75AD6" w14:textId="77777777" w:rsidR="00F62E2E" w:rsidRPr="00A86EF2" w:rsidRDefault="00F62E2E"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68548899"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532</w:t>
            </w:r>
          </w:p>
        </w:tc>
        <w:tc>
          <w:tcPr>
            <w:tcW w:w="675" w:type="dxa"/>
            <w:tcBorders>
              <w:top w:val="nil"/>
              <w:left w:val="nil"/>
              <w:bottom w:val="double" w:sz="6" w:space="0" w:color="auto"/>
              <w:right w:val="single" w:sz="4" w:space="0" w:color="auto"/>
            </w:tcBorders>
            <w:shd w:val="clear" w:color="auto" w:fill="auto"/>
            <w:noWrap/>
            <w:vAlign w:val="center"/>
          </w:tcPr>
          <w:p w14:paraId="0E095304"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9.63</w:t>
            </w:r>
          </w:p>
        </w:tc>
        <w:tc>
          <w:tcPr>
            <w:tcW w:w="1296" w:type="dxa"/>
            <w:tcBorders>
              <w:top w:val="nil"/>
              <w:left w:val="nil"/>
              <w:bottom w:val="double" w:sz="6" w:space="0" w:color="auto"/>
              <w:right w:val="single" w:sz="4" w:space="0" w:color="auto"/>
            </w:tcBorders>
            <w:shd w:val="clear" w:color="auto" w:fill="auto"/>
            <w:noWrap/>
            <w:vAlign w:val="center"/>
          </w:tcPr>
          <w:p w14:paraId="16C2767B"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66.7</w:t>
            </w:r>
          </w:p>
        </w:tc>
        <w:tc>
          <w:tcPr>
            <w:tcW w:w="730" w:type="dxa"/>
            <w:tcBorders>
              <w:top w:val="nil"/>
              <w:left w:val="nil"/>
              <w:bottom w:val="double" w:sz="6" w:space="0" w:color="auto"/>
              <w:right w:val="single" w:sz="4" w:space="0" w:color="auto"/>
            </w:tcBorders>
            <w:shd w:val="clear" w:color="auto" w:fill="auto"/>
            <w:noWrap/>
            <w:vAlign w:val="center"/>
          </w:tcPr>
          <w:p w14:paraId="3D47FEBC"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4.65</w:t>
            </w:r>
          </w:p>
        </w:tc>
        <w:tc>
          <w:tcPr>
            <w:tcW w:w="593" w:type="dxa"/>
            <w:tcBorders>
              <w:top w:val="nil"/>
              <w:left w:val="nil"/>
              <w:bottom w:val="double" w:sz="6" w:space="0" w:color="auto"/>
              <w:right w:val="single" w:sz="4" w:space="0" w:color="auto"/>
            </w:tcBorders>
            <w:shd w:val="clear" w:color="auto" w:fill="auto"/>
            <w:noWrap/>
            <w:vAlign w:val="center"/>
          </w:tcPr>
          <w:p w14:paraId="0E045907"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1.50</w:t>
            </w:r>
          </w:p>
        </w:tc>
        <w:tc>
          <w:tcPr>
            <w:tcW w:w="1583" w:type="dxa"/>
            <w:tcBorders>
              <w:top w:val="nil"/>
              <w:left w:val="nil"/>
              <w:bottom w:val="double" w:sz="6" w:space="0" w:color="auto"/>
              <w:right w:val="nil"/>
            </w:tcBorders>
            <w:shd w:val="clear" w:color="auto" w:fill="auto"/>
            <w:noWrap/>
            <w:vAlign w:val="center"/>
          </w:tcPr>
          <w:p w14:paraId="57D81624" w14:textId="77777777" w:rsidR="00F62E2E" w:rsidRPr="00A86EF2" w:rsidRDefault="00F62E2E" w:rsidP="0062782E">
            <w:pPr>
              <w:spacing w:line="240" w:lineRule="auto"/>
              <w:jc w:val="center"/>
              <w:rPr>
                <w:color w:val="000000"/>
                <w:sz w:val="16"/>
                <w:szCs w:val="16"/>
                <w:lang w:val="en-GB" w:eastAsia="el-GR" w:bidi="hi-IN"/>
              </w:rPr>
            </w:pPr>
            <w:r w:rsidRPr="00A86EF2">
              <w:rPr>
                <w:sz w:val="16"/>
                <w:szCs w:val="16"/>
                <w:lang w:val="en-GB"/>
              </w:rPr>
              <w:t>26.2</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17D6508D" w14:textId="77777777" w:rsidR="00F62E2E" w:rsidRPr="00A86EF2" w:rsidRDefault="00F62E2E"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1E693FBE" w14:textId="130E1D47" w:rsidR="001D2587" w:rsidRPr="000855B2" w:rsidRDefault="00095EA7" w:rsidP="00A86EF2">
      <w:pPr>
        <w:pStyle w:val="Caption"/>
      </w:pPr>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30</w:t>
      </w:r>
      <w:r w:rsidR="00FB454C">
        <w:rPr>
          <w:noProof/>
        </w:rPr>
        <w:fldChar w:fldCharType="end"/>
      </w:r>
      <w:bookmarkEnd w:id="348"/>
      <w:bookmarkEnd w:id="349"/>
      <w:r w:rsidR="001D2587" w:rsidRPr="000855B2">
        <w:t>: Bulk emission factors (g/kg fuel) (for CO</w:t>
      </w:r>
      <w:r w:rsidR="001D2587" w:rsidRPr="000855B2">
        <w:rPr>
          <w:vertAlign w:val="subscript"/>
        </w:rPr>
        <w:t>2</w:t>
      </w:r>
      <w:r w:rsidR="001D2587" w:rsidRPr="000855B2">
        <w:t xml:space="preserve"> kg/kg fuel)</w:t>
      </w:r>
      <w:r w:rsidR="008F41BA" w:rsidRPr="000855B2">
        <w:t xml:space="preserve"> </w:t>
      </w:r>
      <w:r w:rsidR="001D2587" w:rsidRPr="000855B2">
        <w:t>for UK, year 2005.</w:t>
      </w:r>
      <w:bookmarkEnd w:id="350"/>
    </w:p>
    <w:tbl>
      <w:tblPr>
        <w:tblW w:w="7969" w:type="dxa"/>
        <w:tblInd w:w="108" w:type="dxa"/>
        <w:tblLook w:val="0000" w:firstRow="0" w:lastRow="0" w:firstColumn="0" w:lastColumn="0" w:noHBand="0" w:noVBand="0"/>
      </w:tblPr>
      <w:tblGrid>
        <w:gridCol w:w="1248"/>
        <w:gridCol w:w="593"/>
        <w:gridCol w:w="675"/>
        <w:gridCol w:w="1296"/>
        <w:gridCol w:w="730"/>
        <w:gridCol w:w="593"/>
        <w:gridCol w:w="1583"/>
        <w:gridCol w:w="1251"/>
      </w:tblGrid>
      <w:tr w:rsidR="00273891" w:rsidRPr="000855B2" w14:paraId="6ED1680C" w14:textId="77777777" w:rsidTr="0062782E">
        <w:trPr>
          <w:trHeight w:val="255"/>
        </w:trPr>
        <w:tc>
          <w:tcPr>
            <w:tcW w:w="1248"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14:paraId="46BF1951" w14:textId="77777777" w:rsidR="00273891" w:rsidRPr="00A86EF2" w:rsidRDefault="00273891" w:rsidP="0062782E">
            <w:pPr>
              <w:spacing w:line="240" w:lineRule="auto"/>
              <w:jc w:val="center"/>
              <w:rPr>
                <w:b/>
                <w:bCs/>
                <w:color w:val="000000"/>
                <w:sz w:val="16"/>
                <w:szCs w:val="16"/>
                <w:lang w:val="en-GB" w:eastAsia="el-GR" w:bidi="hi-IN"/>
              </w:rPr>
            </w:pPr>
            <w:bookmarkStart w:id="351" w:name="_Ref197484982"/>
            <w:r w:rsidRPr="00A86EF2">
              <w:rPr>
                <w:b/>
                <w:bCs/>
                <w:color w:val="000000"/>
                <w:sz w:val="16"/>
                <w:szCs w:val="16"/>
                <w:lang w:val="en-GB" w:eastAsia="el-GR" w:bidi="hi-IN"/>
              </w:rPr>
              <w:t>Category</w:t>
            </w:r>
          </w:p>
        </w:tc>
        <w:tc>
          <w:tcPr>
            <w:tcW w:w="6721" w:type="dxa"/>
            <w:gridSpan w:val="7"/>
            <w:tcBorders>
              <w:top w:val="double" w:sz="6" w:space="0" w:color="auto"/>
              <w:left w:val="nil"/>
              <w:bottom w:val="single" w:sz="4" w:space="0" w:color="auto"/>
              <w:right w:val="double" w:sz="6" w:space="0" w:color="000000"/>
            </w:tcBorders>
            <w:shd w:val="clear" w:color="auto" w:fill="auto"/>
            <w:noWrap/>
            <w:vAlign w:val="center"/>
          </w:tcPr>
          <w:p w14:paraId="2C3B023B"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UK</w:t>
            </w:r>
          </w:p>
        </w:tc>
      </w:tr>
      <w:tr w:rsidR="00273891" w:rsidRPr="000855B2" w14:paraId="08CC5A7E" w14:textId="77777777" w:rsidTr="0062782E">
        <w:trPr>
          <w:trHeight w:val="765"/>
        </w:trPr>
        <w:tc>
          <w:tcPr>
            <w:tcW w:w="1248" w:type="dxa"/>
            <w:vMerge/>
            <w:tcBorders>
              <w:top w:val="double" w:sz="6" w:space="0" w:color="auto"/>
              <w:left w:val="double" w:sz="6" w:space="0" w:color="auto"/>
              <w:bottom w:val="single" w:sz="12" w:space="0" w:color="auto"/>
              <w:right w:val="single" w:sz="4" w:space="0" w:color="auto"/>
            </w:tcBorders>
            <w:shd w:val="clear" w:color="auto" w:fill="auto"/>
            <w:vAlign w:val="center"/>
          </w:tcPr>
          <w:p w14:paraId="729193A9" w14:textId="77777777" w:rsidR="00273891" w:rsidRPr="00A86EF2" w:rsidRDefault="00273891" w:rsidP="0062782E">
            <w:pPr>
              <w:spacing w:line="240" w:lineRule="auto"/>
              <w:jc w:val="center"/>
              <w:rPr>
                <w:b/>
                <w:bCs/>
                <w:color w:val="000000"/>
                <w:sz w:val="16"/>
                <w:szCs w:val="16"/>
                <w:lang w:val="en-GB" w:eastAsia="el-GR" w:bidi="hi-IN"/>
              </w:rPr>
            </w:pPr>
          </w:p>
        </w:tc>
        <w:tc>
          <w:tcPr>
            <w:tcW w:w="593" w:type="dxa"/>
            <w:tcBorders>
              <w:top w:val="nil"/>
              <w:left w:val="nil"/>
              <w:bottom w:val="single" w:sz="12" w:space="0" w:color="auto"/>
              <w:right w:val="single" w:sz="4" w:space="0" w:color="auto"/>
            </w:tcBorders>
            <w:shd w:val="clear" w:color="auto" w:fill="auto"/>
            <w:noWrap/>
            <w:vAlign w:val="center"/>
          </w:tcPr>
          <w:p w14:paraId="55DAAB9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p>
        </w:tc>
        <w:tc>
          <w:tcPr>
            <w:tcW w:w="675" w:type="dxa"/>
            <w:tcBorders>
              <w:top w:val="nil"/>
              <w:left w:val="nil"/>
              <w:bottom w:val="single" w:sz="12" w:space="0" w:color="auto"/>
              <w:right w:val="single" w:sz="4" w:space="0" w:color="auto"/>
            </w:tcBorders>
            <w:shd w:val="clear" w:color="auto" w:fill="auto"/>
            <w:noWrap/>
            <w:vAlign w:val="center"/>
          </w:tcPr>
          <w:p w14:paraId="40F66B32"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NOx</w:t>
            </w:r>
          </w:p>
        </w:tc>
        <w:tc>
          <w:tcPr>
            <w:tcW w:w="1296" w:type="dxa"/>
            <w:tcBorders>
              <w:top w:val="nil"/>
              <w:left w:val="nil"/>
              <w:bottom w:val="single" w:sz="12" w:space="0" w:color="auto"/>
              <w:right w:val="single" w:sz="4" w:space="0" w:color="auto"/>
            </w:tcBorders>
            <w:shd w:val="clear" w:color="auto" w:fill="auto"/>
            <w:noWrap/>
            <w:vAlign w:val="center"/>
          </w:tcPr>
          <w:p w14:paraId="487B29BE"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NMVOC</w:t>
            </w:r>
          </w:p>
        </w:tc>
        <w:tc>
          <w:tcPr>
            <w:tcW w:w="730" w:type="dxa"/>
            <w:tcBorders>
              <w:top w:val="nil"/>
              <w:left w:val="nil"/>
              <w:bottom w:val="single" w:sz="12" w:space="0" w:color="auto"/>
              <w:right w:val="single" w:sz="4" w:space="0" w:color="auto"/>
            </w:tcBorders>
            <w:shd w:val="clear" w:color="auto" w:fill="auto"/>
            <w:noWrap/>
            <w:vAlign w:val="center"/>
          </w:tcPr>
          <w:p w14:paraId="37FD29ED"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CH</w:t>
            </w:r>
            <w:r w:rsidRPr="00A86EF2">
              <w:rPr>
                <w:b/>
                <w:bCs/>
                <w:color w:val="000000"/>
                <w:sz w:val="16"/>
                <w:szCs w:val="16"/>
                <w:vertAlign w:val="subscript"/>
                <w:lang w:val="en-GB" w:eastAsia="el-GR" w:bidi="hi-IN"/>
              </w:rPr>
              <w:t>27</w:t>
            </w:r>
          </w:p>
        </w:tc>
        <w:tc>
          <w:tcPr>
            <w:tcW w:w="593" w:type="dxa"/>
            <w:tcBorders>
              <w:top w:val="nil"/>
              <w:left w:val="nil"/>
              <w:bottom w:val="single" w:sz="12" w:space="0" w:color="auto"/>
              <w:right w:val="single" w:sz="4" w:space="0" w:color="auto"/>
            </w:tcBorders>
            <w:shd w:val="clear" w:color="auto" w:fill="auto"/>
            <w:noWrap/>
            <w:vAlign w:val="center"/>
          </w:tcPr>
          <w:p w14:paraId="063E430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PM</w:t>
            </w:r>
          </w:p>
        </w:tc>
        <w:tc>
          <w:tcPr>
            <w:tcW w:w="1583" w:type="dxa"/>
            <w:tcBorders>
              <w:top w:val="nil"/>
              <w:left w:val="nil"/>
              <w:bottom w:val="single" w:sz="12" w:space="0" w:color="auto"/>
              <w:right w:val="nil"/>
            </w:tcBorders>
            <w:shd w:val="clear" w:color="auto" w:fill="auto"/>
            <w:vAlign w:val="center"/>
          </w:tcPr>
          <w:p w14:paraId="1D9DA2BC"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t xml:space="preserve"> from lubricants</w:t>
            </w:r>
            <w:r w:rsidRPr="00A86EF2">
              <w:rPr>
                <w:b/>
                <w:bCs/>
                <w:color w:val="000000"/>
                <w:sz w:val="16"/>
                <w:szCs w:val="16"/>
                <w:lang w:val="en-GB" w:eastAsia="el-GR" w:bidi="hi-IN"/>
              </w:rPr>
              <w:br/>
              <w:t>g/kg fuel</w:t>
            </w:r>
          </w:p>
        </w:tc>
        <w:tc>
          <w:tcPr>
            <w:tcW w:w="1251" w:type="dxa"/>
            <w:tcBorders>
              <w:top w:val="nil"/>
              <w:left w:val="single" w:sz="4" w:space="0" w:color="auto"/>
              <w:bottom w:val="single" w:sz="12" w:space="0" w:color="auto"/>
              <w:right w:val="double" w:sz="6" w:space="0" w:color="auto"/>
            </w:tcBorders>
            <w:shd w:val="clear" w:color="auto" w:fill="auto"/>
            <w:vAlign w:val="center"/>
          </w:tcPr>
          <w:p w14:paraId="4378B534" w14:textId="77777777" w:rsidR="00273891" w:rsidRPr="00A86EF2" w:rsidRDefault="00273891" w:rsidP="0062782E">
            <w:pPr>
              <w:spacing w:line="240" w:lineRule="auto"/>
              <w:jc w:val="center"/>
              <w:rPr>
                <w:b/>
                <w:bCs/>
                <w:color w:val="000000"/>
                <w:sz w:val="16"/>
                <w:szCs w:val="16"/>
                <w:lang w:val="en-GB" w:eastAsia="el-GR" w:bidi="hi-IN"/>
              </w:rPr>
            </w:pPr>
            <w:r w:rsidRPr="00A86EF2">
              <w:rPr>
                <w:b/>
                <w:bCs/>
                <w:color w:val="000000"/>
                <w:sz w:val="16"/>
                <w:szCs w:val="16"/>
                <w:lang w:val="en-GB" w:eastAsia="el-GR" w:bidi="hi-IN"/>
              </w:rPr>
              <w:t>CO</w:t>
            </w:r>
            <w:r w:rsidRPr="00A86EF2">
              <w:rPr>
                <w:b/>
                <w:bCs/>
                <w:color w:val="000000"/>
                <w:sz w:val="16"/>
                <w:szCs w:val="16"/>
                <w:vertAlign w:val="subscript"/>
                <w:lang w:val="en-GB" w:eastAsia="el-GR" w:bidi="hi-IN"/>
              </w:rPr>
              <w:t>2</w:t>
            </w:r>
            <w:r w:rsidRPr="00A86EF2">
              <w:rPr>
                <w:b/>
                <w:bCs/>
                <w:color w:val="000000"/>
                <w:sz w:val="16"/>
                <w:szCs w:val="16"/>
                <w:lang w:val="en-GB" w:eastAsia="el-GR" w:bidi="hi-IN"/>
              </w:rPr>
              <w:br/>
              <w:t>kg/kg fuel</w:t>
            </w:r>
          </w:p>
        </w:tc>
      </w:tr>
      <w:tr w:rsidR="00273891" w:rsidRPr="000855B2" w14:paraId="21D239C0" w14:textId="77777777" w:rsidTr="0062782E">
        <w:trPr>
          <w:trHeight w:val="240"/>
        </w:trPr>
        <w:tc>
          <w:tcPr>
            <w:tcW w:w="1248" w:type="dxa"/>
            <w:tcBorders>
              <w:top w:val="single" w:sz="12" w:space="0" w:color="auto"/>
              <w:left w:val="double" w:sz="6" w:space="0" w:color="auto"/>
              <w:bottom w:val="single" w:sz="4" w:space="0" w:color="auto"/>
              <w:right w:val="single" w:sz="4" w:space="0" w:color="auto"/>
            </w:tcBorders>
            <w:shd w:val="clear" w:color="auto" w:fill="auto"/>
            <w:noWrap/>
            <w:vAlign w:val="center"/>
          </w:tcPr>
          <w:p w14:paraId="22B85C02"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PC</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15AE701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72.1</w:t>
            </w:r>
          </w:p>
        </w:tc>
        <w:tc>
          <w:tcPr>
            <w:tcW w:w="675" w:type="dxa"/>
            <w:tcBorders>
              <w:top w:val="single" w:sz="12" w:space="0" w:color="auto"/>
              <w:left w:val="nil"/>
              <w:bottom w:val="single" w:sz="4" w:space="0" w:color="auto"/>
              <w:right w:val="single" w:sz="4" w:space="0" w:color="auto"/>
            </w:tcBorders>
            <w:shd w:val="clear" w:color="auto" w:fill="auto"/>
            <w:noWrap/>
            <w:vAlign w:val="center"/>
          </w:tcPr>
          <w:p w14:paraId="600F51D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4.48</w:t>
            </w:r>
          </w:p>
        </w:tc>
        <w:tc>
          <w:tcPr>
            <w:tcW w:w="1296" w:type="dxa"/>
            <w:tcBorders>
              <w:top w:val="single" w:sz="12" w:space="0" w:color="auto"/>
              <w:left w:val="nil"/>
              <w:bottom w:val="single" w:sz="4" w:space="0" w:color="auto"/>
              <w:right w:val="single" w:sz="4" w:space="0" w:color="auto"/>
            </w:tcBorders>
            <w:shd w:val="clear" w:color="auto" w:fill="auto"/>
            <w:noWrap/>
            <w:vAlign w:val="center"/>
          </w:tcPr>
          <w:p w14:paraId="46C3680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5.55</w:t>
            </w:r>
          </w:p>
        </w:tc>
        <w:tc>
          <w:tcPr>
            <w:tcW w:w="730" w:type="dxa"/>
            <w:tcBorders>
              <w:top w:val="single" w:sz="12" w:space="0" w:color="auto"/>
              <w:left w:val="nil"/>
              <w:bottom w:val="single" w:sz="4" w:space="0" w:color="auto"/>
              <w:right w:val="single" w:sz="4" w:space="0" w:color="auto"/>
            </w:tcBorders>
            <w:shd w:val="clear" w:color="auto" w:fill="auto"/>
            <w:noWrap/>
            <w:vAlign w:val="center"/>
          </w:tcPr>
          <w:p w14:paraId="517A432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0.61</w:t>
            </w:r>
          </w:p>
        </w:tc>
        <w:tc>
          <w:tcPr>
            <w:tcW w:w="593" w:type="dxa"/>
            <w:tcBorders>
              <w:top w:val="single" w:sz="12" w:space="0" w:color="auto"/>
              <w:left w:val="nil"/>
              <w:bottom w:val="single" w:sz="4" w:space="0" w:color="auto"/>
              <w:right w:val="single" w:sz="4" w:space="0" w:color="auto"/>
            </w:tcBorders>
            <w:shd w:val="clear" w:color="auto" w:fill="auto"/>
            <w:noWrap/>
            <w:vAlign w:val="center"/>
          </w:tcPr>
          <w:p w14:paraId="5A6F505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0.03</w:t>
            </w:r>
          </w:p>
        </w:tc>
        <w:tc>
          <w:tcPr>
            <w:tcW w:w="1583" w:type="dxa"/>
            <w:tcBorders>
              <w:top w:val="single" w:sz="12" w:space="0" w:color="auto"/>
              <w:left w:val="nil"/>
              <w:bottom w:val="single" w:sz="4" w:space="0" w:color="auto"/>
              <w:right w:val="nil"/>
            </w:tcBorders>
            <w:shd w:val="clear" w:color="auto" w:fill="auto"/>
            <w:noWrap/>
            <w:vAlign w:val="center"/>
          </w:tcPr>
          <w:p w14:paraId="7B69E84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8.90</w:t>
            </w:r>
          </w:p>
        </w:tc>
        <w:tc>
          <w:tcPr>
            <w:tcW w:w="1251" w:type="dxa"/>
            <w:tcBorders>
              <w:top w:val="single" w:sz="12" w:space="0" w:color="auto"/>
              <w:left w:val="single" w:sz="4" w:space="0" w:color="auto"/>
              <w:bottom w:val="single" w:sz="4" w:space="0" w:color="auto"/>
              <w:right w:val="double" w:sz="6" w:space="0" w:color="auto"/>
            </w:tcBorders>
            <w:shd w:val="clear" w:color="auto" w:fill="auto"/>
            <w:noWrap/>
            <w:vAlign w:val="center"/>
          </w:tcPr>
          <w:p w14:paraId="2900E15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6C9C16D7"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8FE3E7D"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PC</w:t>
            </w:r>
          </w:p>
        </w:tc>
        <w:tc>
          <w:tcPr>
            <w:tcW w:w="593" w:type="dxa"/>
            <w:tcBorders>
              <w:top w:val="nil"/>
              <w:left w:val="nil"/>
              <w:bottom w:val="single" w:sz="4" w:space="0" w:color="auto"/>
              <w:right w:val="single" w:sz="4" w:space="0" w:color="auto"/>
            </w:tcBorders>
            <w:shd w:val="clear" w:color="auto" w:fill="auto"/>
            <w:noWrap/>
            <w:vAlign w:val="center"/>
          </w:tcPr>
          <w:p w14:paraId="6CAFFCA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2.05</w:t>
            </w:r>
          </w:p>
        </w:tc>
        <w:tc>
          <w:tcPr>
            <w:tcW w:w="675" w:type="dxa"/>
            <w:tcBorders>
              <w:top w:val="nil"/>
              <w:left w:val="nil"/>
              <w:bottom w:val="single" w:sz="4" w:space="0" w:color="auto"/>
              <w:right w:val="single" w:sz="4" w:space="0" w:color="auto"/>
            </w:tcBorders>
            <w:shd w:val="clear" w:color="auto" w:fill="auto"/>
            <w:noWrap/>
            <w:vAlign w:val="center"/>
          </w:tcPr>
          <w:p w14:paraId="367D6CB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13.1</w:t>
            </w:r>
          </w:p>
        </w:tc>
        <w:tc>
          <w:tcPr>
            <w:tcW w:w="1296" w:type="dxa"/>
            <w:tcBorders>
              <w:top w:val="nil"/>
              <w:left w:val="nil"/>
              <w:bottom w:val="single" w:sz="4" w:space="0" w:color="auto"/>
              <w:right w:val="single" w:sz="4" w:space="0" w:color="auto"/>
            </w:tcBorders>
            <w:shd w:val="clear" w:color="auto" w:fill="auto"/>
            <w:noWrap/>
            <w:vAlign w:val="center"/>
          </w:tcPr>
          <w:p w14:paraId="04BF6EE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0.41</w:t>
            </w:r>
          </w:p>
        </w:tc>
        <w:tc>
          <w:tcPr>
            <w:tcW w:w="730" w:type="dxa"/>
            <w:tcBorders>
              <w:top w:val="nil"/>
              <w:left w:val="nil"/>
              <w:bottom w:val="single" w:sz="4" w:space="0" w:color="auto"/>
              <w:right w:val="single" w:sz="4" w:space="0" w:color="auto"/>
            </w:tcBorders>
            <w:shd w:val="clear" w:color="auto" w:fill="auto"/>
            <w:noWrap/>
            <w:vAlign w:val="center"/>
          </w:tcPr>
          <w:p w14:paraId="3F0DB0D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0B46E32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0.89</w:t>
            </w:r>
          </w:p>
        </w:tc>
        <w:tc>
          <w:tcPr>
            <w:tcW w:w="1583" w:type="dxa"/>
            <w:tcBorders>
              <w:top w:val="nil"/>
              <w:left w:val="nil"/>
              <w:bottom w:val="single" w:sz="4" w:space="0" w:color="auto"/>
              <w:right w:val="nil"/>
            </w:tcBorders>
            <w:shd w:val="clear" w:color="auto" w:fill="auto"/>
            <w:noWrap/>
            <w:vAlign w:val="center"/>
          </w:tcPr>
          <w:p w14:paraId="39862DD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8.94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B99213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6B2F389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B252A9F" w14:textId="77777777" w:rsidR="00273891" w:rsidRPr="00A86EF2" w:rsidRDefault="004E1503" w:rsidP="0062782E">
            <w:pPr>
              <w:spacing w:line="240" w:lineRule="auto"/>
              <w:rPr>
                <w:color w:val="000000"/>
                <w:sz w:val="16"/>
                <w:szCs w:val="16"/>
                <w:lang w:val="en-GB" w:eastAsia="el-GR" w:bidi="hi-IN"/>
              </w:rPr>
            </w:pPr>
            <w:r>
              <w:rPr>
                <w:color w:val="000000"/>
                <w:sz w:val="16"/>
                <w:szCs w:val="16"/>
                <w:lang w:val="en-GB" w:eastAsia="el-GR" w:bidi="hi-IN"/>
              </w:rPr>
              <w:t>Petrol</w:t>
            </w:r>
            <w:r w:rsidR="00273891" w:rsidRPr="00A86EF2">
              <w:rPr>
                <w:color w:val="000000"/>
                <w:sz w:val="16"/>
                <w:szCs w:val="16"/>
                <w:lang w:val="en-GB" w:eastAsia="el-GR" w:bidi="hi-IN"/>
              </w:rPr>
              <w:t xml:space="preserve">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1BE0DAA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76</w:t>
            </w:r>
          </w:p>
        </w:tc>
        <w:tc>
          <w:tcPr>
            <w:tcW w:w="675" w:type="dxa"/>
            <w:tcBorders>
              <w:top w:val="nil"/>
              <w:left w:val="nil"/>
              <w:bottom w:val="single" w:sz="4" w:space="0" w:color="auto"/>
              <w:right w:val="single" w:sz="4" w:space="0" w:color="auto"/>
            </w:tcBorders>
            <w:shd w:val="clear" w:color="auto" w:fill="auto"/>
            <w:noWrap/>
            <w:vAlign w:val="center"/>
          </w:tcPr>
          <w:p w14:paraId="1C2FDCD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5.2</w:t>
            </w:r>
          </w:p>
        </w:tc>
        <w:tc>
          <w:tcPr>
            <w:tcW w:w="1296" w:type="dxa"/>
            <w:tcBorders>
              <w:top w:val="nil"/>
              <w:left w:val="nil"/>
              <w:bottom w:val="single" w:sz="4" w:space="0" w:color="auto"/>
              <w:right w:val="single" w:sz="4" w:space="0" w:color="auto"/>
            </w:tcBorders>
            <w:shd w:val="clear" w:color="auto" w:fill="auto"/>
            <w:noWrap/>
            <w:vAlign w:val="center"/>
          </w:tcPr>
          <w:p w14:paraId="73378D6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4.0</w:t>
            </w:r>
          </w:p>
        </w:tc>
        <w:tc>
          <w:tcPr>
            <w:tcW w:w="730" w:type="dxa"/>
            <w:tcBorders>
              <w:top w:val="nil"/>
              <w:left w:val="nil"/>
              <w:bottom w:val="single" w:sz="4" w:space="0" w:color="auto"/>
              <w:right w:val="single" w:sz="4" w:space="0" w:color="auto"/>
            </w:tcBorders>
            <w:shd w:val="clear" w:color="auto" w:fill="auto"/>
            <w:noWrap/>
            <w:vAlign w:val="center"/>
          </w:tcPr>
          <w:p w14:paraId="353880D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0.47</w:t>
            </w:r>
          </w:p>
        </w:tc>
        <w:tc>
          <w:tcPr>
            <w:tcW w:w="593" w:type="dxa"/>
            <w:tcBorders>
              <w:top w:val="nil"/>
              <w:left w:val="nil"/>
              <w:bottom w:val="single" w:sz="4" w:space="0" w:color="auto"/>
              <w:right w:val="single" w:sz="4" w:space="0" w:color="auto"/>
            </w:tcBorders>
            <w:shd w:val="clear" w:color="auto" w:fill="auto"/>
            <w:noWrap/>
            <w:vAlign w:val="center"/>
          </w:tcPr>
          <w:p w14:paraId="53B3521B"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0.02</w:t>
            </w:r>
          </w:p>
        </w:tc>
        <w:tc>
          <w:tcPr>
            <w:tcW w:w="1583" w:type="dxa"/>
            <w:tcBorders>
              <w:top w:val="nil"/>
              <w:left w:val="nil"/>
              <w:bottom w:val="single" w:sz="4" w:space="0" w:color="auto"/>
              <w:right w:val="nil"/>
            </w:tcBorders>
            <w:shd w:val="clear" w:color="auto" w:fill="auto"/>
            <w:noWrap/>
            <w:vAlign w:val="center"/>
          </w:tcPr>
          <w:p w14:paraId="2161B0C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5.81</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3BC7630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792518C3"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0D9A0CE3"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 xml:space="preserve">Diesel </w:t>
            </w:r>
            <w:r w:rsidR="00757EE1" w:rsidRPr="00A86EF2">
              <w:rPr>
                <w:color w:val="000000"/>
                <w:sz w:val="16"/>
                <w:szCs w:val="16"/>
                <w:lang w:val="en-GB" w:eastAsia="el-GR" w:bidi="hi-IN"/>
              </w:rPr>
              <w:t>LCV</w:t>
            </w:r>
          </w:p>
        </w:tc>
        <w:tc>
          <w:tcPr>
            <w:tcW w:w="593" w:type="dxa"/>
            <w:tcBorders>
              <w:top w:val="nil"/>
              <w:left w:val="nil"/>
              <w:bottom w:val="single" w:sz="4" w:space="0" w:color="auto"/>
              <w:right w:val="single" w:sz="4" w:space="0" w:color="auto"/>
            </w:tcBorders>
            <w:shd w:val="clear" w:color="auto" w:fill="auto"/>
            <w:noWrap/>
            <w:vAlign w:val="center"/>
          </w:tcPr>
          <w:p w14:paraId="69ED1DD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6.62</w:t>
            </w:r>
          </w:p>
        </w:tc>
        <w:tc>
          <w:tcPr>
            <w:tcW w:w="675" w:type="dxa"/>
            <w:tcBorders>
              <w:top w:val="nil"/>
              <w:left w:val="nil"/>
              <w:bottom w:val="single" w:sz="4" w:space="0" w:color="auto"/>
              <w:right w:val="single" w:sz="4" w:space="0" w:color="auto"/>
            </w:tcBorders>
            <w:shd w:val="clear" w:color="auto" w:fill="auto"/>
            <w:noWrap/>
            <w:vAlign w:val="center"/>
          </w:tcPr>
          <w:p w14:paraId="489E452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14.2</w:t>
            </w:r>
          </w:p>
        </w:tc>
        <w:tc>
          <w:tcPr>
            <w:tcW w:w="1296" w:type="dxa"/>
            <w:tcBorders>
              <w:top w:val="nil"/>
              <w:left w:val="nil"/>
              <w:bottom w:val="single" w:sz="4" w:space="0" w:color="auto"/>
              <w:right w:val="single" w:sz="4" w:space="0" w:color="auto"/>
            </w:tcBorders>
            <w:shd w:val="clear" w:color="auto" w:fill="auto"/>
            <w:noWrap/>
            <w:vAlign w:val="center"/>
          </w:tcPr>
          <w:p w14:paraId="7ACFBBA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1.50</w:t>
            </w:r>
          </w:p>
        </w:tc>
        <w:tc>
          <w:tcPr>
            <w:tcW w:w="730" w:type="dxa"/>
            <w:tcBorders>
              <w:top w:val="nil"/>
              <w:left w:val="nil"/>
              <w:bottom w:val="single" w:sz="4" w:space="0" w:color="auto"/>
              <w:right w:val="single" w:sz="4" w:space="0" w:color="auto"/>
            </w:tcBorders>
            <w:shd w:val="clear" w:color="auto" w:fill="auto"/>
            <w:noWrap/>
            <w:vAlign w:val="center"/>
          </w:tcPr>
          <w:p w14:paraId="0E5F421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0.06</w:t>
            </w:r>
          </w:p>
        </w:tc>
        <w:tc>
          <w:tcPr>
            <w:tcW w:w="593" w:type="dxa"/>
            <w:tcBorders>
              <w:top w:val="nil"/>
              <w:left w:val="nil"/>
              <w:bottom w:val="single" w:sz="4" w:space="0" w:color="auto"/>
              <w:right w:val="single" w:sz="4" w:space="0" w:color="auto"/>
            </w:tcBorders>
            <w:shd w:val="clear" w:color="auto" w:fill="auto"/>
            <w:noWrap/>
            <w:vAlign w:val="center"/>
          </w:tcPr>
          <w:p w14:paraId="77769A2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1.32</w:t>
            </w:r>
          </w:p>
        </w:tc>
        <w:tc>
          <w:tcPr>
            <w:tcW w:w="1583" w:type="dxa"/>
            <w:tcBorders>
              <w:top w:val="nil"/>
              <w:left w:val="nil"/>
              <w:bottom w:val="single" w:sz="4" w:space="0" w:color="auto"/>
              <w:right w:val="nil"/>
            </w:tcBorders>
            <w:shd w:val="clear" w:color="auto" w:fill="auto"/>
            <w:noWrap/>
            <w:vAlign w:val="center"/>
          </w:tcPr>
          <w:p w14:paraId="1C04E6C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6.44</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0315DF53"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78D264CD"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1F33F817"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Diesel HDV</w:t>
            </w:r>
          </w:p>
        </w:tc>
        <w:tc>
          <w:tcPr>
            <w:tcW w:w="593" w:type="dxa"/>
            <w:tcBorders>
              <w:top w:val="nil"/>
              <w:left w:val="nil"/>
              <w:bottom w:val="single" w:sz="4" w:space="0" w:color="auto"/>
              <w:right w:val="single" w:sz="4" w:space="0" w:color="auto"/>
            </w:tcBorders>
            <w:shd w:val="clear" w:color="auto" w:fill="auto"/>
            <w:noWrap/>
            <w:vAlign w:val="center"/>
          </w:tcPr>
          <w:p w14:paraId="27C14F8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6.59</w:t>
            </w:r>
          </w:p>
        </w:tc>
        <w:tc>
          <w:tcPr>
            <w:tcW w:w="675" w:type="dxa"/>
            <w:tcBorders>
              <w:top w:val="nil"/>
              <w:left w:val="nil"/>
              <w:bottom w:val="single" w:sz="4" w:space="0" w:color="auto"/>
              <w:right w:val="single" w:sz="4" w:space="0" w:color="auto"/>
            </w:tcBorders>
            <w:shd w:val="clear" w:color="auto" w:fill="auto"/>
            <w:noWrap/>
            <w:vAlign w:val="center"/>
          </w:tcPr>
          <w:p w14:paraId="3E14478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30.7</w:t>
            </w:r>
          </w:p>
        </w:tc>
        <w:tc>
          <w:tcPr>
            <w:tcW w:w="1296" w:type="dxa"/>
            <w:tcBorders>
              <w:top w:val="nil"/>
              <w:left w:val="nil"/>
              <w:bottom w:val="single" w:sz="4" w:space="0" w:color="auto"/>
              <w:right w:val="single" w:sz="4" w:space="0" w:color="auto"/>
            </w:tcBorders>
            <w:shd w:val="clear" w:color="auto" w:fill="auto"/>
            <w:noWrap/>
            <w:vAlign w:val="center"/>
          </w:tcPr>
          <w:p w14:paraId="2B08F84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1.18</w:t>
            </w:r>
          </w:p>
        </w:tc>
        <w:tc>
          <w:tcPr>
            <w:tcW w:w="730" w:type="dxa"/>
            <w:tcBorders>
              <w:top w:val="nil"/>
              <w:left w:val="nil"/>
              <w:bottom w:val="single" w:sz="4" w:space="0" w:color="auto"/>
              <w:right w:val="single" w:sz="4" w:space="0" w:color="auto"/>
            </w:tcBorders>
            <w:shd w:val="clear" w:color="auto" w:fill="auto"/>
            <w:noWrap/>
            <w:vAlign w:val="center"/>
          </w:tcPr>
          <w:p w14:paraId="122AC89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0.17</w:t>
            </w:r>
          </w:p>
        </w:tc>
        <w:tc>
          <w:tcPr>
            <w:tcW w:w="593" w:type="dxa"/>
            <w:tcBorders>
              <w:top w:val="nil"/>
              <w:left w:val="nil"/>
              <w:bottom w:val="single" w:sz="4" w:space="0" w:color="auto"/>
              <w:right w:val="single" w:sz="4" w:space="0" w:color="auto"/>
            </w:tcBorders>
            <w:shd w:val="clear" w:color="auto" w:fill="auto"/>
            <w:noWrap/>
            <w:vAlign w:val="center"/>
          </w:tcPr>
          <w:p w14:paraId="0E5F07A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0.67</w:t>
            </w:r>
          </w:p>
        </w:tc>
        <w:tc>
          <w:tcPr>
            <w:tcW w:w="1583" w:type="dxa"/>
            <w:tcBorders>
              <w:top w:val="nil"/>
              <w:left w:val="nil"/>
              <w:bottom w:val="single" w:sz="4" w:space="0" w:color="auto"/>
              <w:right w:val="nil"/>
            </w:tcBorders>
            <w:shd w:val="clear" w:color="auto" w:fill="auto"/>
            <w:noWrap/>
            <w:vAlign w:val="center"/>
          </w:tcPr>
          <w:p w14:paraId="6EB64D1D"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2.46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2B9467F"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3170EC31"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3A72178A"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Buses</w:t>
            </w:r>
          </w:p>
        </w:tc>
        <w:tc>
          <w:tcPr>
            <w:tcW w:w="593" w:type="dxa"/>
            <w:tcBorders>
              <w:top w:val="nil"/>
              <w:left w:val="nil"/>
              <w:bottom w:val="single" w:sz="4" w:space="0" w:color="auto"/>
              <w:right w:val="single" w:sz="4" w:space="0" w:color="auto"/>
            </w:tcBorders>
            <w:shd w:val="clear" w:color="auto" w:fill="auto"/>
            <w:noWrap/>
            <w:vAlign w:val="center"/>
          </w:tcPr>
          <w:p w14:paraId="45FDE7C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9.02</w:t>
            </w:r>
          </w:p>
        </w:tc>
        <w:tc>
          <w:tcPr>
            <w:tcW w:w="675" w:type="dxa"/>
            <w:tcBorders>
              <w:top w:val="nil"/>
              <w:left w:val="nil"/>
              <w:bottom w:val="single" w:sz="4" w:space="0" w:color="auto"/>
              <w:right w:val="single" w:sz="4" w:space="0" w:color="auto"/>
            </w:tcBorders>
            <w:shd w:val="clear" w:color="auto" w:fill="auto"/>
            <w:noWrap/>
            <w:vAlign w:val="center"/>
          </w:tcPr>
          <w:p w14:paraId="38B133D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33.9</w:t>
            </w:r>
          </w:p>
        </w:tc>
        <w:tc>
          <w:tcPr>
            <w:tcW w:w="1296" w:type="dxa"/>
            <w:tcBorders>
              <w:top w:val="nil"/>
              <w:left w:val="nil"/>
              <w:bottom w:val="single" w:sz="4" w:space="0" w:color="auto"/>
              <w:right w:val="single" w:sz="4" w:space="0" w:color="auto"/>
            </w:tcBorders>
            <w:shd w:val="clear" w:color="auto" w:fill="auto"/>
            <w:noWrap/>
            <w:vAlign w:val="center"/>
          </w:tcPr>
          <w:p w14:paraId="011F106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2.15</w:t>
            </w:r>
          </w:p>
        </w:tc>
        <w:tc>
          <w:tcPr>
            <w:tcW w:w="730" w:type="dxa"/>
            <w:tcBorders>
              <w:top w:val="nil"/>
              <w:left w:val="nil"/>
              <w:bottom w:val="single" w:sz="4" w:space="0" w:color="auto"/>
              <w:right w:val="single" w:sz="4" w:space="0" w:color="auto"/>
            </w:tcBorders>
            <w:shd w:val="clear" w:color="auto" w:fill="auto"/>
            <w:noWrap/>
            <w:vAlign w:val="center"/>
          </w:tcPr>
          <w:p w14:paraId="1FC43F7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0.22</w:t>
            </w:r>
          </w:p>
        </w:tc>
        <w:tc>
          <w:tcPr>
            <w:tcW w:w="593" w:type="dxa"/>
            <w:tcBorders>
              <w:top w:val="nil"/>
              <w:left w:val="nil"/>
              <w:bottom w:val="single" w:sz="4" w:space="0" w:color="auto"/>
              <w:right w:val="single" w:sz="4" w:space="0" w:color="auto"/>
            </w:tcBorders>
            <w:shd w:val="clear" w:color="auto" w:fill="auto"/>
            <w:noWrap/>
            <w:vAlign w:val="center"/>
          </w:tcPr>
          <w:p w14:paraId="46C2A29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0.86</w:t>
            </w:r>
          </w:p>
        </w:tc>
        <w:tc>
          <w:tcPr>
            <w:tcW w:w="1583" w:type="dxa"/>
            <w:tcBorders>
              <w:top w:val="nil"/>
              <w:left w:val="nil"/>
              <w:bottom w:val="single" w:sz="4" w:space="0" w:color="auto"/>
              <w:right w:val="nil"/>
            </w:tcBorders>
            <w:shd w:val="clear" w:color="auto" w:fill="auto"/>
            <w:noWrap/>
            <w:vAlign w:val="center"/>
          </w:tcPr>
          <w:p w14:paraId="33E4B70A"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2.86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84EC88E"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3.17</w:t>
            </w:r>
          </w:p>
        </w:tc>
      </w:tr>
      <w:tr w:rsidR="00273891" w:rsidRPr="000855B2" w14:paraId="4D33A3F8" w14:textId="77777777" w:rsidTr="0062782E">
        <w:trPr>
          <w:trHeight w:val="240"/>
        </w:trPr>
        <w:tc>
          <w:tcPr>
            <w:tcW w:w="1248" w:type="dxa"/>
            <w:tcBorders>
              <w:top w:val="nil"/>
              <w:left w:val="double" w:sz="6" w:space="0" w:color="auto"/>
              <w:bottom w:val="single" w:sz="4" w:space="0" w:color="auto"/>
              <w:right w:val="single" w:sz="4" w:space="0" w:color="auto"/>
            </w:tcBorders>
            <w:shd w:val="clear" w:color="auto" w:fill="auto"/>
            <w:noWrap/>
            <w:vAlign w:val="center"/>
          </w:tcPr>
          <w:p w14:paraId="5421F043"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Mopeds</w:t>
            </w:r>
          </w:p>
        </w:tc>
        <w:tc>
          <w:tcPr>
            <w:tcW w:w="593" w:type="dxa"/>
            <w:tcBorders>
              <w:top w:val="nil"/>
              <w:left w:val="nil"/>
              <w:bottom w:val="single" w:sz="4" w:space="0" w:color="auto"/>
              <w:right w:val="single" w:sz="4" w:space="0" w:color="auto"/>
            </w:tcBorders>
            <w:shd w:val="clear" w:color="auto" w:fill="auto"/>
            <w:noWrap/>
            <w:vAlign w:val="center"/>
          </w:tcPr>
          <w:p w14:paraId="350B19B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590</w:t>
            </w:r>
          </w:p>
        </w:tc>
        <w:tc>
          <w:tcPr>
            <w:tcW w:w="675" w:type="dxa"/>
            <w:tcBorders>
              <w:top w:val="nil"/>
              <w:left w:val="nil"/>
              <w:bottom w:val="single" w:sz="4" w:space="0" w:color="auto"/>
              <w:right w:val="single" w:sz="4" w:space="0" w:color="auto"/>
            </w:tcBorders>
            <w:shd w:val="clear" w:color="auto" w:fill="auto"/>
            <w:noWrap/>
            <w:vAlign w:val="center"/>
          </w:tcPr>
          <w:p w14:paraId="05E6B0D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2.39</w:t>
            </w:r>
          </w:p>
        </w:tc>
        <w:tc>
          <w:tcPr>
            <w:tcW w:w="1296" w:type="dxa"/>
            <w:tcBorders>
              <w:top w:val="nil"/>
              <w:left w:val="nil"/>
              <w:bottom w:val="single" w:sz="4" w:space="0" w:color="auto"/>
              <w:right w:val="single" w:sz="4" w:space="0" w:color="auto"/>
            </w:tcBorders>
            <w:shd w:val="clear" w:color="auto" w:fill="auto"/>
            <w:noWrap/>
            <w:vAlign w:val="center"/>
          </w:tcPr>
          <w:p w14:paraId="7E19F6E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215</w:t>
            </w:r>
          </w:p>
        </w:tc>
        <w:tc>
          <w:tcPr>
            <w:tcW w:w="730" w:type="dxa"/>
            <w:tcBorders>
              <w:top w:val="nil"/>
              <w:left w:val="nil"/>
              <w:bottom w:val="single" w:sz="4" w:space="0" w:color="auto"/>
              <w:right w:val="single" w:sz="4" w:space="0" w:color="auto"/>
            </w:tcBorders>
            <w:shd w:val="clear" w:color="auto" w:fill="auto"/>
            <w:noWrap/>
            <w:vAlign w:val="center"/>
          </w:tcPr>
          <w:p w14:paraId="4521BF8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3.75</w:t>
            </w:r>
          </w:p>
        </w:tc>
        <w:tc>
          <w:tcPr>
            <w:tcW w:w="593" w:type="dxa"/>
            <w:tcBorders>
              <w:top w:val="nil"/>
              <w:left w:val="nil"/>
              <w:bottom w:val="single" w:sz="4" w:space="0" w:color="auto"/>
              <w:right w:val="single" w:sz="4" w:space="0" w:color="auto"/>
            </w:tcBorders>
            <w:shd w:val="clear" w:color="auto" w:fill="auto"/>
            <w:noWrap/>
            <w:vAlign w:val="center"/>
          </w:tcPr>
          <w:p w14:paraId="3ABC8BB5"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4.06</w:t>
            </w:r>
          </w:p>
        </w:tc>
        <w:tc>
          <w:tcPr>
            <w:tcW w:w="1583" w:type="dxa"/>
            <w:tcBorders>
              <w:top w:val="nil"/>
              <w:left w:val="nil"/>
              <w:bottom w:val="single" w:sz="4" w:space="0" w:color="auto"/>
              <w:right w:val="nil"/>
            </w:tcBorders>
            <w:shd w:val="clear" w:color="auto" w:fill="auto"/>
            <w:noWrap/>
            <w:vAlign w:val="center"/>
          </w:tcPr>
          <w:p w14:paraId="6E488268"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116</w:t>
            </w:r>
          </w:p>
        </w:tc>
        <w:tc>
          <w:tcPr>
            <w:tcW w:w="1251" w:type="dxa"/>
            <w:tcBorders>
              <w:top w:val="nil"/>
              <w:left w:val="single" w:sz="4" w:space="0" w:color="auto"/>
              <w:bottom w:val="single" w:sz="4" w:space="0" w:color="auto"/>
              <w:right w:val="double" w:sz="6" w:space="0" w:color="auto"/>
            </w:tcBorders>
            <w:shd w:val="clear" w:color="auto" w:fill="auto"/>
            <w:noWrap/>
            <w:vAlign w:val="center"/>
          </w:tcPr>
          <w:p w14:paraId="6EBFBFF2"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r w:rsidR="00273891" w:rsidRPr="000855B2" w14:paraId="74AAF806" w14:textId="77777777" w:rsidTr="0062782E">
        <w:trPr>
          <w:trHeight w:val="255"/>
        </w:trPr>
        <w:tc>
          <w:tcPr>
            <w:tcW w:w="1248" w:type="dxa"/>
            <w:tcBorders>
              <w:top w:val="nil"/>
              <w:left w:val="double" w:sz="6" w:space="0" w:color="auto"/>
              <w:bottom w:val="double" w:sz="6" w:space="0" w:color="auto"/>
              <w:right w:val="single" w:sz="4" w:space="0" w:color="auto"/>
            </w:tcBorders>
            <w:shd w:val="clear" w:color="auto" w:fill="auto"/>
            <w:noWrap/>
            <w:vAlign w:val="center"/>
          </w:tcPr>
          <w:p w14:paraId="51264113" w14:textId="77777777" w:rsidR="00273891" w:rsidRPr="00A86EF2" w:rsidRDefault="00273891" w:rsidP="0062782E">
            <w:pPr>
              <w:spacing w:line="240" w:lineRule="auto"/>
              <w:rPr>
                <w:color w:val="000000"/>
                <w:sz w:val="16"/>
                <w:szCs w:val="16"/>
                <w:lang w:val="en-GB" w:eastAsia="el-GR" w:bidi="hi-IN"/>
              </w:rPr>
            </w:pPr>
            <w:r w:rsidRPr="00A86EF2">
              <w:rPr>
                <w:color w:val="000000"/>
                <w:sz w:val="16"/>
                <w:szCs w:val="16"/>
                <w:lang w:val="en-GB" w:eastAsia="el-GR" w:bidi="hi-IN"/>
              </w:rPr>
              <w:t>Motorcycles</w:t>
            </w:r>
          </w:p>
        </w:tc>
        <w:tc>
          <w:tcPr>
            <w:tcW w:w="593" w:type="dxa"/>
            <w:tcBorders>
              <w:top w:val="nil"/>
              <w:left w:val="nil"/>
              <w:bottom w:val="double" w:sz="6" w:space="0" w:color="auto"/>
              <w:right w:val="single" w:sz="4" w:space="0" w:color="auto"/>
            </w:tcBorders>
            <w:shd w:val="clear" w:color="auto" w:fill="auto"/>
            <w:noWrap/>
            <w:vAlign w:val="center"/>
          </w:tcPr>
          <w:p w14:paraId="439B69E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393</w:t>
            </w:r>
          </w:p>
        </w:tc>
        <w:tc>
          <w:tcPr>
            <w:tcW w:w="675" w:type="dxa"/>
            <w:tcBorders>
              <w:top w:val="nil"/>
              <w:left w:val="nil"/>
              <w:bottom w:val="double" w:sz="6" w:space="0" w:color="auto"/>
              <w:right w:val="single" w:sz="4" w:space="0" w:color="auto"/>
            </w:tcBorders>
            <w:shd w:val="clear" w:color="auto" w:fill="auto"/>
            <w:noWrap/>
            <w:vAlign w:val="center"/>
          </w:tcPr>
          <w:p w14:paraId="3C3A3090"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9.26</w:t>
            </w:r>
          </w:p>
        </w:tc>
        <w:tc>
          <w:tcPr>
            <w:tcW w:w="1296" w:type="dxa"/>
            <w:tcBorders>
              <w:top w:val="nil"/>
              <w:left w:val="nil"/>
              <w:bottom w:val="double" w:sz="6" w:space="0" w:color="auto"/>
              <w:right w:val="single" w:sz="4" w:space="0" w:color="auto"/>
            </w:tcBorders>
            <w:shd w:val="clear" w:color="auto" w:fill="auto"/>
            <w:noWrap/>
            <w:vAlign w:val="center"/>
          </w:tcPr>
          <w:p w14:paraId="1F65CAE6"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35.2</w:t>
            </w:r>
          </w:p>
        </w:tc>
        <w:tc>
          <w:tcPr>
            <w:tcW w:w="730" w:type="dxa"/>
            <w:tcBorders>
              <w:top w:val="nil"/>
              <w:left w:val="nil"/>
              <w:bottom w:val="double" w:sz="6" w:space="0" w:color="auto"/>
              <w:right w:val="single" w:sz="4" w:space="0" w:color="auto"/>
            </w:tcBorders>
            <w:shd w:val="clear" w:color="auto" w:fill="auto"/>
            <w:noWrap/>
            <w:vAlign w:val="center"/>
          </w:tcPr>
          <w:p w14:paraId="1F259114"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4.49</w:t>
            </w:r>
          </w:p>
        </w:tc>
        <w:tc>
          <w:tcPr>
            <w:tcW w:w="593" w:type="dxa"/>
            <w:tcBorders>
              <w:top w:val="nil"/>
              <w:left w:val="nil"/>
              <w:bottom w:val="double" w:sz="6" w:space="0" w:color="auto"/>
              <w:right w:val="single" w:sz="4" w:space="0" w:color="auto"/>
            </w:tcBorders>
            <w:shd w:val="clear" w:color="auto" w:fill="auto"/>
            <w:noWrap/>
            <w:vAlign w:val="center"/>
          </w:tcPr>
          <w:p w14:paraId="7F3B7697"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0.67</w:t>
            </w:r>
          </w:p>
        </w:tc>
        <w:tc>
          <w:tcPr>
            <w:tcW w:w="1583" w:type="dxa"/>
            <w:tcBorders>
              <w:top w:val="nil"/>
              <w:left w:val="nil"/>
              <w:bottom w:val="double" w:sz="6" w:space="0" w:color="auto"/>
              <w:right w:val="nil"/>
            </w:tcBorders>
            <w:shd w:val="clear" w:color="auto" w:fill="auto"/>
            <w:noWrap/>
            <w:vAlign w:val="center"/>
          </w:tcPr>
          <w:p w14:paraId="27418641"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21.8</w:t>
            </w:r>
          </w:p>
        </w:tc>
        <w:tc>
          <w:tcPr>
            <w:tcW w:w="1251" w:type="dxa"/>
            <w:tcBorders>
              <w:top w:val="nil"/>
              <w:left w:val="single" w:sz="4" w:space="0" w:color="auto"/>
              <w:bottom w:val="double" w:sz="6" w:space="0" w:color="auto"/>
              <w:right w:val="double" w:sz="6" w:space="0" w:color="auto"/>
            </w:tcBorders>
            <w:shd w:val="clear" w:color="auto" w:fill="auto"/>
            <w:noWrap/>
            <w:vAlign w:val="center"/>
          </w:tcPr>
          <w:p w14:paraId="17C827C9" w14:textId="77777777" w:rsidR="00273891" w:rsidRPr="00A86EF2" w:rsidRDefault="00273891" w:rsidP="0062782E">
            <w:pPr>
              <w:spacing w:line="240" w:lineRule="auto"/>
              <w:jc w:val="center"/>
              <w:rPr>
                <w:color w:val="000000"/>
                <w:sz w:val="16"/>
                <w:szCs w:val="16"/>
                <w:lang w:val="en-GB" w:eastAsia="el-GR" w:bidi="hi-IN"/>
              </w:rPr>
            </w:pPr>
            <w:r w:rsidRPr="00A86EF2">
              <w:rPr>
                <w:color w:val="000000"/>
                <w:sz w:val="16"/>
                <w:szCs w:val="16"/>
                <w:lang w:val="en-GB" w:eastAsia="el-GR" w:bidi="hi-IN"/>
              </w:rPr>
              <w:t>3.16</w:t>
            </w:r>
          </w:p>
        </w:tc>
      </w:tr>
    </w:tbl>
    <w:p w14:paraId="5DF9EC3F" w14:textId="60A0D421" w:rsidR="001D2587" w:rsidRPr="000855B2" w:rsidRDefault="00095EA7" w:rsidP="00A86EF2">
      <w:pPr>
        <w:pStyle w:val="Caption"/>
      </w:pPr>
      <w:bookmarkStart w:id="352" w:name="_Ref201137280"/>
      <w:r w:rsidRPr="000855B2">
        <w:t>Table </w:t>
      </w:r>
      <w:r w:rsidR="00B642C6">
        <w:t>A1</w:t>
      </w:r>
      <w:r w:rsidR="0071699C" w:rsidRPr="000855B2">
        <w:noBreakHyphen/>
      </w:r>
      <w:r w:rsidR="00FB454C">
        <w:fldChar w:fldCharType="begin"/>
      </w:r>
      <w:r w:rsidR="00FB454C">
        <w:instrText xml:space="preserve"> STYLEREF 1 \s </w:instrText>
      </w:r>
      <w:r w:rsidR="00FB454C">
        <w:fldChar w:fldCharType="separate"/>
      </w:r>
      <w:r w:rsidR="0071604C">
        <w:rPr>
          <w:noProof/>
        </w:rPr>
        <w:t>0</w:t>
      </w:r>
      <w:r w:rsidR="00FB454C">
        <w:rPr>
          <w:noProof/>
        </w:rPr>
        <w:fldChar w:fldCharType="end"/>
      </w:r>
      <w:r w:rsidR="00131917">
        <w:t>.</w:t>
      </w:r>
      <w:r w:rsidR="00FB454C">
        <w:fldChar w:fldCharType="begin"/>
      </w:r>
      <w:r w:rsidR="00FB454C">
        <w:instrText xml:space="preserve"> SEQ Table \* ARABIC \s 1 </w:instrText>
      </w:r>
      <w:r w:rsidR="00FB454C">
        <w:fldChar w:fldCharType="separate"/>
      </w:r>
      <w:r w:rsidR="0071604C">
        <w:rPr>
          <w:noProof/>
        </w:rPr>
        <w:t>31</w:t>
      </w:r>
      <w:r w:rsidR="00FB454C">
        <w:rPr>
          <w:noProof/>
        </w:rPr>
        <w:fldChar w:fldCharType="end"/>
      </w:r>
      <w:bookmarkEnd w:id="351"/>
      <w:bookmarkEnd w:id="352"/>
      <w:r w:rsidR="001D2587" w:rsidRPr="000855B2">
        <w:t>: Suggested bulk emission factors (g/kg fuel) (for CO</w:t>
      </w:r>
      <w:r w:rsidR="001D2587" w:rsidRPr="000855B2">
        <w:rPr>
          <w:vertAlign w:val="subscript"/>
        </w:rPr>
        <w:t>2</w:t>
      </w:r>
      <w:r w:rsidR="001D2587" w:rsidRPr="000855B2">
        <w:t xml:space="preserve"> kg/kg fuel)</w:t>
      </w:r>
      <w:r w:rsidR="00CE1B61" w:rsidRPr="000855B2">
        <w:t xml:space="preserve"> </w:t>
      </w:r>
      <w:r w:rsidR="001D2587" w:rsidRPr="000855B2">
        <w:t xml:space="preserve">for BC, </w:t>
      </w:r>
      <w:smartTag w:uri="urn:schemas-microsoft-com:office:smarttags" w:element="stockticker">
        <w:r w:rsidR="001D2587" w:rsidRPr="000855B2">
          <w:t>NIS</w:t>
        </w:r>
      </w:smartTag>
      <w:r w:rsidR="001D2587" w:rsidRPr="000855B2">
        <w:t xml:space="preserve"> and CC4 countries, year 2002. Calculated with rough fleet composition estimations.</w:t>
      </w:r>
    </w:p>
    <w:tbl>
      <w:tblPr>
        <w:tblW w:w="0" w:type="auto"/>
        <w:tblLook w:val="0000" w:firstRow="0" w:lastRow="0" w:firstColumn="0" w:lastColumn="0" w:noHBand="0" w:noVBand="0"/>
      </w:tblPr>
      <w:tblGrid>
        <w:gridCol w:w="1277"/>
        <w:gridCol w:w="851"/>
        <w:gridCol w:w="851"/>
        <w:gridCol w:w="851"/>
        <w:gridCol w:w="851"/>
        <w:gridCol w:w="851"/>
        <w:gridCol w:w="1697"/>
      </w:tblGrid>
      <w:tr w:rsidR="001D2587" w:rsidRPr="008D2AFB" w14:paraId="0DB45C57" w14:textId="77777777" w:rsidTr="0062782E">
        <w:trPr>
          <w:trHeight w:val="255"/>
        </w:trPr>
        <w:tc>
          <w:tcPr>
            <w:tcW w:w="1277" w:type="dxa"/>
            <w:vMerge w:val="restart"/>
            <w:tcBorders>
              <w:top w:val="double" w:sz="6" w:space="0" w:color="auto"/>
              <w:left w:val="double" w:sz="6" w:space="0" w:color="auto"/>
              <w:bottom w:val="single" w:sz="4" w:space="0" w:color="auto"/>
              <w:right w:val="single" w:sz="4" w:space="0" w:color="auto"/>
            </w:tcBorders>
            <w:noWrap/>
            <w:tcMar>
              <w:left w:w="28" w:type="dxa"/>
              <w:right w:w="28" w:type="dxa"/>
            </w:tcMar>
            <w:vAlign w:val="center"/>
          </w:tcPr>
          <w:p w14:paraId="57E926A5" w14:textId="77777777" w:rsidR="001D2587" w:rsidRPr="008D2AFB" w:rsidRDefault="001D2587" w:rsidP="0062782E">
            <w:pPr>
              <w:jc w:val="center"/>
              <w:rPr>
                <w:b/>
              </w:rPr>
            </w:pPr>
            <w:r w:rsidRPr="008D2AFB">
              <w:rPr>
                <w:b/>
              </w:rPr>
              <w:t>Category</w:t>
            </w:r>
          </w:p>
        </w:tc>
        <w:tc>
          <w:tcPr>
            <w:tcW w:w="5952" w:type="dxa"/>
            <w:gridSpan w:val="6"/>
            <w:tcBorders>
              <w:top w:val="double" w:sz="6" w:space="0" w:color="auto"/>
              <w:left w:val="nil"/>
              <w:bottom w:val="single" w:sz="4" w:space="0" w:color="auto"/>
              <w:right w:val="double" w:sz="6" w:space="0" w:color="auto"/>
            </w:tcBorders>
            <w:noWrap/>
            <w:tcMar>
              <w:left w:w="28" w:type="dxa"/>
              <w:right w:w="28" w:type="dxa"/>
            </w:tcMar>
            <w:vAlign w:val="center"/>
          </w:tcPr>
          <w:p w14:paraId="267C6827" w14:textId="77777777" w:rsidR="001D2587" w:rsidRPr="008D2AFB" w:rsidRDefault="001D2587" w:rsidP="0062782E">
            <w:pPr>
              <w:jc w:val="center"/>
              <w:rPr>
                <w:b/>
              </w:rPr>
            </w:pPr>
            <w:r w:rsidRPr="008D2AFB">
              <w:rPr>
                <w:b/>
              </w:rPr>
              <w:t xml:space="preserve">BC, </w:t>
            </w:r>
            <w:smartTag w:uri="urn:schemas-microsoft-com:office:smarttags" w:element="stockticker">
              <w:r w:rsidRPr="008D2AFB">
                <w:rPr>
                  <w:b/>
                </w:rPr>
                <w:t>NIS</w:t>
              </w:r>
            </w:smartTag>
            <w:r w:rsidRPr="008D2AFB">
              <w:rPr>
                <w:b/>
              </w:rPr>
              <w:t xml:space="preserve"> and CC4 countries</w:t>
            </w:r>
          </w:p>
        </w:tc>
      </w:tr>
      <w:tr w:rsidR="001D2587" w:rsidRPr="008D2AFB" w14:paraId="4C7BB7BE" w14:textId="77777777" w:rsidTr="0062782E">
        <w:trPr>
          <w:trHeight w:val="255"/>
        </w:trPr>
        <w:tc>
          <w:tcPr>
            <w:tcW w:w="1277" w:type="dxa"/>
            <w:vMerge/>
            <w:tcBorders>
              <w:top w:val="single" w:sz="4" w:space="0" w:color="auto"/>
              <w:left w:val="double" w:sz="6" w:space="0" w:color="auto"/>
              <w:bottom w:val="single" w:sz="12" w:space="0" w:color="auto"/>
              <w:right w:val="single" w:sz="4" w:space="0" w:color="auto"/>
            </w:tcBorders>
            <w:tcMar>
              <w:left w:w="28" w:type="dxa"/>
              <w:right w:w="28" w:type="dxa"/>
            </w:tcMar>
            <w:vAlign w:val="center"/>
          </w:tcPr>
          <w:p w14:paraId="5B47239C" w14:textId="77777777" w:rsidR="001D2587" w:rsidRPr="008D2AFB" w:rsidRDefault="001D2587" w:rsidP="0062782E">
            <w:pPr>
              <w:jc w:val="center"/>
              <w:rPr>
                <w:b/>
              </w:rPr>
            </w:pP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532E05BE" w14:textId="77777777" w:rsidR="001D2587" w:rsidRPr="008D2AFB" w:rsidRDefault="001D2587" w:rsidP="0062782E">
            <w:pPr>
              <w:jc w:val="center"/>
              <w:rPr>
                <w:b/>
              </w:rPr>
            </w:pPr>
            <w:r w:rsidRPr="008D2AFB">
              <w:rPr>
                <w:b/>
              </w:rPr>
              <w:t>CO</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279F1D58" w14:textId="77777777" w:rsidR="001D2587" w:rsidRPr="008D2AFB" w:rsidRDefault="001D2587" w:rsidP="0062782E">
            <w:pPr>
              <w:jc w:val="center"/>
              <w:rPr>
                <w:b/>
              </w:rPr>
            </w:pPr>
            <w:r w:rsidRPr="008D2AFB">
              <w:rPr>
                <w:b/>
              </w:rPr>
              <w:t>NOx</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1E359236" w14:textId="77777777" w:rsidR="001D2587" w:rsidRPr="008D2AFB" w:rsidRDefault="001D2587" w:rsidP="0062782E">
            <w:pPr>
              <w:jc w:val="center"/>
              <w:rPr>
                <w:b/>
              </w:rPr>
            </w:pPr>
            <w:r w:rsidRPr="008D2AFB">
              <w:rPr>
                <w:b/>
              </w:rPr>
              <w:t>NMVOC</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0836E1E9" w14:textId="77777777" w:rsidR="001D2587" w:rsidRPr="008D2AFB" w:rsidRDefault="001D2587" w:rsidP="0062782E">
            <w:pPr>
              <w:jc w:val="center"/>
              <w:rPr>
                <w:b/>
              </w:rPr>
            </w:pPr>
            <w:r w:rsidRPr="008D2AFB">
              <w:rPr>
                <w:b/>
              </w:rPr>
              <w:t>CH4</w:t>
            </w:r>
          </w:p>
        </w:tc>
        <w:tc>
          <w:tcPr>
            <w:tcW w:w="851" w:type="dxa"/>
            <w:tcBorders>
              <w:top w:val="single" w:sz="4" w:space="0" w:color="auto"/>
              <w:left w:val="nil"/>
              <w:bottom w:val="single" w:sz="12" w:space="0" w:color="auto"/>
              <w:right w:val="single" w:sz="4" w:space="0" w:color="auto"/>
            </w:tcBorders>
            <w:noWrap/>
            <w:tcMar>
              <w:left w:w="28" w:type="dxa"/>
              <w:right w:w="28" w:type="dxa"/>
            </w:tcMar>
            <w:vAlign w:val="center"/>
          </w:tcPr>
          <w:p w14:paraId="3C855547" w14:textId="77777777" w:rsidR="001D2587" w:rsidRPr="008D2AFB" w:rsidRDefault="001D2587" w:rsidP="0062782E">
            <w:pPr>
              <w:jc w:val="center"/>
              <w:rPr>
                <w:b/>
              </w:rPr>
            </w:pPr>
            <w:r w:rsidRPr="008D2AFB">
              <w:rPr>
                <w:b/>
              </w:rPr>
              <w:t>PM</w:t>
            </w:r>
          </w:p>
        </w:tc>
        <w:tc>
          <w:tcPr>
            <w:tcW w:w="1697" w:type="dxa"/>
            <w:tcBorders>
              <w:top w:val="single" w:sz="4" w:space="0" w:color="auto"/>
              <w:left w:val="nil"/>
              <w:bottom w:val="single" w:sz="12" w:space="0" w:color="auto"/>
              <w:right w:val="double" w:sz="6" w:space="0" w:color="auto"/>
            </w:tcBorders>
            <w:noWrap/>
            <w:tcMar>
              <w:left w:w="28" w:type="dxa"/>
              <w:right w:w="28" w:type="dxa"/>
            </w:tcMar>
            <w:vAlign w:val="center"/>
          </w:tcPr>
          <w:p w14:paraId="62255005" w14:textId="77777777" w:rsidR="001D2587" w:rsidRPr="008D2AFB" w:rsidRDefault="001D2587" w:rsidP="0062782E">
            <w:pPr>
              <w:jc w:val="center"/>
              <w:rPr>
                <w:b/>
              </w:rPr>
            </w:pPr>
            <w:r w:rsidRPr="008D2AFB">
              <w:rPr>
                <w:b/>
              </w:rPr>
              <w:t>CO2 [kg/kg fuel]</w:t>
            </w:r>
          </w:p>
        </w:tc>
      </w:tr>
      <w:tr w:rsidR="001D2587" w:rsidRPr="008D2AFB" w14:paraId="7323CCDA" w14:textId="77777777" w:rsidTr="0062782E">
        <w:trPr>
          <w:trHeight w:val="255"/>
        </w:trPr>
        <w:tc>
          <w:tcPr>
            <w:tcW w:w="1277" w:type="dxa"/>
            <w:tcBorders>
              <w:top w:val="single" w:sz="12" w:space="0" w:color="auto"/>
              <w:left w:val="double" w:sz="6" w:space="0" w:color="auto"/>
              <w:bottom w:val="single" w:sz="4" w:space="0" w:color="auto"/>
              <w:right w:val="single" w:sz="4" w:space="0" w:color="auto"/>
            </w:tcBorders>
            <w:noWrap/>
            <w:tcMar>
              <w:left w:w="28" w:type="dxa"/>
              <w:right w:w="28" w:type="dxa"/>
            </w:tcMar>
            <w:vAlign w:val="center"/>
          </w:tcPr>
          <w:p w14:paraId="4144CB64" w14:textId="77777777" w:rsidR="001D2587" w:rsidRPr="008D2AFB" w:rsidRDefault="004E1503" w:rsidP="0062782E">
            <w:r w:rsidRPr="008D2AFB">
              <w:t>Petrol</w:t>
            </w:r>
            <w:r w:rsidR="001D2587" w:rsidRPr="008D2AFB">
              <w:t xml:space="preserve"> PC</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073B8D3B" w14:textId="77777777" w:rsidR="001D2587" w:rsidRPr="008D2AFB" w:rsidRDefault="001D2587" w:rsidP="0062782E">
            <w:pPr>
              <w:jc w:val="center"/>
            </w:pPr>
            <w:r w:rsidRPr="008D2AFB">
              <w:t>221.70</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12A5B201" w14:textId="77777777" w:rsidR="001D2587" w:rsidRPr="008D2AFB" w:rsidRDefault="001D2587" w:rsidP="0062782E">
            <w:pPr>
              <w:jc w:val="center"/>
            </w:pPr>
            <w:r w:rsidRPr="008D2AFB">
              <w:t>28.39</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79AA9239" w14:textId="77777777" w:rsidR="001D2587" w:rsidRPr="008D2AFB" w:rsidRDefault="001D2587" w:rsidP="0062782E">
            <w:pPr>
              <w:jc w:val="center"/>
            </w:pPr>
            <w:r w:rsidRPr="008D2AFB">
              <w:t>34.41</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1FB887F3" w14:textId="77777777" w:rsidR="001D2587" w:rsidRPr="008D2AFB" w:rsidRDefault="001D2587" w:rsidP="0062782E">
            <w:pPr>
              <w:jc w:val="center"/>
            </w:pPr>
            <w:r w:rsidRPr="008D2AFB">
              <w:t>1.99</w:t>
            </w:r>
          </w:p>
        </w:tc>
        <w:tc>
          <w:tcPr>
            <w:tcW w:w="851" w:type="dxa"/>
            <w:tcBorders>
              <w:top w:val="single" w:sz="12" w:space="0" w:color="auto"/>
              <w:left w:val="nil"/>
              <w:bottom w:val="single" w:sz="4" w:space="0" w:color="auto"/>
              <w:right w:val="single" w:sz="4" w:space="0" w:color="auto"/>
            </w:tcBorders>
            <w:noWrap/>
            <w:tcMar>
              <w:left w:w="28" w:type="dxa"/>
              <w:right w:w="28" w:type="dxa"/>
            </w:tcMar>
            <w:vAlign w:val="center"/>
          </w:tcPr>
          <w:p w14:paraId="054436D8" w14:textId="77777777" w:rsidR="001D2587" w:rsidRPr="008D2AFB" w:rsidRDefault="001D2587" w:rsidP="0062782E">
            <w:pPr>
              <w:jc w:val="center"/>
            </w:pPr>
            <w:r w:rsidRPr="008D2AFB">
              <w:t>0.00</w:t>
            </w:r>
          </w:p>
        </w:tc>
        <w:tc>
          <w:tcPr>
            <w:tcW w:w="1697" w:type="dxa"/>
            <w:tcBorders>
              <w:top w:val="single" w:sz="12" w:space="0" w:color="auto"/>
              <w:left w:val="nil"/>
              <w:bottom w:val="single" w:sz="4" w:space="0" w:color="auto"/>
              <w:right w:val="double" w:sz="6" w:space="0" w:color="auto"/>
            </w:tcBorders>
            <w:noWrap/>
            <w:tcMar>
              <w:left w:w="28" w:type="dxa"/>
              <w:right w:w="28" w:type="dxa"/>
            </w:tcMar>
            <w:vAlign w:val="center"/>
          </w:tcPr>
          <w:p w14:paraId="24F8AD79" w14:textId="77777777" w:rsidR="001D2587" w:rsidRPr="008D2AFB" w:rsidRDefault="001D2587" w:rsidP="0062782E">
            <w:pPr>
              <w:jc w:val="center"/>
            </w:pPr>
            <w:r w:rsidRPr="008D2AFB">
              <w:t>2.72</w:t>
            </w:r>
          </w:p>
        </w:tc>
      </w:tr>
      <w:tr w:rsidR="001D2587" w:rsidRPr="008D2AFB" w14:paraId="2B949227"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3F76B57D" w14:textId="77777777" w:rsidR="001D2587" w:rsidRPr="008D2AFB" w:rsidRDefault="001D2587" w:rsidP="0062782E">
            <w:r w:rsidRPr="008D2AFB">
              <w:t>Diesel PC</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81D64A3" w14:textId="77777777" w:rsidR="001D2587" w:rsidRPr="008D2AFB" w:rsidRDefault="001D2587" w:rsidP="0062782E">
            <w:pPr>
              <w:jc w:val="center"/>
            </w:pPr>
            <w:r w:rsidRPr="008D2AFB">
              <w:t>12.66</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AAA8E18" w14:textId="77777777" w:rsidR="001D2587" w:rsidRPr="008D2AFB" w:rsidRDefault="001D2587" w:rsidP="0062782E">
            <w:pPr>
              <w:jc w:val="center"/>
            </w:pPr>
            <w:r w:rsidRPr="008D2AFB">
              <w:t>11.68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6C19F021" w14:textId="77777777" w:rsidR="001D2587" w:rsidRPr="008D2AFB" w:rsidRDefault="001D2587" w:rsidP="0062782E">
            <w:pPr>
              <w:jc w:val="center"/>
            </w:pPr>
            <w:r w:rsidRPr="008D2AFB">
              <w:t>3.73</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3A1E11C8" w14:textId="77777777" w:rsidR="001D2587" w:rsidRPr="008D2AFB" w:rsidRDefault="001D2587" w:rsidP="0062782E">
            <w:pPr>
              <w:jc w:val="center"/>
            </w:pPr>
            <w:r w:rsidRPr="008D2AFB">
              <w:t>0.12</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E9CFFCC" w14:textId="77777777" w:rsidR="001D2587" w:rsidRPr="008D2AFB" w:rsidRDefault="001D2587" w:rsidP="0062782E">
            <w:pPr>
              <w:jc w:val="center"/>
            </w:pPr>
            <w:r w:rsidRPr="008D2AFB">
              <w:t>4.95</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580DFC4A" w14:textId="77777777" w:rsidR="001D2587" w:rsidRPr="008D2AFB" w:rsidRDefault="001D2587" w:rsidP="0062782E">
            <w:pPr>
              <w:jc w:val="center"/>
            </w:pPr>
            <w:r w:rsidRPr="008D2AFB">
              <w:t>3.09</w:t>
            </w:r>
          </w:p>
        </w:tc>
      </w:tr>
      <w:tr w:rsidR="001D2587" w:rsidRPr="008D2AFB" w14:paraId="632949DB"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7DB7B1E3" w14:textId="77777777" w:rsidR="001D2587" w:rsidRPr="008D2AFB" w:rsidRDefault="004E1503" w:rsidP="0062782E">
            <w:r w:rsidRPr="008D2AFB">
              <w:t>Petrol</w:t>
            </w:r>
            <w:r w:rsidR="001D2587" w:rsidRPr="008D2AFB">
              <w:t xml:space="preserve"> </w:t>
            </w:r>
            <w:r w:rsidR="00757EE1" w:rsidRPr="008D2AFB">
              <w:t>LCV</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B305BDC" w14:textId="77777777" w:rsidR="001D2587" w:rsidRPr="008D2AFB" w:rsidRDefault="001D2587" w:rsidP="0062782E">
            <w:pPr>
              <w:jc w:val="center"/>
            </w:pPr>
            <w:r w:rsidRPr="008D2AFB">
              <w:t>305.63</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940CD47" w14:textId="77777777" w:rsidR="001D2587" w:rsidRPr="008D2AFB" w:rsidRDefault="001D2587" w:rsidP="0062782E">
            <w:pPr>
              <w:jc w:val="center"/>
            </w:pPr>
            <w:r w:rsidRPr="008D2AFB">
              <w:t>26.58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6100C23" w14:textId="77777777" w:rsidR="001D2587" w:rsidRPr="008D2AFB" w:rsidRDefault="001D2587" w:rsidP="0062782E">
            <w:pPr>
              <w:jc w:val="center"/>
            </w:pPr>
            <w:r w:rsidRPr="008D2AFB">
              <w:t>32.61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0AE7168" w14:textId="77777777" w:rsidR="001D2587" w:rsidRPr="008D2AFB" w:rsidRDefault="001D2587" w:rsidP="0062782E">
            <w:pPr>
              <w:jc w:val="center"/>
            </w:pPr>
            <w:r w:rsidRPr="008D2AFB">
              <w:t>1.51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F4182B0" w14:textId="77777777" w:rsidR="001D2587" w:rsidRPr="008D2AFB" w:rsidRDefault="001D2587" w:rsidP="0062782E">
            <w:pPr>
              <w:jc w:val="center"/>
            </w:pPr>
            <w:r w:rsidRPr="008D2AFB">
              <w:t>0.00</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1F3F86F6" w14:textId="77777777" w:rsidR="001D2587" w:rsidRPr="008D2AFB" w:rsidRDefault="001D2587" w:rsidP="0062782E">
            <w:pPr>
              <w:jc w:val="center"/>
            </w:pPr>
            <w:r w:rsidRPr="008D2AFB">
              <w:t>2.59</w:t>
            </w:r>
          </w:p>
        </w:tc>
      </w:tr>
      <w:tr w:rsidR="001D2587" w:rsidRPr="008D2AFB" w14:paraId="19E3F6D9"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42034321" w14:textId="77777777" w:rsidR="001D2587" w:rsidRPr="008D2AFB" w:rsidRDefault="001D2587" w:rsidP="0062782E">
            <w:r w:rsidRPr="008D2AFB">
              <w:t xml:space="preserve">Diesel </w:t>
            </w:r>
            <w:r w:rsidR="00757EE1" w:rsidRPr="008D2AFB">
              <w:t>LCV</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2332A66" w14:textId="77777777" w:rsidR="001D2587" w:rsidRPr="008D2AFB" w:rsidRDefault="001D2587" w:rsidP="0062782E">
            <w:pPr>
              <w:jc w:val="center"/>
            </w:pPr>
            <w:r w:rsidRPr="008D2AFB">
              <w:t>15.94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FEE43A0" w14:textId="77777777" w:rsidR="001D2587" w:rsidRPr="008D2AFB" w:rsidRDefault="001D2587" w:rsidP="0062782E">
            <w:pPr>
              <w:jc w:val="center"/>
            </w:pPr>
            <w:r w:rsidRPr="008D2AFB">
              <w:t>20.06</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2A5304A" w14:textId="77777777" w:rsidR="001D2587" w:rsidRPr="008D2AFB" w:rsidRDefault="001D2587" w:rsidP="0062782E">
            <w:pPr>
              <w:jc w:val="center"/>
            </w:pPr>
            <w:r w:rsidRPr="008D2AFB">
              <w:t>2.08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63A2E39" w14:textId="77777777" w:rsidR="001D2587" w:rsidRPr="008D2AFB" w:rsidRDefault="001D2587" w:rsidP="0062782E">
            <w:pPr>
              <w:jc w:val="center"/>
            </w:pPr>
            <w:r w:rsidRPr="008D2AFB">
              <w:t>0.08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10C020C" w14:textId="77777777" w:rsidR="001D2587" w:rsidRPr="008D2AFB" w:rsidRDefault="001D2587" w:rsidP="0062782E">
            <w:pPr>
              <w:jc w:val="center"/>
            </w:pPr>
            <w:r w:rsidRPr="008D2AFB">
              <w:t>4.67</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54B75FD3" w14:textId="77777777" w:rsidR="001D2587" w:rsidRPr="008D2AFB" w:rsidRDefault="001D2587" w:rsidP="0062782E">
            <w:pPr>
              <w:jc w:val="center"/>
            </w:pPr>
            <w:r w:rsidRPr="008D2AFB">
              <w:t>3.09</w:t>
            </w:r>
          </w:p>
        </w:tc>
      </w:tr>
      <w:tr w:rsidR="001D2587" w:rsidRPr="008D2AFB" w14:paraId="5CEC9733"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5981AA76" w14:textId="77777777" w:rsidR="001D2587" w:rsidRPr="008D2AFB" w:rsidRDefault="001D2587" w:rsidP="0062782E">
            <w:r w:rsidRPr="008D2AFB">
              <w:lastRenderedPageBreak/>
              <w:t>Diesel HDV</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E756395" w14:textId="77777777" w:rsidR="001D2587" w:rsidRPr="008D2AFB" w:rsidRDefault="001D2587" w:rsidP="0062782E">
            <w:pPr>
              <w:jc w:val="center"/>
            </w:pPr>
            <w:r w:rsidRPr="008D2AFB">
              <w:t>11.54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587A287D" w14:textId="77777777" w:rsidR="001D2587" w:rsidRPr="008D2AFB" w:rsidRDefault="001D2587" w:rsidP="0062782E">
            <w:pPr>
              <w:jc w:val="center"/>
            </w:pPr>
            <w:r w:rsidRPr="008D2AFB">
              <w:t>38.34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617029B0" w14:textId="77777777" w:rsidR="001D2587" w:rsidRPr="008D2AFB" w:rsidRDefault="001D2587" w:rsidP="0062782E">
            <w:pPr>
              <w:jc w:val="center"/>
            </w:pPr>
            <w:r w:rsidRPr="008D2AFB">
              <w:t>6.05</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6FC1C75" w14:textId="77777777" w:rsidR="001D2587" w:rsidRPr="008D2AFB" w:rsidRDefault="001D2587" w:rsidP="0062782E">
            <w:pPr>
              <w:jc w:val="center"/>
            </w:pPr>
            <w:r w:rsidRPr="008D2AFB">
              <w:t>0.34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30DC6DFA" w14:textId="77777777" w:rsidR="001D2587" w:rsidRPr="008D2AFB" w:rsidRDefault="001D2587" w:rsidP="0062782E">
            <w:pPr>
              <w:jc w:val="center"/>
            </w:pPr>
            <w:r w:rsidRPr="008D2AFB">
              <w:t>2.64</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1373CF83" w14:textId="77777777" w:rsidR="001D2587" w:rsidRPr="008D2AFB" w:rsidRDefault="001D2587" w:rsidP="0062782E">
            <w:pPr>
              <w:jc w:val="center"/>
            </w:pPr>
            <w:r w:rsidRPr="008D2AFB">
              <w:t>3.09</w:t>
            </w:r>
          </w:p>
        </w:tc>
      </w:tr>
      <w:tr w:rsidR="001D2587" w:rsidRPr="008D2AFB" w14:paraId="56D5A554"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7B716BB8" w14:textId="77777777" w:rsidR="001D2587" w:rsidRPr="008D2AFB" w:rsidRDefault="001D2587" w:rsidP="0062782E">
            <w:r w:rsidRPr="008D2AFB">
              <w:t>Buses</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93E7D23" w14:textId="77777777" w:rsidR="001D2587" w:rsidRPr="008D2AFB" w:rsidRDefault="001D2587" w:rsidP="0062782E">
            <w:pPr>
              <w:jc w:val="center"/>
            </w:pPr>
            <w:r w:rsidRPr="008D2AFB">
              <w:t>15.71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D5374F6" w14:textId="77777777" w:rsidR="001D2587" w:rsidRPr="008D2AFB" w:rsidRDefault="001D2587" w:rsidP="0062782E">
            <w:pPr>
              <w:jc w:val="center"/>
            </w:pPr>
            <w:r w:rsidRPr="008D2AFB">
              <w:t>49.18</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5BB0BFD" w14:textId="77777777" w:rsidR="001D2587" w:rsidRPr="008D2AFB" w:rsidRDefault="001D2587" w:rsidP="0062782E">
            <w:pPr>
              <w:jc w:val="center"/>
            </w:pPr>
            <w:r w:rsidRPr="008D2AFB">
              <w:t>4.13</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3C79DE2" w14:textId="77777777" w:rsidR="001D2587" w:rsidRPr="008D2AFB" w:rsidRDefault="001D2587" w:rsidP="0062782E">
            <w:pPr>
              <w:jc w:val="center"/>
            </w:pPr>
            <w:r w:rsidRPr="008D2AFB">
              <w:t>0.51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C00D10D" w14:textId="77777777" w:rsidR="001D2587" w:rsidRPr="008D2AFB" w:rsidRDefault="001D2587" w:rsidP="0062782E">
            <w:pPr>
              <w:jc w:val="center"/>
            </w:pPr>
            <w:r w:rsidRPr="008D2AFB">
              <w:t>2.15</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5660B391" w14:textId="77777777" w:rsidR="001D2587" w:rsidRPr="008D2AFB" w:rsidRDefault="001D2587" w:rsidP="0062782E">
            <w:pPr>
              <w:jc w:val="center"/>
            </w:pPr>
            <w:r w:rsidRPr="008D2AFB">
              <w:t>3.09</w:t>
            </w:r>
          </w:p>
        </w:tc>
      </w:tr>
      <w:tr w:rsidR="001D2587" w:rsidRPr="008D2AFB" w14:paraId="3EE59441"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5D3477AF" w14:textId="77777777" w:rsidR="001D2587" w:rsidRPr="008D2AFB" w:rsidRDefault="001D2587" w:rsidP="0062782E">
            <w:r w:rsidRPr="008D2AFB">
              <w:t>Coaches</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40E04B31" w14:textId="77777777" w:rsidR="001D2587" w:rsidRPr="008D2AFB" w:rsidRDefault="001D2587" w:rsidP="0062782E">
            <w:pPr>
              <w:jc w:val="center"/>
            </w:pPr>
            <w:r w:rsidRPr="008D2AFB">
              <w:t>10.61</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77B16FBD" w14:textId="77777777" w:rsidR="001D2587" w:rsidRPr="008D2AFB" w:rsidRDefault="001D2587" w:rsidP="0062782E">
            <w:pPr>
              <w:jc w:val="center"/>
            </w:pPr>
            <w:r w:rsidRPr="008D2AFB">
              <w:t>42.02</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6D1896CD" w14:textId="77777777" w:rsidR="001D2587" w:rsidRPr="008D2AFB" w:rsidRDefault="001D2587" w:rsidP="0062782E">
            <w:pPr>
              <w:jc w:val="center"/>
            </w:pPr>
            <w:r w:rsidRPr="008D2AFB">
              <w:t>5.75</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635E1B19" w14:textId="77777777" w:rsidR="001D2587" w:rsidRPr="008D2AFB" w:rsidRDefault="001D2587" w:rsidP="0062782E">
            <w:pPr>
              <w:jc w:val="center"/>
            </w:pPr>
            <w:r w:rsidRPr="008D2AFB">
              <w:t>0.44</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C428C30" w14:textId="77777777" w:rsidR="001D2587" w:rsidRPr="008D2AFB" w:rsidRDefault="001D2587" w:rsidP="0062782E">
            <w:pPr>
              <w:jc w:val="center"/>
            </w:pPr>
            <w:r w:rsidRPr="008D2AFB">
              <w:t>2.24</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1008DBD1" w14:textId="77777777" w:rsidR="001D2587" w:rsidRPr="008D2AFB" w:rsidRDefault="001D2587" w:rsidP="0062782E">
            <w:pPr>
              <w:jc w:val="center"/>
            </w:pPr>
            <w:r w:rsidRPr="008D2AFB">
              <w:t>3.09</w:t>
            </w:r>
          </w:p>
        </w:tc>
      </w:tr>
      <w:tr w:rsidR="001D2587" w:rsidRPr="008D2AFB" w14:paraId="11B9359C" w14:textId="77777777" w:rsidTr="0062782E">
        <w:trPr>
          <w:trHeight w:val="255"/>
        </w:trPr>
        <w:tc>
          <w:tcPr>
            <w:tcW w:w="1277" w:type="dxa"/>
            <w:tcBorders>
              <w:top w:val="single" w:sz="4" w:space="0" w:color="auto"/>
              <w:left w:val="double" w:sz="6" w:space="0" w:color="auto"/>
              <w:bottom w:val="single" w:sz="4" w:space="0" w:color="auto"/>
              <w:right w:val="single" w:sz="4" w:space="0" w:color="auto"/>
            </w:tcBorders>
            <w:noWrap/>
            <w:tcMar>
              <w:left w:w="28" w:type="dxa"/>
              <w:right w:w="28" w:type="dxa"/>
            </w:tcMar>
            <w:vAlign w:val="center"/>
          </w:tcPr>
          <w:p w14:paraId="0875455A" w14:textId="77777777" w:rsidR="001D2587" w:rsidRPr="008D2AFB" w:rsidRDefault="001D2587" w:rsidP="0062782E">
            <w:r w:rsidRPr="008D2AFB">
              <w:t>Mopeds</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5F248F7" w14:textId="77777777" w:rsidR="001D2587" w:rsidRPr="008D2AFB" w:rsidRDefault="001D2587" w:rsidP="0062782E">
            <w:pPr>
              <w:jc w:val="center"/>
            </w:pPr>
            <w:r w:rsidRPr="008D2AFB">
              <w:t>600.00</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0AE5F936" w14:textId="77777777" w:rsidR="001D2587" w:rsidRPr="008D2AFB" w:rsidRDefault="001D2587" w:rsidP="0062782E">
            <w:pPr>
              <w:jc w:val="center"/>
            </w:pPr>
            <w:r w:rsidRPr="008D2AFB">
              <w:t>1.20</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3396390D" w14:textId="77777777" w:rsidR="001D2587" w:rsidRPr="008D2AFB" w:rsidRDefault="001D2587" w:rsidP="0062782E">
            <w:pPr>
              <w:jc w:val="center"/>
            </w:pPr>
            <w:r w:rsidRPr="008D2AFB">
              <w:t>357.70</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2517768D" w14:textId="77777777" w:rsidR="001D2587" w:rsidRPr="008D2AFB" w:rsidRDefault="001D2587" w:rsidP="0062782E">
            <w:pPr>
              <w:jc w:val="center"/>
            </w:pPr>
            <w:r w:rsidRPr="008D2AFB">
              <w:t>8.76</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14:paraId="102BB600" w14:textId="77777777" w:rsidR="001D2587" w:rsidRPr="008D2AFB" w:rsidRDefault="001D2587" w:rsidP="0062782E">
            <w:pPr>
              <w:jc w:val="center"/>
            </w:pPr>
            <w:r w:rsidRPr="008D2AFB">
              <w:t>0.00</w:t>
            </w:r>
          </w:p>
        </w:tc>
        <w:tc>
          <w:tcPr>
            <w:tcW w:w="1697" w:type="dxa"/>
            <w:tcBorders>
              <w:top w:val="single" w:sz="4" w:space="0" w:color="auto"/>
              <w:left w:val="nil"/>
              <w:bottom w:val="single" w:sz="4" w:space="0" w:color="auto"/>
              <w:right w:val="double" w:sz="6" w:space="0" w:color="auto"/>
            </w:tcBorders>
            <w:noWrap/>
            <w:tcMar>
              <w:left w:w="28" w:type="dxa"/>
              <w:right w:w="28" w:type="dxa"/>
            </w:tcMar>
            <w:vAlign w:val="center"/>
          </w:tcPr>
          <w:p w14:paraId="77F1C901" w14:textId="77777777" w:rsidR="001D2587" w:rsidRPr="008D2AFB" w:rsidRDefault="001D2587" w:rsidP="0062782E">
            <w:pPr>
              <w:jc w:val="center"/>
            </w:pPr>
            <w:r w:rsidRPr="008D2AFB">
              <w:t>1.07</w:t>
            </w:r>
          </w:p>
        </w:tc>
      </w:tr>
      <w:tr w:rsidR="001D2587" w:rsidRPr="008D2AFB" w14:paraId="105A7873" w14:textId="77777777" w:rsidTr="0062782E">
        <w:trPr>
          <w:trHeight w:val="255"/>
        </w:trPr>
        <w:tc>
          <w:tcPr>
            <w:tcW w:w="1277" w:type="dxa"/>
            <w:tcBorders>
              <w:top w:val="single" w:sz="4" w:space="0" w:color="auto"/>
              <w:left w:val="double" w:sz="6" w:space="0" w:color="auto"/>
              <w:bottom w:val="double" w:sz="6" w:space="0" w:color="auto"/>
              <w:right w:val="single" w:sz="4" w:space="0" w:color="auto"/>
            </w:tcBorders>
            <w:noWrap/>
            <w:tcMar>
              <w:left w:w="28" w:type="dxa"/>
              <w:right w:w="28" w:type="dxa"/>
            </w:tcMar>
            <w:vAlign w:val="center"/>
          </w:tcPr>
          <w:p w14:paraId="094A5A19" w14:textId="77777777" w:rsidR="001D2587" w:rsidRPr="008D2AFB" w:rsidRDefault="001D2587" w:rsidP="0062782E">
            <w:r w:rsidRPr="008D2AFB">
              <w:t>Motorcycles</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046F1BF2" w14:textId="77777777" w:rsidR="001D2587" w:rsidRPr="008D2AFB" w:rsidRDefault="001D2587" w:rsidP="0062782E">
            <w:pPr>
              <w:jc w:val="center"/>
            </w:pPr>
            <w:r w:rsidRPr="008D2AFB">
              <w:t>691.76</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358FC27F" w14:textId="77777777" w:rsidR="001D2587" w:rsidRPr="008D2AFB" w:rsidRDefault="001D2587" w:rsidP="0062782E">
            <w:pPr>
              <w:jc w:val="center"/>
            </w:pPr>
            <w:r w:rsidRPr="008D2AFB">
              <w:t>4.82</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672542B9" w14:textId="77777777" w:rsidR="001D2587" w:rsidRPr="008D2AFB" w:rsidRDefault="001D2587" w:rsidP="0062782E">
            <w:pPr>
              <w:jc w:val="center"/>
            </w:pPr>
            <w:r w:rsidRPr="008D2AFB">
              <w:t>114.71</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1B7DA314" w14:textId="77777777" w:rsidR="001D2587" w:rsidRPr="008D2AFB" w:rsidRDefault="001D2587" w:rsidP="0062782E">
            <w:pPr>
              <w:jc w:val="center"/>
            </w:pPr>
            <w:r w:rsidRPr="008D2AFB">
              <w:t>5.26</w:t>
            </w:r>
          </w:p>
        </w:tc>
        <w:tc>
          <w:tcPr>
            <w:tcW w:w="851" w:type="dxa"/>
            <w:tcBorders>
              <w:top w:val="single" w:sz="4" w:space="0" w:color="auto"/>
              <w:left w:val="nil"/>
              <w:bottom w:val="double" w:sz="6" w:space="0" w:color="auto"/>
              <w:right w:val="single" w:sz="4" w:space="0" w:color="auto"/>
            </w:tcBorders>
            <w:noWrap/>
            <w:tcMar>
              <w:left w:w="28" w:type="dxa"/>
              <w:right w:w="28" w:type="dxa"/>
            </w:tcMar>
            <w:vAlign w:val="center"/>
          </w:tcPr>
          <w:p w14:paraId="3DE5F103" w14:textId="77777777" w:rsidR="001D2587" w:rsidRPr="008D2AFB" w:rsidRDefault="001D2587" w:rsidP="0062782E">
            <w:pPr>
              <w:jc w:val="center"/>
            </w:pPr>
            <w:r w:rsidRPr="008D2AFB">
              <w:t>0.00</w:t>
            </w:r>
          </w:p>
        </w:tc>
        <w:tc>
          <w:tcPr>
            <w:tcW w:w="1697" w:type="dxa"/>
            <w:tcBorders>
              <w:top w:val="single" w:sz="4" w:space="0" w:color="auto"/>
              <w:left w:val="nil"/>
              <w:bottom w:val="double" w:sz="6" w:space="0" w:color="auto"/>
              <w:right w:val="double" w:sz="6" w:space="0" w:color="auto"/>
            </w:tcBorders>
            <w:noWrap/>
            <w:tcMar>
              <w:left w:w="28" w:type="dxa"/>
              <w:right w:w="28" w:type="dxa"/>
            </w:tcMar>
            <w:vAlign w:val="center"/>
          </w:tcPr>
          <w:p w14:paraId="395BC327" w14:textId="77777777" w:rsidR="001D2587" w:rsidRPr="008D2AFB" w:rsidRDefault="001D2587" w:rsidP="0062782E">
            <w:pPr>
              <w:jc w:val="center"/>
            </w:pPr>
            <w:r w:rsidRPr="008D2AFB">
              <w:t>1.71</w:t>
            </w:r>
          </w:p>
        </w:tc>
      </w:tr>
    </w:tbl>
    <w:p w14:paraId="79CB9FFA" w14:textId="77777777" w:rsidR="001D2587" w:rsidRPr="000855B2" w:rsidRDefault="001D2587" w:rsidP="00EA3292">
      <w:pPr>
        <w:pStyle w:val="Heading1"/>
        <w:numPr>
          <w:ilvl w:val="0"/>
          <w:numId w:val="0"/>
        </w:numPr>
      </w:pPr>
      <w:r w:rsidRPr="000855B2">
        <w:br w:type="page"/>
      </w:r>
      <w:bookmarkStart w:id="353" w:name="_Toc200272635"/>
      <w:bookmarkStart w:id="354" w:name="_Toc482003919"/>
      <w:r w:rsidR="00B5186D" w:rsidRPr="000855B2">
        <w:lastRenderedPageBreak/>
        <w:t>Appendix</w:t>
      </w:r>
      <w:r w:rsidRPr="000855B2">
        <w:t xml:space="preserve"> 2</w:t>
      </w:r>
      <w:r w:rsidR="00B5186D" w:rsidRPr="000855B2">
        <w:tab/>
      </w:r>
      <w:r w:rsidRPr="000855B2">
        <w:t xml:space="preserve">History of the development of the </w:t>
      </w:r>
      <w:r w:rsidR="001119F4" w:rsidRPr="000855B2">
        <w:t>r</w:t>
      </w:r>
      <w:r w:rsidRPr="000855B2">
        <w:t xml:space="preserve">oad </w:t>
      </w:r>
      <w:r w:rsidR="001119F4" w:rsidRPr="000855B2">
        <w:t>t</w:t>
      </w:r>
      <w:r w:rsidRPr="000855B2">
        <w:t xml:space="preserve">ransport </w:t>
      </w:r>
      <w:r w:rsidR="001119F4" w:rsidRPr="000855B2">
        <w:t>c</w:t>
      </w:r>
      <w:r w:rsidRPr="000855B2">
        <w:t>hapter</w:t>
      </w:r>
      <w:bookmarkEnd w:id="353"/>
      <w:bookmarkEnd w:id="354"/>
    </w:p>
    <w:p w14:paraId="13C52F9C" w14:textId="1F85DCF9" w:rsidR="001D2587" w:rsidRPr="000855B2" w:rsidRDefault="001D2587" w:rsidP="00DE272E">
      <w:pPr>
        <w:pStyle w:val="BodyText"/>
      </w:pPr>
      <w:r w:rsidRPr="000855B2">
        <w:t>Th</w:t>
      </w:r>
      <w:r w:rsidR="00820F57" w:rsidRPr="000855B2">
        <w:t>is chapter</w:t>
      </w:r>
      <w:r w:rsidRPr="000855B2">
        <w:t xml:space="preserve"> </w:t>
      </w:r>
      <w:r w:rsidR="00820F57" w:rsidRPr="000855B2">
        <w:t>p</w:t>
      </w:r>
      <w:r w:rsidRPr="000855B2">
        <w:t>resent</w:t>
      </w:r>
      <w:r w:rsidR="00820F57" w:rsidRPr="000855B2">
        <w:t>s</w:t>
      </w:r>
      <w:r w:rsidRPr="000855B2">
        <w:t xml:space="preserve"> the </w:t>
      </w:r>
      <w:r w:rsidR="00707CB1" w:rsidRPr="000855B2">
        <w:t>latest</w:t>
      </w:r>
      <w:r w:rsidRPr="000855B2">
        <w:t xml:space="preserve"> update of the initial </w:t>
      </w:r>
      <w:r w:rsidR="00820F57" w:rsidRPr="000855B2">
        <w:t>methodology</w:t>
      </w:r>
      <w:r w:rsidRPr="000855B2">
        <w:t xml:space="preserve"> </w:t>
      </w:r>
      <w:r w:rsidR="00820F57" w:rsidRPr="000855B2">
        <w:t>used in</w:t>
      </w:r>
      <w:r w:rsidRPr="000855B2">
        <w:t xml:space="preserve"> the </w:t>
      </w:r>
      <w:r w:rsidR="000116F1" w:rsidRPr="000855B2">
        <w:t>Corinair</w:t>
      </w:r>
      <w:r w:rsidRPr="000855B2">
        <w:t xml:space="preserve"> 1985 emissions inventory (Eggleston </w:t>
      </w:r>
      <w:r w:rsidR="00D73F59" w:rsidRPr="000855B2">
        <w:t>et al</w:t>
      </w:r>
      <w:r w:rsidRPr="000855B2">
        <w:rPr>
          <w:i/>
        </w:rPr>
        <w:t>.</w:t>
      </w:r>
      <w:r w:rsidRPr="000855B2">
        <w:t>, 1989)</w:t>
      </w:r>
      <w:r w:rsidR="00820F57" w:rsidRPr="000855B2">
        <w:t>,</w:t>
      </w:r>
      <w:r w:rsidRPr="000855B2">
        <w:t xml:space="preserve"> and firstly updated in 1991 for the </w:t>
      </w:r>
      <w:r w:rsidR="000116F1" w:rsidRPr="000855B2">
        <w:t>Corinair</w:t>
      </w:r>
      <w:r w:rsidRPr="000855B2">
        <w:t xml:space="preserve"> 1990 inventory (Eggleston </w:t>
      </w:r>
      <w:r w:rsidR="00D73F59" w:rsidRPr="000855B2">
        <w:t>et al</w:t>
      </w:r>
      <w:r w:rsidRPr="000855B2">
        <w:t>., 1993). Th</w:t>
      </w:r>
      <w:r w:rsidR="00820F57" w:rsidRPr="000855B2">
        <w:t xml:space="preserve">e </w:t>
      </w:r>
      <w:r w:rsidR="000116F1" w:rsidRPr="000855B2">
        <w:t>Corinair</w:t>
      </w:r>
      <w:r w:rsidR="00820F57" w:rsidRPr="000855B2">
        <w:t xml:space="preserve"> 1990</w:t>
      </w:r>
      <w:r w:rsidRPr="000855B2">
        <w:t xml:space="preserve"> </w:t>
      </w:r>
      <w:r w:rsidR="00820F57" w:rsidRPr="000855B2">
        <w:t xml:space="preserve">methodology </w:t>
      </w:r>
      <w:r w:rsidRPr="000855B2">
        <w:t xml:space="preserve">was </w:t>
      </w:r>
      <w:r w:rsidR="00820F57" w:rsidRPr="000855B2">
        <w:t>used</w:t>
      </w:r>
      <w:r w:rsidRPr="000855B2">
        <w:t xml:space="preserve"> in the first version of the Emission Inventory Guidebook. The second update of the methodology (Ahlvik </w:t>
      </w:r>
      <w:r w:rsidR="00D73F59" w:rsidRPr="000855B2">
        <w:t>et al</w:t>
      </w:r>
      <w:r w:rsidRPr="000855B2">
        <w:rPr>
          <w:i/>
        </w:rPr>
        <w:t>.</w:t>
      </w:r>
      <w:r w:rsidRPr="000855B2">
        <w:t xml:space="preserve">, 1997) was introduced in the software tool </w:t>
      </w:r>
      <w:r w:rsidR="00461783">
        <w:t>COPERT</w:t>
      </w:r>
      <w:r w:rsidRPr="000855B2">
        <w:t xml:space="preserve"> II (</w:t>
      </w:r>
      <w:r w:rsidRPr="000855B2">
        <w:rPr>
          <w:b/>
          <w:bCs/>
        </w:rPr>
        <w:t>Co</w:t>
      </w:r>
      <w:r w:rsidRPr="000855B2">
        <w:t xml:space="preserve">mputer </w:t>
      </w:r>
      <w:r w:rsidRPr="000855B2">
        <w:rPr>
          <w:b/>
          <w:bCs/>
        </w:rPr>
        <w:t>P</w:t>
      </w:r>
      <w:r w:rsidRPr="000855B2">
        <w:t xml:space="preserve">rogramme to calculate </w:t>
      </w:r>
      <w:r w:rsidRPr="000855B2">
        <w:rPr>
          <w:b/>
          <w:bCs/>
        </w:rPr>
        <w:t>E</w:t>
      </w:r>
      <w:r w:rsidRPr="000855B2">
        <w:t xml:space="preserve">missions from </w:t>
      </w:r>
      <w:r w:rsidRPr="000855B2">
        <w:rPr>
          <w:b/>
          <w:bCs/>
        </w:rPr>
        <w:t>R</w:t>
      </w:r>
      <w:r w:rsidRPr="000855B2">
        <w:t xml:space="preserve">oad </w:t>
      </w:r>
      <w:r w:rsidRPr="000855B2">
        <w:rPr>
          <w:b/>
          <w:bCs/>
        </w:rPr>
        <w:t>T</w:t>
      </w:r>
      <w:r w:rsidRPr="000855B2">
        <w:t xml:space="preserve">ransport) and a further update of the Guidebook was prepared. The next methodology was fully embodied in the </w:t>
      </w:r>
      <w:r w:rsidR="00461783">
        <w:t>COPERT</w:t>
      </w:r>
      <w:r w:rsidRPr="000855B2">
        <w:t xml:space="preserve"> </w:t>
      </w:r>
      <w:smartTag w:uri="urn:schemas-microsoft-com:office:smarttags" w:element="stockticker">
        <w:r w:rsidRPr="000855B2">
          <w:t>III</w:t>
        </w:r>
      </w:smartTag>
      <w:r w:rsidRPr="000855B2">
        <w:t xml:space="preserve"> tool (Ntziachristos and Samaras, 2000</w:t>
      </w:r>
      <w:r w:rsidR="00711FD8" w:rsidRPr="000855B2">
        <w:t>a</w:t>
      </w:r>
      <w:r w:rsidRPr="000855B2">
        <w:t>). The present methodology is the mo</w:t>
      </w:r>
      <w:r w:rsidR="00030BF7" w:rsidRPr="000855B2">
        <w:t>st recent revision (version 2008</w:t>
      </w:r>
      <w:r w:rsidRPr="000855B2">
        <w:t xml:space="preserve">) of the methodology fully incorporated in the software tool </w:t>
      </w:r>
      <w:r w:rsidR="00461783">
        <w:t>COPERT</w:t>
      </w:r>
      <w:r w:rsidRPr="000855B2">
        <w:t xml:space="preserve"> 4</w:t>
      </w:r>
      <w:r w:rsidR="00820F57" w:rsidRPr="000855B2">
        <w:t>,</w:t>
      </w:r>
      <w:r w:rsidRPr="000855B2">
        <w:t xml:space="preserve"> which is available at </w:t>
      </w:r>
      <w:hyperlink r:id="rId60" w:history="1">
        <w:r w:rsidR="00510BE2" w:rsidRPr="000855B2">
          <w:rPr>
            <w:rStyle w:val="Hyperlink"/>
          </w:rPr>
          <w:t>http://www.emisia.com/copert</w:t>
        </w:r>
      </w:hyperlink>
      <w:r w:rsidRPr="000855B2">
        <w:t xml:space="preserve">. Several methodological issues were introduced in the 2006 revision and have been </w:t>
      </w:r>
      <w:r w:rsidR="00820F57" w:rsidRPr="000855B2">
        <w:t>retained</w:t>
      </w:r>
      <w:r w:rsidRPr="000855B2">
        <w:t xml:space="preserve"> in this version (hot emission factors for post Euro 1 vehicles, PM emission information, emission </w:t>
      </w:r>
      <w:r w:rsidR="00820F57" w:rsidRPr="000855B2">
        <w:t>factors for two-wheel vehicles</w:t>
      </w:r>
      <w:r w:rsidRPr="000855B2">
        <w:t>). Some of these have been corrected</w:t>
      </w:r>
      <w:r w:rsidR="00820F57" w:rsidRPr="000855B2">
        <w:t>,</w:t>
      </w:r>
      <w:r w:rsidRPr="000855B2">
        <w:t xml:space="preserve"> and new items have been included to cover new emission technologies and pollutants.</w:t>
      </w:r>
    </w:p>
    <w:p w14:paraId="0EC03BD5" w14:textId="77777777" w:rsidR="001D2587" w:rsidRPr="000855B2" w:rsidRDefault="001D2587" w:rsidP="00DE272E">
      <w:pPr>
        <w:pStyle w:val="BodyText"/>
      </w:pPr>
      <w:r w:rsidRPr="000855B2">
        <w:t>The fundamental elements date back to the first version</w:t>
      </w:r>
      <w:r w:rsidR="00820F57" w:rsidRPr="000855B2">
        <w:t>,</w:t>
      </w:r>
      <w:r w:rsidRPr="000855B2">
        <w:t xml:space="preserve"> and several emission factors from older vehicles still remain unmodified since this first version. The previous versions of this chapter introduced several methodological revisions, including extended vehicle classification and pollutant coverage, emission factors and corrections for road gradient and vehicle load, </w:t>
      </w:r>
      <w:r w:rsidR="00D73F59" w:rsidRPr="000855B2">
        <w:t>etc</w:t>
      </w:r>
      <w:r w:rsidRPr="000855B2">
        <w:t>, as well as new PM, N</w:t>
      </w:r>
      <w:r w:rsidRPr="000855B2">
        <w:rPr>
          <w:vertAlign w:val="subscript"/>
        </w:rPr>
        <w:t>2</w:t>
      </w:r>
      <w:r w:rsidRPr="000855B2">
        <w:t>O, NH</w:t>
      </w:r>
      <w:r w:rsidRPr="000855B2">
        <w:rPr>
          <w:vertAlign w:val="subscript"/>
        </w:rPr>
        <w:t>3</w:t>
      </w:r>
      <w:r w:rsidRPr="000855B2">
        <w:t xml:space="preserve"> emission information and new emission factors for passenger cars including hybrids, heavy</w:t>
      </w:r>
      <w:r w:rsidR="006F1553" w:rsidRPr="000855B2">
        <w:t>-</w:t>
      </w:r>
      <w:r w:rsidRPr="000855B2">
        <w:t>duty vehicles and two</w:t>
      </w:r>
      <w:r w:rsidR="006F1553" w:rsidRPr="000855B2">
        <w:t>-</w:t>
      </w:r>
      <w:r w:rsidRPr="000855B2">
        <w:t>wheel</w:t>
      </w:r>
      <w:r w:rsidR="006F1553" w:rsidRPr="000855B2">
        <w:t xml:space="preserve"> vehicles</w:t>
      </w:r>
      <w:r w:rsidRPr="000855B2">
        <w:t>. These mainly originated from the European Commission (DG Transport)</w:t>
      </w:r>
      <w:r w:rsidR="00820F57" w:rsidRPr="000855B2">
        <w:t xml:space="preserve"> projects </w:t>
      </w:r>
      <w:r w:rsidR="00CC5B0C" w:rsidRPr="000855B2">
        <w:t>Artemis</w:t>
      </w:r>
      <w:r w:rsidRPr="000855B2">
        <w:t xml:space="preserve"> </w:t>
      </w:r>
      <w:r w:rsidRPr="000855B2">
        <w:rPr>
          <w:iCs/>
        </w:rPr>
        <w:t>(Assessment and Reliability of Transport Emission Models and Inventory Systems</w:t>
      </w:r>
      <w:r w:rsidRPr="000855B2">
        <w:rPr>
          <w:i/>
          <w:iCs/>
        </w:rPr>
        <w:t xml:space="preserve">) </w:t>
      </w:r>
      <w:r w:rsidRPr="000855B2">
        <w:t xml:space="preserve">and </w:t>
      </w:r>
      <w:r w:rsidR="00820F57" w:rsidRPr="000855B2">
        <w:t>P</w:t>
      </w:r>
      <w:r w:rsidR="00391A9C" w:rsidRPr="000855B2">
        <w:t>articulates</w:t>
      </w:r>
      <w:r w:rsidRPr="000855B2">
        <w:t>, a study o</w:t>
      </w:r>
      <w:r w:rsidR="00820F57" w:rsidRPr="000855B2">
        <w:t>f</w:t>
      </w:r>
      <w:r w:rsidRPr="000855B2">
        <w:t xml:space="preserve"> Euro 3 two</w:t>
      </w:r>
      <w:r w:rsidR="00820F57" w:rsidRPr="000855B2">
        <w:t>-</w:t>
      </w:r>
      <w:r w:rsidRPr="000855B2">
        <w:t xml:space="preserve">wheel </w:t>
      </w:r>
      <w:r w:rsidR="00820F57" w:rsidRPr="000855B2">
        <w:t xml:space="preserve">vehicle </w:t>
      </w:r>
      <w:r w:rsidRPr="000855B2">
        <w:t xml:space="preserve">emissions </w:t>
      </w:r>
      <w:r w:rsidR="00820F57" w:rsidRPr="000855B2">
        <w:t xml:space="preserve">conducted </w:t>
      </w:r>
      <w:r w:rsidRPr="000855B2">
        <w:t>on behalf of DG Enterprise</w:t>
      </w:r>
      <w:r w:rsidR="00820F57" w:rsidRPr="000855B2">
        <w:t>,</w:t>
      </w:r>
      <w:r w:rsidRPr="000855B2">
        <w:t xml:space="preserve"> and </w:t>
      </w:r>
      <w:r w:rsidR="00820F57" w:rsidRPr="000855B2">
        <w:t xml:space="preserve">specific </w:t>
      </w:r>
      <w:r w:rsidRPr="000855B2">
        <w:t>Aristotle University studies on N</w:t>
      </w:r>
      <w:r w:rsidRPr="000855B2">
        <w:rPr>
          <w:vertAlign w:val="subscript"/>
        </w:rPr>
        <w:t>2</w:t>
      </w:r>
      <w:r w:rsidRPr="000855B2">
        <w:t>O and NH</w:t>
      </w:r>
      <w:r w:rsidRPr="000855B2">
        <w:rPr>
          <w:vertAlign w:val="subscript"/>
        </w:rPr>
        <w:t>3</w:t>
      </w:r>
      <w:r w:rsidRPr="000855B2">
        <w:t xml:space="preserve"> emissions. The present version </w:t>
      </w:r>
      <w:r w:rsidR="00707CB1" w:rsidRPr="000855B2">
        <w:t>includes</w:t>
      </w:r>
      <w:r w:rsidRPr="000855B2">
        <w:t xml:space="preserve"> additional refinements and new calculation elements</w:t>
      </w:r>
      <w:r w:rsidR="00707CB1" w:rsidRPr="000855B2">
        <w:t xml:space="preserve"> across recent years</w:t>
      </w:r>
      <w:r w:rsidRPr="000855B2">
        <w:t>. Those revisions and extensions mainly originate from the following sources:</w:t>
      </w:r>
    </w:p>
    <w:p w14:paraId="7FC40AC7" w14:textId="6D7B0E6D" w:rsidR="001D2587" w:rsidRPr="000855B2" w:rsidRDefault="00391A9C" w:rsidP="00DE272E">
      <w:pPr>
        <w:pStyle w:val="ListBullet"/>
      </w:pPr>
      <w:r w:rsidRPr="000855B2">
        <w:t>c</w:t>
      </w:r>
      <w:r w:rsidR="001D2587" w:rsidRPr="000855B2">
        <w:t xml:space="preserve">ontinuous work on the European Commission (DG Transport) </w:t>
      </w:r>
      <w:r w:rsidR="00CC5B0C" w:rsidRPr="000855B2">
        <w:t>Artemis</w:t>
      </w:r>
      <w:r w:rsidR="001D2587" w:rsidRPr="000855B2">
        <w:t xml:space="preserve"> project, which develop</w:t>
      </w:r>
      <w:r w:rsidR="00820F57" w:rsidRPr="000855B2">
        <w:t>ed</w:t>
      </w:r>
      <w:r w:rsidR="001D2587" w:rsidRPr="000855B2">
        <w:t xml:space="preserve"> a new database of emission factors of gaseous po</w:t>
      </w:r>
      <w:r w:rsidR="00D90A08" w:rsidRPr="000855B2">
        <w:t>llutants from transport (</w:t>
      </w:r>
      <w:hyperlink r:id="rId61" w:history="1">
        <w:r w:rsidR="00D90A08" w:rsidRPr="000855B2">
          <w:rPr>
            <w:rStyle w:val="Hyperlink"/>
          </w:rPr>
          <w:t>www.trl.co.uk/artemis</w:t>
        </w:r>
      </w:hyperlink>
      <w:r w:rsidR="001D2587" w:rsidRPr="000855B2">
        <w:t>)</w:t>
      </w:r>
      <w:r w:rsidRPr="000855B2">
        <w:t>;</w:t>
      </w:r>
    </w:p>
    <w:p w14:paraId="1EDE8189" w14:textId="77777777" w:rsidR="001D2587" w:rsidRPr="000855B2" w:rsidRDefault="00391A9C" w:rsidP="00DE272E">
      <w:pPr>
        <w:pStyle w:val="ListBullet"/>
      </w:pPr>
      <w:r w:rsidRPr="000855B2">
        <w:t>a</w:t>
      </w:r>
      <w:r w:rsidR="001D2587" w:rsidRPr="000855B2">
        <w:t>ristotle University studies and literature reviews, aiming at developing new information for the PM split in elemental carbon and organic carbon, NO</w:t>
      </w:r>
      <w:r w:rsidR="001D2587" w:rsidRPr="000855B2">
        <w:rPr>
          <w:vertAlign w:val="subscript"/>
        </w:rPr>
        <w:t>x</w:t>
      </w:r>
      <w:r w:rsidR="001D2587" w:rsidRPr="000855B2">
        <w:t xml:space="preserve"> split in NO and NO</w:t>
      </w:r>
      <w:r w:rsidR="001D2587" w:rsidRPr="000855B2">
        <w:rPr>
          <w:vertAlign w:val="subscript"/>
        </w:rPr>
        <w:t>2</w:t>
      </w:r>
      <w:r w:rsidR="001D2587" w:rsidRPr="000855B2">
        <w:t xml:space="preserve">, emission factors for CNG </w:t>
      </w:r>
      <w:r w:rsidR="00BA6BBF" w:rsidRPr="000855B2">
        <w:t>buses</w:t>
      </w:r>
      <w:r w:rsidR="001D2587" w:rsidRPr="000855B2">
        <w:t xml:space="preserve">, emission with the use of </w:t>
      </w:r>
      <w:r w:rsidR="00820F57" w:rsidRPr="000855B2">
        <w:t>b</w:t>
      </w:r>
      <w:r w:rsidR="001D2587" w:rsidRPr="000855B2">
        <w:t xml:space="preserve">iodiesel, </w:t>
      </w:r>
      <w:r w:rsidR="00D73F59" w:rsidRPr="000855B2">
        <w:t>etc</w:t>
      </w:r>
      <w:r w:rsidR="001D2587" w:rsidRPr="000855B2">
        <w:t>. These dedicated studies were funded by the European Topic Centre (2007 Budget)</w:t>
      </w:r>
      <w:r w:rsidRPr="000855B2">
        <w:t>;</w:t>
      </w:r>
    </w:p>
    <w:p w14:paraId="591C2761" w14:textId="77777777" w:rsidR="001D2587" w:rsidRPr="000855B2" w:rsidRDefault="00391A9C" w:rsidP="00DE272E">
      <w:pPr>
        <w:pStyle w:val="ListBullet"/>
      </w:pPr>
      <w:r w:rsidRPr="000855B2">
        <w:t>t</w:t>
      </w:r>
      <w:r w:rsidR="001D2587" w:rsidRPr="000855B2">
        <w:t xml:space="preserve">he European Topic Centre </w:t>
      </w:r>
      <w:r w:rsidR="00707CB1" w:rsidRPr="000855B2">
        <w:t xml:space="preserve">on Air Pollutino and Climate Change Mitigation </w:t>
      </w:r>
      <w:r w:rsidR="001D2587" w:rsidRPr="000855B2">
        <w:t>of the European Environment Agency work relat</w:t>
      </w:r>
      <w:r w:rsidR="00820F57" w:rsidRPr="000855B2">
        <w:t>ing</w:t>
      </w:r>
      <w:r w:rsidR="001D2587" w:rsidRPr="000855B2">
        <w:t xml:space="preserve"> to the assessment of the local contribution to air pollution at urban hotspots</w:t>
      </w:r>
      <w:r w:rsidRPr="000855B2">
        <w:t>;</w:t>
      </w:r>
    </w:p>
    <w:p w14:paraId="281FA070" w14:textId="77777777" w:rsidR="001D2587" w:rsidRPr="000855B2" w:rsidRDefault="00391A9C" w:rsidP="00DE272E">
      <w:pPr>
        <w:pStyle w:val="ListBullet"/>
      </w:pPr>
      <w:r w:rsidRPr="000855B2">
        <w:t>t</w:t>
      </w:r>
      <w:r w:rsidR="001D2587" w:rsidRPr="000855B2">
        <w:t xml:space="preserve">he European Commission research project (DG Environment) on the further improvement and application of the transport and environment </w:t>
      </w:r>
      <w:r w:rsidR="003C2DC5" w:rsidRPr="000855B2">
        <w:t>Tremove</w:t>
      </w:r>
      <w:r w:rsidR="001D2587" w:rsidRPr="000855B2">
        <w:t xml:space="preserve"> model</w:t>
      </w:r>
      <w:r w:rsidRPr="000855B2">
        <w:t>;</w:t>
      </w:r>
    </w:p>
    <w:p w14:paraId="605AA740" w14:textId="77777777" w:rsidR="001D2587" w:rsidRPr="000855B2" w:rsidRDefault="00391A9C" w:rsidP="00DE272E">
      <w:pPr>
        <w:pStyle w:val="ListBullet"/>
      </w:pPr>
      <w:r w:rsidRPr="000855B2">
        <w:t>t</w:t>
      </w:r>
      <w:r w:rsidR="001D2587" w:rsidRPr="000855B2">
        <w:t>he joint EUCAR/JRC</w:t>
      </w:r>
      <w:r w:rsidRPr="000855B2">
        <w:t> (</w:t>
      </w:r>
      <w:r w:rsidR="001D2587" w:rsidRPr="000855B2">
        <w:rPr>
          <w:rStyle w:val="FootnoteReference"/>
        </w:rPr>
        <w:footnoteReference w:id="7"/>
      </w:r>
      <w:r w:rsidRPr="000855B2">
        <w:t>)</w:t>
      </w:r>
      <w:r w:rsidR="001D2587" w:rsidRPr="000855B2">
        <w:t>/C</w:t>
      </w:r>
      <w:r w:rsidRPr="000855B2">
        <w:t>oncawe</w:t>
      </w:r>
      <w:r w:rsidR="001D2587" w:rsidRPr="000855B2">
        <w:t xml:space="preserve"> programme on the effects of </w:t>
      </w:r>
      <w:r w:rsidR="004E1503">
        <w:t>Petrol</w:t>
      </w:r>
      <w:r w:rsidR="001D2587" w:rsidRPr="000855B2">
        <w:t xml:space="preserve"> vapour pressure and ethanol content on evaporative emissions from modern cars. </w:t>
      </w:r>
    </w:p>
    <w:p w14:paraId="10CF35CB" w14:textId="77777777" w:rsidR="00B5186D" w:rsidRPr="000855B2" w:rsidRDefault="00B5186D" w:rsidP="00B5186D">
      <w:pPr>
        <w:pStyle w:val="ListBullet"/>
        <w:numPr>
          <w:ilvl w:val="0"/>
          <w:numId w:val="0"/>
        </w:numPr>
      </w:pPr>
      <w:r w:rsidRPr="000855B2">
        <w:br w:type="page"/>
      </w:r>
    </w:p>
    <w:p w14:paraId="784F63AA" w14:textId="77777777" w:rsidR="00B5186D" w:rsidRPr="000855B2" w:rsidRDefault="00B5186D" w:rsidP="00EA3292">
      <w:pPr>
        <w:pStyle w:val="Heading1"/>
        <w:numPr>
          <w:ilvl w:val="0"/>
          <w:numId w:val="0"/>
        </w:numPr>
      </w:pPr>
      <w:bookmarkStart w:id="355" w:name="_Toc482003920"/>
      <w:r w:rsidRPr="000855B2">
        <w:lastRenderedPageBreak/>
        <w:t>Appendix 3</w:t>
      </w:r>
      <w:r w:rsidRPr="000855B2">
        <w:tab/>
      </w:r>
      <w:r w:rsidR="003425B8">
        <w:t>A</w:t>
      </w:r>
      <w:r w:rsidRPr="000855B2">
        <w:t>ccompanying files</w:t>
      </w:r>
      <w:bookmarkEnd w:id="355"/>
    </w:p>
    <w:p w14:paraId="18AF766F" w14:textId="24E560DD" w:rsidR="001D2587" w:rsidRDefault="00B5186D" w:rsidP="006C572F">
      <w:pPr>
        <w:pStyle w:val="ListBullet"/>
        <w:numPr>
          <w:ilvl w:val="0"/>
          <w:numId w:val="0"/>
        </w:numPr>
      </w:pPr>
      <w:r w:rsidRPr="000855B2">
        <w:t xml:space="preserve">The accompanying </w:t>
      </w:r>
      <w:r w:rsidR="003425B8">
        <w:t>hot emission function parameters</w:t>
      </w:r>
      <w:r w:rsidRPr="000855B2">
        <w:t xml:space="preserve"> files are available as an electronic annex alongside the main Guidebook files at </w:t>
      </w:r>
      <w:hyperlink r:id="rId62" w:history="1">
        <w:r w:rsidRPr="000855B2">
          <w:rPr>
            <w:rStyle w:val="Hyperlink"/>
          </w:rPr>
          <w:t>http://eea.europa.eu/emep-eea-guidebook</w:t>
        </w:r>
      </w:hyperlink>
      <w:r w:rsidRPr="000855B2">
        <w:t xml:space="preserve">. </w:t>
      </w:r>
    </w:p>
    <w:p w14:paraId="1E5F359A" w14:textId="77777777" w:rsidR="003425B8" w:rsidRDefault="00AA2396" w:rsidP="00EA3292">
      <w:pPr>
        <w:pStyle w:val="Heading1"/>
        <w:numPr>
          <w:ilvl w:val="0"/>
          <w:numId w:val="0"/>
        </w:numPr>
      </w:pPr>
      <w:bookmarkStart w:id="356" w:name="_Toc482003921"/>
      <w:r w:rsidRPr="000855B2">
        <w:t xml:space="preserve">Appendix </w:t>
      </w:r>
      <w:r>
        <w:t>4</w:t>
      </w:r>
      <w:r w:rsidRPr="000855B2">
        <w:tab/>
      </w:r>
      <w:r w:rsidR="003425B8">
        <w:t xml:space="preserve">HDV </w:t>
      </w:r>
      <w:r w:rsidR="00722F2A">
        <w:t>correspondence</w:t>
      </w:r>
      <w:bookmarkEnd w:id="356"/>
    </w:p>
    <w:p w14:paraId="45980E0A" w14:textId="77777777" w:rsidR="00AA2396" w:rsidRPr="003425B8" w:rsidRDefault="00AA2396" w:rsidP="003425B8">
      <w:r w:rsidRPr="003425B8">
        <w:t>Correspondence between the previous Corinair classification for HDVs and buses, and the new system of classification (Boulter and Barlow, 2005)</w:t>
      </w:r>
    </w:p>
    <w:p w14:paraId="755F7F34" w14:textId="64ED449F" w:rsidR="00AA2396" w:rsidRDefault="00AA2396" w:rsidP="006C572F">
      <w:pPr>
        <w:pStyle w:val="ListBullet"/>
        <w:numPr>
          <w:ilvl w:val="0"/>
          <w:numId w:val="0"/>
        </w:numPr>
      </w:pPr>
      <w:r w:rsidRPr="00AA2396">
        <w:rPr>
          <w:noProof/>
          <w:lang w:val="en-US" w:eastAsia="en-US"/>
        </w:rPr>
        <w:drawing>
          <wp:inline distT="0" distB="0" distL="0" distR="0" wp14:anchorId="1F99E697" wp14:editId="6E2FFEA7">
            <wp:extent cx="4427148" cy="584870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4427761" cy="5849519"/>
                    </a:xfrm>
                    <a:prstGeom prst="rect">
                      <a:avLst/>
                    </a:prstGeom>
                    <a:noFill/>
                    <a:ln w="9525">
                      <a:noFill/>
                      <a:miter lim="800000"/>
                      <a:headEnd/>
                      <a:tailEnd/>
                    </a:ln>
                  </pic:spPr>
                </pic:pic>
              </a:graphicData>
            </a:graphic>
          </wp:inline>
        </w:drawing>
      </w:r>
    </w:p>
    <w:p w14:paraId="7D6E753B" w14:textId="77777777" w:rsidR="00F26B9F" w:rsidRPr="000855B2" w:rsidRDefault="00F26B9F" w:rsidP="006C572F">
      <w:pPr>
        <w:pStyle w:val="ListBullet"/>
        <w:numPr>
          <w:ilvl w:val="0"/>
          <w:numId w:val="0"/>
        </w:numPr>
      </w:pPr>
    </w:p>
    <w:sectPr w:rsidR="00F26B9F" w:rsidRPr="000855B2" w:rsidSect="001D6A6E">
      <w:pgSz w:w="11907" w:h="16840" w:code="9"/>
      <w:pgMar w:top="1440" w:right="1647" w:bottom="1440" w:left="179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32F41" w14:textId="77777777" w:rsidR="00590B28" w:rsidRDefault="00590B28">
      <w:r>
        <w:separator/>
      </w:r>
    </w:p>
  </w:endnote>
  <w:endnote w:type="continuationSeparator" w:id="0">
    <w:p w14:paraId="09543605" w14:textId="77777777" w:rsidR="00590B28" w:rsidRDefault="0059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embo">
    <w:altName w:val="Times New Roman"/>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CellMar>
        <w:top w:w="28" w:type="dxa"/>
        <w:left w:w="85" w:type="dxa"/>
        <w:bottom w:w="28" w:type="dxa"/>
        <w:right w:w="85" w:type="dxa"/>
      </w:tblCellMar>
      <w:tblLook w:val="01E0" w:firstRow="1" w:lastRow="1" w:firstColumn="1" w:lastColumn="1" w:noHBand="0" w:noVBand="0"/>
    </w:tblPr>
    <w:tblGrid>
      <w:gridCol w:w="8710"/>
    </w:tblGrid>
    <w:tr w:rsidR="00185BB9" w:rsidRPr="00AC1E78" w14:paraId="00EBD5C4" w14:textId="77777777" w:rsidTr="00E43131">
      <w:tc>
        <w:tcPr>
          <w:tcW w:w="5000" w:type="pct"/>
          <w:tcBorders>
            <w:top w:val="single" w:sz="4" w:space="0" w:color="auto"/>
          </w:tcBorders>
        </w:tcPr>
        <w:p w14:paraId="6997D5A4" w14:textId="531CBEFE" w:rsidR="00185BB9" w:rsidRPr="00AC1E78" w:rsidRDefault="00185BB9" w:rsidP="00AC1E78">
          <w:pPr>
            <w:pStyle w:val="Footer"/>
            <w:tabs>
              <w:tab w:val="clear" w:pos="4536"/>
              <w:tab w:val="clear" w:pos="9072"/>
              <w:tab w:val="right" w:pos="7920"/>
              <w:tab w:val="right" w:pos="8561"/>
            </w:tabs>
            <w:rPr>
              <w:rFonts w:cs="Open Sans"/>
              <w:sz w:val="20"/>
              <w:lang w:val="en-US"/>
            </w:rPr>
          </w:pPr>
          <w:r w:rsidRPr="00AC1E78">
            <w:rPr>
              <w:rFonts w:cs="Open Sans"/>
              <w:b/>
              <w:color w:val="777777"/>
              <w:sz w:val="20"/>
            </w:rPr>
            <w:tab/>
          </w:r>
          <w:r>
            <w:rPr>
              <w:rFonts w:cs="Open Sans"/>
              <w:b/>
              <w:color w:val="777777"/>
              <w:sz w:val="20"/>
            </w:rPr>
            <w:t>EMEP/EEA air pollutant emission inventory guidebook 2016</w:t>
          </w:r>
          <w:r w:rsidRPr="00AC1E78">
            <w:rPr>
              <w:rFonts w:cs="Open Sans"/>
              <w:b/>
              <w:color w:val="777777"/>
              <w:sz w:val="20"/>
              <w:lang w:val="en-GB"/>
            </w:rPr>
            <w:tab/>
          </w:r>
          <w:r w:rsidRPr="00FB238C">
            <w:rPr>
              <w:rStyle w:val="PageNumber"/>
              <w:rFonts w:cs="Open Sans"/>
              <w:sz w:val="20"/>
            </w:rPr>
            <w:fldChar w:fldCharType="begin"/>
          </w:r>
          <w:r w:rsidRPr="00FB238C">
            <w:rPr>
              <w:rStyle w:val="PageNumber"/>
              <w:rFonts w:cs="Open Sans"/>
              <w:sz w:val="20"/>
              <w:lang w:val="en-GB"/>
            </w:rPr>
            <w:instrText xml:space="preserve"> PAGE </w:instrText>
          </w:r>
          <w:r w:rsidRPr="00FB238C">
            <w:rPr>
              <w:rStyle w:val="PageNumber"/>
              <w:rFonts w:cs="Open Sans"/>
              <w:sz w:val="20"/>
            </w:rPr>
            <w:fldChar w:fldCharType="separate"/>
          </w:r>
          <w:r w:rsidR="00FF7E83">
            <w:rPr>
              <w:rStyle w:val="PageNumber"/>
              <w:rFonts w:cs="Open Sans"/>
              <w:noProof/>
              <w:sz w:val="20"/>
              <w:lang w:val="en-GB"/>
            </w:rPr>
            <w:t>45</w:t>
          </w:r>
          <w:r w:rsidRPr="00FB238C">
            <w:rPr>
              <w:rStyle w:val="PageNumber"/>
              <w:rFonts w:cs="Open Sans"/>
              <w:sz w:val="20"/>
            </w:rPr>
            <w:fldChar w:fldCharType="end"/>
          </w:r>
        </w:p>
      </w:tc>
    </w:tr>
  </w:tbl>
  <w:p w14:paraId="727463DE" w14:textId="77777777" w:rsidR="00185BB9" w:rsidRPr="001D2587" w:rsidRDefault="00185BB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633" w:type="dxa"/>
      <w:tblLook w:val="04A0" w:firstRow="1" w:lastRow="0" w:firstColumn="1" w:lastColumn="0" w:noHBand="0" w:noVBand="1"/>
    </w:tblPr>
    <w:tblGrid>
      <w:gridCol w:w="8633"/>
    </w:tblGrid>
    <w:tr w:rsidR="00185BB9" w14:paraId="3B7073F0" w14:textId="77777777" w:rsidTr="00E43131">
      <w:tc>
        <w:tcPr>
          <w:tcW w:w="8633" w:type="dxa"/>
          <w:tcBorders>
            <w:left w:val="nil"/>
            <w:bottom w:val="nil"/>
            <w:right w:val="nil"/>
          </w:tcBorders>
        </w:tcPr>
        <w:p w14:paraId="67978905" w14:textId="5C0997CF" w:rsidR="00185BB9" w:rsidRPr="00AC1E78" w:rsidRDefault="00185BB9" w:rsidP="00E43131">
          <w:pPr>
            <w:pStyle w:val="Footer"/>
            <w:tabs>
              <w:tab w:val="clear" w:pos="4536"/>
              <w:tab w:val="clear" w:pos="9072"/>
              <w:tab w:val="right" w:pos="7920"/>
              <w:tab w:val="right" w:pos="8561"/>
            </w:tabs>
            <w:rPr>
              <w:rFonts w:cs="Open Sans"/>
              <w:sz w:val="20"/>
              <w:lang w:val="en-US"/>
            </w:rPr>
          </w:pPr>
          <w:r w:rsidRPr="00AC1E78">
            <w:rPr>
              <w:rFonts w:cs="Open Sans"/>
              <w:b/>
              <w:color w:val="777777"/>
              <w:sz w:val="20"/>
            </w:rPr>
            <w:tab/>
          </w:r>
          <w:r>
            <w:rPr>
              <w:rFonts w:cs="Open Sans"/>
              <w:b/>
              <w:color w:val="777777"/>
              <w:sz w:val="20"/>
            </w:rPr>
            <w:t>EMEP/EEA air pollutant emission inventory guidebook 2016</w:t>
          </w:r>
          <w:r w:rsidRPr="00AC1E78">
            <w:rPr>
              <w:rFonts w:cs="Open Sans"/>
              <w:b/>
              <w:color w:val="777777"/>
              <w:sz w:val="20"/>
              <w:lang w:val="en-GB"/>
            </w:rPr>
            <w:tab/>
          </w:r>
          <w:r w:rsidRPr="00FB238C">
            <w:rPr>
              <w:rStyle w:val="PageNumber"/>
              <w:rFonts w:cs="Open Sans"/>
              <w:sz w:val="20"/>
            </w:rPr>
            <w:fldChar w:fldCharType="begin"/>
          </w:r>
          <w:r w:rsidRPr="00FB238C">
            <w:rPr>
              <w:rStyle w:val="PageNumber"/>
              <w:rFonts w:cs="Open Sans"/>
              <w:sz w:val="20"/>
              <w:lang w:val="en-GB"/>
            </w:rPr>
            <w:instrText xml:space="preserve"> PAGE </w:instrText>
          </w:r>
          <w:r w:rsidRPr="00FB238C">
            <w:rPr>
              <w:rStyle w:val="PageNumber"/>
              <w:rFonts w:cs="Open Sans"/>
              <w:sz w:val="20"/>
            </w:rPr>
            <w:fldChar w:fldCharType="separate"/>
          </w:r>
          <w:r w:rsidR="00FF7E83">
            <w:rPr>
              <w:rStyle w:val="PageNumber"/>
              <w:rFonts w:cs="Open Sans"/>
              <w:noProof/>
              <w:sz w:val="20"/>
              <w:lang w:val="en-GB"/>
            </w:rPr>
            <w:t>1</w:t>
          </w:r>
          <w:r w:rsidRPr="00FB238C">
            <w:rPr>
              <w:rStyle w:val="PageNumber"/>
              <w:rFonts w:cs="Open Sans"/>
              <w:sz w:val="20"/>
            </w:rPr>
            <w:fldChar w:fldCharType="end"/>
          </w:r>
        </w:p>
      </w:tc>
    </w:tr>
  </w:tbl>
  <w:p w14:paraId="641C7FF9" w14:textId="77777777" w:rsidR="00185BB9" w:rsidRDefault="0018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7F08" w14:textId="77777777" w:rsidR="00590B28" w:rsidRDefault="00590B28">
      <w:r>
        <w:separator/>
      </w:r>
    </w:p>
  </w:footnote>
  <w:footnote w:type="continuationSeparator" w:id="0">
    <w:p w14:paraId="49383A6F" w14:textId="77777777" w:rsidR="00590B28" w:rsidRDefault="00590B28">
      <w:r>
        <w:continuationSeparator/>
      </w:r>
    </w:p>
  </w:footnote>
  <w:footnote w:id="1">
    <w:p w14:paraId="670AFAA9" w14:textId="77777777" w:rsidR="00185BB9" w:rsidRPr="00BA6BBF" w:rsidRDefault="00185BB9">
      <w:pPr>
        <w:pStyle w:val="FootnoteText"/>
        <w:rPr>
          <w:szCs w:val="18"/>
          <w:lang w:val="en-US"/>
        </w:rPr>
      </w:pPr>
      <w:r>
        <w:rPr>
          <w:szCs w:val="18"/>
          <w:lang w:val="en-US"/>
        </w:rPr>
        <w:t>(</w:t>
      </w:r>
      <w:r w:rsidRPr="00BA6BBF">
        <w:rPr>
          <w:rStyle w:val="FootnoteReference"/>
          <w:szCs w:val="18"/>
        </w:rPr>
        <w:footnoteRef/>
      </w:r>
      <w:r>
        <w:rPr>
          <w:szCs w:val="18"/>
          <w:lang w:val="en-US"/>
        </w:rPr>
        <w:t>)</w:t>
      </w:r>
      <w:r w:rsidRPr="00BA6BBF">
        <w:rPr>
          <w:szCs w:val="18"/>
          <w:lang w:val="en-US"/>
        </w:rPr>
        <w:t xml:space="preserve"> </w:t>
      </w:r>
      <w:r>
        <w:rPr>
          <w:szCs w:val="18"/>
          <w:lang w:val="en-US"/>
        </w:rPr>
        <w:t>LCV</w:t>
      </w:r>
      <w:r w:rsidRPr="00BA6BBF">
        <w:rPr>
          <w:szCs w:val="18"/>
          <w:lang w:val="en-US"/>
        </w:rPr>
        <w:t>s</w:t>
      </w:r>
    </w:p>
  </w:footnote>
  <w:footnote w:id="2">
    <w:p w14:paraId="2B3F23BA" w14:textId="77777777" w:rsidR="00185BB9" w:rsidRPr="00BA6BBF" w:rsidRDefault="00185BB9">
      <w:pPr>
        <w:pStyle w:val="FootnoteText"/>
        <w:rPr>
          <w:szCs w:val="18"/>
          <w:lang w:val="en-US"/>
        </w:rPr>
      </w:pPr>
      <w:r>
        <w:rPr>
          <w:szCs w:val="18"/>
          <w:lang w:val="en-US"/>
        </w:rPr>
        <w:t>(</w:t>
      </w:r>
      <w:r w:rsidRPr="00BA6BBF">
        <w:rPr>
          <w:rStyle w:val="FootnoteReference"/>
          <w:szCs w:val="18"/>
        </w:rPr>
        <w:footnoteRef/>
      </w:r>
      <w:r>
        <w:rPr>
          <w:szCs w:val="18"/>
          <w:lang w:val="en-US"/>
        </w:rPr>
        <w:t>)</w:t>
      </w:r>
      <w:r w:rsidRPr="00BA6BBF">
        <w:rPr>
          <w:szCs w:val="18"/>
          <w:lang w:val="en-US"/>
        </w:rPr>
        <w:t xml:space="preserve"> HDVs</w:t>
      </w:r>
    </w:p>
  </w:footnote>
  <w:footnote w:id="3">
    <w:p w14:paraId="304A537D" w14:textId="77777777" w:rsidR="00185BB9" w:rsidRPr="00BA6BBF" w:rsidRDefault="00185BB9">
      <w:pPr>
        <w:pStyle w:val="FootnoteText"/>
        <w:rPr>
          <w:szCs w:val="18"/>
          <w:lang w:val="en-GB"/>
        </w:rPr>
      </w:pPr>
      <w:r w:rsidRPr="007749D9">
        <w:rPr>
          <w:szCs w:val="18"/>
          <w:lang w:val="en-US"/>
        </w:rPr>
        <w:t>(</w:t>
      </w:r>
      <w:r w:rsidRPr="00BA6BBF">
        <w:rPr>
          <w:rStyle w:val="FootnoteReference"/>
          <w:szCs w:val="18"/>
        </w:rPr>
        <w:footnoteRef/>
      </w:r>
      <w:r w:rsidRPr="007749D9">
        <w:rPr>
          <w:szCs w:val="18"/>
          <w:lang w:val="en-US"/>
        </w:rPr>
        <w:t>) NMVOCs = non-methane volatile organic compounds</w:t>
      </w:r>
    </w:p>
  </w:footnote>
  <w:footnote w:id="4">
    <w:p w14:paraId="2E71AFBD" w14:textId="77777777" w:rsidR="00185BB9" w:rsidRPr="00BA6BBF" w:rsidRDefault="00185BB9">
      <w:pPr>
        <w:pStyle w:val="FootnoteText"/>
        <w:rPr>
          <w:szCs w:val="18"/>
          <w:lang w:val="en-GB"/>
        </w:rPr>
      </w:pPr>
      <w:r w:rsidRPr="007749D9">
        <w:rPr>
          <w:szCs w:val="18"/>
          <w:lang w:val="en-US"/>
        </w:rPr>
        <w:t>(</w:t>
      </w:r>
      <w:r w:rsidRPr="00BA6BBF">
        <w:rPr>
          <w:rStyle w:val="FootnoteReference"/>
          <w:szCs w:val="18"/>
        </w:rPr>
        <w:footnoteRef/>
      </w:r>
      <w:r w:rsidRPr="007749D9">
        <w:rPr>
          <w:szCs w:val="18"/>
          <w:lang w:val="en-US"/>
        </w:rPr>
        <w:t>) PAHs = polycyclic aromatic hydrocarbons</w:t>
      </w:r>
    </w:p>
  </w:footnote>
  <w:footnote w:id="5">
    <w:p w14:paraId="5A6FAA85" w14:textId="77777777" w:rsidR="00185BB9" w:rsidRPr="00296E89" w:rsidRDefault="00185BB9">
      <w:pPr>
        <w:pStyle w:val="FootnoteText"/>
        <w:rPr>
          <w:lang w:val="en-GB"/>
        </w:rPr>
      </w:pPr>
      <w:r>
        <w:rPr>
          <w:szCs w:val="18"/>
        </w:rPr>
        <w:t>(</w:t>
      </w:r>
      <w:r w:rsidRPr="00BA6BBF">
        <w:rPr>
          <w:rStyle w:val="FootnoteReference"/>
          <w:szCs w:val="18"/>
        </w:rPr>
        <w:footnoteRef/>
      </w:r>
      <w:r>
        <w:rPr>
          <w:szCs w:val="18"/>
        </w:rPr>
        <w:t>)</w:t>
      </w:r>
      <w:r w:rsidRPr="00BA6BBF">
        <w:rPr>
          <w:szCs w:val="18"/>
        </w:rPr>
        <w:t xml:space="preserve"> POPs = persistant organic pollutants</w:t>
      </w:r>
    </w:p>
  </w:footnote>
  <w:footnote w:id="6">
    <w:p w14:paraId="08ED8763" w14:textId="77777777" w:rsidR="00185BB9" w:rsidRPr="0022601A" w:rsidRDefault="00185BB9" w:rsidP="00FF6A20">
      <w:pPr>
        <w:pStyle w:val="Footnote"/>
        <w:rPr>
          <w:lang w:val="en-GB"/>
        </w:rPr>
      </w:pPr>
      <w:r w:rsidRPr="0022601A">
        <w:rPr>
          <w:lang w:val="en-GB"/>
        </w:rPr>
        <w:t>(</w:t>
      </w:r>
      <w:r w:rsidRPr="0022601A">
        <w:rPr>
          <w:rStyle w:val="FootnoteReference"/>
          <w:szCs w:val="18"/>
        </w:rPr>
        <w:footnoteRef/>
      </w:r>
      <w:r w:rsidRPr="0022601A">
        <w:rPr>
          <w:lang w:val="en-GB"/>
        </w:rPr>
        <w:t xml:space="preserve">) </w:t>
      </w:r>
      <w:r>
        <w:rPr>
          <w:lang w:val="en-US"/>
        </w:rPr>
        <w:t>T</w:t>
      </w:r>
      <w:r w:rsidRPr="0022601A">
        <w:rPr>
          <w:lang w:val="en-US"/>
        </w:rPr>
        <w:t xml:space="preserve">his statement probably fails to predict the additional emission reduction which might be brought by the cold start testing (-7 °C) for Euro </w:t>
      </w:r>
      <w:smartTag w:uri="urn:schemas-microsoft-com:office:smarttags" w:element="stockticker">
        <w:r w:rsidRPr="0022601A">
          <w:rPr>
            <w:lang w:val="en-US"/>
          </w:rPr>
          <w:t>III</w:t>
        </w:r>
      </w:smartTag>
      <w:r w:rsidRPr="0022601A">
        <w:rPr>
          <w:lang w:val="en-US"/>
        </w:rPr>
        <w:t xml:space="preserve"> and later vehicles. Most probably, the mixture enrichment strategy has to change in order that such vehicles comply with this test. This by turn will lead to a reduction of the </w:t>
      </w:r>
      <w:r w:rsidRPr="0022601A">
        <w:rPr>
          <w:noProof/>
          <w:lang w:val="en-US"/>
        </w:rPr>
        <w:t>e</w:t>
      </w:r>
      <w:r w:rsidRPr="0022601A">
        <w:rPr>
          <w:noProof/>
          <w:vertAlign w:val="superscript"/>
          <w:lang w:val="en-US"/>
        </w:rPr>
        <w:t>COLD</w:t>
      </w:r>
      <w:r w:rsidRPr="0022601A">
        <w:rPr>
          <w:noProof/>
          <w:lang w:val="en-US"/>
        </w:rPr>
        <w:t>/e</w:t>
      </w:r>
      <w:r w:rsidRPr="0022601A">
        <w:rPr>
          <w:noProof/>
          <w:vertAlign w:val="superscript"/>
          <w:lang w:val="en-US"/>
        </w:rPr>
        <w:t>HOT</w:t>
      </w:r>
      <w:r w:rsidRPr="0022601A">
        <w:rPr>
          <w:lang w:val="en-US"/>
        </w:rPr>
        <w:t xml:space="preserve"> ratio. However the magnitude of the effect of such modification at higher temperatures is arguable. Because of this reason and in the absence of a more detailed analysis for the time being, it was decided to abandon any correction of </w:t>
      </w:r>
      <w:r w:rsidRPr="0022601A">
        <w:rPr>
          <w:noProof/>
          <w:lang w:val="en-US"/>
        </w:rPr>
        <w:t>e</w:t>
      </w:r>
      <w:r w:rsidRPr="0022601A">
        <w:rPr>
          <w:noProof/>
          <w:vertAlign w:val="superscript"/>
          <w:lang w:val="en-US"/>
        </w:rPr>
        <w:t>COLD</w:t>
      </w:r>
      <w:r w:rsidRPr="0022601A">
        <w:rPr>
          <w:noProof/>
          <w:lang w:val="en-US"/>
        </w:rPr>
        <w:t>/e</w:t>
      </w:r>
      <w:r w:rsidRPr="0022601A">
        <w:rPr>
          <w:noProof/>
          <w:vertAlign w:val="superscript"/>
          <w:lang w:val="en-US"/>
        </w:rPr>
        <w:t>HOT</w:t>
      </w:r>
      <w:r w:rsidRPr="0022601A">
        <w:rPr>
          <w:lang w:val="en-US"/>
        </w:rPr>
        <w:t xml:space="preserve"> ratio.</w:t>
      </w:r>
    </w:p>
  </w:footnote>
  <w:footnote w:id="7">
    <w:p w14:paraId="1B6F96FE" w14:textId="77777777" w:rsidR="00185BB9" w:rsidRPr="001A209B" w:rsidRDefault="00185BB9" w:rsidP="00FF6A20">
      <w:pPr>
        <w:pStyle w:val="Footnote"/>
        <w:rPr>
          <w:lang w:val="en-GB"/>
        </w:rPr>
      </w:pPr>
      <w:r w:rsidRPr="009879AC">
        <w:rPr>
          <w:lang w:val="en-GB"/>
        </w:rPr>
        <w:t>(</w:t>
      </w:r>
      <w:r w:rsidRPr="009879AC">
        <w:rPr>
          <w:rStyle w:val="FootnoteReference"/>
        </w:rPr>
        <w:footnoteRef/>
      </w:r>
      <w:r w:rsidRPr="009879AC">
        <w:rPr>
          <w:lang w:val="en-GB"/>
        </w:rPr>
        <w:t xml:space="preserve">) </w:t>
      </w:r>
      <w:r>
        <w:rPr>
          <w:lang w:val="en-GB"/>
        </w:rPr>
        <w:t xml:space="preserve">DG </w:t>
      </w:r>
      <w:r w:rsidRPr="009879AC">
        <w:rPr>
          <w:lang w:val="en-GB"/>
        </w:rPr>
        <w:t>Joint Research Centre</w:t>
      </w:r>
      <w:r>
        <w:rPr>
          <w:lang w:val="en-GB"/>
        </w:rPr>
        <w:t xml:space="preserve"> of the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0"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45"/>
    </w:tblGrid>
    <w:tr w:rsidR="00185BB9" w:rsidRPr="00AC1E78" w14:paraId="25D79BD1" w14:textId="77777777">
      <w:tc>
        <w:tcPr>
          <w:tcW w:w="5000" w:type="pct"/>
        </w:tcPr>
        <w:p w14:paraId="1288D171" w14:textId="77777777" w:rsidR="00185BB9" w:rsidRPr="00AC1E78" w:rsidRDefault="00185BB9">
          <w:pPr>
            <w:pStyle w:val="Header"/>
            <w:tabs>
              <w:tab w:val="clear" w:pos="4536"/>
              <w:tab w:val="clear" w:pos="9072"/>
              <w:tab w:val="right" w:pos="8640"/>
            </w:tabs>
            <w:jc w:val="right"/>
            <w:rPr>
              <w:rFonts w:cs="Open Sans"/>
              <w:b/>
              <w:color w:val="777777"/>
              <w:sz w:val="20"/>
              <w:lang w:val="it-IT"/>
            </w:rPr>
          </w:pPr>
          <w:r w:rsidRPr="00AC1E78">
            <w:rPr>
              <w:rFonts w:cs="Open Sans"/>
              <w:b/>
              <w:color w:val="777777"/>
              <w:sz w:val="20"/>
              <w:lang w:val="it-IT"/>
            </w:rPr>
            <w:t>1.A.3.b.i, 1.A.3.b.ii, 1.A.3.b.iii, 1.A.3.b.iv</w:t>
          </w:r>
        </w:p>
      </w:tc>
    </w:tr>
    <w:tr w:rsidR="00185BB9" w:rsidRPr="00AC1E78" w14:paraId="0EDFBEF1" w14:textId="77777777">
      <w:tc>
        <w:tcPr>
          <w:tcW w:w="5000" w:type="pct"/>
        </w:tcPr>
        <w:p w14:paraId="5B816A81" w14:textId="77777777" w:rsidR="00185BB9" w:rsidRPr="00AC1E78" w:rsidRDefault="00185BB9">
          <w:pPr>
            <w:pStyle w:val="Header"/>
            <w:jc w:val="right"/>
            <w:rPr>
              <w:rFonts w:cs="Open Sans"/>
              <w:b/>
              <w:color w:val="777777"/>
              <w:sz w:val="20"/>
              <w:lang w:val="en-GB"/>
            </w:rPr>
          </w:pPr>
          <w:r w:rsidRPr="00AC1E78">
            <w:rPr>
              <w:rFonts w:cs="Open Sans"/>
              <w:b/>
              <w:color w:val="777777"/>
              <w:sz w:val="20"/>
              <w:lang w:val="en-GB"/>
            </w:rPr>
            <w:t xml:space="preserve">Passenger cars, light commercial trucks, heavy-duty vehicles including </w:t>
          </w:r>
          <w:r w:rsidRPr="00AC1E78">
            <w:rPr>
              <w:rFonts w:cs="Open Sans"/>
              <w:b/>
              <w:color w:val="777777"/>
              <w:sz w:val="20"/>
              <w:lang w:val="en-GB"/>
            </w:rPr>
            <w:br/>
            <w:t>buses and motor cycles</w:t>
          </w:r>
        </w:p>
      </w:tc>
    </w:tr>
  </w:tbl>
  <w:p w14:paraId="38ACE27E" w14:textId="77777777" w:rsidR="00185BB9" w:rsidRPr="001D2587" w:rsidRDefault="00185BB9" w:rsidP="0048755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9B2C" w14:textId="77777777" w:rsidR="00185BB9" w:rsidRDefault="00185BB9" w:rsidP="00A32414">
    <w:pPr>
      <w:pStyle w:val="Header"/>
      <w:tabs>
        <w:tab w:val="clear" w:pos="4536"/>
        <w:tab w:val="left" w:pos="3248"/>
      </w:tabs>
    </w:pPr>
    <w:r>
      <w:rPr>
        <w:noProof/>
        <w:lang w:val="en-US" w:eastAsia="en-US"/>
      </w:rPr>
      <w:drawing>
        <wp:anchor distT="0" distB="0" distL="114300" distR="114300" simplePos="0" relativeHeight="251660288" behindDoc="1" locked="0" layoutInCell="1" allowOverlap="1" wp14:anchorId="20961AA7" wp14:editId="39892FF7">
          <wp:simplePos x="0" y="0"/>
          <wp:positionH relativeFrom="page">
            <wp:posOffset>4382135</wp:posOffset>
          </wp:positionH>
          <wp:positionV relativeFrom="page">
            <wp:posOffset>403860</wp:posOffset>
          </wp:positionV>
          <wp:extent cx="2449195" cy="623570"/>
          <wp:effectExtent l="19050" t="0" r="0" b="0"/>
          <wp:wrapNone/>
          <wp:docPr id="4"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ALogo"/>
                  <pic:cNvPicPr>
                    <a:picLocks noChangeAspect="1" noChangeArrowheads="1"/>
                  </pic:cNvPicPr>
                </pic:nvPicPr>
                <pic:blipFill>
                  <a:blip r:embed="rId1"/>
                  <a:srcRect/>
                  <a:stretch>
                    <a:fillRect/>
                  </a:stretch>
                </pic:blipFill>
                <pic:spPr bwMode="auto">
                  <a:xfrm>
                    <a:off x="0" y="0"/>
                    <a:ext cx="2449195" cy="623570"/>
                  </a:xfrm>
                  <a:prstGeom prst="rect">
                    <a:avLst/>
                  </a:prstGeom>
                  <a:noFill/>
                </pic:spPr>
              </pic:pic>
            </a:graphicData>
          </a:graphic>
        </wp:anchor>
      </w:drawing>
    </w:r>
    <w:r>
      <w:rPr>
        <w:noProof/>
        <w:lang w:val="en-US" w:eastAsia="en-US"/>
      </w:rPr>
      <w:drawing>
        <wp:anchor distT="0" distB="0" distL="114300" distR="114300" simplePos="0" relativeHeight="251659264" behindDoc="0" locked="0" layoutInCell="1" allowOverlap="1" wp14:anchorId="5F01F284" wp14:editId="68C19F59">
          <wp:simplePos x="0" y="0"/>
          <wp:positionH relativeFrom="column">
            <wp:posOffset>-176530</wp:posOffset>
          </wp:positionH>
          <wp:positionV relativeFrom="paragraph">
            <wp:posOffset>-103505</wp:posOffset>
          </wp:positionV>
          <wp:extent cx="1588135" cy="483235"/>
          <wp:effectExtent l="19050" t="0" r="0" b="0"/>
          <wp:wrapNone/>
          <wp:docPr id="3" name="Image 13" descr="lrtap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rtap_cmyk_logo"/>
                  <pic:cNvPicPr>
                    <a:picLocks noChangeAspect="1" noChangeArrowheads="1"/>
                  </pic:cNvPicPr>
                </pic:nvPicPr>
                <pic:blipFill>
                  <a:blip r:embed="rId2"/>
                  <a:srcRect/>
                  <a:stretch>
                    <a:fillRect/>
                  </a:stretch>
                </pic:blipFill>
                <pic:spPr bwMode="auto">
                  <a:xfrm>
                    <a:off x="0" y="0"/>
                    <a:ext cx="1588135" cy="483235"/>
                  </a:xfrm>
                  <a:prstGeom prst="rect">
                    <a:avLst/>
                  </a:prstGeom>
                  <a:noFill/>
                </pic:spPr>
              </pic:pic>
            </a:graphicData>
          </a:graphic>
        </wp:anchor>
      </w:drawing>
    </w:r>
    <w:r>
      <w:tab/>
    </w:r>
  </w:p>
  <w:p w14:paraId="5714DF3E" w14:textId="77777777" w:rsidR="00185BB9" w:rsidRPr="00A32414" w:rsidRDefault="00185BB9" w:rsidP="00A3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0CE137A"/>
    <w:multiLevelType w:val="hybridMultilevel"/>
    <w:tmpl w:val="A75CE288"/>
    <w:lvl w:ilvl="0" w:tplc="CED2E916">
      <w:start w:val="1"/>
      <w:numFmt w:val="lowerLetter"/>
      <w:lvlText w:val="%1."/>
      <w:lvlJc w:val="left"/>
      <w:pPr>
        <w:tabs>
          <w:tab w:val="num" w:pos="720"/>
        </w:tabs>
        <w:ind w:left="720" w:hanging="360"/>
      </w:pPr>
      <w:rPr>
        <w:rFonts w:hint="default"/>
      </w:rPr>
    </w:lvl>
    <w:lvl w:ilvl="1" w:tplc="40B4BAC2">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518C3"/>
    <w:multiLevelType w:val="hybridMultilevel"/>
    <w:tmpl w:val="2E56E89C"/>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D17F8"/>
    <w:multiLevelType w:val="hybridMultilevel"/>
    <w:tmpl w:val="5D3A136E"/>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76E58"/>
    <w:multiLevelType w:val="hybridMultilevel"/>
    <w:tmpl w:val="C58E6AA2"/>
    <w:lvl w:ilvl="0" w:tplc="FD58D3AC">
      <w:start w:val="10"/>
      <w:numFmt w:val="bullet"/>
      <w:lvlText w:val="-"/>
      <w:lvlJc w:val="left"/>
      <w:pPr>
        <w:tabs>
          <w:tab w:val="num" w:pos="720"/>
        </w:tabs>
        <w:ind w:left="720" w:hanging="360"/>
      </w:pPr>
      <w:rPr>
        <w:rFonts w:ascii="Verdana" w:eastAsia="Trebuchet MS" w:hAnsi="Verdana" w:cs="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F3920"/>
    <w:multiLevelType w:val="hybridMultilevel"/>
    <w:tmpl w:val="9CFAA488"/>
    <w:lvl w:ilvl="0" w:tplc="004A713C">
      <w:start w:val="1"/>
      <w:numFmt w:val="bullet"/>
      <w:lvlText w:val=""/>
      <w:lvlJc w:val="left"/>
      <w:pPr>
        <w:tabs>
          <w:tab w:val="num" w:pos="737"/>
        </w:tabs>
        <w:ind w:left="862"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22BF7"/>
    <w:multiLevelType w:val="hybridMultilevel"/>
    <w:tmpl w:val="D67CE346"/>
    <w:lvl w:ilvl="0" w:tplc="24BE07B6">
      <w:start w:val="1"/>
      <w:numFmt w:val="bullet"/>
      <w:lvlText w:val="-"/>
      <w:lvlJc w:val="left"/>
      <w:pPr>
        <w:tabs>
          <w:tab w:val="num" w:pos="170"/>
        </w:tabs>
        <w:ind w:left="170" w:hanging="113"/>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65201"/>
    <w:multiLevelType w:val="hybridMultilevel"/>
    <w:tmpl w:val="70CE1B98"/>
    <w:lvl w:ilvl="0" w:tplc="2E9EC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13" w15:restartNumberingAfterBreak="0">
    <w:nsid w:val="2DF12DF3"/>
    <w:multiLevelType w:val="hybridMultilevel"/>
    <w:tmpl w:val="F5987D2A"/>
    <w:lvl w:ilvl="0" w:tplc="08090001">
      <w:start w:val="1"/>
      <w:numFmt w:val="bullet"/>
      <w:pStyle w:val="TabletextBullet2006GL"/>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43FDA"/>
    <w:multiLevelType w:val="hybridMultilevel"/>
    <w:tmpl w:val="7D4A275E"/>
    <w:lvl w:ilvl="0" w:tplc="004A713C">
      <w:start w:val="1"/>
      <w:numFmt w:val="bullet"/>
      <w:lvlText w:val=""/>
      <w:lvlJc w:val="left"/>
      <w:pPr>
        <w:tabs>
          <w:tab w:val="num" w:pos="1080"/>
        </w:tabs>
        <w:ind w:left="1080" w:hanging="720"/>
      </w:pPr>
      <w:rPr>
        <w:rFonts w:ascii="Symbol" w:hAnsi="Symbol" w:hint="default"/>
        <w:b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903E3"/>
    <w:multiLevelType w:val="hybridMultilevel"/>
    <w:tmpl w:val="A178153C"/>
    <w:lvl w:ilvl="0" w:tplc="3176E14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55E56"/>
    <w:multiLevelType w:val="hybridMultilevel"/>
    <w:tmpl w:val="7522380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63D0C"/>
    <w:multiLevelType w:val="multilevel"/>
    <w:tmpl w:val="5650AF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D46DBB"/>
    <w:multiLevelType w:val="hybridMultilevel"/>
    <w:tmpl w:val="C4D6D910"/>
    <w:lvl w:ilvl="0" w:tplc="004A713C">
      <w:start w:val="1"/>
      <w:numFmt w:val="bullet"/>
      <w:lvlText w:val=""/>
      <w:lvlJc w:val="left"/>
      <w:pPr>
        <w:tabs>
          <w:tab w:val="num" w:pos="720"/>
        </w:tabs>
        <w:ind w:left="720" w:hanging="360"/>
      </w:pPr>
      <w:rPr>
        <w:rFonts w:ascii="Symbol" w:hAnsi="Symbol" w:hint="default"/>
        <w:color w:val="auto"/>
        <w:sz w:val="18"/>
        <w:szCs w:val="18"/>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43EA20DF"/>
    <w:multiLevelType w:val="hybridMultilevel"/>
    <w:tmpl w:val="F81036BE"/>
    <w:lvl w:ilvl="0" w:tplc="04090001">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450F070B"/>
    <w:multiLevelType w:val="hybridMultilevel"/>
    <w:tmpl w:val="A40604C8"/>
    <w:lvl w:ilvl="0" w:tplc="004A713C">
      <w:start w:val="1"/>
      <w:numFmt w:val="bullet"/>
      <w:lvlText w:val=""/>
      <w:lvlJc w:val="left"/>
      <w:pPr>
        <w:ind w:left="1440" w:hanging="360"/>
      </w:pPr>
      <w:rPr>
        <w:rFonts w:ascii="Symbol" w:hAnsi="Symbol" w:hint="default"/>
        <w:color w:val="auto"/>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9A3290"/>
    <w:multiLevelType w:val="hybridMultilevel"/>
    <w:tmpl w:val="FDECE1FA"/>
    <w:name w:val="HTML-List1"/>
    <w:lvl w:ilvl="0" w:tplc="CC0C8AAE">
      <w:start w:val="1"/>
      <w:numFmt w:val="bullet"/>
      <w:lvlText w:val=""/>
      <w:lvlJc w:val="left"/>
      <w:pPr>
        <w:tabs>
          <w:tab w:val="num" w:pos="363"/>
        </w:tabs>
        <w:ind w:left="363" w:hanging="360"/>
      </w:pPr>
      <w:rPr>
        <w:rFonts w:ascii="Symbol" w:hAnsi="Symbol" w:hint="default"/>
      </w:rPr>
    </w:lvl>
    <w:lvl w:ilvl="1" w:tplc="B8B471B8" w:tentative="1">
      <w:start w:val="1"/>
      <w:numFmt w:val="bullet"/>
      <w:lvlText w:val="o"/>
      <w:lvlJc w:val="left"/>
      <w:pPr>
        <w:tabs>
          <w:tab w:val="num" w:pos="1083"/>
        </w:tabs>
        <w:ind w:left="1083" w:hanging="360"/>
      </w:pPr>
      <w:rPr>
        <w:rFonts w:ascii="Courier New" w:hAnsi="Courier New" w:cs="Courier New" w:hint="default"/>
      </w:rPr>
    </w:lvl>
    <w:lvl w:ilvl="2" w:tplc="2D4AF5BC" w:tentative="1">
      <w:start w:val="1"/>
      <w:numFmt w:val="bullet"/>
      <w:lvlText w:val=""/>
      <w:lvlJc w:val="left"/>
      <w:pPr>
        <w:tabs>
          <w:tab w:val="num" w:pos="1803"/>
        </w:tabs>
        <w:ind w:left="1803" w:hanging="360"/>
      </w:pPr>
      <w:rPr>
        <w:rFonts w:ascii="Wingdings" w:hAnsi="Wingdings" w:hint="default"/>
      </w:rPr>
    </w:lvl>
    <w:lvl w:ilvl="3" w:tplc="DB8AE276" w:tentative="1">
      <w:start w:val="1"/>
      <w:numFmt w:val="bullet"/>
      <w:lvlText w:val=""/>
      <w:lvlJc w:val="left"/>
      <w:pPr>
        <w:tabs>
          <w:tab w:val="num" w:pos="2523"/>
        </w:tabs>
        <w:ind w:left="2523" w:hanging="360"/>
      </w:pPr>
      <w:rPr>
        <w:rFonts w:ascii="Symbol" w:hAnsi="Symbol" w:hint="default"/>
      </w:rPr>
    </w:lvl>
    <w:lvl w:ilvl="4" w:tplc="8F36AA0C" w:tentative="1">
      <w:start w:val="1"/>
      <w:numFmt w:val="bullet"/>
      <w:lvlText w:val="o"/>
      <w:lvlJc w:val="left"/>
      <w:pPr>
        <w:tabs>
          <w:tab w:val="num" w:pos="3243"/>
        </w:tabs>
        <w:ind w:left="3243" w:hanging="360"/>
      </w:pPr>
      <w:rPr>
        <w:rFonts w:ascii="Courier New" w:hAnsi="Courier New" w:cs="Courier New" w:hint="default"/>
      </w:rPr>
    </w:lvl>
    <w:lvl w:ilvl="5" w:tplc="F98E6990" w:tentative="1">
      <w:start w:val="1"/>
      <w:numFmt w:val="bullet"/>
      <w:lvlText w:val=""/>
      <w:lvlJc w:val="left"/>
      <w:pPr>
        <w:tabs>
          <w:tab w:val="num" w:pos="3963"/>
        </w:tabs>
        <w:ind w:left="3963" w:hanging="360"/>
      </w:pPr>
      <w:rPr>
        <w:rFonts w:ascii="Wingdings" w:hAnsi="Wingdings" w:hint="default"/>
      </w:rPr>
    </w:lvl>
    <w:lvl w:ilvl="6" w:tplc="2514C5E8" w:tentative="1">
      <w:start w:val="1"/>
      <w:numFmt w:val="bullet"/>
      <w:lvlText w:val=""/>
      <w:lvlJc w:val="left"/>
      <w:pPr>
        <w:tabs>
          <w:tab w:val="num" w:pos="4683"/>
        </w:tabs>
        <w:ind w:left="4683" w:hanging="360"/>
      </w:pPr>
      <w:rPr>
        <w:rFonts w:ascii="Symbol" w:hAnsi="Symbol" w:hint="default"/>
      </w:rPr>
    </w:lvl>
    <w:lvl w:ilvl="7" w:tplc="EE747AE0" w:tentative="1">
      <w:start w:val="1"/>
      <w:numFmt w:val="bullet"/>
      <w:lvlText w:val="o"/>
      <w:lvlJc w:val="left"/>
      <w:pPr>
        <w:tabs>
          <w:tab w:val="num" w:pos="5403"/>
        </w:tabs>
        <w:ind w:left="5403" w:hanging="360"/>
      </w:pPr>
      <w:rPr>
        <w:rFonts w:ascii="Courier New" w:hAnsi="Courier New" w:cs="Courier New" w:hint="default"/>
      </w:rPr>
    </w:lvl>
    <w:lvl w:ilvl="8" w:tplc="589250AC"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4C3E24CC"/>
    <w:multiLevelType w:val="hybridMultilevel"/>
    <w:tmpl w:val="A7C22AE2"/>
    <w:lvl w:ilvl="0" w:tplc="004A713C">
      <w:start w:val="1"/>
      <w:numFmt w:val="bullet"/>
      <w:lvlText w:val=""/>
      <w:lvlJc w:val="left"/>
      <w:pPr>
        <w:tabs>
          <w:tab w:val="num" w:pos="720"/>
        </w:tabs>
        <w:ind w:left="720" w:hanging="360"/>
      </w:pPr>
      <w:rPr>
        <w:rFonts w:ascii="Symbol" w:hAnsi="Symbol" w:hint="default"/>
        <w:color w:val="auto"/>
        <w:sz w:val="18"/>
        <w:szCs w:val="18"/>
      </w:rPr>
    </w:lvl>
    <w:lvl w:ilvl="1" w:tplc="8C10CC72">
      <w:start w:val="1"/>
      <w:numFmt w:val="decimal"/>
      <w:lvlText w:val="(%2)"/>
      <w:lvlJc w:val="left"/>
      <w:pPr>
        <w:tabs>
          <w:tab w:val="num" w:pos="1440"/>
        </w:tabs>
        <w:ind w:left="1440" w:hanging="360"/>
      </w:pPr>
      <w:rPr>
        <w:rFonts w:hint="default"/>
        <w:sz w:val="18"/>
        <w:szCs w:val="18"/>
      </w:rPr>
    </w:lvl>
    <w:lvl w:ilvl="2" w:tplc="26CA9CB8">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CCC6528"/>
    <w:multiLevelType w:val="hybridMultilevel"/>
    <w:tmpl w:val="1FCEA642"/>
    <w:lvl w:ilvl="0" w:tplc="0E8A1100">
      <w:start w:val="1"/>
      <w:numFmt w:val="bullet"/>
      <w:lvlText w:val=""/>
      <w:lvlJc w:val="left"/>
      <w:pPr>
        <w:tabs>
          <w:tab w:val="num" w:pos="360"/>
        </w:tabs>
        <w:ind w:left="360" w:hanging="360"/>
      </w:pPr>
      <w:rPr>
        <w:rFonts w:ascii="Symbol" w:hAnsi="Symbol" w:hint="default"/>
      </w:rPr>
    </w:lvl>
    <w:lvl w:ilvl="1" w:tplc="72768F8E">
      <w:start w:val="1"/>
      <w:numFmt w:val="bullet"/>
      <w:pStyle w:val="TableBullet2"/>
      <w:lvlText w:val="o"/>
      <w:lvlJc w:val="left"/>
      <w:pPr>
        <w:tabs>
          <w:tab w:val="num" w:pos="1080"/>
        </w:tabs>
        <w:ind w:left="1080" w:hanging="360"/>
      </w:pPr>
      <w:rPr>
        <w:rFonts w:ascii="Courier New" w:hAnsi="Courier New" w:cs="Courier New" w:hint="default"/>
      </w:rPr>
    </w:lvl>
    <w:lvl w:ilvl="2" w:tplc="C5500012" w:tentative="1">
      <w:start w:val="1"/>
      <w:numFmt w:val="bullet"/>
      <w:lvlText w:val=""/>
      <w:lvlJc w:val="left"/>
      <w:pPr>
        <w:tabs>
          <w:tab w:val="num" w:pos="1800"/>
        </w:tabs>
        <w:ind w:left="1800" w:hanging="360"/>
      </w:pPr>
      <w:rPr>
        <w:rFonts w:ascii="Wingdings" w:hAnsi="Wingdings" w:hint="default"/>
      </w:rPr>
    </w:lvl>
    <w:lvl w:ilvl="3" w:tplc="FE6AE9E8" w:tentative="1">
      <w:start w:val="1"/>
      <w:numFmt w:val="bullet"/>
      <w:lvlText w:val=""/>
      <w:lvlJc w:val="left"/>
      <w:pPr>
        <w:tabs>
          <w:tab w:val="num" w:pos="2520"/>
        </w:tabs>
        <w:ind w:left="2520" w:hanging="360"/>
      </w:pPr>
      <w:rPr>
        <w:rFonts w:ascii="Symbol" w:hAnsi="Symbol" w:hint="default"/>
      </w:rPr>
    </w:lvl>
    <w:lvl w:ilvl="4" w:tplc="2FA2A6FC" w:tentative="1">
      <w:start w:val="1"/>
      <w:numFmt w:val="bullet"/>
      <w:lvlText w:val="o"/>
      <w:lvlJc w:val="left"/>
      <w:pPr>
        <w:tabs>
          <w:tab w:val="num" w:pos="3240"/>
        </w:tabs>
        <w:ind w:left="3240" w:hanging="360"/>
      </w:pPr>
      <w:rPr>
        <w:rFonts w:ascii="Courier New" w:hAnsi="Courier New" w:cs="Courier New" w:hint="default"/>
      </w:rPr>
    </w:lvl>
    <w:lvl w:ilvl="5" w:tplc="865CF7C6" w:tentative="1">
      <w:start w:val="1"/>
      <w:numFmt w:val="bullet"/>
      <w:lvlText w:val=""/>
      <w:lvlJc w:val="left"/>
      <w:pPr>
        <w:tabs>
          <w:tab w:val="num" w:pos="3960"/>
        </w:tabs>
        <w:ind w:left="3960" w:hanging="360"/>
      </w:pPr>
      <w:rPr>
        <w:rFonts w:ascii="Wingdings" w:hAnsi="Wingdings" w:hint="default"/>
      </w:rPr>
    </w:lvl>
    <w:lvl w:ilvl="6" w:tplc="E9FAD9E2" w:tentative="1">
      <w:start w:val="1"/>
      <w:numFmt w:val="bullet"/>
      <w:lvlText w:val=""/>
      <w:lvlJc w:val="left"/>
      <w:pPr>
        <w:tabs>
          <w:tab w:val="num" w:pos="4680"/>
        </w:tabs>
        <w:ind w:left="4680" w:hanging="360"/>
      </w:pPr>
      <w:rPr>
        <w:rFonts w:ascii="Symbol" w:hAnsi="Symbol" w:hint="default"/>
      </w:rPr>
    </w:lvl>
    <w:lvl w:ilvl="7" w:tplc="640EE49E" w:tentative="1">
      <w:start w:val="1"/>
      <w:numFmt w:val="bullet"/>
      <w:lvlText w:val="o"/>
      <w:lvlJc w:val="left"/>
      <w:pPr>
        <w:tabs>
          <w:tab w:val="num" w:pos="5400"/>
        </w:tabs>
        <w:ind w:left="5400" w:hanging="360"/>
      </w:pPr>
      <w:rPr>
        <w:rFonts w:ascii="Courier New" w:hAnsi="Courier New" w:cs="Courier New" w:hint="default"/>
      </w:rPr>
    </w:lvl>
    <w:lvl w:ilvl="8" w:tplc="46906CD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511B63"/>
    <w:multiLevelType w:val="hybridMultilevel"/>
    <w:tmpl w:val="D4C65CB2"/>
    <w:lvl w:ilvl="0" w:tplc="B82CFD1E">
      <w:start w:val="1"/>
      <w:numFmt w:val="decimal"/>
      <w:pStyle w:val="NumberedSteps"/>
      <w:lvlText w:val="Step %1)"/>
      <w:lvlJc w:val="left"/>
      <w:pPr>
        <w:tabs>
          <w:tab w:val="num" w:pos="720"/>
        </w:tabs>
        <w:ind w:left="851" w:hanging="851"/>
      </w:pPr>
      <w:rPr>
        <w:rFonts w:hint="default"/>
      </w:rPr>
    </w:lvl>
    <w:lvl w:ilvl="1" w:tplc="D7FA0DB0"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6" w15:restartNumberingAfterBreak="0">
    <w:nsid w:val="5BDC51B1"/>
    <w:multiLevelType w:val="hybridMultilevel"/>
    <w:tmpl w:val="624433C2"/>
    <w:lvl w:ilvl="0" w:tplc="04080001">
      <w:start w:val="1"/>
      <w:numFmt w:val="decimal"/>
      <w:lvlText w:val="%1."/>
      <w:lvlJc w:val="left"/>
      <w:pPr>
        <w:tabs>
          <w:tab w:val="num" w:pos="1440"/>
        </w:tabs>
        <w:ind w:left="1440" w:hanging="360"/>
      </w:pPr>
      <w:rPr>
        <w:rFonts w:hint="default"/>
        <w:color w:val="auto"/>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74F2B"/>
    <w:multiLevelType w:val="hybridMultilevel"/>
    <w:tmpl w:val="C16E1048"/>
    <w:lvl w:ilvl="0" w:tplc="004A713C">
      <w:start w:val="1"/>
      <w:numFmt w:val="bullet"/>
      <w:lvlText w:val=""/>
      <w:lvlJc w:val="left"/>
      <w:pPr>
        <w:tabs>
          <w:tab w:val="num" w:pos="720"/>
        </w:tabs>
        <w:ind w:left="720" w:hanging="360"/>
      </w:pPr>
      <w:rPr>
        <w:rFonts w:ascii="Symbol" w:hAnsi="Symbol" w:hint="default"/>
        <w:color w:val="auto"/>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5"/>
  </w:num>
  <w:num w:numId="4">
    <w:abstractNumId w:val="9"/>
  </w:num>
  <w:num w:numId="5">
    <w:abstractNumId w:val="18"/>
  </w:num>
  <w:num w:numId="6">
    <w:abstractNumId w:val="27"/>
  </w:num>
  <w:num w:numId="7">
    <w:abstractNumId w:val="22"/>
  </w:num>
  <w:num w:numId="8">
    <w:abstractNumId w:val="20"/>
  </w:num>
  <w:num w:numId="9">
    <w:abstractNumId w:val="14"/>
  </w:num>
  <w:num w:numId="10">
    <w:abstractNumId w:val="15"/>
  </w:num>
  <w:num w:numId="11">
    <w:abstractNumId w:val="6"/>
  </w:num>
  <w:num w:numId="12">
    <w:abstractNumId w:val="7"/>
  </w:num>
  <w:num w:numId="13">
    <w:abstractNumId w:val="10"/>
  </w:num>
  <w:num w:numId="14">
    <w:abstractNumId w:val="11"/>
  </w:num>
  <w:num w:numId="15">
    <w:abstractNumId w:val="26"/>
  </w:num>
  <w:num w:numId="16">
    <w:abstractNumId w:val="4"/>
  </w:num>
  <w:num w:numId="17">
    <w:abstractNumId w:val="8"/>
  </w:num>
  <w:num w:numId="18">
    <w:abstractNumId w:val="17"/>
  </w:num>
  <w:num w:numId="19">
    <w:abstractNumId w:val="2"/>
  </w:num>
  <w:num w:numId="20">
    <w:abstractNumId w:val="1"/>
  </w:num>
  <w:num w:numId="21">
    <w:abstractNumId w:val="3"/>
  </w:num>
  <w:num w:numId="22">
    <w:abstractNumId w:val="0"/>
  </w:num>
  <w:num w:numId="23">
    <w:abstractNumId w:val="25"/>
  </w:num>
  <w:num w:numId="24">
    <w:abstractNumId w:val="13"/>
  </w:num>
  <w:num w:numId="25">
    <w:abstractNumId w:val="24"/>
  </w:num>
  <w:num w:numId="26">
    <w:abstractNumId w:val="23"/>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0" w:nlCheck="1" w:checkStyle="1"/>
  <w:activeWritingStyle w:appName="MSWord" w:lang="fr-FR" w:vendorID="64" w:dllVersion="0" w:nlCheck="1" w:checkStyle="0"/>
  <w:activeWritingStyle w:appName="MSWord" w:lang="en-US" w:vendorID="64" w:dllVersion="0" w:nlCheck="1" w:checkStyle="1"/>
  <w:activeWritingStyle w:appName="MSWord" w:lang="de-DE" w:vendorID="64" w:dllVersion="0" w:nlCheck="1" w:checkStyle="1"/>
  <w:activeWritingStyle w:appName="MSWord" w:lang="es-E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fillcolor="#900" stroke="f">
      <v:fill color="#90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87"/>
    <w:rsid w:val="000001C0"/>
    <w:rsid w:val="000010D7"/>
    <w:rsid w:val="00001C72"/>
    <w:rsid w:val="00002FF2"/>
    <w:rsid w:val="00003CC9"/>
    <w:rsid w:val="0000485C"/>
    <w:rsid w:val="00004C9A"/>
    <w:rsid w:val="000058D1"/>
    <w:rsid w:val="0000601A"/>
    <w:rsid w:val="00006BEE"/>
    <w:rsid w:val="00006C00"/>
    <w:rsid w:val="00010321"/>
    <w:rsid w:val="00010B5B"/>
    <w:rsid w:val="00010CA5"/>
    <w:rsid w:val="00010EB6"/>
    <w:rsid w:val="00011289"/>
    <w:rsid w:val="000116F1"/>
    <w:rsid w:val="0001171A"/>
    <w:rsid w:val="00011948"/>
    <w:rsid w:val="0001279F"/>
    <w:rsid w:val="00013062"/>
    <w:rsid w:val="00015BED"/>
    <w:rsid w:val="00017B39"/>
    <w:rsid w:val="00020161"/>
    <w:rsid w:val="000210A8"/>
    <w:rsid w:val="000241AD"/>
    <w:rsid w:val="0002433B"/>
    <w:rsid w:val="000251B5"/>
    <w:rsid w:val="00025A30"/>
    <w:rsid w:val="00025FDC"/>
    <w:rsid w:val="000275EC"/>
    <w:rsid w:val="0002793B"/>
    <w:rsid w:val="00027C01"/>
    <w:rsid w:val="000309D5"/>
    <w:rsid w:val="00030BF7"/>
    <w:rsid w:val="00030BFA"/>
    <w:rsid w:val="000310BF"/>
    <w:rsid w:val="00032CF3"/>
    <w:rsid w:val="0003591B"/>
    <w:rsid w:val="00036557"/>
    <w:rsid w:val="000401F3"/>
    <w:rsid w:val="00042DBC"/>
    <w:rsid w:val="0004460C"/>
    <w:rsid w:val="0004509B"/>
    <w:rsid w:val="0004557C"/>
    <w:rsid w:val="00045B39"/>
    <w:rsid w:val="00047EEF"/>
    <w:rsid w:val="00050E69"/>
    <w:rsid w:val="00051085"/>
    <w:rsid w:val="00051237"/>
    <w:rsid w:val="0005213E"/>
    <w:rsid w:val="000522C2"/>
    <w:rsid w:val="00052963"/>
    <w:rsid w:val="00054A95"/>
    <w:rsid w:val="00056651"/>
    <w:rsid w:val="0005683B"/>
    <w:rsid w:val="0005742F"/>
    <w:rsid w:val="00057F32"/>
    <w:rsid w:val="000664F2"/>
    <w:rsid w:val="000665CC"/>
    <w:rsid w:val="00070204"/>
    <w:rsid w:val="00070DA3"/>
    <w:rsid w:val="000716D7"/>
    <w:rsid w:val="00071D91"/>
    <w:rsid w:val="00073762"/>
    <w:rsid w:val="000742A2"/>
    <w:rsid w:val="00075161"/>
    <w:rsid w:val="0007543E"/>
    <w:rsid w:val="0008044E"/>
    <w:rsid w:val="000807DB"/>
    <w:rsid w:val="00081FD4"/>
    <w:rsid w:val="00082C2F"/>
    <w:rsid w:val="00082C93"/>
    <w:rsid w:val="00084304"/>
    <w:rsid w:val="0008484A"/>
    <w:rsid w:val="000855B2"/>
    <w:rsid w:val="000861BC"/>
    <w:rsid w:val="00086EE0"/>
    <w:rsid w:val="0008782B"/>
    <w:rsid w:val="00090E1E"/>
    <w:rsid w:val="00092517"/>
    <w:rsid w:val="0009269A"/>
    <w:rsid w:val="000930AC"/>
    <w:rsid w:val="000931A0"/>
    <w:rsid w:val="00095EA7"/>
    <w:rsid w:val="00097E43"/>
    <w:rsid w:val="000A21D5"/>
    <w:rsid w:val="000A249B"/>
    <w:rsid w:val="000A3880"/>
    <w:rsid w:val="000A5005"/>
    <w:rsid w:val="000A513A"/>
    <w:rsid w:val="000A6305"/>
    <w:rsid w:val="000A6C21"/>
    <w:rsid w:val="000B002A"/>
    <w:rsid w:val="000B229C"/>
    <w:rsid w:val="000B269B"/>
    <w:rsid w:val="000B26C5"/>
    <w:rsid w:val="000B3E60"/>
    <w:rsid w:val="000B42A8"/>
    <w:rsid w:val="000B4582"/>
    <w:rsid w:val="000B5740"/>
    <w:rsid w:val="000C10ED"/>
    <w:rsid w:val="000C1710"/>
    <w:rsid w:val="000C291A"/>
    <w:rsid w:val="000C2945"/>
    <w:rsid w:val="000C2B89"/>
    <w:rsid w:val="000C492B"/>
    <w:rsid w:val="000C6040"/>
    <w:rsid w:val="000C6E6D"/>
    <w:rsid w:val="000D26BE"/>
    <w:rsid w:val="000D44AA"/>
    <w:rsid w:val="000D48AD"/>
    <w:rsid w:val="000D493C"/>
    <w:rsid w:val="000D58E5"/>
    <w:rsid w:val="000D5F27"/>
    <w:rsid w:val="000D7239"/>
    <w:rsid w:val="000D7FA1"/>
    <w:rsid w:val="000E045D"/>
    <w:rsid w:val="000E2271"/>
    <w:rsid w:val="000E2AB8"/>
    <w:rsid w:val="000E2D49"/>
    <w:rsid w:val="000E4644"/>
    <w:rsid w:val="000E6325"/>
    <w:rsid w:val="000E7FE1"/>
    <w:rsid w:val="000F1792"/>
    <w:rsid w:val="000F26C7"/>
    <w:rsid w:val="000F3E28"/>
    <w:rsid w:val="000F4964"/>
    <w:rsid w:val="000F5173"/>
    <w:rsid w:val="000F5919"/>
    <w:rsid w:val="000F6639"/>
    <w:rsid w:val="00101C26"/>
    <w:rsid w:val="00101F3A"/>
    <w:rsid w:val="001030DD"/>
    <w:rsid w:val="0010412A"/>
    <w:rsid w:val="00105176"/>
    <w:rsid w:val="00106C64"/>
    <w:rsid w:val="001119F4"/>
    <w:rsid w:val="001155C5"/>
    <w:rsid w:val="00117D25"/>
    <w:rsid w:val="00121510"/>
    <w:rsid w:val="001243CB"/>
    <w:rsid w:val="001245DC"/>
    <w:rsid w:val="00126B2F"/>
    <w:rsid w:val="00126E28"/>
    <w:rsid w:val="00131917"/>
    <w:rsid w:val="0013254F"/>
    <w:rsid w:val="00134F2D"/>
    <w:rsid w:val="00136D49"/>
    <w:rsid w:val="00137C08"/>
    <w:rsid w:val="00141E48"/>
    <w:rsid w:val="00141F70"/>
    <w:rsid w:val="0014254F"/>
    <w:rsid w:val="00143C65"/>
    <w:rsid w:val="00145106"/>
    <w:rsid w:val="00146003"/>
    <w:rsid w:val="00147007"/>
    <w:rsid w:val="00153529"/>
    <w:rsid w:val="00153E37"/>
    <w:rsid w:val="001543A8"/>
    <w:rsid w:val="0015473A"/>
    <w:rsid w:val="001550A7"/>
    <w:rsid w:val="00155692"/>
    <w:rsid w:val="00155BC3"/>
    <w:rsid w:val="00155FF2"/>
    <w:rsid w:val="00156CD2"/>
    <w:rsid w:val="001576FC"/>
    <w:rsid w:val="0016010F"/>
    <w:rsid w:val="00160688"/>
    <w:rsid w:val="00161AA2"/>
    <w:rsid w:val="00162DAA"/>
    <w:rsid w:val="00166905"/>
    <w:rsid w:val="00167D6A"/>
    <w:rsid w:val="001706FA"/>
    <w:rsid w:val="00170E57"/>
    <w:rsid w:val="001710D9"/>
    <w:rsid w:val="00172BF0"/>
    <w:rsid w:val="00174564"/>
    <w:rsid w:val="00175658"/>
    <w:rsid w:val="001760B6"/>
    <w:rsid w:val="00177116"/>
    <w:rsid w:val="00180CCD"/>
    <w:rsid w:val="001811F2"/>
    <w:rsid w:val="001817AF"/>
    <w:rsid w:val="00181FA6"/>
    <w:rsid w:val="001823CF"/>
    <w:rsid w:val="001843DE"/>
    <w:rsid w:val="00184BE9"/>
    <w:rsid w:val="00184E5F"/>
    <w:rsid w:val="00185BB9"/>
    <w:rsid w:val="00191F2E"/>
    <w:rsid w:val="00192A58"/>
    <w:rsid w:val="001930B0"/>
    <w:rsid w:val="001936F9"/>
    <w:rsid w:val="00193F58"/>
    <w:rsid w:val="0019454F"/>
    <w:rsid w:val="001946D0"/>
    <w:rsid w:val="00194998"/>
    <w:rsid w:val="00194F99"/>
    <w:rsid w:val="00197E2F"/>
    <w:rsid w:val="00197F22"/>
    <w:rsid w:val="001A036E"/>
    <w:rsid w:val="001A209B"/>
    <w:rsid w:val="001A3B2E"/>
    <w:rsid w:val="001A3E82"/>
    <w:rsid w:val="001A4292"/>
    <w:rsid w:val="001A56B9"/>
    <w:rsid w:val="001A5C66"/>
    <w:rsid w:val="001A698F"/>
    <w:rsid w:val="001A7497"/>
    <w:rsid w:val="001B0B68"/>
    <w:rsid w:val="001B21ED"/>
    <w:rsid w:val="001B7099"/>
    <w:rsid w:val="001C049D"/>
    <w:rsid w:val="001C2087"/>
    <w:rsid w:val="001C3258"/>
    <w:rsid w:val="001C5969"/>
    <w:rsid w:val="001D2587"/>
    <w:rsid w:val="001D2F38"/>
    <w:rsid w:val="001D49C1"/>
    <w:rsid w:val="001D5100"/>
    <w:rsid w:val="001D5FAC"/>
    <w:rsid w:val="001D603E"/>
    <w:rsid w:val="001D654A"/>
    <w:rsid w:val="001D6A6E"/>
    <w:rsid w:val="001E0D97"/>
    <w:rsid w:val="001E1A33"/>
    <w:rsid w:val="001E26D6"/>
    <w:rsid w:val="001E3A36"/>
    <w:rsid w:val="001E4D6D"/>
    <w:rsid w:val="001E5AC0"/>
    <w:rsid w:val="001E5FF2"/>
    <w:rsid w:val="001E6DAB"/>
    <w:rsid w:val="001E7194"/>
    <w:rsid w:val="001E7593"/>
    <w:rsid w:val="001F1FD0"/>
    <w:rsid w:val="001F2E7C"/>
    <w:rsid w:val="001F37A6"/>
    <w:rsid w:val="001F4FC5"/>
    <w:rsid w:val="001F58BF"/>
    <w:rsid w:val="001F7066"/>
    <w:rsid w:val="00200533"/>
    <w:rsid w:val="00200EB2"/>
    <w:rsid w:val="00201F06"/>
    <w:rsid w:val="00202122"/>
    <w:rsid w:val="00203CC3"/>
    <w:rsid w:val="00203F11"/>
    <w:rsid w:val="00204785"/>
    <w:rsid w:val="0020478C"/>
    <w:rsid w:val="00205D99"/>
    <w:rsid w:val="00206879"/>
    <w:rsid w:val="00206B2B"/>
    <w:rsid w:val="00206FE6"/>
    <w:rsid w:val="00207205"/>
    <w:rsid w:val="002079C6"/>
    <w:rsid w:val="00210BF8"/>
    <w:rsid w:val="002118A5"/>
    <w:rsid w:val="002153D3"/>
    <w:rsid w:val="002200F9"/>
    <w:rsid w:val="00220FFF"/>
    <w:rsid w:val="00221652"/>
    <w:rsid w:val="0022244C"/>
    <w:rsid w:val="00223425"/>
    <w:rsid w:val="0022601A"/>
    <w:rsid w:val="00227C56"/>
    <w:rsid w:val="00231DD6"/>
    <w:rsid w:val="00236573"/>
    <w:rsid w:val="0024282E"/>
    <w:rsid w:val="0024340C"/>
    <w:rsid w:val="0024580F"/>
    <w:rsid w:val="00246BA6"/>
    <w:rsid w:val="00246CBB"/>
    <w:rsid w:val="00251BC6"/>
    <w:rsid w:val="00252C89"/>
    <w:rsid w:val="0025473C"/>
    <w:rsid w:val="00255534"/>
    <w:rsid w:val="00255D07"/>
    <w:rsid w:val="002577AA"/>
    <w:rsid w:val="002578C9"/>
    <w:rsid w:val="002609E5"/>
    <w:rsid w:val="00261649"/>
    <w:rsid w:val="00261786"/>
    <w:rsid w:val="00263997"/>
    <w:rsid w:val="00263D48"/>
    <w:rsid w:val="00264170"/>
    <w:rsid w:val="00264846"/>
    <w:rsid w:val="00266BC9"/>
    <w:rsid w:val="00266E26"/>
    <w:rsid w:val="0026708D"/>
    <w:rsid w:val="0027035E"/>
    <w:rsid w:val="00270879"/>
    <w:rsid w:val="00273891"/>
    <w:rsid w:val="002746D7"/>
    <w:rsid w:val="002758A0"/>
    <w:rsid w:val="0027709C"/>
    <w:rsid w:val="00277644"/>
    <w:rsid w:val="002779CB"/>
    <w:rsid w:val="00281916"/>
    <w:rsid w:val="00282575"/>
    <w:rsid w:val="00284799"/>
    <w:rsid w:val="0028485D"/>
    <w:rsid w:val="00284A11"/>
    <w:rsid w:val="0028505B"/>
    <w:rsid w:val="00287BA2"/>
    <w:rsid w:val="002903C5"/>
    <w:rsid w:val="002923F2"/>
    <w:rsid w:val="00292C0E"/>
    <w:rsid w:val="00293A33"/>
    <w:rsid w:val="00295554"/>
    <w:rsid w:val="00296E89"/>
    <w:rsid w:val="00297DD6"/>
    <w:rsid w:val="002A1E95"/>
    <w:rsid w:val="002A3A5E"/>
    <w:rsid w:val="002A434F"/>
    <w:rsid w:val="002A50CC"/>
    <w:rsid w:val="002A52ED"/>
    <w:rsid w:val="002A5778"/>
    <w:rsid w:val="002A6409"/>
    <w:rsid w:val="002A7C81"/>
    <w:rsid w:val="002B0070"/>
    <w:rsid w:val="002B12C5"/>
    <w:rsid w:val="002B19B4"/>
    <w:rsid w:val="002B1FFD"/>
    <w:rsid w:val="002B3D9D"/>
    <w:rsid w:val="002B4316"/>
    <w:rsid w:val="002B4C3F"/>
    <w:rsid w:val="002B6D04"/>
    <w:rsid w:val="002B7208"/>
    <w:rsid w:val="002B7357"/>
    <w:rsid w:val="002B7A09"/>
    <w:rsid w:val="002C1E3C"/>
    <w:rsid w:val="002C22AA"/>
    <w:rsid w:val="002C2B5B"/>
    <w:rsid w:val="002C2FA6"/>
    <w:rsid w:val="002C41F3"/>
    <w:rsid w:val="002C4866"/>
    <w:rsid w:val="002C5C15"/>
    <w:rsid w:val="002C7AED"/>
    <w:rsid w:val="002D00EE"/>
    <w:rsid w:val="002D11EF"/>
    <w:rsid w:val="002D37C9"/>
    <w:rsid w:val="002D44B3"/>
    <w:rsid w:val="002D669B"/>
    <w:rsid w:val="002D6A9E"/>
    <w:rsid w:val="002E12B5"/>
    <w:rsid w:val="002E17EE"/>
    <w:rsid w:val="002E2402"/>
    <w:rsid w:val="002E3099"/>
    <w:rsid w:val="002E3E0B"/>
    <w:rsid w:val="002E4100"/>
    <w:rsid w:val="002E7EB2"/>
    <w:rsid w:val="002F02F7"/>
    <w:rsid w:val="002F14DB"/>
    <w:rsid w:val="002F2293"/>
    <w:rsid w:val="002F2A1D"/>
    <w:rsid w:val="002F354B"/>
    <w:rsid w:val="003012D9"/>
    <w:rsid w:val="0030317A"/>
    <w:rsid w:val="00305EEE"/>
    <w:rsid w:val="0030654E"/>
    <w:rsid w:val="00306BE3"/>
    <w:rsid w:val="0031088C"/>
    <w:rsid w:val="00311AB3"/>
    <w:rsid w:val="00311B49"/>
    <w:rsid w:val="003122EA"/>
    <w:rsid w:val="00314A42"/>
    <w:rsid w:val="00314D35"/>
    <w:rsid w:val="00315E2C"/>
    <w:rsid w:val="0031633C"/>
    <w:rsid w:val="00323D0A"/>
    <w:rsid w:val="0032400F"/>
    <w:rsid w:val="003241FF"/>
    <w:rsid w:val="0032530C"/>
    <w:rsid w:val="00331664"/>
    <w:rsid w:val="003331F3"/>
    <w:rsid w:val="00333D4E"/>
    <w:rsid w:val="00334844"/>
    <w:rsid w:val="00335F71"/>
    <w:rsid w:val="00336A50"/>
    <w:rsid w:val="0034029E"/>
    <w:rsid w:val="0034112A"/>
    <w:rsid w:val="00341A0B"/>
    <w:rsid w:val="00341B6E"/>
    <w:rsid w:val="00341F9A"/>
    <w:rsid w:val="003424C3"/>
    <w:rsid w:val="003425B8"/>
    <w:rsid w:val="00343438"/>
    <w:rsid w:val="0034432E"/>
    <w:rsid w:val="00344DF0"/>
    <w:rsid w:val="00346935"/>
    <w:rsid w:val="003472FD"/>
    <w:rsid w:val="003504BF"/>
    <w:rsid w:val="003508AB"/>
    <w:rsid w:val="003511C1"/>
    <w:rsid w:val="00353239"/>
    <w:rsid w:val="00354E02"/>
    <w:rsid w:val="0035533D"/>
    <w:rsid w:val="00356FB5"/>
    <w:rsid w:val="003607DB"/>
    <w:rsid w:val="0036125D"/>
    <w:rsid w:val="003614D3"/>
    <w:rsid w:val="00362ECD"/>
    <w:rsid w:val="00363D3C"/>
    <w:rsid w:val="003642FF"/>
    <w:rsid w:val="00364695"/>
    <w:rsid w:val="003658F6"/>
    <w:rsid w:val="00370FE9"/>
    <w:rsid w:val="0037160A"/>
    <w:rsid w:val="0037200D"/>
    <w:rsid w:val="003720F3"/>
    <w:rsid w:val="00373B48"/>
    <w:rsid w:val="00374488"/>
    <w:rsid w:val="00376B05"/>
    <w:rsid w:val="00377A50"/>
    <w:rsid w:val="003804A6"/>
    <w:rsid w:val="00383BE2"/>
    <w:rsid w:val="0038472B"/>
    <w:rsid w:val="00384BC0"/>
    <w:rsid w:val="003851B6"/>
    <w:rsid w:val="00386411"/>
    <w:rsid w:val="003864CB"/>
    <w:rsid w:val="00386F2B"/>
    <w:rsid w:val="00390D39"/>
    <w:rsid w:val="00390F6C"/>
    <w:rsid w:val="00391A9C"/>
    <w:rsid w:val="00391EF1"/>
    <w:rsid w:val="003930A6"/>
    <w:rsid w:val="00393C56"/>
    <w:rsid w:val="00395A54"/>
    <w:rsid w:val="00395EA2"/>
    <w:rsid w:val="00395EE1"/>
    <w:rsid w:val="0039615D"/>
    <w:rsid w:val="003A15CA"/>
    <w:rsid w:val="003A3685"/>
    <w:rsid w:val="003A3CE0"/>
    <w:rsid w:val="003A3DE5"/>
    <w:rsid w:val="003A4606"/>
    <w:rsid w:val="003A4B09"/>
    <w:rsid w:val="003B02A8"/>
    <w:rsid w:val="003B38C3"/>
    <w:rsid w:val="003B63AB"/>
    <w:rsid w:val="003C08DD"/>
    <w:rsid w:val="003C14CA"/>
    <w:rsid w:val="003C2DC5"/>
    <w:rsid w:val="003C5079"/>
    <w:rsid w:val="003C59AA"/>
    <w:rsid w:val="003D1B1E"/>
    <w:rsid w:val="003D358C"/>
    <w:rsid w:val="003D6F48"/>
    <w:rsid w:val="003D709A"/>
    <w:rsid w:val="003E0E5E"/>
    <w:rsid w:val="003E1B61"/>
    <w:rsid w:val="003E48C4"/>
    <w:rsid w:val="003E49B4"/>
    <w:rsid w:val="003E5466"/>
    <w:rsid w:val="003E6C92"/>
    <w:rsid w:val="003E7A8C"/>
    <w:rsid w:val="003F0C98"/>
    <w:rsid w:val="003F24A2"/>
    <w:rsid w:val="003F2CC9"/>
    <w:rsid w:val="003F34E0"/>
    <w:rsid w:val="003F36D2"/>
    <w:rsid w:val="003F69B5"/>
    <w:rsid w:val="003F7EE6"/>
    <w:rsid w:val="0040207B"/>
    <w:rsid w:val="00402F90"/>
    <w:rsid w:val="004035C1"/>
    <w:rsid w:val="004063C8"/>
    <w:rsid w:val="00407974"/>
    <w:rsid w:val="00407AB7"/>
    <w:rsid w:val="0041054C"/>
    <w:rsid w:val="00410789"/>
    <w:rsid w:val="00411C7D"/>
    <w:rsid w:val="00413B0D"/>
    <w:rsid w:val="00414603"/>
    <w:rsid w:val="0041745E"/>
    <w:rsid w:val="00422B89"/>
    <w:rsid w:val="00425509"/>
    <w:rsid w:val="00425A22"/>
    <w:rsid w:val="00425CB5"/>
    <w:rsid w:val="00427B6C"/>
    <w:rsid w:val="00430283"/>
    <w:rsid w:val="00431EC2"/>
    <w:rsid w:val="004332B0"/>
    <w:rsid w:val="0043533D"/>
    <w:rsid w:val="0043555B"/>
    <w:rsid w:val="00437ECC"/>
    <w:rsid w:val="00446605"/>
    <w:rsid w:val="00446E92"/>
    <w:rsid w:val="00447110"/>
    <w:rsid w:val="00450009"/>
    <w:rsid w:val="00450865"/>
    <w:rsid w:val="004514E9"/>
    <w:rsid w:val="00451515"/>
    <w:rsid w:val="0045158E"/>
    <w:rsid w:val="0045365E"/>
    <w:rsid w:val="004563FB"/>
    <w:rsid w:val="0045683B"/>
    <w:rsid w:val="00456B03"/>
    <w:rsid w:val="00460B72"/>
    <w:rsid w:val="00461783"/>
    <w:rsid w:val="00462862"/>
    <w:rsid w:val="00462CC8"/>
    <w:rsid w:val="00463D55"/>
    <w:rsid w:val="00464165"/>
    <w:rsid w:val="0046424C"/>
    <w:rsid w:val="00467810"/>
    <w:rsid w:val="0046796E"/>
    <w:rsid w:val="00474E52"/>
    <w:rsid w:val="004771FC"/>
    <w:rsid w:val="00482849"/>
    <w:rsid w:val="00482973"/>
    <w:rsid w:val="004838BE"/>
    <w:rsid w:val="00484A1C"/>
    <w:rsid w:val="00485A6E"/>
    <w:rsid w:val="00487340"/>
    <w:rsid w:val="0048755A"/>
    <w:rsid w:val="00487F5D"/>
    <w:rsid w:val="0049140F"/>
    <w:rsid w:val="004922C7"/>
    <w:rsid w:val="00493D36"/>
    <w:rsid w:val="00494B95"/>
    <w:rsid w:val="00496D70"/>
    <w:rsid w:val="00497D72"/>
    <w:rsid w:val="004A077B"/>
    <w:rsid w:val="004A3634"/>
    <w:rsid w:val="004A648E"/>
    <w:rsid w:val="004A6CE9"/>
    <w:rsid w:val="004A7F36"/>
    <w:rsid w:val="004B27A3"/>
    <w:rsid w:val="004B51CC"/>
    <w:rsid w:val="004B7227"/>
    <w:rsid w:val="004C0937"/>
    <w:rsid w:val="004C1022"/>
    <w:rsid w:val="004C1425"/>
    <w:rsid w:val="004C1CF6"/>
    <w:rsid w:val="004C1D29"/>
    <w:rsid w:val="004C3374"/>
    <w:rsid w:val="004C382C"/>
    <w:rsid w:val="004C3AAF"/>
    <w:rsid w:val="004C4301"/>
    <w:rsid w:val="004C535F"/>
    <w:rsid w:val="004C5668"/>
    <w:rsid w:val="004C5EBC"/>
    <w:rsid w:val="004D0349"/>
    <w:rsid w:val="004D03D3"/>
    <w:rsid w:val="004D13A5"/>
    <w:rsid w:val="004D264F"/>
    <w:rsid w:val="004D3299"/>
    <w:rsid w:val="004D5E59"/>
    <w:rsid w:val="004D7F0D"/>
    <w:rsid w:val="004E1503"/>
    <w:rsid w:val="004E2450"/>
    <w:rsid w:val="004E281D"/>
    <w:rsid w:val="004E5F04"/>
    <w:rsid w:val="004E65E5"/>
    <w:rsid w:val="004E798C"/>
    <w:rsid w:val="004F0FA6"/>
    <w:rsid w:val="004F124F"/>
    <w:rsid w:val="004F21D3"/>
    <w:rsid w:val="004F43C5"/>
    <w:rsid w:val="004F4413"/>
    <w:rsid w:val="004F5A83"/>
    <w:rsid w:val="004F7A18"/>
    <w:rsid w:val="005011DD"/>
    <w:rsid w:val="00502783"/>
    <w:rsid w:val="0050459C"/>
    <w:rsid w:val="0050525E"/>
    <w:rsid w:val="00505603"/>
    <w:rsid w:val="00505692"/>
    <w:rsid w:val="00505C7C"/>
    <w:rsid w:val="0050668B"/>
    <w:rsid w:val="005078CE"/>
    <w:rsid w:val="005103CC"/>
    <w:rsid w:val="00510BE2"/>
    <w:rsid w:val="005119BF"/>
    <w:rsid w:val="00513092"/>
    <w:rsid w:val="00513E5E"/>
    <w:rsid w:val="00516A89"/>
    <w:rsid w:val="00517609"/>
    <w:rsid w:val="005213E0"/>
    <w:rsid w:val="00521469"/>
    <w:rsid w:val="00523DC3"/>
    <w:rsid w:val="00523FDB"/>
    <w:rsid w:val="0052403D"/>
    <w:rsid w:val="00527711"/>
    <w:rsid w:val="00531950"/>
    <w:rsid w:val="005325B9"/>
    <w:rsid w:val="005330C7"/>
    <w:rsid w:val="00534AE1"/>
    <w:rsid w:val="00536A0A"/>
    <w:rsid w:val="00540058"/>
    <w:rsid w:val="00540C1D"/>
    <w:rsid w:val="0054218C"/>
    <w:rsid w:val="00542922"/>
    <w:rsid w:val="00542D5B"/>
    <w:rsid w:val="00543FC2"/>
    <w:rsid w:val="0054646A"/>
    <w:rsid w:val="00546C89"/>
    <w:rsid w:val="00547358"/>
    <w:rsid w:val="00547C50"/>
    <w:rsid w:val="005524DB"/>
    <w:rsid w:val="00552763"/>
    <w:rsid w:val="00552E3C"/>
    <w:rsid w:val="00553657"/>
    <w:rsid w:val="005542D8"/>
    <w:rsid w:val="00554B0F"/>
    <w:rsid w:val="005575E8"/>
    <w:rsid w:val="005579A3"/>
    <w:rsid w:val="00557B77"/>
    <w:rsid w:val="00560E6E"/>
    <w:rsid w:val="00563D62"/>
    <w:rsid w:val="00565280"/>
    <w:rsid w:val="00565E6D"/>
    <w:rsid w:val="00567DDE"/>
    <w:rsid w:val="0057136A"/>
    <w:rsid w:val="00571A67"/>
    <w:rsid w:val="00573015"/>
    <w:rsid w:val="00573974"/>
    <w:rsid w:val="00573B54"/>
    <w:rsid w:val="00575996"/>
    <w:rsid w:val="00576A8F"/>
    <w:rsid w:val="00576C0B"/>
    <w:rsid w:val="00582072"/>
    <w:rsid w:val="00584197"/>
    <w:rsid w:val="00585B38"/>
    <w:rsid w:val="00585E4E"/>
    <w:rsid w:val="00586208"/>
    <w:rsid w:val="0058677D"/>
    <w:rsid w:val="00587E6E"/>
    <w:rsid w:val="00590B28"/>
    <w:rsid w:val="00591951"/>
    <w:rsid w:val="005942B3"/>
    <w:rsid w:val="005945B5"/>
    <w:rsid w:val="005A0BE5"/>
    <w:rsid w:val="005A19A3"/>
    <w:rsid w:val="005A34E2"/>
    <w:rsid w:val="005A3DC8"/>
    <w:rsid w:val="005A5C37"/>
    <w:rsid w:val="005A60A4"/>
    <w:rsid w:val="005A61D9"/>
    <w:rsid w:val="005A7A89"/>
    <w:rsid w:val="005B024C"/>
    <w:rsid w:val="005B0395"/>
    <w:rsid w:val="005B074A"/>
    <w:rsid w:val="005B0BE2"/>
    <w:rsid w:val="005B17F2"/>
    <w:rsid w:val="005B3D90"/>
    <w:rsid w:val="005B44D6"/>
    <w:rsid w:val="005B4A3E"/>
    <w:rsid w:val="005B4C23"/>
    <w:rsid w:val="005B4E95"/>
    <w:rsid w:val="005B5943"/>
    <w:rsid w:val="005B710F"/>
    <w:rsid w:val="005C1151"/>
    <w:rsid w:val="005C4DC4"/>
    <w:rsid w:val="005C51AA"/>
    <w:rsid w:val="005C5C2F"/>
    <w:rsid w:val="005C7955"/>
    <w:rsid w:val="005D2BB3"/>
    <w:rsid w:val="005E02F1"/>
    <w:rsid w:val="005E04EC"/>
    <w:rsid w:val="005E0763"/>
    <w:rsid w:val="005E1FDD"/>
    <w:rsid w:val="005E34E2"/>
    <w:rsid w:val="005E3510"/>
    <w:rsid w:val="005E4BDA"/>
    <w:rsid w:val="005E4D06"/>
    <w:rsid w:val="005E4DC4"/>
    <w:rsid w:val="005F0170"/>
    <w:rsid w:val="005F037B"/>
    <w:rsid w:val="005F0CAB"/>
    <w:rsid w:val="005F273F"/>
    <w:rsid w:val="005F4E02"/>
    <w:rsid w:val="005F593A"/>
    <w:rsid w:val="005F5A39"/>
    <w:rsid w:val="005F5D3D"/>
    <w:rsid w:val="00602A1D"/>
    <w:rsid w:val="006040E5"/>
    <w:rsid w:val="00606052"/>
    <w:rsid w:val="00607E63"/>
    <w:rsid w:val="00610077"/>
    <w:rsid w:val="006130F1"/>
    <w:rsid w:val="00613A1A"/>
    <w:rsid w:val="00616D7A"/>
    <w:rsid w:val="0061797F"/>
    <w:rsid w:val="0062040D"/>
    <w:rsid w:val="0062179A"/>
    <w:rsid w:val="00621DAE"/>
    <w:rsid w:val="00627174"/>
    <w:rsid w:val="0062782E"/>
    <w:rsid w:val="00630534"/>
    <w:rsid w:val="00630B64"/>
    <w:rsid w:val="00631228"/>
    <w:rsid w:val="00631330"/>
    <w:rsid w:val="00632C0B"/>
    <w:rsid w:val="00632F81"/>
    <w:rsid w:val="006337BE"/>
    <w:rsid w:val="00634551"/>
    <w:rsid w:val="00637801"/>
    <w:rsid w:val="00643FE9"/>
    <w:rsid w:val="00645A21"/>
    <w:rsid w:val="006474D4"/>
    <w:rsid w:val="00650189"/>
    <w:rsid w:val="006502D0"/>
    <w:rsid w:val="00652B4E"/>
    <w:rsid w:val="00652D1A"/>
    <w:rsid w:val="006557C0"/>
    <w:rsid w:val="00656D26"/>
    <w:rsid w:val="00660D54"/>
    <w:rsid w:val="006611CE"/>
    <w:rsid w:val="00661271"/>
    <w:rsid w:val="006615EC"/>
    <w:rsid w:val="00661DC3"/>
    <w:rsid w:val="00662922"/>
    <w:rsid w:val="00665569"/>
    <w:rsid w:val="00670618"/>
    <w:rsid w:val="006730A7"/>
    <w:rsid w:val="00673F59"/>
    <w:rsid w:val="00674475"/>
    <w:rsid w:val="00675B63"/>
    <w:rsid w:val="00675C24"/>
    <w:rsid w:val="00676AA1"/>
    <w:rsid w:val="00676EC1"/>
    <w:rsid w:val="00677BA0"/>
    <w:rsid w:val="00680AE9"/>
    <w:rsid w:val="00681952"/>
    <w:rsid w:val="006844BC"/>
    <w:rsid w:val="006847E5"/>
    <w:rsid w:val="00686215"/>
    <w:rsid w:val="00687EA1"/>
    <w:rsid w:val="0069271C"/>
    <w:rsid w:val="0069429B"/>
    <w:rsid w:val="006946D2"/>
    <w:rsid w:val="0069494C"/>
    <w:rsid w:val="0069595F"/>
    <w:rsid w:val="0069688D"/>
    <w:rsid w:val="00697188"/>
    <w:rsid w:val="006977F7"/>
    <w:rsid w:val="00697FFA"/>
    <w:rsid w:val="006A0119"/>
    <w:rsid w:val="006A05B4"/>
    <w:rsid w:val="006A45CE"/>
    <w:rsid w:val="006A462F"/>
    <w:rsid w:val="006A5155"/>
    <w:rsid w:val="006A54F8"/>
    <w:rsid w:val="006A672C"/>
    <w:rsid w:val="006A7E3E"/>
    <w:rsid w:val="006B7773"/>
    <w:rsid w:val="006C1502"/>
    <w:rsid w:val="006C2412"/>
    <w:rsid w:val="006C3329"/>
    <w:rsid w:val="006C3425"/>
    <w:rsid w:val="006C3A2A"/>
    <w:rsid w:val="006C572F"/>
    <w:rsid w:val="006D0375"/>
    <w:rsid w:val="006D1856"/>
    <w:rsid w:val="006D30FC"/>
    <w:rsid w:val="006D3DAB"/>
    <w:rsid w:val="006D522E"/>
    <w:rsid w:val="006D60AF"/>
    <w:rsid w:val="006D7EE8"/>
    <w:rsid w:val="006E0477"/>
    <w:rsid w:val="006E1566"/>
    <w:rsid w:val="006E520F"/>
    <w:rsid w:val="006E624A"/>
    <w:rsid w:val="006F0005"/>
    <w:rsid w:val="006F0CF2"/>
    <w:rsid w:val="006F1553"/>
    <w:rsid w:val="006F1D26"/>
    <w:rsid w:val="006F2C3F"/>
    <w:rsid w:val="006F2F45"/>
    <w:rsid w:val="006F3BD0"/>
    <w:rsid w:val="006F50B7"/>
    <w:rsid w:val="006F5901"/>
    <w:rsid w:val="006F6C79"/>
    <w:rsid w:val="006F72DF"/>
    <w:rsid w:val="007011A7"/>
    <w:rsid w:val="0070168F"/>
    <w:rsid w:val="007019D4"/>
    <w:rsid w:val="00701DB3"/>
    <w:rsid w:val="00703FC5"/>
    <w:rsid w:val="007057A0"/>
    <w:rsid w:val="00706B05"/>
    <w:rsid w:val="00706C12"/>
    <w:rsid w:val="00706CA7"/>
    <w:rsid w:val="00707CB1"/>
    <w:rsid w:val="00710CBB"/>
    <w:rsid w:val="00711A33"/>
    <w:rsid w:val="00711D3C"/>
    <w:rsid w:val="00711FD8"/>
    <w:rsid w:val="007127F7"/>
    <w:rsid w:val="00712F17"/>
    <w:rsid w:val="00713B32"/>
    <w:rsid w:val="00713B91"/>
    <w:rsid w:val="00714F0C"/>
    <w:rsid w:val="00715D62"/>
    <w:rsid w:val="0071604C"/>
    <w:rsid w:val="0071699C"/>
    <w:rsid w:val="00716FB2"/>
    <w:rsid w:val="00722F2A"/>
    <w:rsid w:val="00724366"/>
    <w:rsid w:val="00724516"/>
    <w:rsid w:val="00726821"/>
    <w:rsid w:val="00727425"/>
    <w:rsid w:val="007303A3"/>
    <w:rsid w:val="007312D1"/>
    <w:rsid w:val="007321A0"/>
    <w:rsid w:val="00733AAD"/>
    <w:rsid w:val="00733B29"/>
    <w:rsid w:val="00736778"/>
    <w:rsid w:val="00741121"/>
    <w:rsid w:val="00741FF2"/>
    <w:rsid w:val="007440A7"/>
    <w:rsid w:val="00744E4C"/>
    <w:rsid w:val="00745744"/>
    <w:rsid w:val="00746BE2"/>
    <w:rsid w:val="00746EA7"/>
    <w:rsid w:val="00750572"/>
    <w:rsid w:val="00750E5B"/>
    <w:rsid w:val="0075413B"/>
    <w:rsid w:val="00754B70"/>
    <w:rsid w:val="00754E6B"/>
    <w:rsid w:val="00755837"/>
    <w:rsid w:val="00755A32"/>
    <w:rsid w:val="00755DA8"/>
    <w:rsid w:val="007570C2"/>
    <w:rsid w:val="00757EE1"/>
    <w:rsid w:val="0076019A"/>
    <w:rsid w:val="0076133B"/>
    <w:rsid w:val="00761845"/>
    <w:rsid w:val="00765ABC"/>
    <w:rsid w:val="00772665"/>
    <w:rsid w:val="007749D9"/>
    <w:rsid w:val="00774D7F"/>
    <w:rsid w:val="00775526"/>
    <w:rsid w:val="00777564"/>
    <w:rsid w:val="00777C4F"/>
    <w:rsid w:val="0078175A"/>
    <w:rsid w:val="00784BF4"/>
    <w:rsid w:val="00787634"/>
    <w:rsid w:val="0079278B"/>
    <w:rsid w:val="00793B5E"/>
    <w:rsid w:val="00795BC4"/>
    <w:rsid w:val="007A0DA5"/>
    <w:rsid w:val="007A0F7F"/>
    <w:rsid w:val="007A124A"/>
    <w:rsid w:val="007A19F8"/>
    <w:rsid w:val="007A24F3"/>
    <w:rsid w:val="007A27D9"/>
    <w:rsid w:val="007A37FE"/>
    <w:rsid w:val="007A4C21"/>
    <w:rsid w:val="007A4D80"/>
    <w:rsid w:val="007A5521"/>
    <w:rsid w:val="007A78E3"/>
    <w:rsid w:val="007B12D7"/>
    <w:rsid w:val="007B238C"/>
    <w:rsid w:val="007B2B80"/>
    <w:rsid w:val="007B50A3"/>
    <w:rsid w:val="007B51E0"/>
    <w:rsid w:val="007B57FD"/>
    <w:rsid w:val="007B61A7"/>
    <w:rsid w:val="007B76A0"/>
    <w:rsid w:val="007C7166"/>
    <w:rsid w:val="007D0659"/>
    <w:rsid w:val="007D24FF"/>
    <w:rsid w:val="007D2AD8"/>
    <w:rsid w:val="007D4218"/>
    <w:rsid w:val="007E1127"/>
    <w:rsid w:val="007E14C0"/>
    <w:rsid w:val="007E3397"/>
    <w:rsid w:val="007E5273"/>
    <w:rsid w:val="007E58D2"/>
    <w:rsid w:val="007E7836"/>
    <w:rsid w:val="007F2B3F"/>
    <w:rsid w:val="007F37A3"/>
    <w:rsid w:val="007F3A7C"/>
    <w:rsid w:val="007F4626"/>
    <w:rsid w:val="008003B3"/>
    <w:rsid w:val="00801E05"/>
    <w:rsid w:val="0080244E"/>
    <w:rsid w:val="0080366C"/>
    <w:rsid w:val="00804335"/>
    <w:rsid w:val="0080465F"/>
    <w:rsid w:val="00810656"/>
    <w:rsid w:val="00813033"/>
    <w:rsid w:val="008145BD"/>
    <w:rsid w:val="008145D3"/>
    <w:rsid w:val="00815C53"/>
    <w:rsid w:val="00815D3B"/>
    <w:rsid w:val="00817825"/>
    <w:rsid w:val="008178AC"/>
    <w:rsid w:val="00820F57"/>
    <w:rsid w:val="0082129F"/>
    <w:rsid w:val="008215F4"/>
    <w:rsid w:val="00821A04"/>
    <w:rsid w:val="00822B8C"/>
    <w:rsid w:val="00822BC2"/>
    <w:rsid w:val="008231B8"/>
    <w:rsid w:val="008233D0"/>
    <w:rsid w:val="008244FF"/>
    <w:rsid w:val="00827F8B"/>
    <w:rsid w:val="0083104A"/>
    <w:rsid w:val="0083117C"/>
    <w:rsid w:val="00834230"/>
    <w:rsid w:val="00836730"/>
    <w:rsid w:val="00841000"/>
    <w:rsid w:val="008416BA"/>
    <w:rsid w:val="008431DD"/>
    <w:rsid w:val="0084506E"/>
    <w:rsid w:val="008451A3"/>
    <w:rsid w:val="00846098"/>
    <w:rsid w:val="008509E6"/>
    <w:rsid w:val="0085290E"/>
    <w:rsid w:val="00852C93"/>
    <w:rsid w:val="0085325C"/>
    <w:rsid w:val="00853B30"/>
    <w:rsid w:val="00855054"/>
    <w:rsid w:val="00855F0B"/>
    <w:rsid w:val="00857DD7"/>
    <w:rsid w:val="008602CC"/>
    <w:rsid w:val="00861120"/>
    <w:rsid w:val="00861B9E"/>
    <w:rsid w:val="00861E83"/>
    <w:rsid w:val="00862FBD"/>
    <w:rsid w:val="00863312"/>
    <w:rsid w:val="008637D3"/>
    <w:rsid w:val="0086421B"/>
    <w:rsid w:val="008659D6"/>
    <w:rsid w:val="00866167"/>
    <w:rsid w:val="008709E0"/>
    <w:rsid w:val="008710D7"/>
    <w:rsid w:val="00872AFB"/>
    <w:rsid w:val="00873926"/>
    <w:rsid w:val="00877DA9"/>
    <w:rsid w:val="00880E5E"/>
    <w:rsid w:val="00882CA3"/>
    <w:rsid w:val="00883559"/>
    <w:rsid w:val="008848FE"/>
    <w:rsid w:val="00887829"/>
    <w:rsid w:val="00887BA1"/>
    <w:rsid w:val="00887CD9"/>
    <w:rsid w:val="008904E0"/>
    <w:rsid w:val="00890653"/>
    <w:rsid w:val="0089086B"/>
    <w:rsid w:val="00891E04"/>
    <w:rsid w:val="00892A54"/>
    <w:rsid w:val="00892A70"/>
    <w:rsid w:val="008936AE"/>
    <w:rsid w:val="00893DF1"/>
    <w:rsid w:val="00897EFF"/>
    <w:rsid w:val="008A23C1"/>
    <w:rsid w:val="008A24D2"/>
    <w:rsid w:val="008A3002"/>
    <w:rsid w:val="008A314D"/>
    <w:rsid w:val="008A3855"/>
    <w:rsid w:val="008A3990"/>
    <w:rsid w:val="008A44BF"/>
    <w:rsid w:val="008A4916"/>
    <w:rsid w:val="008A4B6A"/>
    <w:rsid w:val="008A57BB"/>
    <w:rsid w:val="008A73DA"/>
    <w:rsid w:val="008B06C9"/>
    <w:rsid w:val="008B1F75"/>
    <w:rsid w:val="008B2912"/>
    <w:rsid w:val="008B3C4B"/>
    <w:rsid w:val="008B5068"/>
    <w:rsid w:val="008B56A5"/>
    <w:rsid w:val="008B66F9"/>
    <w:rsid w:val="008C064B"/>
    <w:rsid w:val="008C317E"/>
    <w:rsid w:val="008C650D"/>
    <w:rsid w:val="008C6ED4"/>
    <w:rsid w:val="008C74A6"/>
    <w:rsid w:val="008C7645"/>
    <w:rsid w:val="008C789B"/>
    <w:rsid w:val="008D0925"/>
    <w:rsid w:val="008D1415"/>
    <w:rsid w:val="008D1A83"/>
    <w:rsid w:val="008D1D4F"/>
    <w:rsid w:val="008D2AFB"/>
    <w:rsid w:val="008D2FF3"/>
    <w:rsid w:val="008D3606"/>
    <w:rsid w:val="008D42CA"/>
    <w:rsid w:val="008E0092"/>
    <w:rsid w:val="008E08EA"/>
    <w:rsid w:val="008E0B8B"/>
    <w:rsid w:val="008E1727"/>
    <w:rsid w:val="008E1B7B"/>
    <w:rsid w:val="008E1BEB"/>
    <w:rsid w:val="008E35F4"/>
    <w:rsid w:val="008E3753"/>
    <w:rsid w:val="008E42E6"/>
    <w:rsid w:val="008E4816"/>
    <w:rsid w:val="008E5CBB"/>
    <w:rsid w:val="008E6F3B"/>
    <w:rsid w:val="008E7173"/>
    <w:rsid w:val="008E743C"/>
    <w:rsid w:val="008F1D0B"/>
    <w:rsid w:val="008F41BA"/>
    <w:rsid w:val="00900509"/>
    <w:rsid w:val="00900593"/>
    <w:rsid w:val="0090062C"/>
    <w:rsid w:val="00901447"/>
    <w:rsid w:val="00901DE9"/>
    <w:rsid w:val="00905831"/>
    <w:rsid w:val="00907504"/>
    <w:rsid w:val="0091183F"/>
    <w:rsid w:val="00914865"/>
    <w:rsid w:val="00920069"/>
    <w:rsid w:val="00921180"/>
    <w:rsid w:val="00921B47"/>
    <w:rsid w:val="00922CE5"/>
    <w:rsid w:val="00923E1B"/>
    <w:rsid w:val="00924C43"/>
    <w:rsid w:val="00924C86"/>
    <w:rsid w:val="0092734E"/>
    <w:rsid w:val="00927630"/>
    <w:rsid w:val="009305AC"/>
    <w:rsid w:val="009307BB"/>
    <w:rsid w:val="009317C3"/>
    <w:rsid w:val="00935C72"/>
    <w:rsid w:val="00936CEA"/>
    <w:rsid w:val="00937A47"/>
    <w:rsid w:val="00942957"/>
    <w:rsid w:val="00943139"/>
    <w:rsid w:val="00943EAF"/>
    <w:rsid w:val="00944F54"/>
    <w:rsid w:val="00946B1F"/>
    <w:rsid w:val="00946C25"/>
    <w:rsid w:val="00946CCD"/>
    <w:rsid w:val="00951501"/>
    <w:rsid w:val="00951B96"/>
    <w:rsid w:val="00952104"/>
    <w:rsid w:val="00954361"/>
    <w:rsid w:val="00957E20"/>
    <w:rsid w:val="00961A2F"/>
    <w:rsid w:val="009622FA"/>
    <w:rsid w:val="0096245B"/>
    <w:rsid w:val="00962BAC"/>
    <w:rsid w:val="00965421"/>
    <w:rsid w:val="00966FA3"/>
    <w:rsid w:val="00967C61"/>
    <w:rsid w:val="009703EA"/>
    <w:rsid w:val="00970506"/>
    <w:rsid w:val="009717CC"/>
    <w:rsid w:val="00972A38"/>
    <w:rsid w:val="00974968"/>
    <w:rsid w:val="00974C5D"/>
    <w:rsid w:val="009769B3"/>
    <w:rsid w:val="0097758A"/>
    <w:rsid w:val="00977FCF"/>
    <w:rsid w:val="009828F3"/>
    <w:rsid w:val="00982AEC"/>
    <w:rsid w:val="009835AC"/>
    <w:rsid w:val="00983977"/>
    <w:rsid w:val="00983D0A"/>
    <w:rsid w:val="00984789"/>
    <w:rsid w:val="0098478C"/>
    <w:rsid w:val="00984F47"/>
    <w:rsid w:val="00985228"/>
    <w:rsid w:val="009879AC"/>
    <w:rsid w:val="00990E3E"/>
    <w:rsid w:val="00991728"/>
    <w:rsid w:val="00991797"/>
    <w:rsid w:val="00993FD4"/>
    <w:rsid w:val="00994DEE"/>
    <w:rsid w:val="0099563A"/>
    <w:rsid w:val="009A0081"/>
    <w:rsid w:val="009A0569"/>
    <w:rsid w:val="009A1053"/>
    <w:rsid w:val="009A10DA"/>
    <w:rsid w:val="009A27FC"/>
    <w:rsid w:val="009A3A39"/>
    <w:rsid w:val="009A431A"/>
    <w:rsid w:val="009A704B"/>
    <w:rsid w:val="009A7474"/>
    <w:rsid w:val="009A7A61"/>
    <w:rsid w:val="009B003D"/>
    <w:rsid w:val="009B0B28"/>
    <w:rsid w:val="009B1253"/>
    <w:rsid w:val="009B26C3"/>
    <w:rsid w:val="009B47A6"/>
    <w:rsid w:val="009B4F51"/>
    <w:rsid w:val="009B684B"/>
    <w:rsid w:val="009B733A"/>
    <w:rsid w:val="009C3833"/>
    <w:rsid w:val="009C39B1"/>
    <w:rsid w:val="009C3BF2"/>
    <w:rsid w:val="009C46CB"/>
    <w:rsid w:val="009C4D4C"/>
    <w:rsid w:val="009D0749"/>
    <w:rsid w:val="009D161A"/>
    <w:rsid w:val="009D53DE"/>
    <w:rsid w:val="009D590F"/>
    <w:rsid w:val="009D5D0B"/>
    <w:rsid w:val="009D6815"/>
    <w:rsid w:val="009D7296"/>
    <w:rsid w:val="009D781A"/>
    <w:rsid w:val="009E2242"/>
    <w:rsid w:val="009E2FC4"/>
    <w:rsid w:val="009E5F87"/>
    <w:rsid w:val="009E5FA3"/>
    <w:rsid w:val="009E6B24"/>
    <w:rsid w:val="009E7FB8"/>
    <w:rsid w:val="009F0BAC"/>
    <w:rsid w:val="009F3478"/>
    <w:rsid w:val="009F3959"/>
    <w:rsid w:val="009F3B82"/>
    <w:rsid w:val="009F54A2"/>
    <w:rsid w:val="00A00222"/>
    <w:rsid w:val="00A01685"/>
    <w:rsid w:val="00A039E2"/>
    <w:rsid w:val="00A04078"/>
    <w:rsid w:val="00A040D1"/>
    <w:rsid w:val="00A041CE"/>
    <w:rsid w:val="00A043CE"/>
    <w:rsid w:val="00A046EF"/>
    <w:rsid w:val="00A076FD"/>
    <w:rsid w:val="00A10217"/>
    <w:rsid w:val="00A10A1F"/>
    <w:rsid w:val="00A10C55"/>
    <w:rsid w:val="00A13A97"/>
    <w:rsid w:val="00A16E85"/>
    <w:rsid w:val="00A245B4"/>
    <w:rsid w:val="00A24CA3"/>
    <w:rsid w:val="00A254C2"/>
    <w:rsid w:val="00A264A7"/>
    <w:rsid w:val="00A27DBB"/>
    <w:rsid w:val="00A30F1F"/>
    <w:rsid w:val="00A30F95"/>
    <w:rsid w:val="00A31B80"/>
    <w:rsid w:val="00A32414"/>
    <w:rsid w:val="00A338E2"/>
    <w:rsid w:val="00A33CEF"/>
    <w:rsid w:val="00A361C8"/>
    <w:rsid w:val="00A433A2"/>
    <w:rsid w:val="00A43A03"/>
    <w:rsid w:val="00A47BCC"/>
    <w:rsid w:val="00A5071C"/>
    <w:rsid w:val="00A53732"/>
    <w:rsid w:val="00A54B32"/>
    <w:rsid w:val="00A54B80"/>
    <w:rsid w:val="00A565D2"/>
    <w:rsid w:val="00A60695"/>
    <w:rsid w:val="00A61858"/>
    <w:rsid w:val="00A61C88"/>
    <w:rsid w:val="00A67C72"/>
    <w:rsid w:val="00A67FD1"/>
    <w:rsid w:val="00A7018D"/>
    <w:rsid w:val="00A714DC"/>
    <w:rsid w:val="00A72D4E"/>
    <w:rsid w:val="00A76393"/>
    <w:rsid w:val="00A76B9D"/>
    <w:rsid w:val="00A770AA"/>
    <w:rsid w:val="00A8066D"/>
    <w:rsid w:val="00A81B0D"/>
    <w:rsid w:val="00A83D96"/>
    <w:rsid w:val="00A86EF2"/>
    <w:rsid w:val="00A90145"/>
    <w:rsid w:val="00A9043A"/>
    <w:rsid w:val="00A90F95"/>
    <w:rsid w:val="00A93A1B"/>
    <w:rsid w:val="00A93EC6"/>
    <w:rsid w:val="00A943DB"/>
    <w:rsid w:val="00A95159"/>
    <w:rsid w:val="00A9731F"/>
    <w:rsid w:val="00AA2396"/>
    <w:rsid w:val="00AA2638"/>
    <w:rsid w:val="00AA2651"/>
    <w:rsid w:val="00AA32D0"/>
    <w:rsid w:val="00AA3677"/>
    <w:rsid w:val="00AA396B"/>
    <w:rsid w:val="00AA4327"/>
    <w:rsid w:val="00AA5F17"/>
    <w:rsid w:val="00AA6D61"/>
    <w:rsid w:val="00AA724B"/>
    <w:rsid w:val="00AB05F4"/>
    <w:rsid w:val="00AB09BC"/>
    <w:rsid w:val="00AB0CB1"/>
    <w:rsid w:val="00AB0CC0"/>
    <w:rsid w:val="00AB46D5"/>
    <w:rsid w:val="00AB5D06"/>
    <w:rsid w:val="00AC1E78"/>
    <w:rsid w:val="00AC2128"/>
    <w:rsid w:val="00AC2930"/>
    <w:rsid w:val="00AC2938"/>
    <w:rsid w:val="00AC306E"/>
    <w:rsid w:val="00AC3AEB"/>
    <w:rsid w:val="00AC4066"/>
    <w:rsid w:val="00AC6EF9"/>
    <w:rsid w:val="00AD1790"/>
    <w:rsid w:val="00AD4294"/>
    <w:rsid w:val="00AD51E9"/>
    <w:rsid w:val="00AD564F"/>
    <w:rsid w:val="00AE1B0D"/>
    <w:rsid w:val="00AE2AF9"/>
    <w:rsid w:val="00AE41FF"/>
    <w:rsid w:val="00AE4ACF"/>
    <w:rsid w:val="00AE5A33"/>
    <w:rsid w:val="00AF044F"/>
    <w:rsid w:val="00AF0920"/>
    <w:rsid w:val="00AF1E73"/>
    <w:rsid w:val="00AF1F66"/>
    <w:rsid w:val="00AF4A3C"/>
    <w:rsid w:val="00AF4B68"/>
    <w:rsid w:val="00AF5D9F"/>
    <w:rsid w:val="00AF7907"/>
    <w:rsid w:val="00B00883"/>
    <w:rsid w:val="00B019EC"/>
    <w:rsid w:val="00B01DCB"/>
    <w:rsid w:val="00B02018"/>
    <w:rsid w:val="00B0282F"/>
    <w:rsid w:val="00B02A77"/>
    <w:rsid w:val="00B03AE7"/>
    <w:rsid w:val="00B051B8"/>
    <w:rsid w:val="00B055C8"/>
    <w:rsid w:val="00B06EB8"/>
    <w:rsid w:val="00B11673"/>
    <w:rsid w:val="00B119D9"/>
    <w:rsid w:val="00B11E38"/>
    <w:rsid w:val="00B12DF7"/>
    <w:rsid w:val="00B13DAD"/>
    <w:rsid w:val="00B14E0F"/>
    <w:rsid w:val="00B15136"/>
    <w:rsid w:val="00B15442"/>
    <w:rsid w:val="00B2092D"/>
    <w:rsid w:val="00B21859"/>
    <w:rsid w:val="00B2291A"/>
    <w:rsid w:val="00B26C61"/>
    <w:rsid w:val="00B30C15"/>
    <w:rsid w:val="00B33A6F"/>
    <w:rsid w:val="00B35A09"/>
    <w:rsid w:val="00B35E95"/>
    <w:rsid w:val="00B40603"/>
    <w:rsid w:val="00B41D2F"/>
    <w:rsid w:val="00B431D0"/>
    <w:rsid w:val="00B43575"/>
    <w:rsid w:val="00B450F2"/>
    <w:rsid w:val="00B460B8"/>
    <w:rsid w:val="00B46479"/>
    <w:rsid w:val="00B47304"/>
    <w:rsid w:val="00B479F8"/>
    <w:rsid w:val="00B5186D"/>
    <w:rsid w:val="00B545FA"/>
    <w:rsid w:val="00B5546B"/>
    <w:rsid w:val="00B55C8B"/>
    <w:rsid w:val="00B56790"/>
    <w:rsid w:val="00B57F2D"/>
    <w:rsid w:val="00B604F9"/>
    <w:rsid w:val="00B607B2"/>
    <w:rsid w:val="00B62C31"/>
    <w:rsid w:val="00B635F6"/>
    <w:rsid w:val="00B63E15"/>
    <w:rsid w:val="00B642C6"/>
    <w:rsid w:val="00B65150"/>
    <w:rsid w:val="00B651C6"/>
    <w:rsid w:val="00B651E8"/>
    <w:rsid w:val="00B654B0"/>
    <w:rsid w:val="00B707AF"/>
    <w:rsid w:val="00B74C8F"/>
    <w:rsid w:val="00B74EBE"/>
    <w:rsid w:val="00B80D3B"/>
    <w:rsid w:val="00B826B5"/>
    <w:rsid w:val="00B83E4C"/>
    <w:rsid w:val="00B83F8E"/>
    <w:rsid w:val="00B84AFE"/>
    <w:rsid w:val="00B84F56"/>
    <w:rsid w:val="00B85471"/>
    <w:rsid w:val="00B876AC"/>
    <w:rsid w:val="00B87B82"/>
    <w:rsid w:val="00B87E5A"/>
    <w:rsid w:val="00B907E4"/>
    <w:rsid w:val="00B92368"/>
    <w:rsid w:val="00B926BD"/>
    <w:rsid w:val="00B92EC9"/>
    <w:rsid w:val="00B9313B"/>
    <w:rsid w:val="00B9325F"/>
    <w:rsid w:val="00B94082"/>
    <w:rsid w:val="00B96952"/>
    <w:rsid w:val="00BA06B9"/>
    <w:rsid w:val="00BA10D2"/>
    <w:rsid w:val="00BA10F4"/>
    <w:rsid w:val="00BA3018"/>
    <w:rsid w:val="00BA3DB2"/>
    <w:rsid w:val="00BA4F27"/>
    <w:rsid w:val="00BA5E00"/>
    <w:rsid w:val="00BA6BBF"/>
    <w:rsid w:val="00BA719E"/>
    <w:rsid w:val="00BB43FA"/>
    <w:rsid w:val="00BB6884"/>
    <w:rsid w:val="00BB6FAA"/>
    <w:rsid w:val="00BC1237"/>
    <w:rsid w:val="00BC1296"/>
    <w:rsid w:val="00BC3539"/>
    <w:rsid w:val="00BC3FDC"/>
    <w:rsid w:val="00BC4C66"/>
    <w:rsid w:val="00BC5284"/>
    <w:rsid w:val="00BD1355"/>
    <w:rsid w:val="00BD2823"/>
    <w:rsid w:val="00BD416F"/>
    <w:rsid w:val="00BD5A3F"/>
    <w:rsid w:val="00BD69DA"/>
    <w:rsid w:val="00BD6D40"/>
    <w:rsid w:val="00BD7368"/>
    <w:rsid w:val="00BE04FB"/>
    <w:rsid w:val="00BE0B8F"/>
    <w:rsid w:val="00BE13C4"/>
    <w:rsid w:val="00BE19D4"/>
    <w:rsid w:val="00BE2D32"/>
    <w:rsid w:val="00BE3ADC"/>
    <w:rsid w:val="00BE4676"/>
    <w:rsid w:val="00BE4C37"/>
    <w:rsid w:val="00BE5A0A"/>
    <w:rsid w:val="00BE60C0"/>
    <w:rsid w:val="00BF04EC"/>
    <w:rsid w:val="00BF176C"/>
    <w:rsid w:val="00BF2936"/>
    <w:rsid w:val="00BF2F38"/>
    <w:rsid w:val="00BF5788"/>
    <w:rsid w:val="00BF79E9"/>
    <w:rsid w:val="00BF7D03"/>
    <w:rsid w:val="00C02BA0"/>
    <w:rsid w:val="00C03BA6"/>
    <w:rsid w:val="00C04ACD"/>
    <w:rsid w:val="00C0504E"/>
    <w:rsid w:val="00C051BA"/>
    <w:rsid w:val="00C0551A"/>
    <w:rsid w:val="00C062FD"/>
    <w:rsid w:val="00C06A4F"/>
    <w:rsid w:val="00C10160"/>
    <w:rsid w:val="00C11E19"/>
    <w:rsid w:val="00C12D91"/>
    <w:rsid w:val="00C130F8"/>
    <w:rsid w:val="00C137CB"/>
    <w:rsid w:val="00C16510"/>
    <w:rsid w:val="00C16695"/>
    <w:rsid w:val="00C1709E"/>
    <w:rsid w:val="00C205D8"/>
    <w:rsid w:val="00C20701"/>
    <w:rsid w:val="00C219E1"/>
    <w:rsid w:val="00C21C47"/>
    <w:rsid w:val="00C2403A"/>
    <w:rsid w:val="00C24A56"/>
    <w:rsid w:val="00C25096"/>
    <w:rsid w:val="00C251C8"/>
    <w:rsid w:val="00C25EF9"/>
    <w:rsid w:val="00C2688D"/>
    <w:rsid w:val="00C3022A"/>
    <w:rsid w:val="00C31ED5"/>
    <w:rsid w:val="00C3257C"/>
    <w:rsid w:val="00C34622"/>
    <w:rsid w:val="00C3578D"/>
    <w:rsid w:val="00C35B80"/>
    <w:rsid w:val="00C37161"/>
    <w:rsid w:val="00C37495"/>
    <w:rsid w:val="00C40533"/>
    <w:rsid w:val="00C4119E"/>
    <w:rsid w:val="00C41332"/>
    <w:rsid w:val="00C42A1C"/>
    <w:rsid w:val="00C43D5F"/>
    <w:rsid w:val="00C43EE6"/>
    <w:rsid w:val="00C473CB"/>
    <w:rsid w:val="00C474D3"/>
    <w:rsid w:val="00C52DD4"/>
    <w:rsid w:val="00C52E37"/>
    <w:rsid w:val="00C62EE1"/>
    <w:rsid w:val="00C64443"/>
    <w:rsid w:val="00C67119"/>
    <w:rsid w:val="00C705CD"/>
    <w:rsid w:val="00C71EFA"/>
    <w:rsid w:val="00C725DF"/>
    <w:rsid w:val="00C732C5"/>
    <w:rsid w:val="00C738C3"/>
    <w:rsid w:val="00C74E25"/>
    <w:rsid w:val="00C76226"/>
    <w:rsid w:val="00C77BF7"/>
    <w:rsid w:val="00C810D9"/>
    <w:rsid w:val="00C81D7C"/>
    <w:rsid w:val="00C82F8C"/>
    <w:rsid w:val="00C8325D"/>
    <w:rsid w:val="00C83C47"/>
    <w:rsid w:val="00C84414"/>
    <w:rsid w:val="00C865AE"/>
    <w:rsid w:val="00C92B1B"/>
    <w:rsid w:val="00C948E7"/>
    <w:rsid w:val="00C94F6C"/>
    <w:rsid w:val="00C954AB"/>
    <w:rsid w:val="00C95612"/>
    <w:rsid w:val="00C97500"/>
    <w:rsid w:val="00C977A2"/>
    <w:rsid w:val="00C97944"/>
    <w:rsid w:val="00CA4A06"/>
    <w:rsid w:val="00CA4F04"/>
    <w:rsid w:val="00CA699C"/>
    <w:rsid w:val="00CA75CF"/>
    <w:rsid w:val="00CB0612"/>
    <w:rsid w:val="00CB4983"/>
    <w:rsid w:val="00CB5649"/>
    <w:rsid w:val="00CB72AA"/>
    <w:rsid w:val="00CC108F"/>
    <w:rsid w:val="00CC55E4"/>
    <w:rsid w:val="00CC5A2B"/>
    <w:rsid w:val="00CC5B0C"/>
    <w:rsid w:val="00CC5D7D"/>
    <w:rsid w:val="00CC64DA"/>
    <w:rsid w:val="00CC7404"/>
    <w:rsid w:val="00CC7935"/>
    <w:rsid w:val="00CD0161"/>
    <w:rsid w:val="00CD2DF3"/>
    <w:rsid w:val="00CD3CC2"/>
    <w:rsid w:val="00CD5312"/>
    <w:rsid w:val="00CD546F"/>
    <w:rsid w:val="00CD677F"/>
    <w:rsid w:val="00CD6B10"/>
    <w:rsid w:val="00CD706C"/>
    <w:rsid w:val="00CE1B61"/>
    <w:rsid w:val="00CE2966"/>
    <w:rsid w:val="00CE4E00"/>
    <w:rsid w:val="00CF10C0"/>
    <w:rsid w:val="00CF1AAA"/>
    <w:rsid w:val="00CF1BD6"/>
    <w:rsid w:val="00CF27BC"/>
    <w:rsid w:val="00CF4E19"/>
    <w:rsid w:val="00CF5E50"/>
    <w:rsid w:val="00CF67A4"/>
    <w:rsid w:val="00CF74D4"/>
    <w:rsid w:val="00D0266E"/>
    <w:rsid w:val="00D02C42"/>
    <w:rsid w:val="00D03625"/>
    <w:rsid w:val="00D04856"/>
    <w:rsid w:val="00D04A31"/>
    <w:rsid w:val="00D11CDE"/>
    <w:rsid w:val="00D140BB"/>
    <w:rsid w:val="00D1477A"/>
    <w:rsid w:val="00D14899"/>
    <w:rsid w:val="00D14F8C"/>
    <w:rsid w:val="00D15C6A"/>
    <w:rsid w:val="00D16C2F"/>
    <w:rsid w:val="00D16C6E"/>
    <w:rsid w:val="00D179DC"/>
    <w:rsid w:val="00D205E2"/>
    <w:rsid w:val="00D21E10"/>
    <w:rsid w:val="00D23190"/>
    <w:rsid w:val="00D23F66"/>
    <w:rsid w:val="00D24A3A"/>
    <w:rsid w:val="00D264BE"/>
    <w:rsid w:val="00D27517"/>
    <w:rsid w:val="00D3026C"/>
    <w:rsid w:val="00D31480"/>
    <w:rsid w:val="00D3160A"/>
    <w:rsid w:val="00D31FDB"/>
    <w:rsid w:val="00D32A8D"/>
    <w:rsid w:val="00D32FE9"/>
    <w:rsid w:val="00D3323C"/>
    <w:rsid w:val="00D34621"/>
    <w:rsid w:val="00D36C44"/>
    <w:rsid w:val="00D3743A"/>
    <w:rsid w:val="00D374B0"/>
    <w:rsid w:val="00D43D7B"/>
    <w:rsid w:val="00D51F98"/>
    <w:rsid w:val="00D52A77"/>
    <w:rsid w:val="00D52FEE"/>
    <w:rsid w:val="00D535BB"/>
    <w:rsid w:val="00D538C4"/>
    <w:rsid w:val="00D547AB"/>
    <w:rsid w:val="00D608BC"/>
    <w:rsid w:val="00D60B24"/>
    <w:rsid w:val="00D620F6"/>
    <w:rsid w:val="00D626A2"/>
    <w:rsid w:val="00D6424A"/>
    <w:rsid w:val="00D6493A"/>
    <w:rsid w:val="00D67768"/>
    <w:rsid w:val="00D70D66"/>
    <w:rsid w:val="00D713F1"/>
    <w:rsid w:val="00D73F59"/>
    <w:rsid w:val="00D7478A"/>
    <w:rsid w:val="00D74A07"/>
    <w:rsid w:val="00D75127"/>
    <w:rsid w:val="00D90A08"/>
    <w:rsid w:val="00D926FA"/>
    <w:rsid w:val="00D9315E"/>
    <w:rsid w:val="00D93CDA"/>
    <w:rsid w:val="00D96B5A"/>
    <w:rsid w:val="00DA0285"/>
    <w:rsid w:val="00DA0383"/>
    <w:rsid w:val="00DA3822"/>
    <w:rsid w:val="00DA3F69"/>
    <w:rsid w:val="00DA4181"/>
    <w:rsid w:val="00DA4EFF"/>
    <w:rsid w:val="00DA700E"/>
    <w:rsid w:val="00DA7AB6"/>
    <w:rsid w:val="00DB05B1"/>
    <w:rsid w:val="00DB05D9"/>
    <w:rsid w:val="00DB196E"/>
    <w:rsid w:val="00DB2B84"/>
    <w:rsid w:val="00DB5E3B"/>
    <w:rsid w:val="00DB6F8D"/>
    <w:rsid w:val="00DB71FA"/>
    <w:rsid w:val="00DC17C6"/>
    <w:rsid w:val="00DC626D"/>
    <w:rsid w:val="00DC7392"/>
    <w:rsid w:val="00DC7818"/>
    <w:rsid w:val="00DD076B"/>
    <w:rsid w:val="00DD090E"/>
    <w:rsid w:val="00DD2486"/>
    <w:rsid w:val="00DD26BD"/>
    <w:rsid w:val="00DD2AA7"/>
    <w:rsid w:val="00DD39A1"/>
    <w:rsid w:val="00DD4619"/>
    <w:rsid w:val="00DE0AC5"/>
    <w:rsid w:val="00DE272E"/>
    <w:rsid w:val="00DE316B"/>
    <w:rsid w:val="00DE53D9"/>
    <w:rsid w:val="00DE5E47"/>
    <w:rsid w:val="00DF29D3"/>
    <w:rsid w:val="00DF45ED"/>
    <w:rsid w:val="00DF6F8B"/>
    <w:rsid w:val="00E02457"/>
    <w:rsid w:val="00E02FA6"/>
    <w:rsid w:val="00E0302E"/>
    <w:rsid w:val="00E04103"/>
    <w:rsid w:val="00E0469F"/>
    <w:rsid w:val="00E053BB"/>
    <w:rsid w:val="00E07520"/>
    <w:rsid w:val="00E07F86"/>
    <w:rsid w:val="00E11426"/>
    <w:rsid w:val="00E11887"/>
    <w:rsid w:val="00E12CFE"/>
    <w:rsid w:val="00E1372F"/>
    <w:rsid w:val="00E15915"/>
    <w:rsid w:val="00E15BEA"/>
    <w:rsid w:val="00E15DD0"/>
    <w:rsid w:val="00E16A4C"/>
    <w:rsid w:val="00E17971"/>
    <w:rsid w:val="00E2038E"/>
    <w:rsid w:val="00E209F7"/>
    <w:rsid w:val="00E267C0"/>
    <w:rsid w:val="00E277FE"/>
    <w:rsid w:val="00E3355B"/>
    <w:rsid w:val="00E34C3D"/>
    <w:rsid w:val="00E357C4"/>
    <w:rsid w:val="00E35D41"/>
    <w:rsid w:val="00E35DBC"/>
    <w:rsid w:val="00E35DF9"/>
    <w:rsid w:val="00E3629B"/>
    <w:rsid w:val="00E377F6"/>
    <w:rsid w:val="00E405A5"/>
    <w:rsid w:val="00E42038"/>
    <w:rsid w:val="00E42177"/>
    <w:rsid w:val="00E43131"/>
    <w:rsid w:val="00E44952"/>
    <w:rsid w:val="00E47710"/>
    <w:rsid w:val="00E5212C"/>
    <w:rsid w:val="00E534F7"/>
    <w:rsid w:val="00E55DAF"/>
    <w:rsid w:val="00E57114"/>
    <w:rsid w:val="00E5749D"/>
    <w:rsid w:val="00E57E55"/>
    <w:rsid w:val="00E604DE"/>
    <w:rsid w:val="00E61955"/>
    <w:rsid w:val="00E61E5C"/>
    <w:rsid w:val="00E64FDA"/>
    <w:rsid w:val="00E65ACC"/>
    <w:rsid w:val="00E65F2C"/>
    <w:rsid w:val="00E668A0"/>
    <w:rsid w:val="00E67446"/>
    <w:rsid w:val="00E70A2E"/>
    <w:rsid w:val="00E72FE1"/>
    <w:rsid w:val="00E745C7"/>
    <w:rsid w:val="00E74D41"/>
    <w:rsid w:val="00E752CE"/>
    <w:rsid w:val="00E75666"/>
    <w:rsid w:val="00E75ADF"/>
    <w:rsid w:val="00E81C5C"/>
    <w:rsid w:val="00E8303D"/>
    <w:rsid w:val="00E838C9"/>
    <w:rsid w:val="00E84B4A"/>
    <w:rsid w:val="00E87CE7"/>
    <w:rsid w:val="00E91A02"/>
    <w:rsid w:val="00E91D09"/>
    <w:rsid w:val="00E92195"/>
    <w:rsid w:val="00E92C52"/>
    <w:rsid w:val="00E92DE4"/>
    <w:rsid w:val="00E92FB8"/>
    <w:rsid w:val="00E96315"/>
    <w:rsid w:val="00E9659F"/>
    <w:rsid w:val="00E97CBF"/>
    <w:rsid w:val="00EA0000"/>
    <w:rsid w:val="00EA0914"/>
    <w:rsid w:val="00EA0EF5"/>
    <w:rsid w:val="00EA0FF3"/>
    <w:rsid w:val="00EA28B8"/>
    <w:rsid w:val="00EA3292"/>
    <w:rsid w:val="00EA5C46"/>
    <w:rsid w:val="00EA6796"/>
    <w:rsid w:val="00EB15EF"/>
    <w:rsid w:val="00EB174A"/>
    <w:rsid w:val="00EB183F"/>
    <w:rsid w:val="00EB2127"/>
    <w:rsid w:val="00EB2D90"/>
    <w:rsid w:val="00EB542C"/>
    <w:rsid w:val="00EB546E"/>
    <w:rsid w:val="00EB70BA"/>
    <w:rsid w:val="00EB70C0"/>
    <w:rsid w:val="00EC0068"/>
    <w:rsid w:val="00EC58CA"/>
    <w:rsid w:val="00EC7DD0"/>
    <w:rsid w:val="00ED0835"/>
    <w:rsid w:val="00ED0AC5"/>
    <w:rsid w:val="00ED27AC"/>
    <w:rsid w:val="00ED2951"/>
    <w:rsid w:val="00ED2C2F"/>
    <w:rsid w:val="00ED3260"/>
    <w:rsid w:val="00ED3EF1"/>
    <w:rsid w:val="00ED47E0"/>
    <w:rsid w:val="00EE112F"/>
    <w:rsid w:val="00EE1C2F"/>
    <w:rsid w:val="00EE3854"/>
    <w:rsid w:val="00EE43A0"/>
    <w:rsid w:val="00EE62B0"/>
    <w:rsid w:val="00EE7A49"/>
    <w:rsid w:val="00EF3C06"/>
    <w:rsid w:val="00EF3F4A"/>
    <w:rsid w:val="00EF533F"/>
    <w:rsid w:val="00F02568"/>
    <w:rsid w:val="00F04B3C"/>
    <w:rsid w:val="00F078C9"/>
    <w:rsid w:val="00F07D6E"/>
    <w:rsid w:val="00F100F2"/>
    <w:rsid w:val="00F13E54"/>
    <w:rsid w:val="00F14BC5"/>
    <w:rsid w:val="00F16BAF"/>
    <w:rsid w:val="00F170C5"/>
    <w:rsid w:val="00F17CE0"/>
    <w:rsid w:val="00F25CF1"/>
    <w:rsid w:val="00F26224"/>
    <w:rsid w:val="00F26B9F"/>
    <w:rsid w:val="00F27714"/>
    <w:rsid w:val="00F318F4"/>
    <w:rsid w:val="00F3694E"/>
    <w:rsid w:val="00F40315"/>
    <w:rsid w:val="00F41544"/>
    <w:rsid w:val="00F415D9"/>
    <w:rsid w:val="00F420EF"/>
    <w:rsid w:val="00F4315F"/>
    <w:rsid w:val="00F437A9"/>
    <w:rsid w:val="00F43ED2"/>
    <w:rsid w:val="00F445D7"/>
    <w:rsid w:val="00F502C3"/>
    <w:rsid w:val="00F50CAA"/>
    <w:rsid w:val="00F516D0"/>
    <w:rsid w:val="00F51F92"/>
    <w:rsid w:val="00F5308A"/>
    <w:rsid w:val="00F53C80"/>
    <w:rsid w:val="00F54075"/>
    <w:rsid w:val="00F54C75"/>
    <w:rsid w:val="00F558A0"/>
    <w:rsid w:val="00F56B9D"/>
    <w:rsid w:val="00F62E2E"/>
    <w:rsid w:val="00F64B49"/>
    <w:rsid w:val="00F654AF"/>
    <w:rsid w:val="00F65651"/>
    <w:rsid w:val="00F6669B"/>
    <w:rsid w:val="00F66F88"/>
    <w:rsid w:val="00F72AFB"/>
    <w:rsid w:val="00F73BA1"/>
    <w:rsid w:val="00F741F6"/>
    <w:rsid w:val="00F76E89"/>
    <w:rsid w:val="00F77419"/>
    <w:rsid w:val="00F775C7"/>
    <w:rsid w:val="00F82B4C"/>
    <w:rsid w:val="00F82BA8"/>
    <w:rsid w:val="00F85AC8"/>
    <w:rsid w:val="00F874DD"/>
    <w:rsid w:val="00F87942"/>
    <w:rsid w:val="00F901BC"/>
    <w:rsid w:val="00F909A1"/>
    <w:rsid w:val="00F90C85"/>
    <w:rsid w:val="00F9698B"/>
    <w:rsid w:val="00FA00FF"/>
    <w:rsid w:val="00FA12D6"/>
    <w:rsid w:val="00FA24B2"/>
    <w:rsid w:val="00FA6E73"/>
    <w:rsid w:val="00FB0205"/>
    <w:rsid w:val="00FB030D"/>
    <w:rsid w:val="00FB238C"/>
    <w:rsid w:val="00FB454C"/>
    <w:rsid w:val="00FB50B2"/>
    <w:rsid w:val="00FB51DA"/>
    <w:rsid w:val="00FB54E0"/>
    <w:rsid w:val="00FB5995"/>
    <w:rsid w:val="00FB6247"/>
    <w:rsid w:val="00FB65A6"/>
    <w:rsid w:val="00FB6B2A"/>
    <w:rsid w:val="00FB7B88"/>
    <w:rsid w:val="00FC1A7B"/>
    <w:rsid w:val="00FC1B74"/>
    <w:rsid w:val="00FC1F35"/>
    <w:rsid w:val="00FC2A01"/>
    <w:rsid w:val="00FC3BB4"/>
    <w:rsid w:val="00FC56F0"/>
    <w:rsid w:val="00FC6979"/>
    <w:rsid w:val="00FC6D86"/>
    <w:rsid w:val="00FD3375"/>
    <w:rsid w:val="00FD5424"/>
    <w:rsid w:val="00FD5EAB"/>
    <w:rsid w:val="00FD6896"/>
    <w:rsid w:val="00FD6DF4"/>
    <w:rsid w:val="00FD7041"/>
    <w:rsid w:val="00FD7916"/>
    <w:rsid w:val="00FD7C7D"/>
    <w:rsid w:val="00FE15E5"/>
    <w:rsid w:val="00FE226B"/>
    <w:rsid w:val="00FE292E"/>
    <w:rsid w:val="00FE335D"/>
    <w:rsid w:val="00FE389B"/>
    <w:rsid w:val="00FE4693"/>
    <w:rsid w:val="00FE5A9D"/>
    <w:rsid w:val="00FF2529"/>
    <w:rsid w:val="00FF3084"/>
    <w:rsid w:val="00FF4E4C"/>
    <w:rsid w:val="00FF6A20"/>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fillcolor="#900" stroke="f">
      <v:fill color="#900"/>
      <v:stroke on="f"/>
    </o:shapedefaults>
    <o:shapelayout v:ext="edit">
      <o:idmap v:ext="edit" data="1"/>
    </o:shapelayout>
  </w:shapeDefaults>
  <w:decimalSymbol w:val="."/>
  <w:listSeparator w:val=","/>
  <w14:docId w14:val="2F457DD6"/>
  <w15:docId w15:val="{A97B6DC2-982E-42D7-A86B-ECAE0BBE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B57FD"/>
    <w:pPr>
      <w:spacing w:line="280" w:lineRule="atLeast"/>
      <w:jc w:val="both"/>
    </w:pPr>
    <w:rPr>
      <w:rFonts w:ascii="Open Sans" w:hAnsi="Open Sans"/>
      <w:sz w:val="18"/>
      <w:szCs w:val="24"/>
      <w:lang w:val="nl-NL" w:eastAsia="nl-NL"/>
    </w:rPr>
  </w:style>
  <w:style w:type="paragraph" w:styleId="Heading1">
    <w:name w:val="heading 1"/>
    <w:basedOn w:val="Normal"/>
    <w:next w:val="Normal"/>
    <w:autoRedefine/>
    <w:qFormat/>
    <w:rsid w:val="00EA3292"/>
    <w:pPr>
      <w:keepNext/>
      <w:numPr>
        <w:numId w:val="18"/>
      </w:numPr>
      <w:spacing w:before="360" w:after="240"/>
      <w:jc w:val="left"/>
      <w:outlineLvl w:val="0"/>
    </w:pPr>
    <w:rPr>
      <w:rFonts w:cs="Open Sans"/>
      <w:b/>
      <w:bCs/>
      <w:kern w:val="32"/>
      <w:sz w:val="44"/>
      <w:szCs w:val="18"/>
      <w:lang w:val="en-GB"/>
    </w:rPr>
  </w:style>
  <w:style w:type="paragraph" w:styleId="Heading2">
    <w:name w:val="heading 2"/>
    <w:basedOn w:val="Normal"/>
    <w:next w:val="Normal"/>
    <w:autoRedefine/>
    <w:qFormat/>
    <w:rsid w:val="00AC1E78"/>
    <w:pPr>
      <w:keepNext/>
      <w:numPr>
        <w:ilvl w:val="1"/>
        <w:numId w:val="18"/>
      </w:numPr>
      <w:spacing w:before="240" w:after="60"/>
      <w:outlineLvl w:val="1"/>
    </w:pPr>
    <w:rPr>
      <w:rFonts w:cs="Open Sans"/>
      <w:b/>
      <w:bCs/>
      <w:iCs/>
      <w:sz w:val="22"/>
      <w:szCs w:val="18"/>
      <w:lang w:val="en-GB"/>
    </w:rPr>
  </w:style>
  <w:style w:type="paragraph" w:styleId="Heading3">
    <w:name w:val="heading 3"/>
    <w:basedOn w:val="Normal"/>
    <w:next w:val="Normal"/>
    <w:qFormat/>
    <w:rsid w:val="00AC1E78"/>
    <w:pPr>
      <w:keepNext/>
      <w:numPr>
        <w:ilvl w:val="2"/>
        <w:numId w:val="18"/>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AC1E78"/>
    <w:pPr>
      <w:keepNext/>
      <w:spacing w:before="240" w:after="60"/>
      <w:outlineLvl w:val="3"/>
    </w:pPr>
    <w:rPr>
      <w:b/>
      <w:bCs/>
      <w:szCs w:val="28"/>
      <w:lang w:val="en-GB"/>
    </w:rPr>
  </w:style>
  <w:style w:type="paragraph" w:styleId="Heading5">
    <w:name w:val="heading 5"/>
    <w:basedOn w:val="Normal"/>
    <w:next w:val="Normal"/>
    <w:rsid w:val="00AC1E78"/>
    <w:pPr>
      <w:numPr>
        <w:ilvl w:val="4"/>
        <w:numId w:val="18"/>
      </w:numPr>
      <w:spacing w:before="120" w:after="60"/>
      <w:outlineLvl w:val="4"/>
    </w:pPr>
    <w:rPr>
      <w:b/>
      <w:bCs/>
      <w:i/>
      <w:iCs/>
      <w:szCs w:val="26"/>
      <w:lang w:val="en-GB"/>
    </w:rPr>
  </w:style>
  <w:style w:type="paragraph" w:styleId="Heading6">
    <w:name w:val="heading 6"/>
    <w:basedOn w:val="Normal"/>
    <w:next w:val="Normal"/>
    <w:rsid w:val="00AC1E78"/>
    <w:pPr>
      <w:numPr>
        <w:ilvl w:val="5"/>
        <w:numId w:val="18"/>
      </w:numPr>
      <w:spacing w:before="240" w:after="60"/>
      <w:outlineLvl w:val="5"/>
    </w:pPr>
    <w:rPr>
      <w:b/>
      <w:bCs/>
      <w:sz w:val="22"/>
      <w:szCs w:val="22"/>
    </w:rPr>
  </w:style>
  <w:style w:type="paragraph" w:styleId="Heading7">
    <w:name w:val="heading 7"/>
    <w:basedOn w:val="Normal"/>
    <w:next w:val="Normal"/>
    <w:rsid w:val="00AC1E78"/>
    <w:pPr>
      <w:numPr>
        <w:ilvl w:val="6"/>
        <w:numId w:val="18"/>
      </w:numPr>
      <w:spacing w:before="240" w:after="60"/>
      <w:outlineLvl w:val="6"/>
    </w:pPr>
  </w:style>
  <w:style w:type="paragraph" w:styleId="Heading8">
    <w:name w:val="heading 8"/>
    <w:basedOn w:val="Normal"/>
    <w:next w:val="Normal"/>
    <w:qFormat/>
    <w:rsid w:val="00AC1E78"/>
    <w:pPr>
      <w:numPr>
        <w:ilvl w:val="7"/>
        <w:numId w:val="18"/>
      </w:numPr>
      <w:spacing w:before="240" w:after="60"/>
      <w:outlineLvl w:val="7"/>
    </w:pPr>
    <w:rPr>
      <w:i/>
      <w:iCs/>
    </w:rPr>
  </w:style>
  <w:style w:type="paragraph" w:styleId="Heading9">
    <w:name w:val="heading 9"/>
    <w:basedOn w:val="Normal"/>
    <w:next w:val="Normal"/>
    <w:qFormat/>
    <w:rsid w:val="00AC1E78"/>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AC1E78"/>
    <w:pPr>
      <w:tabs>
        <w:tab w:val="center" w:pos="4536"/>
        <w:tab w:val="right" w:pos="9072"/>
      </w:tabs>
    </w:pPr>
  </w:style>
  <w:style w:type="paragraph" w:styleId="Footer">
    <w:name w:val="footer"/>
    <w:basedOn w:val="Normal"/>
    <w:rsid w:val="00AC1E78"/>
    <w:pPr>
      <w:tabs>
        <w:tab w:val="center" w:pos="4536"/>
        <w:tab w:val="right" w:pos="9072"/>
      </w:tabs>
    </w:pPr>
  </w:style>
  <w:style w:type="character" w:styleId="FollowedHyperlink">
    <w:name w:val="FollowedHyperlink"/>
    <w:rsid w:val="002A5778"/>
    <w:rPr>
      <w:color w:val="800080"/>
      <w:u w:val="single"/>
    </w:rPr>
  </w:style>
  <w:style w:type="character" w:styleId="PageNumber">
    <w:name w:val="page number"/>
    <w:rsid w:val="00AC1E78"/>
    <w:rPr>
      <w:rFonts w:ascii="Open Sans" w:hAnsi="Open Sans"/>
      <w:b w:val="0"/>
      <w:color w:val="auto"/>
      <w:sz w:val="18"/>
    </w:rPr>
  </w:style>
  <w:style w:type="paragraph" w:customStyle="1" w:styleId="InsideAddress">
    <w:name w:val="Inside Address"/>
    <w:basedOn w:val="Normal"/>
    <w:rsid w:val="00AC1E78"/>
    <w:rPr>
      <w:szCs w:val="20"/>
      <w:lang w:val="en-GB" w:eastAsia="it-IT"/>
    </w:rPr>
  </w:style>
  <w:style w:type="paragraph" w:styleId="BodyText">
    <w:name w:val="Body Text"/>
    <w:basedOn w:val="CommentText"/>
    <w:link w:val="BodyTextChar"/>
    <w:qFormat/>
    <w:rsid w:val="00AC1E78"/>
    <w:pPr>
      <w:spacing w:before="140" w:after="140"/>
    </w:pPr>
    <w:rPr>
      <w:sz w:val="18"/>
      <w:lang w:val="en-GB" w:eastAsia="it-IT"/>
    </w:rPr>
  </w:style>
  <w:style w:type="paragraph" w:styleId="CommentText">
    <w:name w:val="annotation text"/>
    <w:basedOn w:val="Normal"/>
    <w:link w:val="CommentTextChar"/>
    <w:semiHidden/>
    <w:rsid w:val="00AC1E78"/>
    <w:rPr>
      <w:sz w:val="20"/>
      <w:szCs w:val="20"/>
    </w:rPr>
  </w:style>
  <w:style w:type="paragraph" w:styleId="Caption">
    <w:name w:val="caption"/>
    <w:basedOn w:val="Normal"/>
    <w:next w:val="Normal"/>
    <w:link w:val="CaptionChar"/>
    <w:qFormat/>
    <w:rsid w:val="00AB0CB1"/>
    <w:pPr>
      <w:keepNext/>
      <w:pBdr>
        <w:top w:val="single" w:sz="4" w:space="1" w:color="auto"/>
        <w:bottom w:val="single" w:sz="4" w:space="1" w:color="auto"/>
      </w:pBdr>
      <w:suppressAutoHyphens/>
      <w:spacing w:before="240" w:after="120"/>
      <w:ind w:left="1134" w:hanging="1134"/>
    </w:pPr>
    <w:rPr>
      <w:b/>
      <w:szCs w:val="20"/>
      <w:lang w:val="en-GB" w:eastAsia="it-IT"/>
    </w:rPr>
  </w:style>
  <w:style w:type="paragraph" w:customStyle="1" w:styleId="Oops">
    <w:name w:val="Oops"/>
    <w:basedOn w:val="Normal"/>
    <w:rsid w:val="002A5778"/>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AC1E78"/>
    <w:pPr>
      <w:spacing w:line="240" w:lineRule="atLeast"/>
    </w:pPr>
    <w:rPr>
      <w:b/>
      <w:sz w:val="16"/>
      <w:lang w:val="fr-FR"/>
    </w:rPr>
  </w:style>
  <w:style w:type="paragraph" w:customStyle="1" w:styleId="TableBody">
    <w:name w:val="TableBody"/>
    <w:basedOn w:val="Normal"/>
    <w:rsid w:val="00AC1E78"/>
    <w:pPr>
      <w:spacing w:line="240" w:lineRule="atLeast"/>
    </w:pPr>
    <w:rPr>
      <w:sz w:val="16"/>
      <w:lang w:val="fr-FR"/>
    </w:rPr>
  </w:style>
  <w:style w:type="paragraph" w:customStyle="1" w:styleId="CaptionTable">
    <w:name w:val="CaptionTable"/>
    <w:basedOn w:val="Caption"/>
    <w:autoRedefine/>
    <w:rsid w:val="00AC1E78"/>
    <w:pPr>
      <w:jc w:val="left"/>
    </w:pPr>
    <w:rPr>
      <w:rFonts w:cs="Open Sans"/>
      <w:szCs w:val="18"/>
    </w:rPr>
  </w:style>
  <w:style w:type="paragraph" w:styleId="BalloonText">
    <w:name w:val="Balloon Text"/>
    <w:basedOn w:val="Normal"/>
    <w:semiHidden/>
    <w:rsid w:val="002A5778"/>
    <w:rPr>
      <w:rFonts w:ascii="Tahoma" w:hAnsi="Tahoma" w:cs="Tahoma"/>
      <w:sz w:val="16"/>
      <w:szCs w:val="16"/>
    </w:rPr>
  </w:style>
  <w:style w:type="paragraph" w:styleId="ListNumber">
    <w:name w:val="List Number"/>
    <w:basedOn w:val="BodyText"/>
    <w:rsid w:val="00AC1E78"/>
    <w:pPr>
      <w:numPr>
        <w:numId w:val="21"/>
      </w:numPr>
    </w:pPr>
  </w:style>
  <w:style w:type="paragraph" w:styleId="BodyTextIndent">
    <w:name w:val="Body Text Indent"/>
    <w:basedOn w:val="Normal"/>
    <w:rsid w:val="002A5778"/>
    <w:pPr>
      <w:spacing w:after="120"/>
      <w:ind w:left="283"/>
    </w:pPr>
  </w:style>
  <w:style w:type="paragraph" w:styleId="ListBullet">
    <w:name w:val="List Bullet"/>
    <w:basedOn w:val="BodyText"/>
    <w:rsid w:val="00AC1E78"/>
    <w:pPr>
      <w:numPr>
        <w:numId w:val="25"/>
      </w:numPr>
      <w:spacing w:before="60" w:after="80" w:line="260" w:lineRule="atLeast"/>
    </w:pPr>
    <w:rPr>
      <w:szCs w:val="21"/>
    </w:rPr>
  </w:style>
  <w:style w:type="paragraph" w:styleId="TOC1">
    <w:name w:val="toc 1"/>
    <w:basedOn w:val="Normal"/>
    <w:next w:val="Normal"/>
    <w:autoRedefine/>
    <w:uiPriority w:val="39"/>
    <w:rsid w:val="00AC1E78"/>
    <w:pPr>
      <w:tabs>
        <w:tab w:val="left" w:pos="420"/>
        <w:tab w:val="right" w:leader="dot" w:pos="8297"/>
      </w:tabs>
      <w:spacing w:before="120"/>
    </w:pPr>
    <w:rPr>
      <w:b/>
      <w:noProof/>
      <w:sz w:val="22"/>
    </w:rPr>
  </w:style>
  <w:style w:type="paragraph" w:styleId="TOC2">
    <w:name w:val="toc 2"/>
    <w:basedOn w:val="Normal"/>
    <w:next w:val="Normal"/>
    <w:autoRedefine/>
    <w:uiPriority w:val="39"/>
    <w:rsid w:val="00AC1E78"/>
    <w:pPr>
      <w:tabs>
        <w:tab w:val="left" w:pos="880"/>
        <w:tab w:val="right" w:leader="dot" w:pos="8297"/>
      </w:tabs>
      <w:ind w:left="210"/>
    </w:pPr>
    <w:rPr>
      <w:noProof/>
    </w:rPr>
  </w:style>
  <w:style w:type="paragraph" w:styleId="TOC3">
    <w:name w:val="toc 3"/>
    <w:basedOn w:val="Normal"/>
    <w:next w:val="Normal"/>
    <w:autoRedefine/>
    <w:semiHidden/>
    <w:rsid w:val="00AC1E78"/>
    <w:pPr>
      <w:ind w:left="420"/>
    </w:pPr>
  </w:style>
  <w:style w:type="character" w:styleId="Hyperlink">
    <w:name w:val="Hyperlink"/>
    <w:uiPriority w:val="99"/>
    <w:rsid w:val="00AC1E78"/>
    <w:rPr>
      <w:rFonts w:ascii="Open Sans" w:hAnsi="Open Sans"/>
      <w:color w:val="0000FF"/>
      <w:sz w:val="18"/>
      <w:u w:val="single"/>
    </w:rPr>
  </w:style>
  <w:style w:type="paragraph" w:customStyle="1" w:styleId="ContentsHeader">
    <w:name w:val="ContentsHeader"/>
    <w:basedOn w:val="Normal"/>
    <w:rsid w:val="00AC1E78"/>
    <w:pPr>
      <w:spacing w:before="360" w:after="240"/>
    </w:pPr>
    <w:rPr>
      <w:rFonts w:cs="Arial"/>
      <w:b/>
      <w:sz w:val="24"/>
      <w:szCs w:val="32"/>
    </w:rPr>
  </w:style>
  <w:style w:type="character" w:styleId="CommentReference">
    <w:name w:val="annotation reference"/>
    <w:semiHidden/>
    <w:rsid w:val="00AC1E78"/>
    <w:rPr>
      <w:sz w:val="16"/>
      <w:szCs w:val="16"/>
    </w:rPr>
  </w:style>
  <w:style w:type="paragraph" w:styleId="CommentSubject">
    <w:name w:val="annotation subject"/>
    <w:basedOn w:val="CommentText"/>
    <w:next w:val="CommentText"/>
    <w:semiHidden/>
    <w:rsid w:val="00AC1E78"/>
    <w:rPr>
      <w:b/>
      <w:bCs/>
    </w:rPr>
  </w:style>
  <w:style w:type="paragraph" w:styleId="ListContinue">
    <w:name w:val="List Continue"/>
    <w:basedOn w:val="Normal"/>
    <w:rsid w:val="00AC1E78"/>
    <w:pPr>
      <w:spacing w:after="120"/>
      <w:ind w:left="360"/>
    </w:pPr>
  </w:style>
  <w:style w:type="paragraph" w:customStyle="1" w:styleId="Figure">
    <w:name w:val="Figure"/>
    <w:basedOn w:val="BodyText"/>
    <w:rsid w:val="00AC1E78"/>
    <w:pPr>
      <w:numPr>
        <w:ilvl w:val="12"/>
      </w:numPr>
      <w:spacing w:before="280" w:after="60"/>
      <w:jc w:val="center"/>
    </w:pPr>
  </w:style>
  <w:style w:type="paragraph" w:customStyle="1" w:styleId="CaptionFigure">
    <w:name w:val="CaptionFigure"/>
    <w:basedOn w:val="Caption"/>
    <w:link w:val="CaptionFigureChar"/>
    <w:rsid w:val="00AC1E78"/>
    <w:pPr>
      <w:jc w:val="left"/>
    </w:pPr>
  </w:style>
  <w:style w:type="paragraph" w:customStyle="1" w:styleId="TableBullet">
    <w:name w:val="TableBullet"/>
    <w:basedOn w:val="ListBullet"/>
    <w:rsid w:val="00AC1E78"/>
    <w:pPr>
      <w:spacing w:before="0" w:after="0" w:line="240" w:lineRule="atLeast"/>
    </w:pPr>
    <w:rPr>
      <w:sz w:val="16"/>
      <w:szCs w:val="20"/>
    </w:rPr>
  </w:style>
  <w:style w:type="paragraph" w:customStyle="1" w:styleId="Equation">
    <w:name w:val="Equation"/>
    <w:basedOn w:val="BodyText"/>
    <w:next w:val="BodyText"/>
    <w:link w:val="EquationChar"/>
    <w:rsid w:val="00AC1E78"/>
    <w:pPr>
      <w:tabs>
        <w:tab w:val="right" w:pos="8280"/>
      </w:tabs>
      <w:ind w:left="540"/>
    </w:pPr>
  </w:style>
  <w:style w:type="paragraph" w:customStyle="1" w:styleId="TableBullet2">
    <w:name w:val="TableBullet 2"/>
    <w:basedOn w:val="TableBullet"/>
    <w:rsid w:val="00AC1E78"/>
    <w:pPr>
      <w:numPr>
        <w:ilvl w:val="1"/>
        <w:numId w:val="26"/>
      </w:numPr>
    </w:pPr>
  </w:style>
  <w:style w:type="paragraph" w:styleId="ListNumber2">
    <w:name w:val="List Number 2"/>
    <w:basedOn w:val="Normal"/>
    <w:rsid w:val="00AC1E78"/>
    <w:pPr>
      <w:numPr>
        <w:numId w:val="22"/>
      </w:numPr>
    </w:pPr>
    <w:rPr>
      <w:lang w:val="en-GB"/>
    </w:rPr>
  </w:style>
  <w:style w:type="paragraph" w:customStyle="1" w:styleId="GraphTable">
    <w:name w:val="GraphTable"/>
    <w:basedOn w:val="Figure"/>
    <w:next w:val="BodyText"/>
    <w:rsid w:val="00AC1E78"/>
    <w:pPr>
      <w:spacing w:before="60" w:after="280"/>
    </w:pPr>
  </w:style>
  <w:style w:type="paragraph" w:customStyle="1" w:styleId="ToBeElaborated">
    <w:name w:val="ToBeElaborated"/>
    <w:basedOn w:val="BodyText"/>
    <w:rsid w:val="002A5778"/>
    <w:pPr>
      <w:shd w:val="clear" w:color="auto" w:fill="FFFF00"/>
    </w:pPr>
    <w:rPr>
      <w:rFonts w:ascii="Comic Sans MS" w:hAnsi="Comic Sans MS"/>
      <w:color w:val="000080"/>
      <w:szCs w:val="21"/>
    </w:rPr>
  </w:style>
  <w:style w:type="paragraph" w:styleId="DocumentMap">
    <w:name w:val="Document Map"/>
    <w:basedOn w:val="Normal"/>
    <w:semiHidden/>
    <w:rsid w:val="00AC1E78"/>
    <w:pPr>
      <w:shd w:val="clear" w:color="auto" w:fill="000080"/>
    </w:pPr>
    <w:rPr>
      <w:rFonts w:ascii="Tahoma" w:hAnsi="Tahoma" w:cs="Tahoma"/>
    </w:rPr>
  </w:style>
  <w:style w:type="paragraph" w:styleId="ListBullet2">
    <w:name w:val="List Bullet 2"/>
    <w:basedOn w:val="BodyText"/>
    <w:rsid w:val="00AC1E78"/>
    <w:pPr>
      <w:numPr>
        <w:numId w:val="19"/>
      </w:numPr>
    </w:pPr>
  </w:style>
  <w:style w:type="paragraph" w:customStyle="1" w:styleId="Reference">
    <w:name w:val="Reference"/>
    <w:basedOn w:val="Normal"/>
    <w:rsid w:val="00AC1E78"/>
    <w:pPr>
      <w:ind w:left="540" w:hanging="540"/>
    </w:pPr>
    <w:rPr>
      <w:lang w:val="en-GB"/>
    </w:rPr>
  </w:style>
  <w:style w:type="paragraph" w:styleId="FootnoteText">
    <w:name w:val="footnote text"/>
    <w:basedOn w:val="Normal"/>
    <w:link w:val="FootnoteTextChar"/>
    <w:semiHidden/>
    <w:rsid w:val="00AC1E78"/>
    <w:pPr>
      <w:spacing w:line="240" w:lineRule="auto"/>
    </w:pPr>
    <w:rPr>
      <w:szCs w:val="20"/>
    </w:rPr>
  </w:style>
  <w:style w:type="character" w:styleId="FootnoteReference">
    <w:name w:val="footnote reference"/>
    <w:semiHidden/>
    <w:rsid w:val="00AC1E78"/>
    <w:rPr>
      <w:vertAlign w:val="superscript"/>
    </w:rPr>
  </w:style>
  <w:style w:type="paragraph" w:customStyle="1" w:styleId="Footnote2006GL">
    <w:name w:val="Footnote 2006GL"/>
    <w:basedOn w:val="Normal"/>
    <w:rsid w:val="002A5778"/>
    <w:pPr>
      <w:tabs>
        <w:tab w:val="left" w:pos="159"/>
      </w:tabs>
      <w:spacing w:after="120" w:line="240" w:lineRule="auto"/>
      <w:ind w:left="159" w:hanging="159"/>
    </w:pPr>
    <w:rPr>
      <w:szCs w:val="18"/>
      <w:lang w:val="en-GB" w:eastAsia="zh-CN"/>
    </w:rPr>
  </w:style>
  <w:style w:type="character" w:customStyle="1" w:styleId="Footnote2006GLChar">
    <w:name w:val="Footnote 2006GL Char"/>
    <w:rsid w:val="002A5778"/>
    <w:rPr>
      <w:sz w:val="18"/>
      <w:szCs w:val="18"/>
      <w:lang w:val="en-GB" w:eastAsia="zh-CN" w:bidi="ar-SA"/>
    </w:rPr>
  </w:style>
  <w:style w:type="paragraph" w:customStyle="1" w:styleId="Table">
    <w:name w:val="Table"/>
    <w:rsid w:val="002A5778"/>
    <w:pPr>
      <w:keepNext/>
      <w:keepLines/>
      <w:suppressAutoHyphens/>
    </w:pPr>
    <w:rPr>
      <w:sz w:val="22"/>
      <w:lang w:val="en-US" w:eastAsia="nb-NO"/>
    </w:rPr>
  </w:style>
  <w:style w:type="character" w:customStyle="1" w:styleId="Char">
    <w:name w:val="Char"/>
    <w:rsid w:val="002A5778"/>
    <w:rPr>
      <w:b/>
      <w:lang w:val="en-GB" w:eastAsia="it-IT" w:bidi="ar-SA"/>
    </w:rPr>
  </w:style>
  <w:style w:type="paragraph" w:customStyle="1" w:styleId="Bullet">
    <w:name w:val="Bullet"/>
    <w:basedOn w:val="Normal"/>
    <w:autoRedefine/>
    <w:rsid w:val="002A5778"/>
    <w:pPr>
      <w:overflowPunct w:val="0"/>
      <w:autoSpaceDE w:val="0"/>
      <w:autoSpaceDN w:val="0"/>
      <w:adjustRightInd w:val="0"/>
      <w:spacing w:after="120" w:line="240" w:lineRule="auto"/>
      <w:textAlignment w:val="baseline"/>
    </w:pPr>
    <w:rPr>
      <w:sz w:val="24"/>
      <w:lang w:val="en-GB" w:eastAsia="nb-NO"/>
    </w:rPr>
  </w:style>
  <w:style w:type="paragraph" w:customStyle="1" w:styleId="Boxbullet">
    <w:name w:val="Boxbullet"/>
    <w:basedOn w:val="Boxtxt"/>
    <w:rsid w:val="002A5778"/>
    <w:pPr>
      <w:numPr>
        <w:numId w:val="1"/>
      </w:numPr>
      <w:tabs>
        <w:tab w:val="clear" w:pos="561"/>
        <w:tab w:val="num" w:pos="360"/>
        <w:tab w:val="left" w:pos="720"/>
      </w:tabs>
      <w:ind w:left="360" w:hanging="360"/>
    </w:pPr>
  </w:style>
  <w:style w:type="paragraph" w:customStyle="1" w:styleId="Boxtxt">
    <w:name w:val="Boxtxt"/>
    <w:basedOn w:val="Normal"/>
    <w:rsid w:val="002A5778"/>
    <w:pPr>
      <w:keepNext/>
      <w:pBdr>
        <w:top w:val="single" w:sz="12" w:space="5" w:color="auto"/>
        <w:left w:val="single" w:sz="12" w:space="5" w:color="auto"/>
        <w:bottom w:val="single" w:sz="12" w:space="5" w:color="auto"/>
        <w:right w:val="single" w:sz="12" w:space="5" w:color="auto"/>
      </w:pBdr>
      <w:spacing w:after="120" w:line="240" w:lineRule="auto"/>
      <w:ind w:right="34"/>
    </w:pPr>
    <w:rPr>
      <w:sz w:val="20"/>
      <w:szCs w:val="20"/>
      <w:lang w:val="en-GB" w:eastAsia="zh-CN"/>
    </w:rPr>
  </w:style>
  <w:style w:type="paragraph" w:customStyle="1" w:styleId="NumberedSteps">
    <w:name w:val="NumberedSteps"/>
    <w:basedOn w:val="BodyText"/>
    <w:rsid w:val="00AC1E78"/>
    <w:pPr>
      <w:numPr>
        <w:numId w:val="23"/>
      </w:numPr>
      <w:tabs>
        <w:tab w:val="clear" w:pos="720"/>
      </w:tabs>
    </w:pPr>
  </w:style>
  <w:style w:type="paragraph" w:styleId="ListBullet3">
    <w:name w:val="List Bullet 3"/>
    <w:basedOn w:val="Normal"/>
    <w:rsid w:val="00AC1E78"/>
    <w:pPr>
      <w:numPr>
        <w:numId w:val="20"/>
      </w:numPr>
      <w:tabs>
        <w:tab w:val="clear" w:pos="926"/>
        <w:tab w:val="num" w:pos="1080"/>
      </w:tabs>
    </w:pPr>
    <w:rPr>
      <w:lang w:val="en-US"/>
    </w:rPr>
  </w:style>
  <w:style w:type="paragraph" w:customStyle="1" w:styleId="StyleTabletextBullet2006GLLeft">
    <w:name w:val="Style Table text Bullet 2006GL + Left"/>
    <w:basedOn w:val="Normal"/>
    <w:rsid w:val="002A5778"/>
    <w:pPr>
      <w:numPr>
        <w:numId w:val="2"/>
      </w:numPr>
      <w:spacing w:before="40" w:after="40" w:line="240" w:lineRule="auto"/>
      <w:ind w:right="57"/>
    </w:pPr>
    <w:rPr>
      <w:szCs w:val="20"/>
      <w:lang w:val="en-GB" w:eastAsia="zh-CN"/>
    </w:rPr>
  </w:style>
  <w:style w:type="paragraph" w:customStyle="1" w:styleId="CheckList">
    <w:name w:val="CheckList"/>
    <w:basedOn w:val="Normal"/>
    <w:rsid w:val="002A5778"/>
    <w:pPr>
      <w:numPr>
        <w:numId w:val="3"/>
      </w:numPr>
      <w:spacing w:before="140" w:after="140"/>
    </w:pPr>
    <w:rPr>
      <w:szCs w:val="20"/>
      <w:lang w:val="en-GB" w:eastAsia="it-IT"/>
    </w:rPr>
  </w:style>
  <w:style w:type="paragraph" w:customStyle="1" w:styleId="TabletextBullet2006GL">
    <w:name w:val="Table text Bullet 2006GL"/>
    <w:basedOn w:val="Normal"/>
    <w:rsid w:val="00AC1E78"/>
    <w:pPr>
      <w:numPr>
        <w:numId w:val="24"/>
      </w:numPr>
      <w:spacing w:before="40" w:after="40" w:line="240" w:lineRule="auto"/>
      <w:ind w:right="57"/>
    </w:pPr>
    <w:rPr>
      <w:szCs w:val="18"/>
      <w:lang w:val="en-GB" w:eastAsia="zh-CN"/>
    </w:rPr>
  </w:style>
  <w:style w:type="paragraph" w:customStyle="1" w:styleId="Appendix">
    <w:name w:val="Appendix"/>
    <w:basedOn w:val="Normal"/>
    <w:next w:val="Normal"/>
    <w:rsid w:val="002A5778"/>
    <w:pPr>
      <w:keepNext/>
      <w:keepLines/>
      <w:pageBreakBefore/>
      <w:tabs>
        <w:tab w:val="num" w:pos="2340"/>
      </w:tabs>
      <w:spacing w:after="520" w:line="360" w:lineRule="exact"/>
      <w:outlineLvl w:val="0"/>
    </w:pPr>
    <w:rPr>
      <w:rFonts w:ascii="Arial" w:hAnsi="Arial"/>
      <w:b/>
      <w:sz w:val="32"/>
      <w:szCs w:val="32"/>
      <w:lang w:val="en-GB" w:eastAsia="en-US"/>
    </w:rPr>
  </w:style>
  <w:style w:type="paragraph" w:customStyle="1" w:styleId="Appendix1">
    <w:name w:val="Appendix 1"/>
    <w:basedOn w:val="Normal"/>
    <w:next w:val="Normal"/>
    <w:rsid w:val="002A5778"/>
    <w:pPr>
      <w:keepNext/>
      <w:keepLines/>
      <w:tabs>
        <w:tab w:val="left" w:pos="0"/>
        <w:tab w:val="num" w:pos="720"/>
        <w:tab w:val="left" w:pos="907"/>
      </w:tabs>
      <w:spacing w:before="260" w:after="120" w:line="260" w:lineRule="exact"/>
      <w:outlineLvl w:val="2"/>
    </w:pPr>
    <w:rPr>
      <w:b/>
      <w:sz w:val="28"/>
      <w:szCs w:val="28"/>
      <w:lang w:val="en-GB" w:eastAsia="en-US"/>
    </w:rPr>
  </w:style>
  <w:style w:type="paragraph" w:customStyle="1" w:styleId="Appendix2">
    <w:name w:val="Appendix 2"/>
    <w:basedOn w:val="Normal"/>
    <w:next w:val="Normal"/>
    <w:rsid w:val="002A5778"/>
    <w:pPr>
      <w:keepNext/>
      <w:keepLines/>
      <w:tabs>
        <w:tab w:val="left" w:pos="907"/>
      </w:tabs>
      <w:spacing w:before="360" w:line="240" w:lineRule="auto"/>
      <w:outlineLvl w:val="8"/>
    </w:pPr>
    <w:rPr>
      <w:b/>
      <w:i/>
      <w:sz w:val="24"/>
      <w:lang w:val="en-GB" w:eastAsia="en-US"/>
    </w:rPr>
  </w:style>
  <w:style w:type="paragraph" w:styleId="NormalIndent">
    <w:name w:val="Normal Indent"/>
    <w:basedOn w:val="Normal"/>
    <w:rsid w:val="002A5778"/>
    <w:pPr>
      <w:spacing w:line="240" w:lineRule="auto"/>
      <w:ind w:left="720"/>
    </w:pPr>
    <w:rPr>
      <w:sz w:val="24"/>
      <w:szCs w:val="20"/>
      <w:lang w:val="en-GB" w:eastAsia="nb-NO"/>
    </w:rPr>
  </w:style>
  <w:style w:type="paragraph" w:customStyle="1" w:styleId="TableTitle">
    <w:name w:val="Table Title"/>
    <w:basedOn w:val="Normal"/>
    <w:next w:val="TableText"/>
    <w:rsid w:val="002A5778"/>
    <w:pPr>
      <w:keepNext/>
      <w:spacing w:before="120" w:after="120" w:line="240" w:lineRule="auto"/>
    </w:pPr>
    <w:rPr>
      <w:b/>
      <w:sz w:val="24"/>
      <w:szCs w:val="20"/>
      <w:lang w:val="en-GB" w:eastAsia="nb-NO"/>
    </w:rPr>
  </w:style>
  <w:style w:type="paragraph" w:customStyle="1" w:styleId="TableText">
    <w:name w:val="Table Text"/>
    <w:basedOn w:val="Normal"/>
    <w:next w:val="Normal"/>
    <w:rsid w:val="002A5778"/>
    <w:pPr>
      <w:spacing w:before="120" w:line="240" w:lineRule="auto"/>
      <w:jc w:val="center"/>
    </w:pPr>
    <w:rPr>
      <w:sz w:val="24"/>
      <w:szCs w:val="20"/>
      <w:lang w:val="en-GB" w:eastAsia="nb-NO"/>
    </w:rPr>
  </w:style>
  <w:style w:type="paragraph" w:customStyle="1" w:styleId="PictureParagraph">
    <w:name w:val="PictureParagraph"/>
    <w:rsid w:val="002A5778"/>
    <w:pPr>
      <w:spacing w:line="312" w:lineRule="atLeast"/>
      <w:jc w:val="both"/>
    </w:pPr>
    <w:rPr>
      <w:rFonts w:ascii="Arial" w:hAnsi="Arial"/>
      <w:noProof/>
      <w:lang w:val="nb-NO" w:eastAsia="nb-NO"/>
    </w:rPr>
  </w:style>
  <w:style w:type="paragraph" w:customStyle="1" w:styleId="EquatChar">
    <w:name w:val="EquatChar"/>
    <w:rsid w:val="002A5778"/>
    <w:pPr>
      <w:spacing w:before="120" w:after="120" w:line="280" w:lineRule="atLeast"/>
    </w:pPr>
    <w:rPr>
      <w:noProof/>
      <w:sz w:val="24"/>
      <w:lang w:val="nb-NO" w:eastAsia="nb-NO"/>
    </w:rPr>
  </w:style>
  <w:style w:type="paragraph" w:customStyle="1" w:styleId="TableChar">
    <w:name w:val="TableChar"/>
    <w:rsid w:val="002A5778"/>
    <w:pPr>
      <w:spacing w:before="40"/>
    </w:pPr>
    <w:rPr>
      <w:rFonts w:ascii="Arial" w:hAnsi="Arial"/>
      <w:noProof/>
      <w:lang w:val="nb-NO" w:eastAsia="nb-NO"/>
    </w:rPr>
  </w:style>
  <w:style w:type="paragraph" w:styleId="BodyText2">
    <w:name w:val="Body Text 2"/>
    <w:basedOn w:val="Normal"/>
    <w:rsid w:val="002A5778"/>
    <w:pPr>
      <w:spacing w:line="240" w:lineRule="auto"/>
    </w:pPr>
    <w:rPr>
      <w:color w:val="FF0000"/>
      <w:sz w:val="24"/>
      <w:szCs w:val="20"/>
      <w:lang w:val="en-GB" w:eastAsia="nb-NO"/>
    </w:rPr>
  </w:style>
  <w:style w:type="paragraph" w:styleId="ListBullet4">
    <w:name w:val="List Bullet 4"/>
    <w:basedOn w:val="Normal"/>
    <w:rsid w:val="002A5778"/>
    <w:pPr>
      <w:spacing w:line="240" w:lineRule="auto"/>
      <w:ind w:left="1132" w:hanging="283"/>
    </w:pPr>
    <w:rPr>
      <w:rFonts w:ascii="Bembo" w:hAnsi="Bembo"/>
      <w:sz w:val="24"/>
      <w:szCs w:val="20"/>
      <w:lang w:val="en-GB" w:eastAsia="en-US"/>
    </w:rPr>
  </w:style>
  <w:style w:type="paragraph" w:customStyle="1" w:styleId="FigTitle">
    <w:name w:val="Fig Title"/>
    <w:basedOn w:val="Normal"/>
    <w:next w:val="Normal"/>
    <w:rsid w:val="002A5778"/>
    <w:pPr>
      <w:tabs>
        <w:tab w:val="left" w:pos="1418"/>
      </w:tabs>
      <w:overflowPunct w:val="0"/>
      <w:autoSpaceDE w:val="0"/>
      <w:autoSpaceDN w:val="0"/>
      <w:adjustRightInd w:val="0"/>
      <w:spacing w:line="240" w:lineRule="auto"/>
      <w:ind w:left="1418" w:hanging="1418"/>
      <w:textAlignment w:val="baseline"/>
    </w:pPr>
    <w:rPr>
      <w:b/>
      <w:sz w:val="24"/>
      <w:szCs w:val="20"/>
      <w:lang w:val="en-GB" w:eastAsia="nb-NO"/>
    </w:rPr>
  </w:style>
  <w:style w:type="character" w:styleId="LineNumber">
    <w:name w:val="line number"/>
    <w:rsid w:val="00AC1E78"/>
  </w:style>
  <w:style w:type="paragraph" w:customStyle="1" w:styleId="Norma">
    <w:name w:val="Norma"/>
    <w:basedOn w:val="CaptionTable"/>
    <w:rsid w:val="00777564"/>
    <w:pPr>
      <w:spacing w:before="120"/>
    </w:pPr>
  </w:style>
  <w:style w:type="paragraph" w:styleId="PlainText">
    <w:name w:val="Plain Text"/>
    <w:basedOn w:val="Normal"/>
    <w:rsid w:val="00292C0E"/>
    <w:pPr>
      <w:spacing w:before="100" w:beforeAutospacing="1" w:after="100" w:afterAutospacing="1" w:line="240" w:lineRule="auto"/>
    </w:pPr>
    <w:rPr>
      <w:sz w:val="24"/>
      <w:lang w:val="el-GR" w:eastAsia="el-GR"/>
    </w:rPr>
  </w:style>
  <w:style w:type="paragraph" w:styleId="Revision">
    <w:name w:val="Revision"/>
    <w:hidden/>
    <w:uiPriority w:val="99"/>
    <w:semiHidden/>
    <w:rsid w:val="00B55C8B"/>
    <w:rPr>
      <w:sz w:val="21"/>
      <w:szCs w:val="24"/>
      <w:lang w:val="nl-NL" w:eastAsia="nl-NL"/>
    </w:rPr>
  </w:style>
  <w:style w:type="paragraph" w:customStyle="1" w:styleId="StyleCaptionTableCenteredAfter6pt">
    <w:name w:val="Style CaptionTable + Centered After:  6 pt"/>
    <w:basedOn w:val="CaptionTable"/>
    <w:autoRedefine/>
    <w:rsid w:val="009F3478"/>
    <w:rPr>
      <w:bCs/>
    </w:rPr>
  </w:style>
  <w:style w:type="paragraph" w:customStyle="1" w:styleId="StyleBodyText10ptBoldCenteredLeft0cmHanging2c">
    <w:name w:val="Style Body Text + 10 pt Bold Centered Left:  0 cm Hanging:  2 c..."/>
    <w:basedOn w:val="BodyText"/>
    <w:rsid w:val="009F3478"/>
    <w:pPr>
      <w:ind w:left="1134" w:hanging="1134"/>
      <w:jc w:val="center"/>
    </w:pPr>
    <w:rPr>
      <w:b/>
      <w:bCs/>
      <w:sz w:val="20"/>
    </w:rPr>
  </w:style>
  <w:style w:type="paragraph" w:customStyle="1" w:styleId="StyleCaptionTableCenteredLeft0cmFirstline0cmAfte">
    <w:name w:val="Style CaptionTable + Centered Left:  0 cm First line:  0 cm Afte..."/>
    <w:basedOn w:val="CaptionTable"/>
    <w:autoRedefine/>
    <w:rsid w:val="00391EF1"/>
    <w:pPr>
      <w:spacing w:before="120" w:line="240" w:lineRule="auto"/>
    </w:pPr>
    <w:rPr>
      <w:bCs/>
    </w:rPr>
  </w:style>
  <w:style w:type="paragraph" w:customStyle="1" w:styleId="StyleCaptionTableCenteredBefore12ptAfter6pt">
    <w:name w:val="Style CaptionTable + Centered Before:  12 pt After:  6 pt"/>
    <w:basedOn w:val="CaptionTable"/>
    <w:autoRedefine/>
    <w:rsid w:val="00FC1A7B"/>
    <w:pPr>
      <w:spacing w:before="0"/>
    </w:pPr>
    <w:rPr>
      <w:bCs/>
    </w:rPr>
  </w:style>
  <w:style w:type="paragraph" w:customStyle="1" w:styleId="StyleCaptionTableCenteredLeft0cmFirstline0cmBefo">
    <w:name w:val="Style CaptionTable + Centered Left:  0 cm First line:  0 cm Befo..."/>
    <w:basedOn w:val="CaptionTable"/>
    <w:autoRedefine/>
    <w:rsid w:val="00ED27AC"/>
    <w:pPr>
      <w:spacing w:before="0"/>
    </w:pPr>
    <w:rPr>
      <w:bCs/>
    </w:rPr>
  </w:style>
  <w:style w:type="paragraph" w:customStyle="1" w:styleId="StyleCaptionCentered">
    <w:name w:val="Style Caption + Centered"/>
    <w:basedOn w:val="Caption"/>
    <w:autoRedefine/>
    <w:rsid w:val="00ED27AC"/>
    <w:pPr>
      <w:jc w:val="left"/>
    </w:pPr>
    <w:rPr>
      <w:bCs/>
    </w:rPr>
  </w:style>
  <w:style w:type="table" w:styleId="TableGrid">
    <w:name w:val="Table Grid"/>
    <w:basedOn w:val="TableNormal"/>
    <w:rsid w:val="00AC1E7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customStyle="1" w:styleId="CaptionChar2">
    <w:name w:val="Caption Char2"/>
    <w:aliases w:val="Caption Char Char,Caption Char1 Char Char,Caption Char Char Char Char,Caption Char1 Char Char Char Char,Caption Char Char Char Char Char Char,Caption Char1 Char Char Char Char Char Char,Caption Char Char Char Char Char Char Char Char"/>
    <w:rsid w:val="0014254F"/>
    <w:rPr>
      <w:b/>
      <w:lang w:val="en-GB" w:eastAsia="it-IT" w:bidi="ar-SA"/>
    </w:rPr>
  </w:style>
  <w:style w:type="table" w:styleId="TableSimple1">
    <w:name w:val="Table Simple 1"/>
    <w:basedOn w:val="TableNormal"/>
    <w:rsid w:val="0014254F"/>
    <w:pPr>
      <w:spacing w:after="200" w:line="300" w:lineRule="exact"/>
      <w:jc w:val="both"/>
    </w:pPr>
    <w:rPr>
      <w:rFonts w:ascii="New York" w:hAnsi="New Yor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rlabel">
    <w:name w:val="fr_label"/>
    <w:basedOn w:val="DefaultParagraphFont"/>
    <w:rsid w:val="00CB5649"/>
  </w:style>
  <w:style w:type="character" w:customStyle="1" w:styleId="frsourcelabel">
    <w:name w:val="fr_source_label"/>
    <w:basedOn w:val="DefaultParagraphFont"/>
    <w:rsid w:val="00CB5649"/>
  </w:style>
  <w:style w:type="character" w:customStyle="1" w:styleId="mcontent">
    <w:name w:val="mcontent"/>
    <w:basedOn w:val="DefaultParagraphFont"/>
    <w:rsid w:val="001E5FF2"/>
  </w:style>
  <w:style w:type="character" w:customStyle="1" w:styleId="apple-converted-space">
    <w:name w:val="apple-converted-space"/>
    <w:basedOn w:val="DefaultParagraphFont"/>
    <w:rsid w:val="004E5F04"/>
  </w:style>
  <w:style w:type="paragraph" w:styleId="EndnoteText">
    <w:name w:val="endnote text"/>
    <w:basedOn w:val="Normal"/>
    <w:link w:val="EndnoteTextChar"/>
    <w:rsid w:val="00585E4E"/>
    <w:rPr>
      <w:sz w:val="20"/>
      <w:szCs w:val="20"/>
    </w:rPr>
  </w:style>
  <w:style w:type="character" w:customStyle="1" w:styleId="EndnoteTextChar">
    <w:name w:val="Endnote Text Char"/>
    <w:link w:val="EndnoteText"/>
    <w:rsid w:val="00585E4E"/>
    <w:rPr>
      <w:lang w:val="nl-NL" w:eastAsia="nl-NL"/>
    </w:rPr>
  </w:style>
  <w:style w:type="character" w:styleId="EndnoteReference">
    <w:name w:val="endnote reference"/>
    <w:rsid w:val="00585E4E"/>
    <w:rPr>
      <w:vertAlign w:val="superscript"/>
    </w:rPr>
  </w:style>
  <w:style w:type="paragraph" w:styleId="NoSpacing">
    <w:name w:val="No Spacing"/>
    <w:uiPriority w:val="1"/>
    <w:qFormat/>
    <w:rsid w:val="002B3D9D"/>
    <w:rPr>
      <w:rFonts w:ascii="Calibri" w:eastAsia="Calibri" w:hAnsi="Calibri"/>
      <w:sz w:val="22"/>
      <w:szCs w:val="22"/>
      <w:lang w:val="da-DK" w:eastAsia="en-US"/>
    </w:rPr>
  </w:style>
  <w:style w:type="character" w:customStyle="1" w:styleId="CommentTextChar">
    <w:name w:val="Comment Text Char"/>
    <w:link w:val="CommentText"/>
    <w:semiHidden/>
    <w:rsid w:val="005325B9"/>
    <w:rPr>
      <w:rFonts w:ascii="Open Sans" w:hAnsi="Open Sans"/>
      <w:lang w:val="nl-NL" w:eastAsia="nl-NL"/>
    </w:rPr>
  </w:style>
  <w:style w:type="character" w:customStyle="1" w:styleId="BodyTextChar">
    <w:name w:val="Body Text Char"/>
    <w:link w:val="BodyText"/>
    <w:rsid w:val="00AC1E78"/>
    <w:rPr>
      <w:rFonts w:ascii="Open Sans" w:hAnsi="Open Sans"/>
      <w:sz w:val="18"/>
      <w:lang w:val="en-GB" w:eastAsia="it-IT"/>
    </w:rPr>
  </w:style>
  <w:style w:type="character" w:customStyle="1" w:styleId="CaptionChar">
    <w:name w:val="Caption Char"/>
    <w:link w:val="Caption"/>
    <w:rsid w:val="00AB0CB1"/>
    <w:rPr>
      <w:rFonts w:ascii="Open Sans" w:hAnsi="Open Sans"/>
      <w:b/>
      <w:sz w:val="18"/>
      <w:lang w:val="en-GB" w:eastAsia="it-IT"/>
    </w:rPr>
  </w:style>
  <w:style w:type="character" w:customStyle="1" w:styleId="CaptionFigureChar">
    <w:name w:val="CaptionFigure Char"/>
    <w:link w:val="CaptionFigure"/>
    <w:rsid w:val="00AC1E78"/>
    <w:rPr>
      <w:rFonts w:ascii="Open Sans" w:hAnsi="Open Sans"/>
      <w:b/>
      <w:sz w:val="18"/>
      <w:lang w:val="en-GB" w:eastAsia="it-IT"/>
    </w:rPr>
  </w:style>
  <w:style w:type="character" w:customStyle="1" w:styleId="EquationChar">
    <w:name w:val="Equation Char"/>
    <w:link w:val="Equation"/>
    <w:rsid w:val="00AC1E78"/>
    <w:rPr>
      <w:rFonts w:ascii="Open Sans" w:hAnsi="Open Sans"/>
      <w:sz w:val="18"/>
      <w:lang w:val="en-GB" w:eastAsia="it-IT"/>
    </w:rPr>
  </w:style>
  <w:style w:type="paragraph" w:customStyle="1" w:styleId="Equationdefinition2006GL">
    <w:name w:val="Equation definition 2006GL"/>
    <w:basedOn w:val="BodyText"/>
    <w:rsid w:val="00AC1E78"/>
    <w:pPr>
      <w:tabs>
        <w:tab w:val="left" w:pos="1620"/>
      </w:tabs>
      <w:ind w:left="1980" w:hanging="1413"/>
    </w:pPr>
  </w:style>
  <w:style w:type="character" w:customStyle="1" w:styleId="FootnoteTextChar">
    <w:name w:val="Footnote Text Char"/>
    <w:link w:val="FootnoteText"/>
    <w:semiHidden/>
    <w:rsid w:val="00AC1E78"/>
    <w:rPr>
      <w:rFonts w:ascii="Open Sans" w:hAnsi="Open Sans"/>
      <w:sz w:val="18"/>
      <w:lang w:val="nl-NL" w:eastAsia="nl-NL"/>
    </w:rPr>
  </w:style>
  <w:style w:type="paragraph" w:customStyle="1" w:styleId="Footnote">
    <w:name w:val="Footnote"/>
    <w:basedOn w:val="FootnoteText"/>
    <w:link w:val="FootnoteChar"/>
    <w:qFormat/>
    <w:rsid w:val="00AC1E78"/>
    <w:rPr>
      <w:rFonts w:cs="Open Sans"/>
      <w:sz w:val="16"/>
    </w:rPr>
  </w:style>
  <w:style w:type="character" w:customStyle="1" w:styleId="FootnoteChar">
    <w:name w:val="Footnote Char"/>
    <w:link w:val="Footnote"/>
    <w:rsid w:val="00AC1E78"/>
    <w:rPr>
      <w:rFonts w:ascii="Open Sans" w:hAnsi="Open Sans" w:cs="Open Sans"/>
      <w:sz w:val="16"/>
      <w:lang w:val="nl-NL" w:eastAsia="nl-NL"/>
    </w:rPr>
  </w:style>
  <w:style w:type="paragraph" w:styleId="ListContinue2">
    <w:name w:val="List Continue 2"/>
    <w:basedOn w:val="BodyText"/>
    <w:rsid w:val="00AC1E78"/>
    <w:pPr>
      <w:spacing w:after="120"/>
      <w:ind w:left="720"/>
    </w:pPr>
    <w:rPr>
      <w:lang w:val="en-US"/>
    </w:rPr>
  </w:style>
  <w:style w:type="paragraph" w:customStyle="1" w:styleId="References32006GL">
    <w:name w:val="References 3 2006GL"/>
    <w:basedOn w:val="Normal"/>
    <w:rsid w:val="00AC1E78"/>
    <w:pPr>
      <w:spacing w:after="120" w:line="240" w:lineRule="auto"/>
      <w:ind w:left="567" w:hanging="567"/>
    </w:pPr>
    <w:rPr>
      <w:sz w:val="20"/>
      <w:szCs w:val="20"/>
      <w:lang w:val="en-GB" w:eastAsia="zh-CN"/>
    </w:rPr>
  </w:style>
  <w:style w:type="paragraph" w:styleId="IntenseQuote">
    <w:name w:val="Intense Quote"/>
    <w:basedOn w:val="Normal"/>
    <w:next w:val="Normal"/>
    <w:link w:val="IntenseQuoteChar"/>
    <w:uiPriority w:val="30"/>
    <w:qFormat/>
    <w:rsid w:val="000855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55B2"/>
    <w:rPr>
      <w:rFonts w:ascii="Open Sans" w:hAnsi="Open Sans"/>
      <w:i/>
      <w:iCs/>
      <w:color w:val="5B9BD5" w:themeColor="accent1"/>
      <w:sz w:val="18"/>
      <w:szCs w:val="24"/>
      <w:lang w:val="nl-NL" w:eastAsia="nl-NL"/>
    </w:rPr>
  </w:style>
  <w:style w:type="character" w:customStyle="1" w:styleId="HeaderChar">
    <w:name w:val="Header Char"/>
    <w:aliases w:val="Header1 Char"/>
    <w:link w:val="Header"/>
    <w:uiPriority w:val="99"/>
    <w:rsid w:val="00E43131"/>
    <w:rPr>
      <w:rFonts w:ascii="Open Sans" w:hAnsi="Open Sans"/>
      <w:sz w:val="18"/>
      <w:szCs w:val="24"/>
      <w:lang w:val="nl-NL" w:eastAsia="nl-NL"/>
    </w:rPr>
  </w:style>
  <w:style w:type="paragraph" w:styleId="ListParagraph">
    <w:name w:val="List Paragraph"/>
    <w:basedOn w:val="Normal"/>
    <w:uiPriority w:val="34"/>
    <w:qFormat/>
    <w:rsid w:val="00542D5B"/>
    <w:pPr>
      <w:ind w:left="720"/>
      <w:contextualSpacing/>
    </w:pPr>
  </w:style>
  <w:style w:type="table" w:customStyle="1" w:styleId="MyStyle1">
    <w:name w:val="My Style1"/>
    <w:basedOn w:val="TableNormal"/>
    <w:uiPriority w:val="99"/>
    <w:qFormat/>
    <w:rsid w:val="00D52FEE"/>
    <w:pPr>
      <w:jc w:val="center"/>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
    <w:tcPr>
      <w:vAlign w:val="center"/>
    </w:tcPr>
    <w:tblStylePr w:type="firstRow">
      <w:pPr>
        <w:wordWrap/>
        <w:jc w:val="center"/>
      </w:pPr>
      <w:tblPr/>
      <w:tcPr>
        <w:tcBorders>
          <w:bottom w:val="single" w:sz="12" w:space="0" w:color="auto"/>
        </w:tcBorders>
      </w:tcPr>
    </w:tblStylePr>
    <w:tblStylePr w:type="firstCol">
      <w:pPr>
        <w:wordWrap/>
        <w:jc w:val="left"/>
      </w:pPr>
    </w:tblStylePr>
  </w:style>
  <w:style w:type="paragraph" w:styleId="NormalWeb">
    <w:name w:val="Normal (Web)"/>
    <w:basedOn w:val="Normal"/>
    <w:uiPriority w:val="99"/>
    <w:semiHidden/>
    <w:unhideWhenUsed/>
    <w:rsid w:val="00741FF2"/>
    <w:pPr>
      <w:spacing w:before="100" w:beforeAutospacing="1" w:after="100" w:afterAutospacing="1" w:line="240" w:lineRule="auto"/>
      <w:jc w:val="left"/>
    </w:pPr>
    <w:rPr>
      <w:rFonts w:ascii="Times New Roman" w:eastAsiaTheme="minorEastAsia"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023">
      <w:bodyDiv w:val="1"/>
      <w:marLeft w:val="0"/>
      <w:marRight w:val="0"/>
      <w:marTop w:val="0"/>
      <w:marBottom w:val="0"/>
      <w:divBdr>
        <w:top w:val="none" w:sz="0" w:space="0" w:color="auto"/>
        <w:left w:val="none" w:sz="0" w:space="0" w:color="auto"/>
        <w:bottom w:val="none" w:sz="0" w:space="0" w:color="auto"/>
        <w:right w:val="none" w:sz="0" w:space="0" w:color="auto"/>
      </w:divBdr>
    </w:div>
    <w:div w:id="104857786">
      <w:bodyDiv w:val="1"/>
      <w:marLeft w:val="0"/>
      <w:marRight w:val="0"/>
      <w:marTop w:val="0"/>
      <w:marBottom w:val="0"/>
      <w:divBdr>
        <w:top w:val="none" w:sz="0" w:space="0" w:color="auto"/>
        <w:left w:val="none" w:sz="0" w:space="0" w:color="auto"/>
        <w:bottom w:val="none" w:sz="0" w:space="0" w:color="auto"/>
        <w:right w:val="none" w:sz="0" w:space="0" w:color="auto"/>
      </w:divBdr>
    </w:div>
    <w:div w:id="122384560">
      <w:bodyDiv w:val="1"/>
      <w:marLeft w:val="0"/>
      <w:marRight w:val="0"/>
      <w:marTop w:val="0"/>
      <w:marBottom w:val="0"/>
      <w:divBdr>
        <w:top w:val="none" w:sz="0" w:space="0" w:color="auto"/>
        <w:left w:val="none" w:sz="0" w:space="0" w:color="auto"/>
        <w:bottom w:val="none" w:sz="0" w:space="0" w:color="auto"/>
        <w:right w:val="none" w:sz="0" w:space="0" w:color="auto"/>
      </w:divBdr>
    </w:div>
    <w:div w:id="187447097">
      <w:bodyDiv w:val="1"/>
      <w:marLeft w:val="0"/>
      <w:marRight w:val="0"/>
      <w:marTop w:val="0"/>
      <w:marBottom w:val="0"/>
      <w:divBdr>
        <w:top w:val="none" w:sz="0" w:space="0" w:color="auto"/>
        <w:left w:val="none" w:sz="0" w:space="0" w:color="auto"/>
        <w:bottom w:val="none" w:sz="0" w:space="0" w:color="auto"/>
        <w:right w:val="none" w:sz="0" w:space="0" w:color="auto"/>
      </w:divBdr>
    </w:div>
    <w:div w:id="205531414">
      <w:bodyDiv w:val="1"/>
      <w:marLeft w:val="0"/>
      <w:marRight w:val="0"/>
      <w:marTop w:val="0"/>
      <w:marBottom w:val="0"/>
      <w:divBdr>
        <w:top w:val="none" w:sz="0" w:space="0" w:color="auto"/>
        <w:left w:val="none" w:sz="0" w:space="0" w:color="auto"/>
        <w:bottom w:val="none" w:sz="0" w:space="0" w:color="auto"/>
        <w:right w:val="none" w:sz="0" w:space="0" w:color="auto"/>
      </w:divBdr>
    </w:div>
    <w:div w:id="219706164">
      <w:bodyDiv w:val="1"/>
      <w:marLeft w:val="0"/>
      <w:marRight w:val="0"/>
      <w:marTop w:val="0"/>
      <w:marBottom w:val="0"/>
      <w:divBdr>
        <w:top w:val="none" w:sz="0" w:space="0" w:color="auto"/>
        <w:left w:val="none" w:sz="0" w:space="0" w:color="auto"/>
        <w:bottom w:val="none" w:sz="0" w:space="0" w:color="auto"/>
        <w:right w:val="none" w:sz="0" w:space="0" w:color="auto"/>
      </w:divBdr>
    </w:div>
    <w:div w:id="227114297">
      <w:bodyDiv w:val="1"/>
      <w:marLeft w:val="0"/>
      <w:marRight w:val="0"/>
      <w:marTop w:val="0"/>
      <w:marBottom w:val="0"/>
      <w:divBdr>
        <w:top w:val="none" w:sz="0" w:space="0" w:color="auto"/>
        <w:left w:val="none" w:sz="0" w:space="0" w:color="auto"/>
        <w:bottom w:val="none" w:sz="0" w:space="0" w:color="auto"/>
        <w:right w:val="none" w:sz="0" w:space="0" w:color="auto"/>
      </w:divBdr>
    </w:div>
    <w:div w:id="231161842">
      <w:bodyDiv w:val="1"/>
      <w:marLeft w:val="0"/>
      <w:marRight w:val="0"/>
      <w:marTop w:val="0"/>
      <w:marBottom w:val="0"/>
      <w:divBdr>
        <w:top w:val="none" w:sz="0" w:space="0" w:color="auto"/>
        <w:left w:val="none" w:sz="0" w:space="0" w:color="auto"/>
        <w:bottom w:val="none" w:sz="0" w:space="0" w:color="auto"/>
        <w:right w:val="none" w:sz="0" w:space="0" w:color="auto"/>
      </w:divBdr>
    </w:div>
    <w:div w:id="240136996">
      <w:bodyDiv w:val="1"/>
      <w:marLeft w:val="0"/>
      <w:marRight w:val="0"/>
      <w:marTop w:val="0"/>
      <w:marBottom w:val="0"/>
      <w:divBdr>
        <w:top w:val="none" w:sz="0" w:space="0" w:color="auto"/>
        <w:left w:val="none" w:sz="0" w:space="0" w:color="auto"/>
        <w:bottom w:val="none" w:sz="0" w:space="0" w:color="auto"/>
        <w:right w:val="none" w:sz="0" w:space="0" w:color="auto"/>
      </w:divBdr>
    </w:div>
    <w:div w:id="270939843">
      <w:bodyDiv w:val="1"/>
      <w:marLeft w:val="0"/>
      <w:marRight w:val="0"/>
      <w:marTop w:val="0"/>
      <w:marBottom w:val="0"/>
      <w:divBdr>
        <w:top w:val="none" w:sz="0" w:space="0" w:color="auto"/>
        <w:left w:val="none" w:sz="0" w:space="0" w:color="auto"/>
        <w:bottom w:val="none" w:sz="0" w:space="0" w:color="auto"/>
        <w:right w:val="none" w:sz="0" w:space="0" w:color="auto"/>
      </w:divBdr>
    </w:div>
    <w:div w:id="281814750">
      <w:bodyDiv w:val="1"/>
      <w:marLeft w:val="0"/>
      <w:marRight w:val="0"/>
      <w:marTop w:val="0"/>
      <w:marBottom w:val="0"/>
      <w:divBdr>
        <w:top w:val="none" w:sz="0" w:space="0" w:color="auto"/>
        <w:left w:val="none" w:sz="0" w:space="0" w:color="auto"/>
        <w:bottom w:val="none" w:sz="0" w:space="0" w:color="auto"/>
        <w:right w:val="none" w:sz="0" w:space="0" w:color="auto"/>
      </w:divBdr>
    </w:div>
    <w:div w:id="298386305">
      <w:bodyDiv w:val="1"/>
      <w:marLeft w:val="0"/>
      <w:marRight w:val="0"/>
      <w:marTop w:val="0"/>
      <w:marBottom w:val="0"/>
      <w:divBdr>
        <w:top w:val="none" w:sz="0" w:space="0" w:color="auto"/>
        <w:left w:val="none" w:sz="0" w:space="0" w:color="auto"/>
        <w:bottom w:val="none" w:sz="0" w:space="0" w:color="auto"/>
        <w:right w:val="none" w:sz="0" w:space="0" w:color="auto"/>
      </w:divBdr>
    </w:div>
    <w:div w:id="330137256">
      <w:bodyDiv w:val="1"/>
      <w:marLeft w:val="0"/>
      <w:marRight w:val="0"/>
      <w:marTop w:val="0"/>
      <w:marBottom w:val="0"/>
      <w:divBdr>
        <w:top w:val="none" w:sz="0" w:space="0" w:color="auto"/>
        <w:left w:val="none" w:sz="0" w:space="0" w:color="auto"/>
        <w:bottom w:val="none" w:sz="0" w:space="0" w:color="auto"/>
        <w:right w:val="none" w:sz="0" w:space="0" w:color="auto"/>
      </w:divBdr>
    </w:div>
    <w:div w:id="345907658">
      <w:bodyDiv w:val="1"/>
      <w:marLeft w:val="0"/>
      <w:marRight w:val="0"/>
      <w:marTop w:val="0"/>
      <w:marBottom w:val="0"/>
      <w:divBdr>
        <w:top w:val="none" w:sz="0" w:space="0" w:color="auto"/>
        <w:left w:val="none" w:sz="0" w:space="0" w:color="auto"/>
        <w:bottom w:val="none" w:sz="0" w:space="0" w:color="auto"/>
        <w:right w:val="none" w:sz="0" w:space="0" w:color="auto"/>
      </w:divBdr>
    </w:div>
    <w:div w:id="356781834">
      <w:bodyDiv w:val="1"/>
      <w:marLeft w:val="0"/>
      <w:marRight w:val="0"/>
      <w:marTop w:val="0"/>
      <w:marBottom w:val="0"/>
      <w:divBdr>
        <w:top w:val="none" w:sz="0" w:space="0" w:color="auto"/>
        <w:left w:val="none" w:sz="0" w:space="0" w:color="auto"/>
        <w:bottom w:val="none" w:sz="0" w:space="0" w:color="auto"/>
        <w:right w:val="none" w:sz="0" w:space="0" w:color="auto"/>
      </w:divBdr>
    </w:div>
    <w:div w:id="366177738">
      <w:bodyDiv w:val="1"/>
      <w:marLeft w:val="0"/>
      <w:marRight w:val="0"/>
      <w:marTop w:val="0"/>
      <w:marBottom w:val="0"/>
      <w:divBdr>
        <w:top w:val="none" w:sz="0" w:space="0" w:color="auto"/>
        <w:left w:val="none" w:sz="0" w:space="0" w:color="auto"/>
        <w:bottom w:val="none" w:sz="0" w:space="0" w:color="auto"/>
        <w:right w:val="none" w:sz="0" w:space="0" w:color="auto"/>
      </w:divBdr>
    </w:div>
    <w:div w:id="401950675">
      <w:bodyDiv w:val="1"/>
      <w:marLeft w:val="0"/>
      <w:marRight w:val="0"/>
      <w:marTop w:val="0"/>
      <w:marBottom w:val="0"/>
      <w:divBdr>
        <w:top w:val="none" w:sz="0" w:space="0" w:color="auto"/>
        <w:left w:val="none" w:sz="0" w:space="0" w:color="auto"/>
        <w:bottom w:val="none" w:sz="0" w:space="0" w:color="auto"/>
        <w:right w:val="none" w:sz="0" w:space="0" w:color="auto"/>
      </w:divBdr>
    </w:div>
    <w:div w:id="442654291">
      <w:bodyDiv w:val="1"/>
      <w:marLeft w:val="0"/>
      <w:marRight w:val="0"/>
      <w:marTop w:val="0"/>
      <w:marBottom w:val="0"/>
      <w:divBdr>
        <w:top w:val="none" w:sz="0" w:space="0" w:color="auto"/>
        <w:left w:val="none" w:sz="0" w:space="0" w:color="auto"/>
        <w:bottom w:val="none" w:sz="0" w:space="0" w:color="auto"/>
        <w:right w:val="none" w:sz="0" w:space="0" w:color="auto"/>
      </w:divBdr>
    </w:div>
    <w:div w:id="454328010">
      <w:bodyDiv w:val="1"/>
      <w:marLeft w:val="0"/>
      <w:marRight w:val="0"/>
      <w:marTop w:val="0"/>
      <w:marBottom w:val="0"/>
      <w:divBdr>
        <w:top w:val="none" w:sz="0" w:space="0" w:color="auto"/>
        <w:left w:val="none" w:sz="0" w:space="0" w:color="auto"/>
        <w:bottom w:val="none" w:sz="0" w:space="0" w:color="auto"/>
        <w:right w:val="none" w:sz="0" w:space="0" w:color="auto"/>
      </w:divBdr>
    </w:div>
    <w:div w:id="468864500">
      <w:bodyDiv w:val="1"/>
      <w:marLeft w:val="0"/>
      <w:marRight w:val="0"/>
      <w:marTop w:val="0"/>
      <w:marBottom w:val="0"/>
      <w:divBdr>
        <w:top w:val="none" w:sz="0" w:space="0" w:color="auto"/>
        <w:left w:val="none" w:sz="0" w:space="0" w:color="auto"/>
        <w:bottom w:val="none" w:sz="0" w:space="0" w:color="auto"/>
        <w:right w:val="none" w:sz="0" w:space="0" w:color="auto"/>
      </w:divBdr>
    </w:div>
    <w:div w:id="487137041">
      <w:bodyDiv w:val="1"/>
      <w:marLeft w:val="0"/>
      <w:marRight w:val="0"/>
      <w:marTop w:val="0"/>
      <w:marBottom w:val="0"/>
      <w:divBdr>
        <w:top w:val="none" w:sz="0" w:space="0" w:color="auto"/>
        <w:left w:val="none" w:sz="0" w:space="0" w:color="auto"/>
        <w:bottom w:val="none" w:sz="0" w:space="0" w:color="auto"/>
        <w:right w:val="none" w:sz="0" w:space="0" w:color="auto"/>
      </w:divBdr>
    </w:div>
    <w:div w:id="589895306">
      <w:bodyDiv w:val="1"/>
      <w:marLeft w:val="0"/>
      <w:marRight w:val="0"/>
      <w:marTop w:val="0"/>
      <w:marBottom w:val="0"/>
      <w:divBdr>
        <w:top w:val="none" w:sz="0" w:space="0" w:color="auto"/>
        <w:left w:val="none" w:sz="0" w:space="0" w:color="auto"/>
        <w:bottom w:val="none" w:sz="0" w:space="0" w:color="auto"/>
        <w:right w:val="none" w:sz="0" w:space="0" w:color="auto"/>
      </w:divBdr>
    </w:div>
    <w:div w:id="616062891">
      <w:bodyDiv w:val="1"/>
      <w:marLeft w:val="0"/>
      <w:marRight w:val="0"/>
      <w:marTop w:val="0"/>
      <w:marBottom w:val="0"/>
      <w:divBdr>
        <w:top w:val="none" w:sz="0" w:space="0" w:color="auto"/>
        <w:left w:val="none" w:sz="0" w:space="0" w:color="auto"/>
        <w:bottom w:val="none" w:sz="0" w:space="0" w:color="auto"/>
        <w:right w:val="none" w:sz="0" w:space="0" w:color="auto"/>
      </w:divBdr>
    </w:div>
    <w:div w:id="619579125">
      <w:bodyDiv w:val="1"/>
      <w:marLeft w:val="0"/>
      <w:marRight w:val="0"/>
      <w:marTop w:val="0"/>
      <w:marBottom w:val="0"/>
      <w:divBdr>
        <w:top w:val="none" w:sz="0" w:space="0" w:color="auto"/>
        <w:left w:val="none" w:sz="0" w:space="0" w:color="auto"/>
        <w:bottom w:val="none" w:sz="0" w:space="0" w:color="auto"/>
        <w:right w:val="none" w:sz="0" w:space="0" w:color="auto"/>
      </w:divBdr>
    </w:div>
    <w:div w:id="659308085">
      <w:bodyDiv w:val="1"/>
      <w:marLeft w:val="0"/>
      <w:marRight w:val="0"/>
      <w:marTop w:val="0"/>
      <w:marBottom w:val="0"/>
      <w:divBdr>
        <w:top w:val="none" w:sz="0" w:space="0" w:color="auto"/>
        <w:left w:val="none" w:sz="0" w:space="0" w:color="auto"/>
        <w:bottom w:val="none" w:sz="0" w:space="0" w:color="auto"/>
        <w:right w:val="none" w:sz="0" w:space="0" w:color="auto"/>
      </w:divBdr>
    </w:div>
    <w:div w:id="674460127">
      <w:bodyDiv w:val="1"/>
      <w:marLeft w:val="0"/>
      <w:marRight w:val="0"/>
      <w:marTop w:val="0"/>
      <w:marBottom w:val="0"/>
      <w:divBdr>
        <w:top w:val="none" w:sz="0" w:space="0" w:color="auto"/>
        <w:left w:val="none" w:sz="0" w:space="0" w:color="auto"/>
        <w:bottom w:val="none" w:sz="0" w:space="0" w:color="auto"/>
        <w:right w:val="none" w:sz="0" w:space="0" w:color="auto"/>
      </w:divBdr>
    </w:div>
    <w:div w:id="711417278">
      <w:bodyDiv w:val="1"/>
      <w:marLeft w:val="0"/>
      <w:marRight w:val="0"/>
      <w:marTop w:val="0"/>
      <w:marBottom w:val="0"/>
      <w:divBdr>
        <w:top w:val="none" w:sz="0" w:space="0" w:color="auto"/>
        <w:left w:val="none" w:sz="0" w:space="0" w:color="auto"/>
        <w:bottom w:val="none" w:sz="0" w:space="0" w:color="auto"/>
        <w:right w:val="none" w:sz="0" w:space="0" w:color="auto"/>
      </w:divBdr>
    </w:div>
    <w:div w:id="748119898">
      <w:bodyDiv w:val="1"/>
      <w:marLeft w:val="0"/>
      <w:marRight w:val="0"/>
      <w:marTop w:val="0"/>
      <w:marBottom w:val="0"/>
      <w:divBdr>
        <w:top w:val="none" w:sz="0" w:space="0" w:color="auto"/>
        <w:left w:val="none" w:sz="0" w:space="0" w:color="auto"/>
        <w:bottom w:val="none" w:sz="0" w:space="0" w:color="auto"/>
        <w:right w:val="none" w:sz="0" w:space="0" w:color="auto"/>
      </w:divBdr>
    </w:div>
    <w:div w:id="838539197">
      <w:bodyDiv w:val="1"/>
      <w:marLeft w:val="0"/>
      <w:marRight w:val="0"/>
      <w:marTop w:val="0"/>
      <w:marBottom w:val="0"/>
      <w:divBdr>
        <w:top w:val="none" w:sz="0" w:space="0" w:color="auto"/>
        <w:left w:val="none" w:sz="0" w:space="0" w:color="auto"/>
        <w:bottom w:val="none" w:sz="0" w:space="0" w:color="auto"/>
        <w:right w:val="none" w:sz="0" w:space="0" w:color="auto"/>
      </w:divBdr>
    </w:div>
    <w:div w:id="878858034">
      <w:bodyDiv w:val="1"/>
      <w:marLeft w:val="0"/>
      <w:marRight w:val="0"/>
      <w:marTop w:val="0"/>
      <w:marBottom w:val="0"/>
      <w:divBdr>
        <w:top w:val="none" w:sz="0" w:space="0" w:color="auto"/>
        <w:left w:val="none" w:sz="0" w:space="0" w:color="auto"/>
        <w:bottom w:val="none" w:sz="0" w:space="0" w:color="auto"/>
        <w:right w:val="none" w:sz="0" w:space="0" w:color="auto"/>
      </w:divBdr>
    </w:div>
    <w:div w:id="891620907">
      <w:bodyDiv w:val="1"/>
      <w:marLeft w:val="0"/>
      <w:marRight w:val="0"/>
      <w:marTop w:val="0"/>
      <w:marBottom w:val="0"/>
      <w:divBdr>
        <w:top w:val="none" w:sz="0" w:space="0" w:color="auto"/>
        <w:left w:val="none" w:sz="0" w:space="0" w:color="auto"/>
        <w:bottom w:val="none" w:sz="0" w:space="0" w:color="auto"/>
        <w:right w:val="none" w:sz="0" w:space="0" w:color="auto"/>
      </w:divBdr>
    </w:div>
    <w:div w:id="949121955">
      <w:bodyDiv w:val="1"/>
      <w:marLeft w:val="0"/>
      <w:marRight w:val="0"/>
      <w:marTop w:val="0"/>
      <w:marBottom w:val="0"/>
      <w:divBdr>
        <w:top w:val="none" w:sz="0" w:space="0" w:color="auto"/>
        <w:left w:val="none" w:sz="0" w:space="0" w:color="auto"/>
        <w:bottom w:val="none" w:sz="0" w:space="0" w:color="auto"/>
        <w:right w:val="none" w:sz="0" w:space="0" w:color="auto"/>
      </w:divBdr>
    </w:div>
    <w:div w:id="955284874">
      <w:bodyDiv w:val="1"/>
      <w:marLeft w:val="0"/>
      <w:marRight w:val="0"/>
      <w:marTop w:val="0"/>
      <w:marBottom w:val="0"/>
      <w:divBdr>
        <w:top w:val="none" w:sz="0" w:space="0" w:color="auto"/>
        <w:left w:val="none" w:sz="0" w:space="0" w:color="auto"/>
        <w:bottom w:val="none" w:sz="0" w:space="0" w:color="auto"/>
        <w:right w:val="none" w:sz="0" w:space="0" w:color="auto"/>
      </w:divBdr>
    </w:div>
    <w:div w:id="990871348">
      <w:bodyDiv w:val="1"/>
      <w:marLeft w:val="0"/>
      <w:marRight w:val="0"/>
      <w:marTop w:val="0"/>
      <w:marBottom w:val="0"/>
      <w:divBdr>
        <w:top w:val="none" w:sz="0" w:space="0" w:color="auto"/>
        <w:left w:val="none" w:sz="0" w:space="0" w:color="auto"/>
        <w:bottom w:val="none" w:sz="0" w:space="0" w:color="auto"/>
        <w:right w:val="none" w:sz="0" w:space="0" w:color="auto"/>
      </w:divBdr>
    </w:div>
    <w:div w:id="1010522325">
      <w:bodyDiv w:val="1"/>
      <w:marLeft w:val="0"/>
      <w:marRight w:val="0"/>
      <w:marTop w:val="0"/>
      <w:marBottom w:val="0"/>
      <w:divBdr>
        <w:top w:val="none" w:sz="0" w:space="0" w:color="auto"/>
        <w:left w:val="none" w:sz="0" w:space="0" w:color="auto"/>
        <w:bottom w:val="none" w:sz="0" w:space="0" w:color="auto"/>
        <w:right w:val="none" w:sz="0" w:space="0" w:color="auto"/>
      </w:divBdr>
    </w:div>
    <w:div w:id="1027365275">
      <w:bodyDiv w:val="1"/>
      <w:marLeft w:val="0"/>
      <w:marRight w:val="0"/>
      <w:marTop w:val="0"/>
      <w:marBottom w:val="0"/>
      <w:divBdr>
        <w:top w:val="none" w:sz="0" w:space="0" w:color="auto"/>
        <w:left w:val="none" w:sz="0" w:space="0" w:color="auto"/>
        <w:bottom w:val="none" w:sz="0" w:space="0" w:color="auto"/>
        <w:right w:val="none" w:sz="0" w:space="0" w:color="auto"/>
      </w:divBdr>
    </w:div>
    <w:div w:id="1066611936">
      <w:bodyDiv w:val="1"/>
      <w:marLeft w:val="0"/>
      <w:marRight w:val="0"/>
      <w:marTop w:val="0"/>
      <w:marBottom w:val="0"/>
      <w:divBdr>
        <w:top w:val="none" w:sz="0" w:space="0" w:color="auto"/>
        <w:left w:val="none" w:sz="0" w:space="0" w:color="auto"/>
        <w:bottom w:val="none" w:sz="0" w:space="0" w:color="auto"/>
        <w:right w:val="none" w:sz="0" w:space="0" w:color="auto"/>
      </w:divBdr>
    </w:div>
    <w:div w:id="1087580528">
      <w:bodyDiv w:val="1"/>
      <w:marLeft w:val="0"/>
      <w:marRight w:val="0"/>
      <w:marTop w:val="0"/>
      <w:marBottom w:val="0"/>
      <w:divBdr>
        <w:top w:val="none" w:sz="0" w:space="0" w:color="auto"/>
        <w:left w:val="none" w:sz="0" w:space="0" w:color="auto"/>
        <w:bottom w:val="none" w:sz="0" w:space="0" w:color="auto"/>
        <w:right w:val="none" w:sz="0" w:space="0" w:color="auto"/>
      </w:divBdr>
    </w:div>
    <w:div w:id="1110780943">
      <w:bodyDiv w:val="1"/>
      <w:marLeft w:val="0"/>
      <w:marRight w:val="0"/>
      <w:marTop w:val="0"/>
      <w:marBottom w:val="0"/>
      <w:divBdr>
        <w:top w:val="none" w:sz="0" w:space="0" w:color="auto"/>
        <w:left w:val="none" w:sz="0" w:space="0" w:color="auto"/>
        <w:bottom w:val="none" w:sz="0" w:space="0" w:color="auto"/>
        <w:right w:val="none" w:sz="0" w:space="0" w:color="auto"/>
      </w:divBdr>
    </w:div>
    <w:div w:id="1122915849">
      <w:bodyDiv w:val="1"/>
      <w:marLeft w:val="0"/>
      <w:marRight w:val="0"/>
      <w:marTop w:val="0"/>
      <w:marBottom w:val="0"/>
      <w:divBdr>
        <w:top w:val="none" w:sz="0" w:space="0" w:color="auto"/>
        <w:left w:val="none" w:sz="0" w:space="0" w:color="auto"/>
        <w:bottom w:val="none" w:sz="0" w:space="0" w:color="auto"/>
        <w:right w:val="none" w:sz="0" w:space="0" w:color="auto"/>
      </w:divBdr>
    </w:div>
    <w:div w:id="1196848743">
      <w:bodyDiv w:val="1"/>
      <w:marLeft w:val="0"/>
      <w:marRight w:val="0"/>
      <w:marTop w:val="0"/>
      <w:marBottom w:val="0"/>
      <w:divBdr>
        <w:top w:val="none" w:sz="0" w:space="0" w:color="auto"/>
        <w:left w:val="none" w:sz="0" w:space="0" w:color="auto"/>
        <w:bottom w:val="none" w:sz="0" w:space="0" w:color="auto"/>
        <w:right w:val="none" w:sz="0" w:space="0" w:color="auto"/>
      </w:divBdr>
    </w:div>
    <w:div w:id="1249802879">
      <w:bodyDiv w:val="1"/>
      <w:marLeft w:val="0"/>
      <w:marRight w:val="0"/>
      <w:marTop w:val="0"/>
      <w:marBottom w:val="0"/>
      <w:divBdr>
        <w:top w:val="none" w:sz="0" w:space="0" w:color="auto"/>
        <w:left w:val="none" w:sz="0" w:space="0" w:color="auto"/>
        <w:bottom w:val="none" w:sz="0" w:space="0" w:color="auto"/>
        <w:right w:val="none" w:sz="0" w:space="0" w:color="auto"/>
      </w:divBdr>
    </w:div>
    <w:div w:id="1266646467">
      <w:bodyDiv w:val="1"/>
      <w:marLeft w:val="0"/>
      <w:marRight w:val="0"/>
      <w:marTop w:val="0"/>
      <w:marBottom w:val="0"/>
      <w:divBdr>
        <w:top w:val="none" w:sz="0" w:space="0" w:color="auto"/>
        <w:left w:val="none" w:sz="0" w:space="0" w:color="auto"/>
        <w:bottom w:val="none" w:sz="0" w:space="0" w:color="auto"/>
        <w:right w:val="none" w:sz="0" w:space="0" w:color="auto"/>
      </w:divBdr>
    </w:div>
    <w:div w:id="1289895584">
      <w:bodyDiv w:val="1"/>
      <w:marLeft w:val="0"/>
      <w:marRight w:val="0"/>
      <w:marTop w:val="0"/>
      <w:marBottom w:val="0"/>
      <w:divBdr>
        <w:top w:val="none" w:sz="0" w:space="0" w:color="auto"/>
        <w:left w:val="none" w:sz="0" w:space="0" w:color="auto"/>
        <w:bottom w:val="none" w:sz="0" w:space="0" w:color="auto"/>
        <w:right w:val="none" w:sz="0" w:space="0" w:color="auto"/>
      </w:divBdr>
    </w:div>
    <w:div w:id="1294602159">
      <w:bodyDiv w:val="1"/>
      <w:marLeft w:val="0"/>
      <w:marRight w:val="0"/>
      <w:marTop w:val="0"/>
      <w:marBottom w:val="0"/>
      <w:divBdr>
        <w:top w:val="none" w:sz="0" w:space="0" w:color="auto"/>
        <w:left w:val="none" w:sz="0" w:space="0" w:color="auto"/>
        <w:bottom w:val="none" w:sz="0" w:space="0" w:color="auto"/>
        <w:right w:val="none" w:sz="0" w:space="0" w:color="auto"/>
      </w:divBdr>
    </w:div>
    <w:div w:id="1396658004">
      <w:bodyDiv w:val="1"/>
      <w:marLeft w:val="0"/>
      <w:marRight w:val="0"/>
      <w:marTop w:val="0"/>
      <w:marBottom w:val="0"/>
      <w:divBdr>
        <w:top w:val="none" w:sz="0" w:space="0" w:color="auto"/>
        <w:left w:val="none" w:sz="0" w:space="0" w:color="auto"/>
        <w:bottom w:val="none" w:sz="0" w:space="0" w:color="auto"/>
        <w:right w:val="none" w:sz="0" w:space="0" w:color="auto"/>
      </w:divBdr>
    </w:div>
    <w:div w:id="1440875024">
      <w:bodyDiv w:val="1"/>
      <w:marLeft w:val="0"/>
      <w:marRight w:val="0"/>
      <w:marTop w:val="0"/>
      <w:marBottom w:val="0"/>
      <w:divBdr>
        <w:top w:val="none" w:sz="0" w:space="0" w:color="auto"/>
        <w:left w:val="none" w:sz="0" w:space="0" w:color="auto"/>
        <w:bottom w:val="none" w:sz="0" w:space="0" w:color="auto"/>
        <w:right w:val="none" w:sz="0" w:space="0" w:color="auto"/>
      </w:divBdr>
    </w:div>
    <w:div w:id="1476147705">
      <w:bodyDiv w:val="1"/>
      <w:marLeft w:val="0"/>
      <w:marRight w:val="0"/>
      <w:marTop w:val="0"/>
      <w:marBottom w:val="0"/>
      <w:divBdr>
        <w:top w:val="none" w:sz="0" w:space="0" w:color="auto"/>
        <w:left w:val="none" w:sz="0" w:space="0" w:color="auto"/>
        <w:bottom w:val="none" w:sz="0" w:space="0" w:color="auto"/>
        <w:right w:val="none" w:sz="0" w:space="0" w:color="auto"/>
      </w:divBdr>
    </w:div>
    <w:div w:id="1490708794">
      <w:bodyDiv w:val="1"/>
      <w:marLeft w:val="0"/>
      <w:marRight w:val="0"/>
      <w:marTop w:val="0"/>
      <w:marBottom w:val="0"/>
      <w:divBdr>
        <w:top w:val="none" w:sz="0" w:space="0" w:color="auto"/>
        <w:left w:val="none" w:sz="0" w:space="0" w:color="auto"/>
        <w:bottom w:val="none" w:sz="0" w:space="0" w:color="auto"/>
        <w:right w:val="none" w:sz="0" w:space="0" w:color="auto"/>
      </w:divBdr>
    </w:div>
    <w:div w:id="1529487613">
      <w:bodyDiv w:val="1"/>
      <w:marLeft w:val="0"/>
      <w:marRight w:val="0"/>
      <w:marTop w:val="0"/>
      <w:marBottom w:val="0"/>
      <w:divBdr>
        <w:top w:val="none" w:sz="0" w:space="0" w:color="auto"/>
        <w:left w:val="none" w:sz="0" w:space="0" w:color="auto"/>
        <w:bottom w:val="none" w:sz="0" w:space="0" w:color="auto"/>
        <w:right w:val="none" w:sz="0" w:space="0" w:color="auto"/>
      </w:divBdr>
    </w:div>
    <w:div w:id="1560893776">
      <w:bodyDiv w:val="1"/>
      <w:marLeft w:val="0"/>
      <w:marRight w:val="0"/>
      <w:marTop w:val="0"/>
      <w:marBottom w:val="0"/>
      <w:divBdr>
        <w:top w:val="none" w:sz="0" w:space="0" w:color="auto"/>
        <w:left w:val="none" w:sz="0" w:space="0" w:color="auto"/>
        <w:bottom w:val="none" w:sz="0" w:space="0" w:color="auto"/>
        <w:right w:val="none" w:sz="0" w:space="0" w:color="auto"/>
      </w:divBdr>
    </w:div>
    <w:div w:id="1574781194">
      <w:bodyDiv w:val="1"/>
      <w:marLeft w:val="0"/>
      <w:marRight w:val="0"/>
      <w:marTop w:val="0"/>
      <w:marBottom w:val="0"/>
      <w:divBdr>
        <w:top w:val="none" w:sz="0" w:space="0" w:color="auto"/>
        <w:left w:val="none" w:sz="0" w:space="0" w:color="auto"/>
        <w:bottom w:val="none" w:sz="0" w:space="0" w:color="auto"/>
        <w:right w:val="none" w:sz="0" w:space="0" w:color="auto"/>
      </w:divBdr>
    </w:div>
    <w:div w:id="1613508926">
      <w:bodyDiv w:val="1"/>
      <w:marLeft w:val="0"/>
      <w:marRight w:val="0"/>
      <w:marTop w:val="0"/>
      <w:marBottom w:val="0"/>
      <w:divBdr>
        <w:top w:val="none" w:sz="0" w:space="0" w:color="auto"/>
        <w:left w:val="none" w:sz="0" w:space="0" w:color="auto"/>
        <w:bottom w:val="none" w:sz="0" w:space="0" w:color="auto"/>
        <w:right w:val="none" w:sz="0" w:space="0" w:color="auto"/>
      </w:divBdr>
    </w:div>
    <w:div w:id="1614020928">
      <w:bodyDiv w:val="1"/>
      <w:marLeft w:val="0"/>
      <w:marRight w:val="0"/>
      <w:marTop w:val="0"/>
      <w:marBottom w:val="0"/>
      <w:divBdr>
        <w:top w:val="none" w:sz="0" w:space="0" w:color="auto"/>
        <w:left w:val="none" w:sz="0" w:space="0" w:color="auto"/>
        <w:bottom w:val="none" w:sz="0" w:space="0" w:color="auto"/>
        <w:right w:val="none" w:sz="0" w:space="0" w:color="auto"/>
      </w:divBdr>
    </w:div>
    <w:div w:id="1699970289">
      <w:bodyDiv w:val="1"/>
      <w:marLeft w:val="0"/>
      <w:marRight w:val="0"/>
      <w:marTop w:val="0"/>
      <w:marBottom w:val="0"/>
      <w:divBdr>
        <w:top w:val="none" w:sz="0" w:space="0" w:color="auto"/>
        <w:left w:val="none" w:sz="0" w:space="0" w:color="auto"/>
        <w:bottom w:val="none" w:sz="0" w:space="0" w:color="auto"/>
        <w:right w:val="none" w:sz="0" w:space="0" w:color="auto"/>
      </w:divBdr>
    </w:div>
    <w:div w:id="1746300788">
      <w:bodyDiv w:val="1"/>
      <w:marLeft w:val="0"/>
      <w:marRight w:val="0"/>
      <w:marTop w:val="0"/>
      <w:marBottom w:val="0"/>
      <w:divBdr>
        <w:top w:val="none" w:sz="0" w:space="0" w:color="auto"/>
        <w:left w:val="none" w:sz="0" w:space="0" w:color="auto"/>
        <w:bottom w:val="none" w:sz="0" w:space="0" w:color="auto"/>
        <w:right w:val="none" w:sz="0" w:space="0" w:color="auto"/>
      </w:divBdr>
    </w:div>
    <w:div w:id="1782527286">
      <w:bodyDiv w:val="1"/>
      <w:marLeft w:val="0"/>
      <w:marRight w:val="0"/>
      <w:marTop w:val="0"/>
      <w:marBottom w:val="0"/>
      <w:divBdr>
        <w:top w:val="none" w:sz="0" w:space="0" w:color="auto"/>
        <w:left w:val="none" w:sz="0" w:space="0" w:color="auto"/>
        <w:bottom w:val="none" w:sz="0" w:space="0" w:color="auto"/>
        <w:right w:val="none" w:sz="0" w:space="0" w:color="auto"/>
      </w:divBdr>
    </w:div>
    <w:div w:id="1816411741">
      <w:bodyDiv w:val="1"/>
      <w:marLeft w:val="0"/>
      <w:marRight w:val="0"/>
      <w:marTop w:val="0"/>
      <w:marBottom w:val="0"/>
      <w:divBdr>
        <w:top w:val="none" w:sz="0" w:space="0" w:color="auto"/>
        <w:left w:val="none" w:sz="0" w:space="0" w:color="auto"/>
        <w:bottom w:val="none" w:sz="0" w:space="0" w:color="auto"/>
        <w:right w:val="none" w:sz="0" w:space="0" w:color="auto"/>
      </w:divBdr>
    </w:div>
    <w:div w:id="1823959485">
      <w:bodyDiv w:val="1"/>
      <w:marLeft w:val="0"/>
      <w:marRight w:val="0"/>
      <w:marTop w:val="0"/>
      <w:marBottom w:val="0"/>
      <w:divBdr>
        <w:top w:val="none" w:sz="0" w:space="0" w:color="auto"/>
        <w:left w:val="none" w:sz="0" w:space="0" w:color="auto"/>
        <w:bottom w:val="none" w:sz="0" w:space="0" w:color="auto"/>
        <w:right w:val="none" w:sz="0" w:space="0" w:color="auto"/>
      </w:divBdr>
    </w:div>
    <w:div w:id="1825662562">
      <w:bodyDiv w:val="1"/>
      <w:marLeft w:val="0"/>
      <w:marRight w:val="0"/>
      <w:marTop w:val="0"/>
      <w:marBottom w:val="0"/>
      <w:divBdr>
        <w:top w:val="none" w:sz="0" w:space="0" w:color="auto"/>
        <w:left w:val="none" w:sz="0" w:space="0" w:color="auto"/>
        <w:bottom w:val="none" w:sz="0" w:space="0" w:color="auto"/>
        <w:right w:val="none" w:sz="0" w:space="0" w:color="auto"/>
      </w:divBdr>
    </w:div>
    <w:div w:id="1835022869">
      <w:bodyDiv w:val="1"/>
      <w:marLeft w:val="0"/>
      <w:marRight w:val="0"/>
      <w:marTop w:val="0"/>
      <w:marBottom w:val="0"/>
      <w:divBdr>
        <w:top w:val="none" w:sz="0" w:space="0" w:color="auto"/>
        <w:left w:val="none" w:sz="0" w:space="0" w:color="auto"/>
        <w:bottom w:val="none" w:sz="0" w:space="0" w:color="auto"/>
        <w:right w:val="none" w:sz="0" w:space="0" w:color="auto"/>
      </w:divBdr>
    </w:div>
    <w:div w:id="1856991423">
      <w:bodyDiv w:val="1"/>
      <w:marLeft w:val="0"/>
      <w:marRight w:val="0"/>
      <w:marTop w:val="0"/>
      <w:marBottom w:val="0"/>
      <w:divBdr>
        <w:top w:val="none" w:sz="0" w:space="0" w:color="auto"/>
        <w:left w:val="none" w:sz="0" w:space="0" w:color="auto"/>
        <w:bottom w:val="none" w:sz="0" w:space="0" w:color="auto"/>
        <w:right w:val="none" w:sz="0" w:space="0" w:color="auto"/>
      </w:divBdr>
    </w:div>
    <w:div w:id="2017149773">
      <w:bodyDiv w:val="1"/>
      <w:marLeft w:val="0"/>
      <w:marRight w:val="0"/>
      <w:marTop w:val="0"/>
      <w:marBottom w:val="0"/>
      <w:divBdr>
        <w:top w:val="none" w:sz="0" w:space="0" w:color="auto"/>
        <w:left w:val="none" w:sz="0" w:space="0" w:color="auto"/>
        <w:bottom w:val="none" w:sz="0" w:space="0" w:color="auto"/>
        <w:right w:val="none" w:sz="0" w:space="0" w:color="auto"/>
      </w:divBdr>
    </w:div>
    <w:div w:id="2101290677">
      <w:bodyDiv w:val="1"/>
      <w:marLeft w:val="0"/>
      <w:marRight w:val="0"/>
      <w:marTop w:val="0"/>
      <w:marBottom w:val="0"/>
      <w:divBdr>
        <w:top w:val="none" w:sz="0" w:space="0" w:color="auto"/>
        <w:left w:val="none" w:sz="0" w:space="0" w:color="auto"/>
        <w:bottom w:val="none" w:sz="0" w:space="0" w:color="auto"/>
        <w:right w:val="none" w:sz="0" w:space="0" w:color="auto"/>
      </w:divBdr>
    </w:div>
    <w:div w:id="21030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oleObject" Target="embeddings/oleObject18.bin"/><Relationship Id="rId55" Type="http://schemas.openxmlformats.org/officeDocument/2006/relationships/image" Target="media/image23.png"/><Relationship Id="rId63"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misia.com/copert" TargetMode="External"/><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hyperlink" Target="http://lat.eng.auth.gr/particulates/" TargetMode="External"/><Relationship Id="rId5" Type="http://schemas.openxmlformats.org/officeDocument/2006/relationships/webSettings" Target="webSettings.xml"/><Relationship Id="rId61" Type="http://schemas.openxmlformats.org/officeDocument/2006/relationships/hyperlink" Target="http://www.trl.co.uk/artemis" TargetMode="External"/><Relationship Id="rId1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0.wmf"/><Relationship Id="rId56" Type="http://schemas.openxmlformats.org/officeDocument/2006/relationships/hyperlink" Target="http://ec.europa.eu/enterprise/automotive/mveg_meetings/motos/meeting7/index.htm"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emisia.com/copert"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www.emisia.com/copert" TargetMode="Externa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yperlink" Target="http://www.tfeip-secretariat.org/" TargetMode="External"/><Relationship Id="rId20" Type="http://schemas.openxmlformats.org/officeDocument/2006/relationships/image" Target="media/image6.wmf"/><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hyperlink" Target="http://eea.europa.eu/emep-eea-guideboo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7.bin"/><Relationship Id="rId57" Type="http://schemas.openxmlformats.org/officeDocument/2006/relationships/hyperlink" Target="http://www.inrets.fr/ur/lte/cost319/index.html" TargetMode="External"/><Relationship Id="rId10" Type="http://schemas.openxmlformats.org/officeDocument/2006/relationships/header" Target="header2.xml"/><Relationship Id="rId31" Type="http://schemas.openxmlformats.org/officeDocument/2006/relationships/oleObject" Target="embeddings/oleObject8.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hyperlink" Target="http://www.emisia.com/coper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EC4MACS" TargetMode="External"/><Relationship Id="rId18" Type="http://schemas.openxmlformats.org/officeDocument/2006/relationships/image" Target="media/image5.wmf"/><Relationship Id="rId39" Type="http://schemas.openxmlformats.org/officeDocument/2006/relationships/oleObject" Target="embeddings/oleObject12.bin"/></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C5B56-4C00-4B79-AF34-2BA88C8D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46131</Words>
  <Characters>262950</Characters>
  <Application>Microsoft Office Word</Application>
  <DocSecurity>0</DocSecurity>
  <Lines>2191</Lines>
  <Paragraphs>616</Paragraphs>
  <ScaleCrop>false</ScaleCrop>
  <HeadingPairs>
    <vt:vector size="2" baseType="variant">
      <vt:variant>
        <vt:lpstr>Title</vt:lpstr>
      </vt:variant>
      <vt:variant>
        <vt:i4>1</vt:i4>
      </vt:variant>
    </vt:vector>
  </HeadingPairs>
  <TitlesOfParts>
    <vt:vector size="1" baseType="lpstr">
      <vt:lpstr>Category</vt:lpstr>
    </vt:vector>
  </TitlesOfParts>
  <Company>EMISIA S.A.</Company>
  <LinksUpToDate>false</LinksUpToDate>
  <CharactersWithSpaces>308465</CharactersWithSpaces>
  <SharedDoc>false</SharedDoc>
  <HLinks>
    <vt:vector size="306" baseType="variant">
      <vt:variant>
        <vt:i4>3670136</vt:i4>
      </vt:variant>
      <vt:variant>
        <vt:i4>2223</vt:i4>
      </vt:variant>
      <vt:variant>
        <vt:i4>0</vt:i4>
      </vt:variant>
      <vt:variant>
        <vt:i4>5</vt:i4>
      </vt:variant>
      <vt:variant>
        <vt:lpwstr>http://www.rti.org/</vt:lpwstr>
      </vt:variant>
      <vt:variant>
        <vt:lpwstr/>
      </vt:variant>
      <vt:variant>
        <vt:i4>7733295</vt:i4>
      </vt:variant>
      <vt:variant>
        <vt:i4>2220</vt:i4>
      </vt:variant>
      <vt:variant>
        <vt:i4>0</vt:i4>
      </vt:variant>
      <vt:variant>
        <vt:i4>5</vt:i4>
      </vt:variant>
      <vt:variant>
        <vt:lpwstr>http://www.nrel.gov/vehiclesandfuels/nfti/feat_split_study.html</vt:lpwstr>
      </vt:variant>
      <vt:variant>
        <vt:lpwstr/>
      </vt:variant>
      <vt:variant>
        <vt:i4>2228256</vt:i4>
      </vt:variant>
      <vt:variant>
        <vt:i4>2217</vt:i4>
      </vt:variant>
      <vt:variant>
        <vt:i4>0</vt:i4>
      </vt:variant>
      <vt:variant>
        <vt:i4>5</vt:i4>
      </vt:variant>
      <vt:variant>
        <vt:lpwstr>http://www.epa.gov/otaq/ngm.htm</vt:lpwstr>
      </vt:variant>
      <vt:variant>
        <vt:lpwstr/>
      </vt:variant>
      <vt:variant>
        <vt:i4>6946926</vt:i4>
      </vt:variant>
      <vt:variant>
        <vt:i4>2205</vt:i4>
      </vt:variant>
      <vt:variant>
        <vt:i4>0</vt:i4>
      </vt:variant>
      <vt:variant>
        <vt:i4>5</vt:i4>
      </vt:variant>
      <vt:variant>
        <vt:lpwstr>http://eea.europa.eu/emep-eea-guidebook</vt:lpwstr>
      </vt:variant>
      <vt:variant>
        <vt:lpwstr/>
      </vt:variant>
      <vt:variant>
        <vt:i4>1966151</vt:i4>
      </vt:variant>
      <vt:variant>
        <vt:i4>2202</vt:i4>
      </vt:variant>
      <vt:variant>
        <vt:i4>0</vt:i4>
      </vt:variant>
      <vt:variant>
        <vt:i4>5</vt:i4>
      </vt:variant>
      <vt:variant>
        <vt:lpwstr>http://www.trl.co.uk/artemis</vt:lpwstr>
      </vt:variant>
      <vt:variant>
        <vt:lpwstr/>
      </vt:variant>
      <vt:variant>
        <vt:i4>6160448</vt:i4>
      </vt:variant>
      <vt:variant>
        <vt:i4>2199</vt:i4>
      </vt:variant>
      <vt:variant>
        <vt:i4>0</vt:i4>
      </vt:variant>
      <vt:variant>
        <vt:i4>5</vt:i4>
      </vt:variant>
      <vt:variant>
        <vt:lpwstr>http://www.emisia.com/copert</vt:lpwstr>
      </vt:variant>
      <vt:variant>
        <vt:lpwstr/>
      </vt:variant>
      <vt:variant>
        <vt:i4>6160448</vt:i4>
      </vt:variant>
      <vt:variant>
        <vt:i4>1992</vt:i4>
      </vt:variant>
      <vt:variant>
        <vt:i4>0</vt:i4>
      </vt:variant>
      <vt:variant>
        <vt:i4>5</vt:i4>
      </vt:variant>
      <vt:variant>
        <vt:lpwstr>http://www.emisia.com/copert</vt:lpwstr>
      </vt:variant>
      <vt:variant>
        <vt:lpwstr/>
      </vt:variant>
      <vt:variant>
        <vt:i4>4915294</vt:i4>
      </vt:variant>
      <vt:variant>
        <vt:i4>1989</vt:i4>
      </vt:variant>
      <vt:variant>
        <vt:i4>0</vt:i4>
      </vt:variant>
      <vt:variant>
        <vt:i4>5</vt:i4>
      </vt:variant>
      <vt:variant>
        <vt:lpwstr>http://www.tfeip-secretariat.org/</vt:lpwstr>
      </vt:variant>
      <vt:variant>
        <vt:lpwstr/>
      </vt:variant>
      <vt:variant>
        <vt:i4>5046350</vt:i4>
      </vt:variant>
      <vt:variant>
        <vt:i4>1986</vt:i4>
      </vt:variant>
      <vt:variant>
        <vt:i4>0</vt:i4>
      </vt:variant>
      <vt:variant>
        <vt:i4>5</vt:i4>
      </vt:variant>
      <vt:variant>
        <vt:lpwstr>http://lat.eng.auth.gr/particulates/</vt:lpwstr>
      </vt:variant>
      <vt:variant>
        <vt:lpwstr/>
      </vt:variant>
      <vt:variant>
        <vt:i4>2162800</vt:i4>
      </vt:variant>
      <vt:variant>
        <vt:i4>1983</vt:i4>
      </vt:variant>
      <vt:variant>
        <vt:i4>0</vt:i4>
      </vt:variant>
      <vt:variant>
        <vt:i4>5</vt:i4>
      </vt:variant>
      <vt:variant>
        <vt:lpwstr>http://www.inrets.fr/ur/lte/cost319/index.html</vt:lpwstr>
      </vt:variant>
      <vt:variant>
        <vt:lpwstr/>
      </vt:variant>
      <vt:variant>
        <vt:i4>6029355</vt:i4>
      </vt:variant>
      <vt:variant>
        <vt:i4>1980</vt:i4>
      </vt:variant>
      <vt:variant>
        <vt:i4>0</vt:i4>
      </vt:variant>
      <vt:variant>
        <vt:i4>5</vt:i4>
      </vt:variant>
      <vt:variant>
        <vt:lpwstr>http://ec.europa.eu/enterprise/automotive/mveg_meetings/motos/meeting7/index.htm</vt:lpwstr>
      </vt:variant>
      <vt:variant>
        <vt:lpwstr/>
      </vt:variant>
      <vt:variant>
        <vt:i4>6160448</vt:i4>
      </vt:variant>
      <vt:variant>
        <vt:i4>783</vt:i4>
      </vt:variant>
      <vt:variant>
        <vt:i4>0</vt:i4>
      </vt:variant>
      <vt:variant>
        <vt:i4>5</vt:i4>
      </vt:variant>
      <vt:variant>
        <vt:lpwstr>http://www.emisia.com/copert</vt:lpwstr>
      </vt:variant>
      <vt:variant>
        <vt:lpwstr/>
      </vt:variant>
      <vt:variant>
        <vt:i4>6160448</vt:i4>
      </vt:variant>
      <vt:variant>
        <vt:i4>549</vt:i4>
      </vt:variant>
      <vt:variant>
        <vt:i4>0</vt:i4>
      </vt:variant>
      <vt:variant>
        <vt:i4>5</vt:i4>
      </vt:variant>
      <vt:variant>
        <vt:lpwstr>http://www.emisia.com/copert</vt:lpwstr>
      </vt:variant>
      <vt:variant>
        <vt:lpwstr/>
      </vt:variant>
      <vt:variant>
        <vt:i4>6160448</vt:i4>
      </vt:variant>
      <vt:variant>
        <vt:i4>507</vt:i4>
      </vt:variant>
      <vt:variant>
        <vt:i4>0</vt:i4>
      </vt:variant>
      <vt:variant>
        <vt:i4>5</vt:i4>
      </vt:variant>
      <vt:variant>
        <vt:lpwstr>http://www.emisia.com/copert</vt:lpwstr>
      </vt:variant>
      <vt:variant>
        <vt:lpwstr/>
      </vt:variant>
      <vt:variant>
        <vt:i4>6815844</vt:i4>
      </vt:variant>
      <vt:variant>
        <vt:i4>315</vt:i4>
      </vt:variant>
      <vt:variant>
        <vt:i4>0</vt:i4>
      </vt:variant>
      <vt:variant>
        <vt:i4>5</vt:i4>
      </vt:variant>
      <vt:variant>
        <vt:lpwstr>http://ec4macs/</vt:lpwstr>
      </vt:variant>
      <vt:variant>
        <vt:lpwstr/>
      </vt:variant>
      <vt:variant>
        <vt:i4>6160448</vt:i4>
      </vt:variant>
      <vt:variant>
        <vt:i4>312</vt:i4>
      </vt:variant>
      <vt:variant>
        <vt:i4>0</vt:i4>
      </vt:variant>
      <vt:variant>
        <vt:i4>5</vt:i4>
      </vt:variant>
      <vt:variant>
        <vt:lpwstr>http://www.emisia.com/copert</vt:lpwstr>
      </vt:variant>
      <vt:variant>
        <vt:lpwstr/>
      </vt:variant>
      <vt:variant>
        <vt:i4>1376318</vt:i4>
      </vt:variant>
      <vt:variant>
        <vt:i4>197</vt:i4>
      </vt:variant>
      <vt:variant>
        <vt:i4>0</vt:i4>
      </vt:variant>
      <vt:variant>
        <vt:i4>5</vt:i4>
      </vt:variant>
      <vt:variant>
        <vt:lpwstr/>
      </vt:variant>
      <vt:variant>
        <vt:lpwstr>_Toc400296362</vt:lpwstr>
      </vt:variant>
      <vt:variant>
        <vt:i4>1376318</vt:i4>
      </vt:variant>
      <vt:variant>
        <vt:i4>191</vt:i4>
      </vt:variant>
      <vt:variant>
        <vt:i4>0</vt:i4>
      </vt:variant>
      <vt:variant>
        <vt:i4>5</vt:i4>
      </vt:variant>
      <vt:variant>
        <vt:lpwstr/>
      </vt:variant>
      <vt:variant>
        <vt:lpwstr>_Toc400296361</vt:lpwstr>
      </vt:variant>
      <vt:variant>
        <vt:i4>1376318</vt:i4>
      </vt:variant>
      <vt:variant>
        <vt:i4>185</vt:i4>
      </vt:variant>
      <vt:variant>
        <vt:i4>0</vt:i4>
      </vt:variant>
      <vt:variant>
        <vt:i4>5</vt:i4>
      </vt:variant>
      <vt:variant>
        <vt:lpwstr/>
      </vt:variant>
      <vt:variant>
        <vt:lpwstr>_Toc400296360</vt:lpwstr>
      </vt:variant>
      <vt:variant>
        <vt:i4>1441854</vt:i4>
      </vt:variant>
      <vt:variant>
        <vt:i4>179</vt:i4>
      </vt:variant>
      <vt:variant>
        <vt:i4>0</vt:i4>
      </vt:variant>
      <vt:variant>
        <vt:i4>5</vt:i4>
      </vt:variant>
      <vt:variant>
        <vt:lpwstr/>
      </vt:variant>
      <vt:variant>
        <vt:lpwstr>_Toc400296359</vt:lpwstr>
      </vt:variant>
      <vt:variant>
        <vt:i4>1441854</vt:i4>
      </vt:variant>
      <vt:variant>
        <vt:i4>173</vt:i4>
      </vt:variant>
      <vt:variant>
        <vt:i4>0</vt:i4>
      </vt:variant>
      <vt:variant>
        <vt:i4>5</vt:i4>
      </vt:variant>
      <vt:variant>
        <vt:lpwstr/>
      </vt:variant>
      <vt:variant>
        <vt:lpwstr>_Toc400296358</vt:lpwstr>
      </vt:variant>
      <vt:variant>
        <vt:i4>1441854</vt:i4>
      </vt:variant>
      <vt:variant>
        <vt:i4>167</vt:i4>
      </vt:variant>
      <vt:variant>
        <vt:i4>0</vt:i4>
      </vt:variant>
      <vt:variant>
        <vt:i4>5</vt:i4>
      </vt:variant>
      <vt:variant>
        <vt:lpwstr/>
      </vt:variant>
      <vt:variant>
        <vt:lpwstr>_Toc400296357</vt:lpwstr>
      </vt:variant>
      <vt:variant>
        <vt:i4>1441854</vt:i4>
      </vt:variant>
      <vt:variant>
        <vt:i4>161</vt:i4>
      </vt:variant>
      <vt:variant>
        <vt:i4>0</vt:i4>
      </vt:variant>
      <vt:variant>
        <vt:i4>5</vt:i4>
      </vt:variant>
      <vt:variant>
        <vt:lpwstr/>
      </vt:variant>
      <vt:variant>
        <vt:lpwstr>_Toc400296356</vt:lpwstr>
      </vt:variant>
      <vt:variant>
        <vt:i4>1441854</vt:i4>
      </vt:variant>
      <vt:variant>
        <vt:i4>155</vt:i4>
      </vt:variant>
      <vt:variant>
        <vt:i4>0</vt:i4>
      </vt:variant>
      <vt:variant>
        <vt:i4>5</vt:i4>
      </vt:variant>
      <vt:variant>
        <vt:lpwstr/>
      </vt:variant>
      <vt:variant>
        <vt:lpwstr>_Toc400296355</vt:lpwstr>
      </vt:variant>
      <vt:variant>
        <vt:i4>1441854</vt:i4>
      </vt:variant>
      <vt:variant>
        <vt:i4>149</vt:i4>
      </vt:variant>
      <vt:variant>
        <vt:i4>0</vt:i4>
      </vt:variant>
      <vt:variant>
        <vt:i4>5</vt:i4>
      </vt:variant>
      <vt:variant>
        <vt:lpwstr/>
      </vt:variant>
      <vt:variant>
        <vt:lpwstr>_Toc400296354</vt:lpwstr>
      </vt:variant>
      <vt:variant>
        <vt:i4>1441854</vt:i4>
      </vt:variant>
      <vt:variant>
        <vt:i4>143</vt:i4>
      </vt:variant>
      <vt:variant>
        <vt:i4>0</vt:i4>
      </vt:variant>
      <vt:variant>
        <vt:i4>5</vt:i4>
      </vt:variant>
      <vt:variant>
        <vt:lpwstr/>
      </vt:variant>
      <vt:variant>
        <vt:lpwstr>_Toc400296353</vt:lpwstr>
      </vt:variant>
      <vt:variant>
        <vt:i4>1441854</vt:i4>
      </vt:variant>
      <vt:variant>
        <vt:i4>137</vt:i4>
      </vt:variant>
      <vt:variant>
        <vt:i4>0</vt:i4>
      </vt:variant>
      <vt:variant>
        <vt:i4>5</vt:i4>
      </vt:variant>
      <vt:variant>
        <vt:lpwstr/>
      </vt:variant>
      <vt:variant>
        <vt:lpwstr>_Toc400296352</vt:lpwstr>
      </vt:variant>
      <vt:variant>
        <vt:i4>1441854</vt:i4>
      </vt:variant>
      <vt:variant>
        <vt:i4>131</vt:i4>
      </vt:variant>
      <vt:variant>
        <vt:i4>0</vt:i4>
      </vt:variant>
      <vt:variant>
        <vt:i4>5</vt:i4>
      </vt:variant>
      <vt:variant>
        <vt:lpwstr/>
      </vt:variant>
      <vt:variant>
        <vt:lpwstr>_Toc400296351</vt:lpwstr>
      </vt:variant>
      <vt:variant>
        <vt:i4>1441854</vt:i4>
      </vt:variant>
      <vt:variant>
        <vt:i4>125</vt:i4>
      </vt:variant>
      <vt:variant>
        <vt:i4>0</vt:i4>
      </vt:variant>
      <vt:variant>
        <vt:i4>5</vt:i4>
      </vt:variant>
      <vt:variant>
        <vt:lpwstr/>
      </vt:variant>
      <vt:variant>
        <vt:lpwstr>_Toc400296350</vt:lpwstr>
      </vt:variant>
      <vt:variant>
        <vt:i4>1507390</vt:i4>
      </vt:variant>
      <vt:variant>
        <vt:i4>119</vt:i4>
      </vt:variant>
      <vt:variant>
        <vt:i4>0</vt:i4>
      </vt:variant>
      <vt:variant>
        <vt:i4>5</vt:i4>
      </vt:variant>
      <vt:variant>
        <vt:lpwstr/>
      </vt:variant>
      <vt:variant>
        <vt:lpwstr>_Toc400296349</vt:lpwstr>
      </vt:variant>
      <vt:variant>
        <vt:i4>1507390</vt:i4>
      </vt:variant>
      <vt:variant>
        <vt:i4>113</vt:i4>
      </vt:variant>
      <vt:variant>
        <vt:i4>0</vt:i4>
      </vt:variant>
      <vt:variant>
        <vt:i4>5</vt:i4>
      </vt:variant>
      <vt:variant>
        <vt:lpwstr/>
      </vt:variant>
      <vt:variant>
        <vt:lpwstr>_Toc400296348</vt:lpwstr>
      </vt:variant>
      <vt:variant>
        <vt:i4>1507390</vt:i4>
      </vt:variant>
      <vt:variant>
        <vt:i4>107</vt:i4>
      </vt:variant>
      <vt:variant>
        <vt:i4>0</vt:i4>
      </vt:variant>
      <vt:variant>
        <vt:i4>5</vt:i4>
      </vt:variant>
      <vt:variant>
        <vt:lpwstr/>
      </vt:variant>
      <vt:variant>
        <vt:lpwstr>_Toc400296347</vt:lpwstr>
      </vt:variant>
      <vt:variant>
        <vt:i4>1507390</vt:i4>
      </vt:variant>
      <vt:variant>
        <vt:i4>101</vt:i4>
      </vt:variant>
      <vt:variant>
        <vt:i4>0</vt:i4>
      </vt:variant>
      <vt:variant>
        <vt:i4>5</vt:i4>
      </vt:variant>
      <vt:variant>
        <vt:lpwstr/>
      </vt:variant>
      <vt:variant>
        <vt:lpwstr>_Toc400296346</vt:lpwstr>
      </vt:variant>
      <vt:variant>
        <vt:i4>1507390</vt:i4>
      </vt:variant>
      <vt:variant>
        <vt:i4>95</vt:i4>
      </vt:variant>
      <vt:variant>
        <vt:i4>0</vt:i4>
      </vt:variant>
      <vt:variant>
        <vt:i4>5</vt:i4>
      </vt:variant>
      <vt:variant>
        <vt:lpwstr/>
      </vt:variant>
      <vt:variant>
        <vt:lpwstr>_Toc400296345</vt:lpwstr>
      </vt:variant>
      <vt:variant>
        <vt:i4>1507390</vt:i4>
      </vt:variant>
      <vt:variant>
        <vt:i4>89</vt:i4>
      </vt:variant>
      <vt:variant>
        <vt:i4>0</vt:i4>
      </vt:variant>
      <vt:variant>
        <vt:i4>5</vt:i4>
      </vt:variant>
      <vt:variant>
        <vt:lpwstr/>
      </vt:variant>
      <vt:variant>
        <vt:lpwstr>_Toc400296344</vt:lpwstr>
      </vt:variant>
      <vt:variant>
        <vt:i4>1507390</vt:i4>
      </vt:variant>
      <vt:variant>
        <vt:i4>83</vt:i4>
      </vt:variant>
      <vt:variant>
        <vt:i4>0</vt:i4>
      </vt:variant>
      <vt:variant>
        <vt:i4>5</vt:i4>
      </vt:variant>
      <vt:variant>
        <vt:lpwstr/>
      </vt:variant>
      <vt:variant>
        <vt:lpwstr>_Toc400296343</vt:lpwstr>
      </vt:variant>
      <vt:variant>
        <vt:i4>1507390</vt:i4>
      </vt:variant>
      <vt:variant>
        <vt:i4>77</vt:i4>
      </vt:variant>
      <vt:variant>
        <vt:i4>0</vt:i4>
      </vt:variant>
      <vt:variant>
        <vt:i4>5</vt:i4>
      </vt:variant>
      <vt:variant>
        <vt:lpwstr/>
      </vt:variant>
      <vt:variant>
        <vt:lpwstr>_Toc400296342</vt:lpwstr>
      </vt:variant>
      <vt:variant>
        <vt:i4>1507390</vt:i4>
      </vt:variant>
      <vt:variant>
        <vt:i4>71</vt:i4>
      </vt:variant>
      <vt:variant>
        <vt:i4>0</vt:i4>
      </vt:variant>
      <vt:variant>
        <vt:i4>5</vt:i4>
      </vt:variant>
      <vt:variant>
        <vt:lpwstr/>
      </vt:variant>
      <vt:variant>
        <vt:lpwstr>_Toc400296341</vt:lpwstr>
      </vt:variant>
      <vt:variant>
        <vt:i4>1507390</vt:i4>
      </vt:variant>
      <vt:variant>
        <vt:i4>65</vt:i4>
      </vt:variant>
      <vt:variant>
        <vt:i4>0</vt:i4>
      </vt:variant>
      <vt:variant>
        <vt:i4>5</vt:i4>
      </vt:variant>
      <vt:variant>
        <vt:lpwstr/>
      </vt:variant>
      <vt:variant>
        <vt:lpwstr>_Toc400296340</vt:lpwstr>
      </vt:variant>
      <vt:variant>
        <vt:i4>1048638</vt:i4>
      </vt:variant>
      <vt:variant>
        <vt:i4>59</vt:i4>
      </vt:variant>
      <vt:variant>
        <vt:i4>0</vt:i4>
      </vt:variant>
      <vt:variant>
        <vt:i4>5</vt:i4>
      </vt:variant>
      <vt:variant>
        <vt:lpwstr/>
      </vt:variant>
      <vt:variant>
        <vt:lpwstr>_Toc400296339</vt:lpwstr>
      </vt:variant>
      <vt:variant>
        <vt:i4>1048638</vt:i4>
      </vt:variant>
      <vt:variant>
        <vt:i4>53</vt:i4>
      </vt:variant>
      <vt:variant>
        <vt:i4>0</vt:i4>
      </vt:variant>
      <vt:variant>
        <vt:i4>5</vt:i4>
      </vt:variant>
      <vt:variant>
        <vt:lpwstr/>
      </vt:variant>
      <vt:variant>
        <vt:lpwstr>_Toc400296338</vt:lpwstr>
      </vt:variant>
      <vt:variant>
        <vt:i4>1048638</vt:i4>
      </vt:variant>
      <vt:variant>
        <vt:i4>47</vt:i4>
      </vt:variant>
      <vt:variant>
        <vt:i4>0</vt:i4>
      </vt:variant>
      <vt:variant>
        <vt:i4>5</vt:i4>
      </vt:variant>
      <vt:variant>
        <vt:lpwstr/>
      </vt:variant>
      <vt:variant>
        <vt:lpwstr>_Toc400296337</vt:lpwstr>
      </vt:variant>
      <vt:variant>
        <vt:i4>1048638</vt:i4>
      </vt:variant>
      <vt:variant>
        <vt:i4>41</vt:i4>
      </vt:variant>
      <vt:variant>
        <vt:i4>0</vt:i4>
      </vt:variant>
      <vt:variant>
        <vt:i4>5</vt:i4>
      </vt:variant>
      <vt:variant>
        <vt:lpwstr/>
      </vt:variant>
      <vt:variant>
        <vt:lpwstr>_Toc400296336</vt:lpwstr>
      </vt:variant>
      <vt:variant>
        <vt:i4>1048638</vt:i4>
      </vt:variant>
      <vt:variant>
        <vt:i4>35</vt:i4>
      </vt:variant>
      <vt:variant>
        <vt:i4>0</vt:i4>
      </vt:variant>
      <vt:variant>
        <vt:i4>5</vt:i4>
      </vt:variant>
      <vt:variant>
        <vt:lpwstr/>
      </vt:variant>
      <vt:variant>
        <vt:lpwstr>_Toc400296335</vt:lpwstr>
      </vt:variant>
      <vt:variant>
        <vt:i4>1048638</vt:i4>
      </vt:variant>
      <vt:variant>
        <vt:i4>29</vt:i4>
      </vt:variant>
      <vt:variant>
        <vt:i4>0</vt:i4>
      </vt:variant>
      <vt:variant>
        <vt:i4>5</vt:i4>
      </vt:variant>
      <vt:variant>
        <vt:lpwstr/>
      </vt:variant>
      <vt:variant>
        <vt:lpwstr>_Toc400296334</vt:lpwstr>
      </vt:variant>
      <vt:variant>
        <vt:i4>1048638</vt:i4>
      </vt:variant>
      <vt:variant>
        <vt:i4>23</vt:i4>
      </vt:variant>
      <vt:variant>
        <vt:i4>0</vt:i4>
      </vt:variant>
      <vt:variant>
        <vt:i4>5</vt:i4>
      </vt:variant>
      <vt:variant>
        <vt:lpwstr/>
      </vt:variant>
      <vt:variant>
        <vt:lpwstr>_Toc400296333</vt:lpwstr>
      </vt:variant>
      <vt:variant>
        <vt:i4>1048638</vt:i4>
      </vt:variant>
      <vt:variant>
        <vt:i4>17</vt:i4>
      </vt:variant>
      <vt:variant>
        <vt:i4>0</vt:i4>
      </vt:variant>
      <vt:variant>
        <vt:i4>5</vt:i4>
      </vt:variant>
      <vt:variant>
        <vt:lpwstr/>
      </vt:variant>
      <vt:variant>
        <vt:lpwstr>_Toc400296332</vt:lpwstr>
      </vt:variant>
      <vt:variant>
        <vt:i4>1048638</vt:i4>
      </vt:variant>
      <vt:variant>
        <vt:i4>11</vt:i4>
      </vt:variant>
      <vt:variant>
        <vt:i4>0</vt:i4>
      </vt:variant>
      <vt:variant>
        <vt:i4>5</vt:i4>
      </vt:variant>
      <vt:variant>
        <vt:lpwstr/>
      </vt:variant>
      <vt:variant>
        <vt:lpwstr>_Toc400296331</vt:lpwstr>
      </vt:variant>
      <vt:variant>
        <vt:i4>1048638</vt:i4>
      </vt:variant>
      <vt:variant>
        <vt:i4>5</vt:i4>
      </vt:variant>
      <vt:variant>
        <vt:i4>0</vt:i4>
      </vt:variant>
      <vt:variant>
        <vt:i4>5</vt:i4>
      </vt:variant>
      <vt:variant>
        <vt:lpwstr/>
      </vt:variant>
      <vt:variant>
        <vt:lpwstr>_Toc400296330</vt:lpwstr>
      </vt:variant>
      <vt:variant>
        <vt:i4>8061039</vt:i4>
      </vt:variant>
      <vt:variant>
        <vt:i4>0</vt:i4>
      </vt:variant>
      <vt:variant>
        <vt:i4>0</vt:i4>
      </vt:variant>
      <vt:variant>
        <vt:i4>5</vt:i4>
      </vt:variant>
      <vt:variant>
        <vt:lpwstr>http://www.eea.europa.eu/publications/emep-eea-guidebook-2013/</vt:lpwstr>
      </vt:variant>
      <vt:variant>
        <vt:lpwstr/>
      </vt:variant>
      <vt:variant>
        <vt:i4>7864416</vt:i4>
      </vt:variant>
      <vt:variant>
        <vt:i4>0</vt:i4>
      </vt:variant>
      <vt:variant>
        <vt:i4>0</vt:i4>
      </vt:variant>
      <vt:variant>
        <vt:i4>5</vt:i4>
      </vt:variant>
      <vt:variant>
        <vt:lpwstr>http://www.eea.europa.eu/publications/emep-eea-guidebook-2013/part-b-sectoral-guidance-chapters/1-energy/1-a-combustion/1-a-1-energy-industries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EEA</dc:creator>
  <cp:keywords/>
  <dc:description/>
  <cp:lastModifiedBy>Giorgos Mellios</cp:lastModifiedBy>
  <cp:revision>18</cp:revision>
  <cp:lastPrinted>2017-03-06T13:33:00Z</cp:lastPrinted>
  <dcterms:created xsi:type="dcterms:W3CDTF">2017-05-05T05:07:00Z</dcterms:created>
  <dcterms:modified xsi:type="dcterms:W3CDTF">2017-05-08T07:58:00Z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ies>
</file>